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Look w:val="04A0" w:firstRow="1" w:lastRow="0" w:firstColumn="1" w:lastColumn="0" w:noHBand="0" w:noVBand="1"/>
      </w:tblPr>
      <w:tblGrid>
        <w:gridCol w:w="10138"/>
      </w:tblGrid>
      <w:tr w:rsidR="00A569F9" w:rsidRPr="009E1B38" w14:paraId="7D4A7073" w14:textId="77777777" w:rsidTr="00943F68">
        <w:trPr>
          <w:trHeight w:val="4105"/>
          <w:jc w:val="center"/>
        </w:trPr>
        <w:tc>
          <w:tcPr>
            <w:tcW w:w="5000" w:type="pct"/>
          </w:tcPr>
          <w:p w14:paraId="7D4A7066"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67"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68"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69"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6A"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6B"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6C"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6D"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6E"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6F"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70"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71"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p w14:paraId="7D4A7072" w14:textId="77777777" w:rsidR="00A569F9" w:rsidRPr="009E1B38" w:rsidRDefault="00A569F9" w:rsidP="009B7289">
            <w:pPr>
              <w:pStyle w:val="AralkYok"/>
              <w:jc w:val="both"/>
              <w:rPr>
                <w:rFonts w:ascii="Times New Roman" w:eastAsiaTheme="majorEastAsia" w:hAnsi="Times New Roman" w:cs="Times New Roman"/>
                <w:b/>
                <w:caps/>
                <w:highlight w:val="yellow"/>
                <w:lang w:val="en-US"/>
              </w:rPr>
            </w:pPr>
          </w:p>
        </w:tc>
      </w:tr>
      <w:tr w:rsidR="00A569F9" w:rsidRPr="009E1B38" w14:paraId="7D4A7075" w14:textId="77777777">
        <w:trPr>
          <w:trHeight w:val="1440"/>
          <w:jc w:val="center"/>
        </w:trPr>
        <w:sdt>
          <w:sdtPr>
            <w:rPr>
              <w:rFonts w:ascii="Times New Roman" w:eastAsiaTheme="majorEastAsia" w:hAnsi="Times New Roman" w:cs="Times New Roman"/>
              <w:sz w:val="72"/>
              <w:szCs w:val="72"/>
              <w:lang w:val="en-US"/>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7D4A7074" w14:textId="0BF88823" w:rsidR="00A569F9" w:rsidRPr="009E1B38" w:rsidRDefault="000D318F" w:rsidP="009B7289">
                <w:pPr>
                  <w:pStyle w:val="AralkYok"/>
                  <w:jc w:val="center"/>
                  <w:rPr>
                    <w:rFonts w:ascii="Times New Roman" w:eastAsiaTheme="majorEastAsia" w:hAnsi="Times New Roman" w:cs="Times New Roman"/>
                    <w:sz w:val="96"/>
                    <w:szCs w:val="96"/>
                    <w:lang w:val="en-US"/>
                  </w:rPr>
                </w:pPr>
                <w:r w:rsidRPr="009E1B38">
                  <w:rPr>
                    <w:rFonts w:ascii="Times New Roman" w:eastAsiaTheme="majorEastAsia" w:hAnsi="Times New Roman" w:cs="Times New Roman"/>
                    <w:sz w:val="72"/>
                    <w:szCs w:val="72"/>
                    <w:lang w:val="en-US"/>
                  </w:rPr>
                  <w:t>ENERGY MARKET REGULATORY AUTHORITY</w:t>
                </w:r>
              </w:p>
            </w:tc>
          </w:sdtContent>
        </w:sdt>
      </w:tr>
      <w:tr w:rsidR="00A569F9" w:rsidRPr="009E1B38" w14:paraId="7D4A7077" w14:textId="77777777" w:rsidTr="00943F68">
        <w:trPr>
          <w:trHeight w:val="2333"/>
          <w:jc w:val="center"/>
        </w:trPr>
        <w:sdt>
          <w:sdtPr>
            <w:rPr>
              <w:rFonts w:ascii="Times New Roman" w:hAnsi="Times New Roman" w:cs="Times New Roman"/>
              <w:caps/>
              <w:sz w:val="72"/>
              <w:szCs w:val="72"/>
              <w:lang w:val="en-US"/>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7D4A7076" w14:textId="1C09FEED" w:rsidR="00A569F9" w:rsidRPr="009E1B38" w:rsidRDefault="006F51C6" w:rsidP="00BB75E8">
                <w:pPr>
                  <w:pStyle w:val="AralkYok"/>
                  <w:jc w:val="center"/>
                  <w:rPr>
                    <w:rFonts w:ascii="Times New Roman" w:eastAsiaTheme="majorEastAsia" w:hAnsi="Times New Roman" w:cs="Times New Roman"/>
                    <w:sz w:val="96"/>
                    <w:szCs w:val="96"/>
                    <w:lang w:val="en-US"/>
                  </w:rPr>
                </w:pPr>
                <w:r w:rsidRPr="009E1B38">
                  <w:rPr>
                    <w:rFonts w:ascii="Times New Roman" w:hAnsi="Times New Roman" w:cs="Times New Roman"/>
                    <w:caps/>
                    <w:sz w:val="72"/>
                    <w:szCs w:val="72"/>
                    <w:lang w:val="en-US"/>
                  </w:rPr>
                  <w:t>2021 ACTIVITY REPORT</w:t>
                </w:r>
              </w:p>
            </w:tc>
          </w:sdtContent>
        </w:sdt>
      </w:tr>
      <w:tr w:rsidR="00A569F9" w:rsidRPr="009E1B38" w14:paraId="7D4A7079" w14:textId="77777777">
        <w:trPr>
          <w:trHeight w:val="360"/>
          <w:jc w:val="center"/>
        </w:trPr>
        <w:tc>
          <w:tcPr>
            <w:tcW w:w="5000" w:type="pct"/>
            <w:vAlign w:val="center"/>
          </w:tcPr>
          <w:p w14:paraId="7D4A7078" w14:textId="77777777" w:rsidR="00A569F9" w:rsidRPr="009E1B38" w:rsidRDefault="00A569F9" w:rsidP="009B7289">
            <w:pPr>
              <w:pStyle w:val="AralkYok"/>
              <w:jc w:val="both"/>
              <w:rPr>
                <w:rFonts w:ascii="Times New Roman" w:hAnsi="Times New Roman" w:cs="Times New Roman"/>
                <w:highlight w:val="yellow"/>
                <w:lang w:val="en-US"/>
              </w:rPr>
            </w:pPr>
          </w:p>
        </w:tc>
      </w:tr>
      <w:tr w:rsidR="00A569F9" w:rsidRPr="009E1B38" w14:paraId="7D4A707B" w14:textId="77777777">
        <w:trPr>
          <w:trHeight w:val="360"/>
          <w:jc w:val="center"/>
        </w:trPr>
        <w:tc>
          <w:tcPr>
            <w:tcW w:w="5000" w:type="pct"/>
            <w:vAlign w:val="center"/>
          </w:tcPr>
          <w:p w14:paraId="7D4A707A" w14:textId="77777777" w:rsidR="00A569F9" w:rsidRPr="009E1B38" w:rsidRDefault="00A569F9" w:rsidP="009B7289">
            <w:pPr>
              <w:pStyle w:val="AralkYok"/>
              <w:jc w:val="both"/>
              <w:rPr>
                <w:rFonts w:ascii="Times New Roman" w:hAnsi="Times New Roman" w:cs="Times New Roman"/>
                <w:b/>
                <w:bCs/>
                <w:highlight w:val="yellow"/>
                <w:lang w:val="en-US"/>
              </w:rPr>
            </w:pPr>
          </w:p>
        </w:tc>
      </w:tr>
      <w:tr w:rsidR="00A569F9" w:rsidRPr="009E1B38" w14:paraId="7D4A707D" w14:textId="77777777">
        <w:trPr>
          <w:trHeight w:val="360"/>
          <w:jc w:val="center"/>
        </w:trPr>
        <w:tc>
          <w:tcPr>
            <w:tcW w:w="5000" w:type="pct"/>
            <w:vAlign w:val="center"/>
          </w:tcPr>
          <w:p w14:paraId="7D4A707C" w14:textId="77777777" w:rsidR="00A569F9" w:rsidRPr="009E1B38" w:rsidRDefault="00A569F9" w:rsidP="009B7289">
            <w:pPr>
              <w:pStyle w:val="AralkYok"/>
              <w:jc w:val="both"/>
              <w:rPr>
                <w:rFonts w:ascii="Times New Roman" w:hAnsi="Times New Roman" w:cs="Times New Roman"/>
                <w:b/>
                <w:bCs/>
                <w:highlight w:val="yellow"/>
                <w:lang w:val="en-US"/>
              </w:rPr>
            </w:pPr>
          </w:p>
        </w:tc>
      </w:tr>
    </w:tbl>
    <w:p w14:paraId="7D4A707E" w14:textId="77777777" w:rsidR="00A569F9" w:rsidRPr="009E1B38" w:rsidRDefault="00A569F9" w:rsidP="009B7289">
      <w:pPr>
        <w:rPr>
          <w:rFonts w:ascii="Times New Roman" w:hAnsi="Times New Roman"/>
          <w:highlight w:val="yellow"/>
        </w:rPr>
      </w:pPr>
    </w:p>
    <w:p w14:paraId="7D4A707F" w14:textId="77777777" w:rsidR="00A569F9" w:rsidRPr="009E1B38" w:rsidRDefault="00A569F9" w:rsidP="009B7289">
      <w:pPr>
        <w:rPr>
          <w:rFonts w:ascii="Times New Roman" w:hAnsi="Times New Roman"/>
          <w:highlight w:val="yellow"/>
        </w:rPr>
      </w:pPr>
    </w:p>
    <w:p w14:paraId="7D4A7080" w14:textId="77777777" w:rsidR="008354F9" w:rsidRPr="009E1B38" w:rsidRDefault="008354F9">
      <w:pPr>
        <w:rPr>
          <w:rFonts w:ascii="Times New Roman" w:eastAsiaTheme="minorHAnsi" w:hAnsi="Times New Roman"/>
          <w:b/>
          <w:color w:val="000000"/>
          <w:highlight w:val="yellow"/>
        </w:rPr>
      </w:pPr>
      <w:r w:rsidRPr="009E1B38">
        <w:rPr>
          <w:rFonts w:ascii="Times New Roman" w:eastAsiaTheme="minorHAnsi" w:hAnsi="Times New Roman"/>
          <w:b/>
          <w:color w:val="000000"/>
          <w:highlight w:val="yellow"/>
        </w:rPr>
        <w:br w:type="page"/>
      </w:r>
    </w:p>
    <w:p w14:paraId="7D4A7081" w14:textId="77777777" w:rsidR="00E65EAD" w:rsidRPr="009E1B38" w:rsidRDefault="00E65EAD" w:rsidP="00711603">
      <w:pPr>
        <w:jc w:val="center"/>
        <w:rPr>
          <w:rFonts w:ascii="Times New Roman" w:hAnsi="Times New Roman"/>
          <w:b/>
          <w:highlight w:val="yellow"/>
        </w:rPr>
        <w:sectPr w:rsidR="00E65EAD" w:rsidRPr="009E1B38" w:rsidSect="00BB72B4">
          <w:footerReference w:type="default" r:id="rId9"/>
          <w:footerReference w:type="first" r:id="rId10"/>
          <w:pgSz w:w="11906" w:h="16838"/>
          <w:pgMar w:top="1418" w:right="566" w:bottom="1418" w:left="1418" w:header="709" w:footer="709" w:gutter="0"/>
          <w:pgNumType w:start="1"/>
          <w:cols w:space="708"/>
          <w:titlePg/>
          <w:docGrid w:linePitch="360"/>
        </w:sectPr>
      </w:pPr>
    </w:p>
    <w:p w14:paraId="70F9E0B7" w14:textId="77777777" w:rsidR="006C78E8" w:rsidRPr="009E1B38" w:rsidRDefault="006C78E8" w:rsidP="006C78E8">
      <w:pPr>
        <w:spacing w:line="240" w:lineRule="auto"/>
        <w:jc w:val="center"/>
        <w:rPr>
          <w:rFonts w:ascii="Times New Roman" w:eastAsia="Times New Roman" w:hAnsi="Times New Roman"/>
          <w:sz w:val="32"/>
          <w:szCs w:val="32"/>
          <w:lang w:eastAsia="tr-TR"/>
        </w:rPr>
      </w:pPr>
      <w:r w:rsidRPr="009E1B38">
        <w:rPr>
          <w:rFonts w:ascii="Times New Roman" w:hAnsi="Times New Roman"/>
          <w:sz w:val="28"/>
        </w:rPr>
        <w:lastRenderedPageBreak/>
        <w:t>All the information, tables and figures provided in this report are reserved and cannot be used without reference.</w:t>
      </w:r>
    </w:p>
    <w:p w14:paraId="3D2ECAF6" w14:textId="77777777" w:rsidR="006C78E8" w:rsidRPr="009E1B38" w:rsidRDefault="006C78E8" w:rsidP="006C78E8">
      <w:pPr>
        <w:spacing w:after="0" w:line="240" w:lineRule="auto"/>
        <w:jc w:val="center"/>
        <w:rPr>
          <w:rFonts w:ascii="Times New Roman" w:eastAsia="Times New Roman" w:hAnsi="Times New Roman"/>
          <w:sz w:val="24"/>
          <w:szCs w:val="24"/>
          <w:lang w:eastAsia="tr-TR"/>
        </w:rPr>
      </w:pPr>
    </w:p>
    <w:p w14:paraId="472D0A38" w14:textId="77777777" w:rsidR="006C78E8" w:rsidRPr="009E1B38" w:rsidRDefault="006C78E8" w:rsidP="006C78E8">
      <w:pPr>
        <w:spacing w:after="0" w:line="240" w:lineRule="auto"/>
        <w:jc w:val="center"/>
        <w:rPr>
          <w:rFonts w:ascii="Times New Roman" w:eastAsia="Times New Roman" w:hAnsi="Times New Roman"/>
          <w:sz w:val="24"/>
          <w:szCs w:val="24"/>
          <w:lang w:eastAsia="tr-TR"/>
        </w:rPr>
      </w:pPr>
    </w:p>
    <w:p w14:paraId="25EDF1CB" w14:textId="77777777" w:rsidR="006C78E8" w:rsidRPr="009E1B38" w:rsidRDefault="006C78E8" w:rsidP="006C78E8">
      <w:pPr>
        <w:spacing w:after="0" w:line="240" w:lineRule="auto"/>
        <w:jc w:val="center"/>
        <w:rPr>
          <w:rFonts w:ascii="Times New Roman" w:eastAsia="Times New Roman" w:hAnsi="Times New Roman"/>
          <w:sz w:val="24"/>
          <w:szCs w:val="24"/>
          <w:lang w:eastAsia="tr-TR"/>
        </w:rPr>
      </w:pPr>
    </w:p>
    <w:p w14:paraId="3461BE5B" w14:textId="77777777" w:rsidR="006C78E8" w:rsidRPr="009E1B38" w:rsidRDefault="006C78E8" w:rsidP="006C78E8">
      <w:pPr>
        <w:spacing w:after="0" w:line="240" w:lineRule="auto"/>
        <w:jc w:val="center"/>
        <w:rPr>
          <w:rFonts w:ascii="Times New Roman" w:eastAsia="Times New Roman" w:hAnsi="Times New Roman"/>
          <w:sz w:val="24"/>
          <w:szCs w:val="24"/>
          <w:lang w:eastAsia="tr-TR"/>
        </w:rPr>
      </w:pPr>
    </w:p>
    <w:p w14:paraId="24D07916" w14:textId="08E037E5" w:rsidR="006C78E8" w:rsidRPr="009E1B38" w:rsidRDefault="006C78E8" w:rsidP="006C78E8">
      <w:pPr>
        <w:spacing w:after="0" w:line="240" w:lineRule="auto"/>
        <w:jc w:val="center"/>
        <w:rPr>
          <w:rFonts w:ascii="Times New Roman" w:eastAsia="Times New Roman" w:hAnsi="Times New Roman"/>
          <w:b/>
          <w:sz w:val="32"/>
          <w:szCs w:val="32"/>
          <w:lang w:eastAsia="tr-TR"/>
        </w:rPr>
      </w:pPr>
      <w:r w:rsidRPr="009E1B38">
        <w:rPr>
          <w:rFonts w:ascii="Times New Roman" w:eastAsia="Times New Roman" w:hAnsi="Times New Roman"/>
          <w:b/>
          <w:sz w:val="32"/>
          <w:szCs w:val="32"/>
          <w:lang w:eastAsia="tr-TR"/>
        </w:rPr>
        <w:t xml:space="preserve">REPUBLIC OF </w:t>
      </w:r>
      <w:r w:rsidR="0082470D" w:rsidRPr="009E1B38">
        <w:rPr>
          <w:rFonts w:ascii="Times New Roman" w:eastAsia="Times New Roman" w:hAnsi="Times New Roman"/>
          <w:b/>
          <w:sz w:val="32"/>
          <w:szCs w:val="32"/>
          <w:lang w:eastAsia="tr-TR"/>
        </w:rPr>
        <w:t>TÜRKİYE</w:t>
      </w:r>
      <w:r w:rsidRPr="009E1B38">
        <w:rPr>
          <w:rFonts w:ascii="Times New Roman" w:eastAsia="Times New Roman" w:hAnsi="Times New Roman"/>
          <w:b/>
          <w:sz w:val="32"/>
          <w:szCs w:val="32"/>
          <w:lang w:eastAsia="tr-TR"/>
        </w:rPr>
        <w:t xml:space="preserve"> ENERGY MARKET REGULATRORY AUTHORITY</w:t>
      </w:r>
    </w:p>
    <w:p w14:paraId="6CC1F42A" w14:textId="77777777" w:rsidR="006C78E8" w:rsidRPr="009E1B38" w:rsidRDefault="006C78E8" w:rsidP="006C78E8">
      <w:pPr>
        <w:spacing w:after="0" w:line="240" w:lineRule="auto"/>
        <w:jc w:val="center"/>
        <w:rPr>
          <w:rFonts w:ascii="Times New Roman" w:eastAsia="Times New Roman" w:hAnsi="Times New Roman"/>
          <w:sz w:val="28"/>
          <w:szCs w:val="28"/>
          <w:lang w:eastAsia="tr-TR"/>
        </w:rPr>
      </w:pPr>
      <w:r w:rsidRPr="009E1B38">
        <w:rPr>
          <w:rFonts w:ascii="Times New Roman" w:eastAsia="Times New Roman" w:hAnsi="Times New Roman"/>
          <w:sz w:val="28"/>
          <w:szCs w:val="28"/>
          <w:lang w:eastAsia="tr-TR"/>
        </w:rPr>
        <w:t>Strategy Development Department</w:t>
      </w:r>
    </w:p>
    <w:p w14:paraId="67C0F1C8" w14:textId="77777777" w:rsidR="006C78E8" w:rsidRPr="009E1B38" w:rsidRDefault="006C78E8" w:rsidP="006C78E8">
      <w:pPr>
        <w:spacing w:after="0" w:line="240" w:lineRule="auto"/>
        <w:jc w:val="center"/>
        <w:rPr>
          <w:rFonts w:ascii="Times New Roman" w:eastAsia="Times New Roman" w:hAnsi="Times New Roman"/>
          <w:sz w:val="28"/>
          <w:szCs w:val="28"/>
          <w:lang w:eastAsia="tr-TR"/>
        </w:rPr>
      </w:pPr>
    </w:p>
    <w:p w14:paraId="70086FAD" w14:textId="77777777" w:rsidR="006C78E8" w:rsidRPr="009E1B38" w:rsidRDefault="006C78E8" w:rsidP="006C78E8">
      <w:pPr>
        <w:spacing w:after="0" w:line="240" w:lineRule="auto"/>
        <w:jc w:val="center"/>
        <w:rPr>
          <w:rFonts w:ascii="Times New Roman" w:eastAsia="Times New Roman" w:hAnsi="Times New Roman"/>
          <w:sz w:val="28"/>
          <w:szCs w:val="28"/>
          <w:lang w:eastAsia="tr-TR"/>
        </w:rPr>
      </w:pPr>
    </w:p>
    <w:p w14:paraId="0EB140E1" w14:textId="77777777" w:rsidR="006C78E8" w:rsidRPr="009E1B38" w:rsidRDefault="006C78E8" w:rsidP="006C78E8">
      <w:pPr>
        <w:spacing w:after="0" w:line="240" w:lineRule="auto"/>
        <w:jc w:val="center"/>
        <w:rPr>
          <w:rFonts w:ascii="Times New Roman" w:eastAsia="Times New Roman" w:hAnsi="Times New Roman"/>
          <w:sz w:val="28"/>
          <w:szCs w:val="28"/>
          <w:lang w:eastAsia="tr-TR"/>
        </w:rPr>
      </w:pPr>
    </w:p>
    <w:p w14:paraId="4112A31F" w14:textId="77777777" w:rsidR="006C78E8" w:rsidRPr="009E1B38" w:rsidRDefault="006C78E8" w:rsidP="006C78E8">
      <w:pPr>
        <w:spacing w:after="0" w:line="240" w:lineRule="auto"/>
        <w:jc w:val="center"/>
        <w:rPr>
          <w:rFonts w:ascii="Times New Roman" w:eastAsia="Times New Roman" w:hAnsi="Times New Roman"/>
          <w:b/>
          <w:sz w:val="28"/>
          <w:szCs w:val="28"/>
          <w:lang w:eastAsia="tr-TR"/>
        </w:rPr>
      </w:pPr>
      <w:r w:rsidRPr="009E1B38">
        <w:rPr>
          <w:rFonts w:ascii="Times New Roman" w:eastAsia="Times New Roman" w:hAnsi="Times New Roman"/>
          <w:b/>
          <w:sz w:val="28"/>
          <w:szCs w:val="28"/>
          <w:lang w:eastAsia="tr-TR"/>
        </w:rPr>
        <w:t>ANKARA, 2021</w:t>
      </w:r>
    </w:p>
    <w:p w14:paraId="0308BCA0" w14:textId="77777777" w:rsidR="006C78E8" w:rsidRPr="009E1B38" w:rsidRDefault="006C78E8" w:rsidP="006C78E8">
      <w:pPr>
        <w:pStyle w:val="AralkYok"/>
        <w:rPr>
          <w:rFonts w:ascii="Times New Roman" w:hAnsi="Times New Roman" w:cs="Times New Roman"/>
          <w:b/>
          <w:bCs/>
          <w:caps/>
          <w:color w:val="FFFFFF" w:themeColor="background1"/>
          <w:sz w:val="28"/>
          <w:szCs w:val="28"/>
          <w:lang w:val="en-US"/>
        </w:rPr>
      </w:pPr>
    </w:p>
    <w:p w14:paraId="0138E9DF"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7F70B5C6"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21FA72BF"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2010DFEE"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426B7F6F"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3104943A"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17B732D0"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6A2522D0"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2DB569D1"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23A9521E"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31BFFE8C"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2D951CCC"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4C7E9314"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2EDD3F5B"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78D45EC5" w14:textId="77777777" w:rsidR="006C78E8" w:rsidRPr="009E1B38" w:rsidRDefault="006C78E8" w:rsidP="006C78E8">
      <w:pPr>
        <w:pStyle w:val="AralkYok"/>
        <w:rPr>
          <w:rFonts w:ascii="Times New Roman" w:hAnsi="Times New Roman" w:cs="Times New Roman"/>
          <w:b/>
          <w:bCs/>
          <w:caps/>
          <w:color w:val="FFFFFF" w:themeColor="background1"/>
          <w:sz w:val="24"/>
          <w:szCs w:val="24"/>
          <w:lang w:val="en-US"/>
        </w:rPr>
      </w:pPr>
    </w:p>
    <w:p w14:paraId="0644AE2C" w14:textId="77777777" w:rsidR="006C78E8" w:rsidRPr="009E1B38" w:rsidRDefault="006C78E8" w:rsidP="006C78E8">
      <w:pPr>
        <w:rPr>
          <w:rFonts w:ascii="Times New Roman" w:hAnsi="Times New Roman"/>
          <w:sz w:val="24"/>
          <w:szCs w:val="24"/>
          <w:lang w:eastAsia="tr-TR"/>
        </w:rPr>
      </w:pPr>
      <w:r w:rsidRPr="009E1B38">
        <w:rPr>
          <w:rFonts w:ascii="Times New Roman" w:hAnsi="Times New Roman"/>
          <w:b/>
          <w:sz w:val="24"/>
          <w:szCs w:val="24"/>
          <w:lang w:eastAsia="tr-TR"/>
        </w:rPr>
        <w:t>Important Reminder</w:t>
      </w:r>
      <w:r w:rsidRPr="009E1B38">
        <w:rPr>
          <w:rFonts w:ascii="Times New Roman" w:hAnsi="Times New Roman"/>
          <w:sz w:val="24"/>
          <w:szCs w:val="24"/>
          <w:lang w:eastAsia="tr-TR"/>
        </w:rPr>
        <w:t>: Licensees can make corrections to the data they previously submitted to the Authority by requesting correction within the framework of the relevant provisions of the Energy Market Notification Regulation. For this reason, there may be data differences between the published reports.</w:t>
      </w:r>
    </w:p>
    <w:p w14:paraId="13DA722E" w14:textId="77777777" w:rsidR="006C78E8" w:rsidRPr="009E1B38" w:rsidRDefault="006C78E8" w:rsidP="006C78E8">
      <w:pPr>
        <w:spacing w:line="256" w:lineRule="auto"/>
        <w:rPr>
          <w:rFonts w:ascii="Times New Roman" w:hAnsi="Times New Roman"/>
          <w:sz w:val="24"/>
          <w:szCs w:val="24"/>
        </w:rPr>
      </w:pPr>
      <w:r w:rsidRPr="009E1B38">
        <w:rPr>
          <w:rFonts w:ascii="Times New Roman" w:hAnsi="Times New Roman"/>
          <w:sz w:val="24"/>
          <w:szCs w:val="24"/>
        </w:rPr>
        <w:t xml:space="preserve">* In this report, Turkish punctuation rules are adopted for numbers. </w:t>
      </w:r>
    </w:p>
    <w:p w14:paraId="638A38D4" w14:textId="0BE312CC" w:rsidR="006C78E8" w:rsidRPr="009E1B38" w:rsidRDefault="006C78E8" w:rsidP="006C78E8">
      <w:pPr>
        <w:rPr>
          <w:rFonts w:ascii="Times New Roman" w:hAnsi="Times New Roman"/>
          <w:bCs/>
        </w:rPr>
      </w:pPr>
      <w:r w:rsidRPr="009E1B38">
        <w:rPr>
          <w:rFonts w:ascii="Times New Roman" w:hAnsi="Times New Roman"/>
          <w:sz w:val="24"/>
          <w:szCs w:val="24"/>
        </w:rPr>
        <w:t>*</w:t>
      </w:r>
      <w:r w:rsidRPr="009E1B38">
        <w:rPr>
          <w:rFonts w:ascii="Times New Roman" w:hAnsi="Times New Roman"/>
          <w:bCs/>
          <w:sz w:val="24"/>
          <w:szCs w:val="24"/>
        </w:rPr>
        <w:t xml:space="preserve">This report is published under the Official Statistics </w:t>
      </w:r>
      <w:r w:rsidR="006141B5" w:rsidRPr="009E1B38">
        <w:rPr>
          <w:rFonts w:ascii="Times New Roman" w:hAnsi="Times New Roman"/>
          <w:bCs/>
          <w:sz w:val="24"/>
          <w:szCs w:val="24"/>
        </w:rPr>
        <w:t>Program.</w:t>
      </w:r>
    </w:p>
    <w:p w14:paraId="188C1501" w14:textId="77777777" w:rsidR="006C78E8" w:rsidRPr="009E1B38" w:rsidRDefault="006C78E8" w:rsidP="006C78E8">
      <w:pPr>
        <w:jc w:val="center"/>
        <w:rPr>
          <w:rFonts w:ascii="Times New Roman" w:hAnsi="Times New Roman"/>
          <w:bCs/>
        </w:rPr>
      </w:pPr>
    </w:p>
    <w:p w14:paraId="34FB4B39" w14:textId="77777777" w:rsidR="006C78E8" w:rsidRPr="009E1B38" w:rsidRDefault="006C78E8" w:rsidP="006C78E8">
      <w:pPr>
        <w:jc w:val="center"/>
        <w:rPr>
          <w:rFonts w:ascii="Times New Roman" w:hAnsi="Times New Roman"/>
          <w:bCs/>
        </w:rPr>
      </w:pPr>
    </w:p>
    <w:p w14:paraId="34CAB3C1" w14:textId="5F6B84F4" w:rsidR="006C78E8" w:rsidRPr="009E1B38" w:rsidRDefault="006C78E8" w:rsidP="006C78E8">
      <w:pPr>
        <w:jc w:val="center"/>
        <w:rPr>
          <w:rFonts w:ascii="Times New Roman" w:hAnsi="Times New Roman"/>
          <w:bCs/>
        </w:rPr>
      </w:pPr>
    </w:p>
    <w:p w14:paraId="6311D680" w14:textId="77777777" w:rsidR="00BC600E" w:rsidRPr="009E1B38" w:rsidRDefault="00BC600E" w:rsidP="006C78E8">
      <w:pPr>
        <w:jc w:val="center"/>
        <w:rPr>
          <w:rFonts w:ascii="Times New Roman" w:hAnsi="Times New Roman"/>
          <w:bCs/>
        </w:rPr>
      </w:pPr>
    </w:p>
    <w:p w14:paraId="523D0612" w14:textId="77777777" w:rsidR="006C78E8" w:rsidRPr="009E1B38" w:rsidRDefault="006C78E8" w:rsidP="006C78E8">
      <w:pPr>
        <w:jc w:val="center"/>
        <w:rPr>
          <w:rFonts w:ascii="Times New Roman" w:hAnsi="Times New Roman"/>
          <w:bCs/>
        </w:rPr>
      </w:pPr>
    </w:p>
    <w:p w14:paraId="5A5F1033" w14:textId="77777777" w:rsidR="006C78E8" w:rsidRPr="009E1B38" w:rsidRDefault="006C78E8" w:rsidP="006C78E8">
      <w:pPr>
        <w:jc w:val="center"/>
        <w:rPr>
          <w:rFonts w:ascii="Times New Roman" w:hAnsi="Times New Roman"/>
          <w:bCs/>
        </w:rPr>
      </w:pPr>
    </w:p>
    <w:p w14:paraId="7D4A7082" w14:textId="77DE4DC2" w:rsidR="007675C6" w:rsidRPr="009E1B38" w:rsidRDefault="00BC600E" w:rsidP="006C78E8">
      <w:pPr>
        <w:jc w:val="center"/>
        <w:rPr>
          <w:rFonts w:ascii="Times New Roman" w:hAnsi="Times New Roman"/>
          <w:b/>
        </w:rPr>
      </w:pPr>
      <w:r w:rsidRPr="009E1B38">
        <w:rPr>
          <w:rFonts w:ascii="Times New Roman" w:hAnsi="Times New Roman"/>
          <w:b/>
        </w:rPr>
        <w:lastRenderedPageBreak/>
        <w:t>CONTENTS</w:t>
      </w:r>
    </w:p>
    <w:p w14:paraId="2466E41F" w14:textId="4DCE6E1B" w:rsidR="00135D72" w:rsidRPr="009E1B38" w:rsidRDefault="00364BDD">
      <w:pPr>
        <w:pStyle w:val="T1"/>
        <w:rPr>
          <w:rFonts w:ascii="Times New Roman" w:eastAsiaTheme="minorEastAsia" w:hAnsi="Times New Roman"/>
          <w:b w:val="0"/>
          <w:noProof/>
        </w:rPr>
      </w:pPr>
      <w:r w:rsidRPr="009E1B38">
        <w:rPr>
          <w:rFonts w:ascii="Times New Roman" w:hAnsi="Times New Roman"/>
        </w:rPr>
        <w:fldChar w:fldCharType="begin"/>
      </w:r>
      <w:r w:rsidR="00B74979" w:rsidRPr="009E1B38">
        <w:rPr>
          <w:rFonts w:ascii="Times New Roman" w:hAnsi="Times New Roman"/>
        </w:rPr>
        <w:instrText xml:space="preserve"> TOC \o "1-4" \h \z \u </w:instrText>
      </w:r>
      <w:r w:rsidRPr="009E1B38">
        <w:rPr>
          <w:rFonts w:ascii="Times New Roman" w:hAnsi="Times New Roman"/>
        </w:rPr>
        <w:fldChar w:fldCharType="separate"/>
      </w:r>
      <w:hyperlink w:anchor="_Toc113615302" w:history="1">
        <w:r w:rsidR="00135D72" w:rsidRPr="009E1B38">
          <w:rPr>
            <w:rStyle w:val="Kpr"/>
            <w:rFonts w:ascii="Times New Roman" w:hAnsi="Times New Roman"/>
            <w:bCs/>
            <w:smallCaps/>
            <w:noProof/>
          </w:rPr>
          <w:t>FIRST PART</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_Toc113615302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10</w:t>
        </w:r>
        <w:r w:rsidR="00135D72" w:rsidRPr="009E1B38">
          <w:rPr>
            <w:rFonts w:ascii="Times New Roman" w:hAnsi="Times New Roman"/>
            <w:noProof/>
            <w:webHidden/>
          </w:rPr>
          <w:fldChar w:fldCharType="end"/>
        </w:r>
      </w:hyperlink>
    </w:p>
    <w:p w14:paraId="1A4A495D" w14:textId="0567E7DD" w:rsidR="00135D72" w:rsidRPr="009E1B38" w:rsidRDefault="00E020C3">
      <w:pPr>
        <w:pStyle w:val="T1"/>
        <w:tabs>
          <w:tab w:val="left" w:pos="660"/>
        </w:tabs>
        <w:rPr>
          <w:rFonts w:ascii="Times New Roman" w:eastAsiaTheme="minorEastAsia" w:hAnsi="Times New Roman"/>
          <w:b w:val="0"/>
          <w:noProof/>
        </w:rPr>
      </w:pPr>
      <w:hyperlink w:anchor="_Toc113615303" w:history="1">
        <w:r w:rsidR="00135D72" w:rsidRPr="009E1B38">
          <w:rPr>
            <w:rStyle w:val="Kpr"/>
            <w:rFonts w:ascii="Times New Roman" w:hAnsi="Times New Roman"/>
            <w:noProof/>
          </w:rPr>
          <w:t>1.</w:t>
        </w:r>
        <w:r w:rsidR="00135D72" w:rsidRPr="009E1B38">
          <w:rPr>
            <w:rFonts w:ascii="Times New Roman" w:eastAsiaTheme="minorEastAsia" w:hAnsi="Times New Roman"/>
            <w:b w:val="0"/>
            <w:noProof/>
          </w:rPr>
          <w:tab/>
        </w:r>
        <w:r w:rsidR="00135D72" w:rsidRPr="009E1B38">
          <w:rPr>
            <w:rStyle w:val="Kpr"/>
            <w:rFonts w:ascii="Times New Roman" w:hAnsi="Times New Roman"/>
            <w:noProof/>
          </w:rPr>
          <w:t>ENERGY MARKET REGULATORY AUTHORITY</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_Toc113615303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10</w:t>
        </w:r>
        <w:r w:rsidR="00135D72" w:rsidRPr="009E1B38">
          <w:rPr>
            <w:rFonts w:ascii="Times New Roman" w:hAnsi="Times New Roman"/>
            <w:noProof/>
            <w:webHidden/>
          </w:rPr>
          <w:fldChar w:fldCharType="end"/>
        </w:r>
      </w:hyperlink>
    </w:p>
    <w:p w14:paraId="2EED2EEE" w14:textId="4723A2B9" w:rsidR="00135D72" w:rsidRPr="009E1B38" w:rsidRDefault="00E020C3">
      <w:pPr>
        <w:pStyle w:val="T2"/>
        <w:rPr>
          <w:rFonts w:ascii="Times New Roman" w:eastAsiaTheme="minorEastAsia" w:hAnsi="Times New Roman"/>
          <w:bCs w:val="0"/>
        </w:rPr>
      </w:pPr>
      <w:hyperlink w:anchor="_Toc113615304" w:history="1">
        <w:r w:rsidR="00135D72" w:rsidRPr="009E1B38">
          <w:rPr>
            <w:rStyle w:val="Kpr"/>
            <w:rFonts w:ascii="Times New Roman" w:hAnsi="Times New Roman"/>
          </w:rPr>
          <w:t>1.1. Duties, Authorities and Responsibilities of the Authority</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_Toc113615304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10</w:t>
        </w:r>
        <w:r w:rsidR="00135D72" w:rsidRPr="009E1B38">
          <w:rPr>
            <w:rFonts w:ascii="Times New Roman" w:hAnsi="Times New Roman"/>
            <w:webHidden/>
          </w:rPr>
          <w:fldChar w:fldCharType="end"/>
        </w:r>
      </w:hyperlink>
    </w:p>
    <w:p w14:paraId="5C2E3880" w14:textId="23ED55DF" w:rsidR="00135D72" w:rsidRPr="009E1B38" w:rsidRDefault="00E020C3">
      <w:pPr>
        <w:pStyle w:val="T2"/>
        <w:rPr>
          <w:rFonts w:ascii="Times New Roman" w:eastAsiaTheme="minorEastAsia" w:hAnsi="Times New Roman"/>
          <w:bCs w:val="0"/>
        </w:rPr>
      </w:pPr>
      <w:hyperlink w:anchor="_Toc113615305" w:history="1">
        <w:r w:rsidR="00135D72" w:rsidRPr="009E1B38">
          <w:rPr>
            <w:rStyle w:val="Kpr"/>
            <w:rFonts w:ascii="Times New Roman" w:hAnsi="Times New Roman"/>
          </w:rPr>
          <w:t>1.2. Structure of the Authority</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_Toc113615305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11</w:t>
        </w:r>
        <w:r w:rsidR="00135D72" w:rsidRPr="009E1B38">
          <w:rPr>
            <w:rFonts w:ascii="Times New Roman" w:hAnsi="Times New Roman"/>
            <w:webHidden/>
          </w:rPr>
          <w:fldChar w:fldCharType="end"/>
        </w:r>
      </w:hyperlink>
    </w:p>
    <w:p w14:paraId="743A70BF" w14:textId="5EE16813" w:rsidR="00135D72" w:rsidRPr="009E1B38" w:rsidRDefault="00E020C3">
      <w:pPr>
        <w:pStyle w:val="T3"/>
        <w:rPr>
          <w:rFonts w:ascii="Times New Roman" w:eastAsiaTheme="minorEastAsia" w:hAnsi="Times New Roman"/>
          <w:noProof/>
        </w:rPr>
      </w:pPr>
      <w:hyperlink w:anchor="_Toc113615306" w:history="1">
        <w:r w:rsidR="00135D72" w:rsidRPr="009E1B38">
          <w:rPr>
            <w:rStyle w:val="Kpr"/>
            <w:rFonts w:ascii="Times New Roman" w:hAnsi="Times New Roman"/>
            <w:noProof/>
          </w:rPr>
          <w:t>1.2.1. Energy Market Regulatory Board</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_Toc113615306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11</w:t>
        </w:r>
        <w:r w:rsidR="00135D72" w:rsidRPr="009E1B38">
          <w:rPr>
            <w:rFonts w:ascii="Times New Roman" w:hAnsi="Times New Roman"/>
            <w:noProof/>
            <w:webHidden/>
          </w:rPr>
          <w:fldChar w:fldCharType="end"/>
        </w:r>
      </w:hyperlink>
    </w:p>
    <w:p w14:paraId="01043EF6" w14:textId="040CC1F6" w:rsidR="00135D72" w:rsidRPr="009E1B38" w:rsidRDefault="00E020C3">
      <w:pPr>
        <w:pStyle w:val="T3"/>
        <w:rPr>
          <w:rFonts w:ascii="Times New Roman" w:eastAsiaTheme="minorEastAsia" w:hAnsi="Times New Roman"/>
          <w:noProof/>
        </w:rPr>
      </w:pPr>
      <w:hyperlink w:anchor="_Toc113615307" w:history="1">
        <w:r w:rsidR="00135D72" w:rsidRPr="009E1B38">
          <w:rPr>
            <w:rStyle w:val="Kpr"/>
            <w:rFonts w:ascii="Times New Roman" w:hAnsi="Times New Roman"/>
            <w:noProof/>
          </w:rPr>
          <w:t>1.2.2 The Presidency</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_Toc113615307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15</w:t>
        </w:r>
        <w:r w:rsidR="00135D72" w:rsidRPr="009E1B38">
          <w:rPr>
            <w:rFonts w:ascii="Times New Roman" w:hAnsi="Times New Roman"/>
            <w:noProof/>
            <w:webHidden/>
          </w:rPr>
          <w:fldChar w:fldCharType="end"/>
        </w:r>
      </w:hyperlink>
    </w:p>
    <w:p w14:paraId="1AF00251" w14:textId="7AD43CBE" w:rsidR="00135D72" w:rsidRPr="009E1B38" w:rsidRDefault="00E020C3">
      <w:pPr>
        <w:pStyle w:val="T3"/>
        <w:rPr>
          <w:rFonts w:ascii="Times New Roman" w:eastAsiaTheme="minorEastAsia" w:hAnsi="Times New Roman"/>
          <w:noProof/>
        </w:rPr>
      </w:pPr>
      <w:hyperlink w:anchor="_Toc113615308" w:history="1">
        <w:r w:rsidR="00135D72" w:rsidRPr="009E1B38">
          <w:rPr>
            <w:rStyle w:val="Kpr"/>
            <w:rFonts w:ascii="Times New Roman" w:hAnsi="Times New Roman"/>
            <w:noProof/>
          </w:rPr>
          <w:t>1.2.3. Service Units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_Toc113615308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15</w:t>
        </w:r>
        <w:r w:rsidR="00135D72" w:rsidRPr="009E1B38">
          <w:rPr>
            <w:rFonts w:ascii="Times New Roman" w:hAnsi="Times New Roman"/>
            <w:noProof/>
            <w:webHidden/>
          </w:rPr>
          <w:fldChar w:fldCharType="end"/>
        </w:r>
      </w:hyperlink>
    </w:p>
    <w:p w14:paraId="04959195" w14:textId="48A60795" w:rsidR="00135D72" w:rsidRPr="009E1B38" w:rsidRDefault="00E020C3">
      <w:pPr>
        <w:pStyle w:val="T2"/>
        <w:rPr>
          <w:rFonts w:ascii="Times New Roman" w:eastAsiaTheme="minorEastAsia" w:hAnsi="Times New Roman"/>
          <w:bCs w:val="0"/>
        </w:rPr>
      </w:pPr>
      <w:hyperlink w:anchor="_Toc113615309" w:history="1">
        <w:r w:rsidR="00135D72" w:rsidRPr="009E1B38">
          <w:rPr>
            <w:rStyle w:val="Kpr"/>
            <w:rFonts w:ascii="Times New Roman" w:hAnsi="Times New Roman"/>
          </w:rPr>
          <w:t>1.3. Supervision of the Activities of the Authority</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_Toc113615309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17</w:t>
        </w:r>
        <w:r w:rsidR="00135D72" w:rsidRPr="009E1B38">
          <w:rPr>
            <w:rFonts w:ascii="Times New Roman" w:hAnsi="Times New Roman"/>
            <w:webHidden/>
          </w:rPr>
          <w:fldChar w:fldCharType="end"/>
        </w:r>
      </w:hyperlink>
    </w:p>
    <w:p w14:paraId="78FEA9ED" w14:textId="16BED51C" w:rsidR="00135D72" w:rsidRPr="009E1B38" w:rsidRDefault="00E020C3">
      <w:pPr>
        <w:pStyle w:val="T1"/>
        <w:tabs>
          <w:tab w:val="left" w:pos="660"/>
        </w:tabs>
        <w:rPr>
          <w:rFonts w:ascii="Times New Roman" w:eastAsiaTheme="minorEastAsia" w:hAnsi="Times New Roman"/>
          <w:b w:val="0"/>
          <w:noProof/>
        </w:rPr>
      </w:pPr>
      <w:hyperlink w:anchor="_Toc113615310" w:history="1">
        <w:r w:rsidR="00135D72" w:rsidRPr="009E1B38">
          <w:rPr>
            <w:rStyle w:val="Kpr"/>
            <w:rFonts w:ascii="Times New Roman" w:hAnsi="Times New Roman"/>
            <w:noProof/>
          </w:rPr>
          <w:t>2.</w:t>
        </w:r>
        <w:r w:rsidR="00135D72" w:rsidRPr="009E1B38">
          <w:rPr>
            <w:rFonts w:ascii="Times New Roman" w:eastAsiaTheme="minorEastAsia" w:hAnsi="Times New Roman"/>
            <w:b w:val="0"/>
            <w:noProof/>
          </w:rPr>
          <w:tab/>
        </w:r>
        <w:r w:rsidR="00135D72" w:rsidRPr="009E1B38">
          <w:rPr>
            <w:rStyle w:val="Kpr"/>
            <w:rFonts w:ascii="Times New Roman" w:hAnsi="Times New Roman"/>
            <w:noProof/>
          </w:rPr>
          <w:t>LEGISLATIVE ACTIVITIES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_Toc113615310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17</w:t>
        </w:r>
        <w:r w:rsidR="00135D72" w:rsidRPr="009E1B38">
          <w:rPr>
            <w:rFonts w:ascii="Times New Roman" w:hAnsi="Times New Roman"/>
            <w:noProof/>
            <w:webHidden/>
          </w:rPr>
          <w:fldChar w:fldCharType="end"/>
        </w:r>
      </w:hyperlink>
    </w:p>
    <w:p w14:paraId="5CC9D268" w14:textId="75389160" w:rsidR="00135D72" w:rsidRPr="009E1B38" w:rsidRDefault="00E020C3">
      <w:pPr>
        <w:pStyle w:val="T2"/>
        <w:rPr>
          <w:rFonts w:ascii="Times New Roman" w:eastAsiaTheme="minorEastAsia" w:hAnsi="Times New Roman"/>
          <w:bCs w:val="0"/>
        </w:rPr>
      </w:pPr>
      <w:hyperlink w:anchor="_Toc113615311" w:history="1">
        <w:r w:rsidR="00135D72" w:rsidRPr="009E1B38">
          <w:rPr>
            <w:rStyle w:val="Kpr"/>
            <w:rFonts w:ascii="Times New Roman" w:hAnsi="Times New Roman"/>
          </w:rPr>
          <w:t>2.1</w:t>
        </w:r>
        <w:r w:rsidR="00135D72" w:rsidRPr="009E1B38">
          <w:rPr>
            <w:rFonts w:ascii="Times New Roman" w:eastAsiaTheme="minorEastAsia" w:hAnsi="Times New Roman"/>
            <w:bCs w:val="0"/>
          </w:rPr>
          <w:tab/>
        </w:r>
        <w:r w:rsidR="00135D72" w:rsidRPr="009E1B38">
          <w:rPr>
            <w:rStyle w:val="Kpr"/>
            <w:rFonts w:ascii="Times New Roman" w:hAnsi="Times New Roman"/>
          </w:rPr>
          <w:t>Electricity Market Legislation</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_Toc113615311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17</w:t>
        </w:r>
        <w:r w:rsidR="00135D72" w:rsidRPr="009E1B38">
          <w:rPr>
            <w:rFonts w:ascii="Times New Roman" w:hAnsi="Times New Roman"/>
            <w:webHidden/>
          </w:rPr>
          <w:fldChar w:fldCharType="end"/>
        </w:r>
      </w:hyperlink>
    </w:p>
    <w:p w14:paraId="4599D831" w14:textId="3ED0B58E" w:rsidR="00135D72" w:rsidRPr="009E1B38" w:rsidRDefault="00E020C3">
      <w:pPr>
        <w:pStyle w:val="T3"/>
        <w:rPr>
          <w:rFonts w:ascii="Times New Roman" w:eastAsiaTheme="minorEastAsia" w:hAnsi="Times New Roman"/>
          <w:noProof/>
        </w:rPr>
      </w:pPr>
      <w:hyperlink w:anchor="_Toc113615312" w:history="1">
        <w:r w:rsidR="00135D72" w:rsidRPr="009E1B38">
          <w:rPr>
            <w:rStyle w:val="Kpr"/>
            <w:rFonts w:ascii="Times New Roman" w:hAnsi="Times New Roman"/>
            <w:noProof/>
          </w:rPr>
          <w:t>2.1.1</w:t>
        </w:r>
        <w:r w:rsidR="00135D72" w:rsidRPr="009E1B38">
          <w:rPr>
            <w:rFonts w:ascii="Times New Roman" w:eastAsiaTheme="minorEastAsia" w:hAnsi="Times New Roman"/>
            <w:noProof/>
          </w:rPr>
          <w:tab/>
        </w:r>
        <w:r w:rsidR="00135D72" w:rsidRPr="009E1B38">
          <w:rPr>
            <w:rStyle w:val="Kpr"/>
            <w:rFonts w:ascii="Times New Roman" w:hAnsi="Times New Roman"/>
            <w:noProof/>
          </w:rPr>
          <w:t>Law</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_Toc113615312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17</w:t>
        </w:r>
        <w:r w:rsidR="00135D72" w:rsidRPr="009E1B38">
          <w:rPr>
            <w:rFonts w:ascii="Times New Roman" w:hAnsi="Times New Roman"/>
            <w:noProof/>
            <w:webHidden/>
          </w:rPr>
          <w:fldChar w:fldCharType="end"/>
        </w:r>
      </w:hyperlink>
    </w:p>
    <w:p w14:paraId="3A07A5AB" w14:textId="3E93265B" w:rsidR="00135D72" w:rsidRPr="009E1B38" w:rsidRDefault="00E020C3">
      <w:pPr>
        <w:pStyle w:val="T3"/>
        <w:rPr>
          <w:rFonts w:ascii="Times New Roman" w:eastAsiaTheme="minorEastAsia" w:hAnsi="Times New Roman"/>
          <w:noProof/>
        </w:rPr>
      </w:pPr>
      <w:hyperlink w:anchor="_Toc113615313" w:history="1">
        <w:r w:rsidR="00135D72" w:rsidRPr="009E1B38">
          <w:rPr>
            <w:rStyle w:val="Kpr"/>
            <w:rFonts w:ascii="Times New Roman" w:hAnsi="Times New Roman"/>
            <w:noProof/>
          </w:rPr>
          <w:t>2.1.2</w:t>
        </w:r>
        <w:r w:rsidR="00135D72" w:rsidRPr="009E1B38">
          <w:rPr>
            <w:rFonts w:ascii="Times New Roman" w:eastAsiaTheme="minorEastAsia" w:hAnsi="Times New Roman"/>
            <w:noProof/>
          </w:rPr>
          <w:tab/>
        </w:r>
        <w:r w:rsidR="00135D72" w:rsidRPr="009E1B38">
          <w:rPr>
            <w:rStyle w:val="Kpr"/>
            <w:rFonts w:ascii="Times New Roman" w:hAnsi="Times New Roman"/>
            <w:noProof/>
          </w:rPr>
          <w:t>Regulations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_Toc113615313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20</w:t>
        </w:r>
        <w:r w:rsidR="00135D72" w:rsidRPr="009E1B38">
          <w:rPr>
            <w:rFonts w:ascii="Times New Roman" w:hAnsi="Times New Roman"/>
            <w:noProof/>
            <w:webHidden/>
          </w:rPr>
          <w:fldChar w:fldCharType="end"/>
        </w:r>
      </w:hyperlink>
    </w:p>
    <w:p w14:paraId="526B711A" w14:textId="6B5A96DF" w:rsidR="00135D72" w:rsidRPr="009E1B38" w:rsidRDefault="00E020C3">
      <w:pPr>
        <w:pStyle w:val="T2"/>
        <w:rPr>
          <w:rFonts w:ascii="Times New Roman" w:eastAsiaTheme="minorEastAsia" w:hAnsi="Times New Roman"/>
          <w:bCs w:val="0"/>
        </w:rPr>
      </w:pPr>
      <w:hyperlink w:anchor="_Toc113615314" w:history="1">
        <w:r w:rsidR="00135D72" w:rsidRPr="009E1B38">
          <w:rPr>
            <w:rStyle w:val="Kpr"/>
            <w:rFonts w:ascii="Times New Roman" w:hAnsi="Times New Roman"/>
          </w:rPr>
          <w:t xml:space="preserve">2.2  </w:t>
        </w:r>
        <w:r w:rsidR="000B4EE1" w:rsidRPr="009E1B38">
          <w:rPr>
            <w:rStyle w:val="Kpr"/>
            <w:rFonts w:ascii="Times New Roman" w:hAnsi="Times New Roman"/>
          </w:rPr>
          <w:tab/>
        </w:r>
        <w:r w:rsidR="00135D72" w:rsidRPr="009E1B38">
          <w:rPr>
            <w:rStyle w:val="Kpr"/>
            <w:rFonts w:ascii="Times New Roman" w:hAnsi="Times New Roman"/>
          </w:rPr>
          <w:t>Natural Gas Market Legislation</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_Toc113615314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137</w:t>
        </w:r>
        <w:r w:rsidR="00135D72" w:rsidRPr="009E1B38">
          <w:rPr>
            <w:rFonts w:ascii="Times New Roman" w:hAnsi="Times New Roman"/>
            <w:webHidden/>
          </w:rPr>
          <w:fldChar w:fldCharType="end"/>
        </w:r>
      </w:hyperlink>
    </w:p>
    <w:p w14:paraId="7EDEE66E" w14:textId="16619E19" w:rsidR="00135D72" w:rsidRPr="009E1B38" w:rsidRDefault="00E020C3">
      <w:pPr>
        <w:pStyle w:val="T3"/>
        <w:rPr>
          <w:rFonts w:ascii="Times New Roman" w:eastAsiaTheme="minorEastAsia" w:hAnsi="Times New Roman"/>
          <w:noProof/>
        </w:rPr>
      </w:pPr>
      <w:hyperlink w:anchor="_Toc113615315" w:history="1">
        <w:r w:rsidR="00135D72" w:rsidRPr="009E1B38">
          <w:rPr>
            <w:rStyle w:val="Kpr"/>
            <w:rFonts w:ascii="Times New Roman" w:hAnsi="Times New Roman"/>
            <w:noProof/>
          </w:rPr>
          <w:t>2.2.1</w:t>
        </w:r>
        <w:r w:rsidR="00135D72" w:rsidRPr="009E1B38">
          <w:rPr>
            <w:rStyle w:val="Kpr"/>
            <w:rFonts w:ascii="Times New Roman" w:eastAsia="Times New Roman" w:hAnsi="Times New Roman"/>
            <w:noProof/>
          </w:rPr>
          <w:t xml:space="preserve">     </w:t>
        </w:r>
        <w:r w:rsidR="0043067F" w:rsidRPr="009E1B38">
          <w:rPr>
            <w:rStyle w:val="Kpr"/>
            <w:rFonts w:ascii="Times New Roman" w:eastAsia="Times New Roman" w:hAnsi="Times New Roman"/>
            <w:noProof/>
          </w:rPr>
          <w:t xml:space="preserve">  </w:t>
        </w:r>
        <w:r w:rsidR="000B4EE1" w:rsidRPr="009E1B38">
          <w:rPr>
            <w:rStyle w:val="Kpr"/>
            <w:rFonts w:ascii="Times New Roman" w:eastAsia="Times New Roman" w:hAnsi="Times New Roman"/>
            <w:noProof/>
          </w:rPr>
          <w:tab/>
        </w:r>
        <w:r w:rsidR="00135D72" w:rsidRPr="009E1B38">
          <w:rPr>
            <w:rStyle w:val="Kpr"/>
            <w:rFonts w:ascii="Times New Roman" w:hAnsi="Times New Roman"/>
            <w:noProof/>
          </w:rPr>
          <w:t>Law</w:t>
        </w:r>
        <w:r w:rsidR="0043067F" w:rsidRPr="009E1B38">
          <w:rPr>
            <w:rStyle w:val="Kpr"/>
            <w:rFonts w:ascii="Times New Roman" w:hAnsi="Times New Roman"/>
            <w:noProof/>
          </w:rPr>
          <w:t>…………...............</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_Toc113615315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137</w:t>
        </w:r>
        <w:r w:rsidR="00135D72" w:rsidRPr="009E1B38">
          <w:rPr>
            <w:rFonts w:ascii="Times New Roman" w:hAnsi="Times New Roman"/>
            <w:noProof/>
            <w:webHidden/>
          </w:rPr>
          <w:fldChar w:fldCharType="end"/>
        </w:r>
      </w:hyperlink>
    </w:p>
    <w:p w14:paraId="483B110E" w14:textId="55CB118F" w:rsidR="00135D72" w:rsidRPr="009E1B38" w:rsidRDefault="00E020C3">
      <w:pPr>
        <w:pStyle w:val="T3"/>
        <w:rPr>
          <w:rFonts w:ascii="Times New Roman" w:eastAsiaTheme="minorEastAsia" w:hAnsi="Times New Roman"/>
          <w:noProof/>
        </w:rPr>
      </w:pPr>
      <w:hyperlink w:anchor="_Toc113615316" w:history="1">
        <w:r w:rsidR="00135D72" w:rsidRPr="009E1B38">
          <w:rPr>
            <w:rStyle w:val="Kpr"/>
            <w:rFonts w:ascii="Times New Roman" w:hAnsi="Times New Roman"/>
            <w:noProof/>
          </w:rPr>
          <w:t>2.2.2</w:t>
        </w:r>
        <w:r w:rsidR="00135D72" w:rsidRPr="009E1B38">
          <w:rPr>
            <w:rStyle w:val="Kpr"/>
            <w:rFonts w:ascii="Times New Roman" w:eastAsia="Times New Roman" w:hAnsi="Times New Roman"/>
            <w:noProof/>
          </w:rPr>
          <w:t xml:space="preserve">       </w:t>
        </w:r>
        <w:r w:rsidR="000B4EE1" w:rsidRPr="009E1B38">
          <w:rPr>
            <w:rStyle w:val="Kpr"/>
            <w:rFonts w:ascii="Times New Roman" w:eastAsia="Times New Roman" w:hAnsi="Times New Roman"/>
            <w:noProof/>
          </w:rPr>
          <w:tab/>
        </w:r>
        <w:r w:rsidR="00135D72" w:rsidRPr="009E1B38">
          <w:rPr>
            <w:rStyle w:val="Kpr"/>
            <w:rFonts w:ascii="Times New Roman" w:hAnsi="Times New Roman"/>
            <w:noProof/>
          </w:rPr>
          <w:t>Regulations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_Toc113615316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139</w:t>
        </w:r>
        <w:r w:rsidR="00135D72" w:rsidRPr="009E1B38">
          <w:rPr>
            <w:rFonts w:ascii="Times New Roman" w:hAnsi="Times New Roman"/>
            <w:noProof/>
            <w:webHidden/>
          </w:rPr>
          <w:fldChar w:fldCharType="end"/>
        </w:r>
      </w:hyperlink>
    </w:p>
    <w:p w14:paraId="1D0A331C" w14:textId="1B9152A0" w:rsidR="00135D72" w:rsidRPr="009E1B38" w:rsidRDefault="00E020C3">
      <w:pPr>
        <w:pStyle w:val="T3"/>
        <w:rPr>
          <w:rFonts w:ascii="Times New Roman" w:eastAsiaTheme="minorEastAsia" w:hAnsi="Times New Roman"/>
          <w:noProof/>
        </w:rPr>
      </w:pPr>
      <w:hyperlink w:anchor="_Toc113615317" w:history="1">
        <w:r w:rsidR="00135D72" w:rsidRPr="009E1B38">
          <w:rPr>
            <w:rStyle w:val="Kpr"/>
            <w:rFonts w:ascii="Times New Roman" w:hAnsi="Times New Roman"/>
            <w:noProof/>
          </w:rPr>
          <w:t>2.2.3</w:t>
        </w:r>
        <w:r w:rsidR="00135D72" w:rsidRPr="009E1B38">
          <w:rPr>
            <w:rStyle w:val="Kpr"/>
            <w:rFonts w:ascii="Times New Roman" w:eastAsia="Times New Roman" w:hAnsi="Times New Roman"/>
            <w:noProof/>
          </w:rPr>
          <w:t xml:space="preserve">       </w:t>
        </w:r>
        <w:r w:rsidR="000B4EE1" w:rsidRPr="009E1B38">
          <w:rPr>
            <w:rStyle w:val="Kpr"/>
            <w:rFonts w:ascii="Times New Roman" w:eastAsia="Times New Roman" w:hAnsi="Times New Roman"/>
            <w:noProof/>
          </w:rPr>
          <w:tab/>
        </w:r>
        <w:r w:rsidR="00135D72" w:rsidRPr="009E1B38">
          <w:rPr>
            <w:rStyle w:val="Kpr"/>
            <w:rFonts w:ascii="Times New Roman" w:hAnsi="Times New Roman"/>
            <w:noProof/>
          </w:rPr>
          <w:t>Communiques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_Toc113615317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151</w:t>
        </w:r>
        <w:r w:rsidR="00135D72" w:rsidRPr="009E1B38">
          <w:rPr>
            <w:rFonts w:ascii="Times New Roman" w:hAnsi="Times New Roman"/>
            <w:noProof/>
            <w:webHidden/>
          </w:rPr>
          <w:fldChar w:fldCharType="end"/>
        </w:r>
      </w:hyperlink>
    </w:p>
    <w:p w14:paraId="2B5777AA" w14:textId="3C304058" w:rsidR="00135D72" w:rsidRPr="009E1B38" w:rsidRDefault="00E020C3">
      <w:pPr>
        <w:pStyle w:val="T3"/>
        <w:rPr>
          <w:rFonts w:ascii="Times New Roman" w:eastAsiaTheme="minorEastAsia" w:hAnsi="Times New Roman"/>
          <w:noProof/>
        </w:rPr>
      </w:pPr>
      <w:hyperlink w:anchor="_Toc113615318" w:history="1">
        <w:r w:rsidR="00135D72" w:rsidRPr="009E1B38">
          <w:rPr>
            <w:rStyle w:val="Kpr"/>
            <w:rFonts w:ascii="Times New Roman" w:hAnsi="Times New Roman"/>
            <w:noProof/>
          </w:rPr>
          <w:t>2.2.4</w:t>
        </w:r>
        <w:r w:rsidR="00135D72" w:rsidRPr="009E1B38">
          <w:rPr>
            <w:rStyle w:val="Kpr"/>
            <w:rFonts w:ascii="Times New Roman" w:eastAsia="Times New Roman" w:hAnsi="Times New Roman"/>
            <w:noProof/>
          </w:rPr>
          <w:t xml:space="preserve">       </w:t>
        </w:r>
        <w:r w:rsidR="000B4EE1" w:rsidRPr="009E1B38">
          <w:rPr>
            <w:rStyle w:val="Kpr"/>
            <w:rFonts w:ascii="Times New Roman" w:eastAsia="Times New Roman" w:hAnsi="Times New Roman"/>
            <w:noProof/>
          </w:rPr>
          <w:tab/>
        </w:r>
        <w:r w:rsidR="00135D72" w:rsidRPr="009E1B38">
          <w:rPr>
            <w:rStyle w:val="Kpr"/>
            <w:rFonts w:ascii="Times New Roman" w:hAnsi="Times New Roman"/>
            <w:noProof/>
          </w:rPr>
          <w:t>Board Decisions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_Toc113615318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151</w:t>
        </w:r>
        <w:r w:rsidR="00135D72" w:rsidRPr="009E1B38">
          <w:rPr>
            <w:rFonts w:ascii="Times New Roman" w:hAnsi="Times New Roman"/>
            <w:noProof/>
            <w:webHidden/>
          </w:rPr>
          <w:fldChar w:fldCharType="end"/>
        </w:r>
      </w:hyperlink>
    </w:p>
    <w:p w14:paraId="55967AF7" w14:textId="6ECDAD76" w:rsidR="00135D72" w:rsidRPr="009E1B38" w:rsidRDefault="00E020C3">
      <w:pPr>
        <w:pStyle w:val="T2"/>
        <w:rPr>
          <w:rFonts w:ascii="Times New Roman" w:eastAsiaTheme="minorEastAsia" w:hAnsi="Times New Roman"/>
          <w:bCs w:val="0"/>
        </w:rPr>
      </w:pPr>
      <w:hyperlink w:anchor="_Toc113615319" w:history="1">
        <w:r w:rsidR="00135D72" w:rsidRPr="009E1B38">
          <w:rPr>
            <w:rStyle w:val="Kpr"/>
            <w:rFonts w:ascii="Times New Roman" w:hAnsi="Times New Roman"/>
          </w:rPr>
          <w:t xml:space="preserve">2.3. </w:t>
        </w:r>
        <w:r w:rsidR="000B4EE1" w:rsidRPr="009E1B38">
          <w:rPr>
            <w:rStyle w:val="Kpr"/>
            <w:rFonts w:ascii="Times New Roman" w:hAnsi="Times New Roman"/>
          </w:rPr>
          <w:tab/>
        </w:r>
        <w:r w:rsidR="00135D72" w:rsidRPr="009E1B38">
          <w:rPr>
            <w:rStyle w:val="Kpr"/>
            <w:rFonts w:ascii="Times New Roman" w:hAnsi="Times New Roman"/>
          </w:rPr>
          <w:t>Petroleum Market Legislation</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_Toc113615319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161</w:t>
        </w:r>
        <w:r w:rsidR="00135D72" w:rsidRPr="009E1B38">
          <w:rPr>
            <w:rFonts w:ascii="Times New Roman" w:hAnsi="Times New Roman"/>
            <w:webHidden/>
          </w:rPr>
          <w:fldChar w:fldCharType="end"/>
        </w:r>
      </w:hyperlink>
    </w:p>
    <w:p w14:paraId="08F83724" w14:textId="00B517E3" w:rsidR="00135D72" w:rsidRPr="009E1B38" w:rsidRDefault="00E020C3">
      <w:pPr>
        <w:pStyle w:val="T3"/>
        <w:rPr>
          <w:rFonts w:ascii="Times New Roman" w:eastAsiaTheme="minorEastAsia" w:hAnsi="Times New Roman"/>
          <w:noProof/>
        </w:rPr>
      </w:pPr>
      <w:hyperlink w:anchor="_Toc113615320" w:history="1">
        <w:r w:rsidR="00135D72" w:rsidRPr="009E1B38">
          <w:rPr>
            <w:rStyle w:val="Kpr"/>
            <w:rFonts w:ascii="Times New Roman" w:hAnsi="Times New Roman"/>
            <w:noProof/>
          </w:rPr>
          <w:t>2.3.1</w:t>
        </w:r>
        <w:r w:rsidR="00135D72" w:rsidRPr="009E1B38">
          <w:rPr>
            <w:rFonts w:ascii="Times New Roman" w:eastAsiaTheme="minorEastAsia" w:hAnsi="Times New Roman"/>
            <w:noProof/>
          </w:rPr>
          <w:tab/>
        </w:r>
        <w:r w:rsidR="00135D72" w:rsidRPr="009E1B38">
          <w:rPr>
            <w:rStyle w:val="Kpr"/>
            <w:rFonts w:ascii="Times New Roman" w:hAnsi="Times New Roman"/>
            <w:noProof/>
          </w:rPr>
          <w:t>Law</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_Toc113615320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161</w:t>
        </w:r>
        <w:r w:rsidR="00135D72" w:rsidRPr="009E1B38">
          <w:rPr>
            <w:rFonts w:ascii="Times New Roman" w:hAnsi="Times New Roman"/>
            <w:noProof/>
            <w:webHidden/>
          </w:rPr>
          <w:fldChar w:fldCharType="end"/>
        </w:r>
      </w:hyperlink>
    </w:p>
    <w:p w14:paraId="356818A6" w14:textId="062E4E84" w:rsidR="00135D72" w:rsidRPr="009E1B38" w:rsidRDefault="00E020C3">
      <w:pPr>
        <w:pStyle w:val="T3"/>
        <w:rPr>
          <w:rFonts w:ascii="Times New Roman" w:eastAsiaTheme="minorEastAsia" w:hAnsi="Times New Roman"/>
          <w:noProof/>
        </w:rPr>
      </w:pPr>
      <w:hyperlink w:anchor="_Toc113615321" w:history="1">
        <w:r w:rsidR="00135D72" w:rsidRPr="009E1B38">
          <w:rPr>
            <w:rStyle w:val="Kpr"/>
            <w:rFonts w:ascii="Times New Roman" w:hAnsi="Times New Roman"/>
            <w:noProof/>
          </w:rPr>
          <w:t>2.3.2</w:t>
        </w:r>
        <w:r w:rsidR="00135D72" w:rsidRPr="009E1B38">
          <w:rPr>
            <w:rFonts w:ascii="Times New Roman" w:eastAsiaTheme="minorEastAsia" w:hAnsi="Times New Roman"/>
            <w:noProof/>
          </w:rPr>
          <w:tab/>
        </w:r>
        <w:r w:rsidR="00135D72" w:rsidRPr="009E1B38">
          <w:rPr>
            <w:rStyle w:val="Kpr"/>
            <w:rFonts w:ascii="Times New Roman" w:hAnsi="Times New Roman"/>
            <w:noProof/>
          </w:rPr>
          <w:t>Regulations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_Toc113615321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162</w:t>
        </w:r>
        <w:r w:rsidR="00135D72" w:rsidRPr="009E1B38">
          <w:rPr>
            <w:rFonts w:ascii="Times New Roman" w:hAnsi="Times New Roman"/>
            <w:noProof/>
            <w:webHidden/>
          </w:rPr>
          <w:fldChar w:fldCharType="end"/>
        </w:r>
      </w:hyperlink>
    </w:p>
    <w:p w14:paraId="75867776" w14:textId="5BB5D189" w:rsidR="00135D72" w:rsidRPr="009E1B38" w:rsidRDefault="00E020C3">
      <w:pPr>
        <w:pStyle w:val="T3"/>
        <w:rPr>
          <w:rFonts w:ascii="Times New Roman" w:eastAsiaTheme="minorEastAsia" w:hAnsi="Times New Roman"/>
          <w:noProof/>
        </w:rPr>
      </w:pPr>
      <w:hyperlink w:anchor="_Toc113615322" w:history="1">
        <w:r w:rsidR="00135D72" w:rsidRPr="009E1B38">
          <w:rPr>
            <w:rStyle w:val="Kpr"/>
            <w:rFonts w:ascii="Times New Roman" w:hAnsi="Times New Roman"/>
            <w:noProof/>
          </w:rPr>
          <w:t>2.3.3</w:t>
        </w:r>
        <w:r w:rsidR="00135D72" w:rsidRPr="009E1B38">
          <w:rPr>
            <w:rFonts w:ascii="Times New Roman" w:eastAsiaTheme="minorEastAsia" w:hAnsi="Times New Roman"/>
            <w:noProof/>
          </w:rPr>
          <w:tab/>
        </w:r>
        <w:r w:rsidR="00135D72" w:rsidRPr="009E1B38">
          <w:rPr>
            <w:rStyle w:val="Kpr"/>
            <w:rFonts w:ascii="Times New Roman" w:hAnsi="Times New Roman"/>
            <w:noProof/>
          </w:rPr>
          <w:t>Rescripts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_Toc113615322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166</w:t>
        </w:r>
        <w:r w:rsidR="00135D72" w:rsidRPr="009E1B38">
          <w:rPr>
            <w:rFonts w:ascii="Times New Roman" w:hAnsi="Times New Roman"/>
            <w:noProof/>
            <w:webHidden/>
          </w:rPr>
          <w:fldChar w:fldCharType="end"/>
        </w:r>
      </w:hyperlink>
    </w:p>
    <w:p w14:paraId="42A1DDEE" w14:textId="0F04CB64" w:rsidR="00135D72" w:rsidRPr="009E1B38" w:rsidRDefault="00E020C3">
      <w:pPr>
        <w:pStyle w:val="T3"/>
        <w:rPr>
          <w:rFonts w:ascii="Times New Roman" w:eastAsiaTheme="minorEastAsia" w:hAnsi="Times New Roman"/>
          <w:noProof/>
        </w:rPr>
      </w:pPr>
      <w:hyperlink w:anchor="_Toc113615323" w:history="1">
        <w:r w:rsidR="00135D72" w:rsidRPr="009E1B38">
          <w:rPr>
            <w:rStyle w:val="Kpr"/>
            <w:rFonts w:ascii="Times New Roman" w:hAnsi="Times New Roman"/>
            <w:noProof/>
          </w:rPr>
          <w:t>2.3.4</w:t>
        </w:r>
        <w:r w:rsidR="00135D72" w:rsidRPr="009E1B38">
          <w:rPr>
            <w:rFonts w:ascii="Times New Roman" w:eastAsiaTheme="minorEastAsia" w:hAnsi="Times New Roman"/>
            <w:noProof/>
          </w:rPr>
          <w:tab/>
        </w:r>
        <w:r w:rsidR="00135D72" w:rsidRPr="009E1B38">
          <w:rPr>
            <w:rStyle w:val="Kpr"/>
            <w:rFonts w:ascii="Times New Roman" w:hAnsi="Times New Roman"/>
            <w:noProof/>
          </w:rPr>
          <w:t>Board Decisions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_Toc113615323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168</w:t>
        </w:r>
        <w:r w:rsidR="00135D72" w:rsidRPr="009E1B38">
          <w:rPr>
            <w:rFonts w:ascii="Times New Roman" w:hAnsi="Times New Roman"/>
            <w:noProof/>
            <w:webHidden/>
          </w:rPr>
          <w:fldChar w:fldCharType="end"/>
        </w:r>
      </w:hyperlink>
    </w:p>
    <w:p w14:paraId="56CBDB3C" w14:textId="0EC12900" w:rsidR="00135D72" w:rsidRPr="009E1B38" w:rsidRDefault="00E020C3">
      <w:pPr>
        <w:pStyle w:val="T2"/>
        <w:rPr>
          <w:rFonts w:ascii="Times New Roman" w:eastAsiaTheme="minorEastAsia" w:hAnsi="Times New Roman"/>
          <w:bCs w:val="0"/>
        </w:rPr>
      </w:pPr>
      <w:hyperlink w:anchor="_Toc113615324" w:history="1">
        <w:r w:rsidR="00135D72" w:rsidRPr="009E1B38">
          <w:rPr>
            <w:rStyle w:val="Kpr"/>
            <w:rFonts w:ascii="Times New Roman" w:hAnsi="Times New Roman"/>
          </w:rPr>
          <w:t>2.4</w:t>
        </w:r>
        <w:r w:rsidR="00135D72" w:rsidRPr="009E1B38">
          <w:rPr>
            <w:rFonts w:ascii="Times New Roman" w:eastAsiaTheme="minorEastAsia" w:hAnsi="Times New Roman"/>
            <w:bCs w:val="0"/>
          </w:rPr>
          <w:tab/>
        </w:r>
        <w:r w:rsidR="00135D72" w:rsidRPr="009E1B38">
          <w:rPr>
            <w:rStyle w:val="Kpr"/>
            <w:rFonts w:ascii="Times New Roman" w:hAnsi="Times New Roman"/>
          </w:rPr>
          <w:t>Liquefied Petroleum Gas (LPG) Market Legislation</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_Toc113615324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171</w:t>
        </w:r>
        <w:r w:rsidR="00135D72" w:rsidRPr="009E1B38">
          <w:rPr>
            <w:rFonts w:ascii="Times New Roman" w:hAnsi="Times New Roman"/>
            <w:webHidden/>
          </w:rPr>
          <w:fldChar w:fldCharType="end"/>
        </w:r>
      </w:hyperlink>
    </w:p>
    <w:p w14:paraId="65A67C97" w14:textId="154FCE24" w:rsidR="00135D72" w:rsidRPr="009E1B38" w:rsidRDefault="00E020C3">
      <w:pPr>
        <w:pStyle w:val="T3"/>
        <w:rPr>
          <w:rFonts w:ascii="Times New Roman" w:eastAsiaTheme="minorEastAsia" w:hAnsi="Times New Roman"/>
          <w:noProof/>
        </w:rPr>
      </w:pPr>
      <w:hyperlink w:anchor="_Toc113615325" w:history="1">
        <w:r w:rsidR="00135D72" w:rsidRPr="009E1B38">
          <w:rPr>
            <w:rStyle w:val="Kpr"/>
            <w:rFonts w:ascii="Times New Roman" w:hAnsi="Times New Roman"/>
            <w:noProof/>
          </w:rPr>
          <w:t xml:space="preserve">2.4.1 </w:t>
        </w:r>
        <w:r w:rsidR="00135D72" w:rsidRPr="009E1B38">
          <w:rPr>
            <w:rStyle w:val="Kpr"/>
            <w:rFonts w:ascii="Times New Roman" w:hAnsi="Times New Roman"/>
            <w:noProof/>
          </w:rPr>
          <w:tab/>
          <w:t>Law</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_Toc113615325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171</w:t>
        </w:r>
        <w:r w:rsidR="00135D72" w:rsidRPr="009E1B38">
          <w:rPr>
            <w:rFonts w:ascii="Times New Roman" w:hAnsi="Times New Roman"/>
            <w:noProof/>
            <w:webHidden/>
          </w:rPr>
          <w:fldChar w:fldCharType="end"/>
        </w:r>
      </w:hyperlink>
    </w:p>
    <w:p w14:paraId="3F0686FF" w14:textId="6CEFD92F" w:rsidR="00135D72" w:rsidRPr="009E1B38" w:rsidRDefault="00E020C3">
      <w:pPr>
        <w:pStyle w:val="T3"/>
        <w:rPr>
          <w:rFonts w:ascii="Times New Roman" w:eastAsiaTheme="minorEastAsia" w:hAnsi="Times New Roman"/>
          <w:noProof/>
        </w:rPr>
      </w:pPr>
      <w:hyperlink w:anchor="_Toc113615326" w:history="1">
        <w:r w:rsidR="00135D72" w:rsidRPr="009E1B38">
          <w:rPr>
            <w:rStyle w:val="Kpr"/>
            <w:rFonts w:ascii="Times New Roman" w:hAnsi="Times New Roman"/>
            <w:noProof/>
          </w:rPr>
          <w:t>2.4.2</w:t>
        </w:r>
        <w:r w:rsidR="00135D72" w:rsidRPr="009E1B38">
          <w:rPr>
            <w:rFonts w:ascii="Times New Roman" w:eastAsiaTheme="minorEastAsia" w:hAnsi="Times New Roman"/>
            <w:noProof/>
          </w:rPr>
          <w:tab/>
        </w:r>
        <w:r w:rsidR="00135D72" w:rsidRPr="009E1B38">
          <w:rPr>
            <w:rStyle w:val="Kpr"/>
            <w:rFonts w:ascii="Times New Roman" w:hAnsi="Times New Roman"/>
            <w:noProof/>
          </w:rPr>
          <w:t>Regulations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_Toc113615326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172</w:t>
        </w:r>
        <w:r w:rsidR="00135D72" w:rsidRPr="009E1B38">
          <w:rPr>
            <w:rFonts w:ascii="Times New Roman" w:hAnsi="Times New Roman"/>
            <w:noProof/>
            <w:webHidden/>
          </w:rPr>
          <w:fldChar w:fldCharType="end"/>
        </w:r>
      </w:hyperlink>
    </w:p>
    <w:p w14:paraId="7875ABD1" w14:textId="2ACBD9F0" w:rsidR="00135D72" w:rsidRPr="009E1B38" w:rsidRDefault="00E020C3">
      <w:pPr>
        <w:pStyle w:val="T3"/>
        <w:rPr>
          <w:rFonts w:ascii="Times New Roman" w:eastAsiaTheme="minorEastAsia" w:hAnsi="Times New Roman"/>
          <w:noProof/>
        </w:rPr>
      </w:pPr>
      <w:hyperlink w:anchor="_Toc113615327" w:history="1">
        <w:r w:rsidR="00135D72" w:rsidRPr="009E1B38">
          <w:rPr>
            <w:rStyle w:val="Kpr"/>
            <w:rFonts w:ascii="Times New Roman" w:hAnsi="Times New Roman"/>
            <w:noProof/>
          </w:rPr>
          <w:t>2.4.3</w:t>
        </w:r>
        <w:r w:rsidR="00135D72" w:rsidRPr="009E1B38">
          <w:rPr>
            <w:rFonts w:ascii="Times New Roman" w:eastAsiaTheme="minorEastAsia" w:hAnsi="Times New Roman"/>
            <w:noProof/>
          </w:rPr>
          <w:tab/>
        </w:r>
        <w:r w:rsidR="00135D72" w:rsidRPr="009E1B38">
          <w:rPr>
            <w:rStyle w:val="Kpr"/>
            <w:rFonts w:ascii="Times New Roman" w:hAnsi="Times New Roman"/>
            <w:noProof/>
          </w:rPr>
          <w:t>Communiques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_Toc113615327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174</w:t>
        </w:r>
        <w:r w:rsidR="00135D72" w:rsidRPr="009E1B38">
          <w:rPr>
            <w:rFonts w:ascii="Times New Roman" w:hAnsi="Times New Roman"/>
            <w:noProof/>
            <w:webHidden/>
          </w:rPr>
          <w:fldChar w:fldCharType="end"/>
        </w:r>
      </w:hyperlink>
    </w:p>
    <w:p w14:paraId="554D6031" w14:textId="5A01280F" w:rsidR="00135D72" w:rsidRPr="009E1B38" w:rsidRDefault="00E020C3">
      <w:pPr>
        <w:pStyle w:val="T3"/>
        <w:rPr>
          <w:rFonts w:ascii="Times New Roman" w:eastAsiaTheme="minorEastAsia" w:hAnsi="Times New Roman"/>
          <w:noProof/>
        </w:rPr>
      </w:pPr>
      <w:hyperlink w:anchor="_Toc113615328" w:history="1">
        <w:r w:rsidR="00135D72" w:rsidRPr="009E1B38">
          <w:rPr>
            <w:rStyle w:val="Kpr"/>
            <w:rFonts w:ascii="Times New Roman" w:hAnsi="Times New Roman"/>
            <w:noProof/>
          </w:rPr>
          <w:t>2.4.4</w:t>
        </w:r>
        <w:r w:rsidR="00135D72" w:rsidRPr="009E1B38">
          <w:rPr>
            <w:rFonts w:ascii="Times New Roman" w:eastAsiaTheme="minorEastAsia" w:hAnsi="Times New Roman"/>
            <w:noProof/>
          </w:rPr>
          <w:tab/>
        </w:r>
        <w:r w:rsidR="00135D72" w:rsidRPr="009E1B38">
          <w:rPr>
            <w:rStyle w:val="Kpr"/>
            <w:rFonts w:ascii="Times New Roman" w:hAnsi="Times New Roman"/>
            <w:noProof/>
          </w:rPr>
          <w:t>Board Decisions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_Toc113615328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174</w:t>
        </w:r>
        <w:r w:rsidR="00135D72" w:rsidRPr="009E1B38">
          <w:rPr>
            <w:rFonts w:ascii="Times New Roman" w:hAnsi="Times New Roman"/>
            <w:noProof/>
            <w:webHidden/>
          </w:rPr>
          <w:fldChar w:fldCharType="end"/>
        </w:r>
      </w:hyperlink>
    </w:p>
    <w:p w14:paraId="14702DF7" w14:textId="70DC61E1" w:rsidR="00135D72" w:rsidRPr="009E1B38" w:rsidRDefault="00E020C3">
      <w:pPr>
        <w:pStyle w:val="T2"/>
        <w:rPr>
          <w:rFonts w:ascii="Times New Roman" w:eastAsiaTheme="minorEastAsia" w:hAnsi="Times New Roman"/>
          <w:bCs w:val="0"/>
        </w:rPr>
      </w:pPr>
      <w:hyperlink w:anchor="_Toc113615329" w:history="1">
        <w:r w:rsidR="00135D72" w:rsidRPr="009E1B38">
          <w:rPr>
            <w:rStyle w:val="Kpr"/>
            <w:rFonts w:ascii="Times New Roman" w:hAnsi="Times New Roman"/>
          </w:rPr>
          <w:t>2.5</w:t>
        </w:r>
        <w:r w:rsidR="00135D72" w:rsidRPr="009E1B38">
          <w:rPr>
            <w:rFonts w:ascii="Times New Roman" w:eastAsiaTheme="minorEastAsia" w:hAnsi="Times New Roman"/>
            <w:bCs w:val="0"/>
          </w:rPr>
          <w:tab/>
        </w:r>
        <w:r w:rsidR="00135D72" w:rsidRPr="009E1B38">
          <w:rPr>
            <w:rStyle w:val="Kpr"/>
            <w:rFonts w:ascii="Times New Roman" w:hAnsi="Times New Roman"/>
          </w:rPr>
          <w:t>Other Legislation Activities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_Toc113615329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177</w:t>
        </w:r>
        <w:r w:rsidR="00135D72" w:rsidRPr="009E1B38">
          <w:rPr>
            <w:rFonts w:ascii="Times New Roman" w:hAnsi="Times New Roman"/>
            <w:webHidden/>
          </w:rPr>
          <w:fldChar w:fldCharType="end"/>
        </w:r>
      </w:hyperlink>
    </w:p>
    <w:p w14:paraId="2EA0215E" w14:textId="5FF69AC4" w:rsidR="00135D72" w:rsidRPr="009E1B38" w:rsidRDefault="00E020C3">
      <w:pPr>
        <w:pStyle w:val="T3"/>
        <w:rPr>
          <w:rFonts w:ascii="Times New Roman" w:eastAsiaTheme="minorEastAsia" w:hAnsi="Times New Roman"/>
          <w:noProof/>
        </w:rPr>
      </w:pPr>
      <w:hyperlink w:anchor="_Toc113615330" w:history="1">
        <w:r w:rsidR="00135D72" w:rsidRPr="009E1B38">
          <w:rPr>
            <w:rStyle w:val="Kpr"/>
            <w:rFonts w:ascii="Times New Roman" w:hAnsi="Times New Roman"/>
            <w:noProof/>
          </w:rPr>
          <w:t>2.5.1.    Legislative Changes Regarding Energy Market Notifications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_Toc113615330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177</w:t>
        </w:r>
        <w:r w:rsidR="00135D72" w:rsidRPr="009E1B38">
          <w:rPr>
            <w:rFonts w:ascii="Times New Roman" w:hAnsi="Times New Roman"/>
            <w:noProof/>
            <w:webHidden/>
          </w:rPr>
          <w:fldChar w:fldCharType="end"/>
        </w:r>
      </w:hyperlink>
    </w:p>
    <w:p w14:paraId="502CD54F" w14:textId="0117E169" w:rsidR="00135D72" w:rsidRPr="009E1B38" w:rsidRDefault="00E020C3">
      <w:pPr>
        <w:pStyle w:val="T3"/>
        <w:rPr>
          <w:rFonts w:ascii="Times New Roman" w:eastAsiaTheme="minorEastAsia" w:hAnsi="Times New Roman"/>
          <w:noProof/>
        </w:rPr>
      </w:pPr>
      <w:hyperlink w:anchor="_Toc113615331" w:history="1">
        <w:r w:rsidR="00135D72" w:rsidRPr="009E1B38">
          <w:rPr>
            <w:rStyle w:val="Kpr"/>
            <w:rFonts w:ascii="Times New Roman" w:hAnsi="Times New Roman"/>
            <w:noProof/>
          </w:rPr>
          <w:t>2.5.2</w:t>
        </w:r>
        <w:r w:rsidR="00135D72" w:rsidRPr="009E1B38">
          <w:rPr>
            <w:rFonts w:ascii="Times New Roman" w:eastAsiaTheme="minorEastAsia" w:hAnsi="Times New Roman"/>
            <w:noProof/>
          </w:rPr>
          <w:tab/>
        </w:r>
        <w:r w:rsidR="00135D72" w:rsidRPr="009E1B38">
          <w:rPr>
            <w:rStyle w:val="Kpr"/>
            <w:rFonts w:ascii="Times New Roman" w:hAnsi="Times New Roman"/>
            <w:noProof/>
          </w:rPr>
          <w:t>Other Changes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_Toc113615331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178</w:t>
        </w:r>
        <w:r w:rsidR="00135D72" w:rsidRPr="009E1B38">
          <w:rPr>
            <w:rFonts w:ascii="Times New Roman" w:hAnsi="Times New Roman"/>
            <w:noProof/>
            <w:webHidden/>
          </w:rPr>
          <w:fldChar w:fldCharType="end"/>
        </w:r>
      </w:hyperlink>
    </w:p>
    <w:p w14:paraId="63002072" w14:textId="77829CEB" w:rsidR="00135D72" w:rsidRPr="009E1B38" w:rsidRDefault="00E020C3">
      <w:pPr>
        <w:pStyle w:val="T1"/>
        <w:tabs>
          <w:tab w:val="left" w:pos="660"/>
        </w:tabs>
        <w:rPr>
          <w:rFonts w:ascii="Times New Roman" w:eastAsiaTheme="minorEastAsia" w:hAnsi="Times New Roman"/>
          <w:b w:val="0"/>
          <w:noProof/>
        </w:rPr>
      </w:pPr>
      <w:hyperlink w:anchor="_Toc113615332" w:history="1">
        <w:r w:rsidR="00135D72" w:rsidRPr="009E1B38">
          <w:rPr>
            <w:rStyle w:val="Kpr"/>
            <w:rFonts w:ascii="Times New Roman" w:hAnsi="Times New Roman"/>
            <w:noProof/>
          </w:rPr>
          <w:t>3.</w:t>
        </w:r>
        <w:r w:rsidR="00135D72" w:rsidRPr="009E1B38">
          <w:rPr>
            <w:rFonts w:ascii="Times New Roman" w:eastAsiaTheme="minorEastAsia" w:hAnsi="Times New Roman"/>
            <w:b w:val="0"/>
            <w:noProof/>
          </w:rPr>
          <w:tab/>
        </w:r>
        <w:r w:rsidR="00135D72" w:rsidRPr="009E1B38">
          <w:rPr>
            <w:rStyle w:val="Kpr"/>
            <w:rFonts w:ascii="Times New Roman" w:hAnsi="Times New Roman"/>
            <w:noProof/>
          </w:rPr>
          <w:t>LICENSING, CERTIFICATION AND PERMITTING ACTIVITIES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_Toc113615332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179</w:t>
        </w:r>
        <w:r w:rsidR="00135D72" w:rsidRPr="009E1B38">
          <w:rPr>
            <w:rFonts w:ascii="Times New Roman" w:hAnsi="Times New Roman"/>
            <w:noProof/>
            <w:webHidden/>
          </w:rPr>
          <w:fldChar w:fldCharType="end"/>
        </w:r>
      </w:hyperlink>
    </w:p>
    <w:p w14:paraId="16E9B312" w14:textId="30AE36F7" w:rsidR="00135D72" w:rsidRPr="009E1B38" w:rsidRDefault="00E020C3">
      <w:pPr>
        <w:pStyle w:val="T2"/>
        <w:rPr>
          <w:rFonts w:ascii="Times New Roman" w:eastAsiaTheme="minorEastAsia" w:hAnsi="Times New Roman"/>
          <w:bCs w:val="0"/>
        </w:rPr>
      </w:pPr>
      <w:hyperlink w:anchor="_Toc113615333" w:history="1">
        <w:r w:rsidR="00135D72" w:rsidRPr="009E1B38">
          <w:rPr>
            <w:rStyle w:val="Kpr"/>
            <w:rFonts w:ascii="Times New Roman" w:hAnsi="Times New Roman"/>
          </w:rPr>
          <w:t>3.1 Electricity Market Licensing and Permit Activities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_Toc113615333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179</w:t>
        </w:r>
        <w:r w:rsidR="00135D72" w:rsidRPr="009E1B38">
          <w:rPr>
            <w:rFonts w:ascii="Times New Roman" w:hAnsi="Times New Roman"/>
            <w:webHidden/>
          </w:rPr>
          <w:fldChar w:fldCharType="end"/>
        </w:r>
      </w:hyperlink>
    </w:p>
    <w:p w14:paraId="1E878478" w14:textId="4F6DB020" w:rsidR="00135D72" w:rsidRPr="009E1B38" w:rsidRDefault="00E020C3">
      <w:pPr>
        <w:pStyle w:val="T3"/>
        <w:rPr>
          <w:rFonts w:ascii="Times New Roman" w:eastAsiaTheme="minorEastAsia" w:hAnsi="Times New Roman"/>
          <w:noProof/>
        </w:rPr>
      </w:pPr>
      <w:hyperlink w:anchor="_Toc113615334" w:history="1">
        <w:r w:rsidR="00135D72" w:rsidRPr="009E1B38">
          <w:rPr>
            <w:rStyle w:val="Kpr"/>
            <w:rFonts w:ascii="Times New Roman" w:hAnsi="Times New Roman"/>
            <w:noProof/>
          </w:rPr>
          <w:t>3.1.1.</w:t>
        </w:r>
        <w:r w:rsidR="00135D72" w:rsidRPr="009E1B38">
          <w:rPr>
            <w:rFonts w:ascii="Times New Roman" w:eastAsiaTheme="minorEastAsia" w:hAnsi="Times New Roman"/>
            <w:noProof/>
          </w:rPr>
          <w:tab/>
        </w:r>
        <w:r w:rsidR="00135D72" w:rsidRPr="009E1B38">
          <w:rPr>
            <w:rStyle w:val="Kpr"/>
            <w:rFonts w:ascii="Times New Roman" w:hAnsi="Times New Roman"/>
            <w:noProof/>
          </w:rPr>
          <w:t>Licensing Activities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_Toc113615334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179</w:t>
        </w:r>
        <w:r w:rsidR="00135D72" w:rsidRPr="009E1B38">
          <w:rPr>
            <w:rFonts w:ascii="Times New Roman" w:hAnsi="Times New Roman"/>
            <w:noProof/>
            <w:webHidden/>
          </w:rPr>
          <w:fldChar w:fldCharType="end"/>
        </w:r>
      </w:hyperlink>
    </w:p>
    <w:p w14:paraId="4FF1BBA5" w14:textId="7AE74815" w:rsidR="00135D72" w:rsidRPr="009E1B38" w:rsidRDefault="00E020C3">
      <w:pPr>
        <w:pStyle w:val="T3"/>
        <w:rPr>
          <w:rFonts w:ascii="Times New Roman" w:eastAsiaTheme="minorEastAsia" w:hAnsi="Times New Roman"/>
          <w:noProof/>
        </w:rPr>
      </w:pPr>
      <w:hyperlink w:anchor="_Toc113615335" w:history="1">
        <w:r w:rsidR="00135D72" w:rsidRPr="009E1B38">
          <w:rPr>
            <w:rStyle w:val="Kpr"/>
            <w:rFonts w:ascii="Times New Roman" w:hAnsi="Times New Roman"/>
            <w:noProof/>
          </w:rPr>
          <w:t>3.1.2.</w:t>
        </w:r>
        <w:r w:rsidR="00135D72" w:rsidRPr="009E1B38">
          <w:rPr>
            <w:rFonts w:ascii="Times New Roman" w:eastAsiaTheme="minorEastAsia" w:hAnsi="Times New Roman"/>
            <w:noProof/>
          </w:rPr>
          <w:tab/>
        </w:r>
        <w:r w:rsidR="00135D72" w:rsidRPr="009E1B38">
          <w:rPr>
            <w:rStyle w:val="Kpr"/>
            <w:rFonts w:ascii="Times New Roman" w:hAnsi="Times New Roman"/>
            <w:noProof/>
          </w:rPr>
          <w:t>Import and Export Permits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_Toc113615335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181</w:t>
        </w:r>
        <w:r w:rsidR="00135D72" w:rsidRPr="009E1B38">
          <w:rPr>
            <w:rFonts w:ascii="Times New Roman" w:hAnsi="Times New Roman"/>
            <w:noProof/>
            <w:webHidden/>
          </w:rPr>
          <w:fldChar w:fldCharType="end"/>
        </w:r>
      </w:hyperlink>
    </w:p>
    <w:p w14:paraId="07B890CC" w14:textId="0FF33C38" w:rsidR="00135D72" w:rsidRPr="009E1B38" w:rsidRDefault="00E020C3">
      <w:pPr>
        <w:pStyle w:val="T2"/>
        <w:rPr>
          <w:rFonts w:ascii="Times New Roman" w:eastAsiaTheme="minorEastAsia" w:hAnsi="Times New Roman"/>
          <w:bCs w:val="0"/>
        </w:rPr>
      </w:pPr>
      <w:hyperlink w:anchor="_Toc113615336" w:history="1">
        <w:r w:rsidR="00135D72" w:rsidRPr="009E1B38">
          <w:rPr>
            <w:rStyle w:val="Kpr"/>
            <w:rFonts w:ascii="Times New Roman" w:hAnsi="Times New Roman"/>
          </w:rPr>
          <w:t>3.2</w:t>
        </w:r>
        <w:r w:rsidR="00135D72" w:rsidRPr="009E1B38">
          <w:rPr>
            <w:rFonts w:ascii="Times New Roman" w:eastAsiaTheme="minorEastAsia" w:hAnsi="Times New Roman"/>
            <w:bCs w:val="0"/>
          </w:rPr>
          <w:tab/>
        </w:r>
        <w:r w:rsidR="00135D72" w:rsidRPr="009E1B38">
          <w:rPr>
            <w:rStyle w:val="Kpr"/>
            <w:rFonts w:ascii="Times New Roman" w:hAnsi="Times New Roman"/>
          </w:rPr>
          <w:t>Natural Gas Market Licensing and Certification Activities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_Toc113615336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183</w:t>
        </w:r>
        <w:r w:rsidR="00135D72" w:rsidRPr="009E1B38">
          <w:rPr>
            <w:rFonts w:ascii="Times New Roman" w:hAnsi="Times New Roman"/>
            <w:webHidden/>
          </w:rPr>
          <w:fldChar w:fldCharType="end"/>
        </w:r>
      </w:hyperlink>
    </w:p>
    <w:p w14:paraId="4E978C25" w14:textId="2E837B3F" w:rsidR="00135D72" w:rsidRPr="009E1B38" w:rsidRDefault="00E020C3">
      <w:pPr>
        <w:pStyle w:val="T3"/>
        <w:rPr>
          <w:rFonts w:ascii="Times New Roman" w:eastAsiaTheme="minorEastAsia" w:hAnsi="Times New Roman"/>
          <w:noProof/>
        </w:rPr>
      </w:pPr>
      <w:hyperlink w:anchor="_Toc113615337" w:history="1">
        <w:r w:rsidR="00135D72" w:rsidRPr="009E1B38">
          <w:rPr>
            <w:rStyle w:val="Kpr"/>
            <w:rFonts w:ascii="Times New Roman" w:hAnsi="Times New Roman"/>
            <w:noProof/>
          </w:rPr>
          <w:t>3.2.1  License Transactions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_Toc113615337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183</w:t>
        </w:r>
        <w:r w:rsidR="00135D72" w:rsidRPr="009E1B38">
          <w:rPr>
            <w:rFonts w:ascii="Times New Roman" w:hAnsi="Times New Roman"/>
            <w:noProof/>
            <w:webHidden/>
          </w:rPr>
          <w:fldChar w:fldCharType="end"/>
        </w:r>
      </w:hyperlink>
    </w:p>
    <w:p w14:paraId="26E83D76" w14:textId="04A356D1" w:rsidR="00135D72" w:rsidRPr="009E1B38" w:rsidRDefault="00E020C3">
      <w:pPr>
        <w:pStyle w:val="T3"/>
        <w:rPr>
          <w:rFonts w:ascii="Times New Roman" w:eastAsiaTheme="minorEastAsia" w:hAnsi="Times New Roman"/>
          <w:noProof/>
        </w:rPr>
      </w:pPr>
      <w:hyperlink w:anchor="_Toc113615338" w:history="1">
        <w:r w:rsidR="00135D72" w:rsidRPr="009E1B38">
          <w:rPr>
            <w:rStyle w:val="Kpr"/>
            <w:rFonts w:ascii="Times New Roman" w:hAnsi="Times New Roman"/>
            <w:noProof/>
          </w:rPr>
          <w:t>3.2.2</w:t>
        </w:r>
        <w:r w:rsidR="00135D72" w:rsidRPr="009E1B38">
          <w:rPr>
            <w:rFonts w:ascii="Times New Roman" w:eastAsiaTheme="minorEastAsia" w:hAnsi="Times New Roman"/>
            <w:noProof/>
          </w:rPr>
          <w:tab/>
        </w:r>
        <w:r w:rsidR="00135D72" w:rsidRPr="009E1B38">
          <w:rPr>
            <w:rStyle w:val="Kpr"/>
            <w:rFonts w:ascii="Times New Roman" w:hAnsi="Times New Roman"/>
            <w:noProof/>
          </w:rPr>
          <w:t>Certificate Transactions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_Toc113615338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184</w:t>
        </w:r>
        <w:r w:rsidR="00135D72" w:rsidRPr="009E1B38">
          <w:rPr>
            <w:rFonts w:ascii="Times New Roman" w:hAnsi="Times New Roman"/>
            <w:noProof/>
            <w:webHidden/>
          </w:rPr>
          <w:fldChar w:fldCharType="end"/>
        </w:r>
      </w:hyperlink>
    </w:p>
    <w:p w14:paraId="368A9F6D" w14:textId="71D41B9E" w:rsidR="00135D72" w:rsidRPr="009E1B38" w:rsidRDefault="00E020C3">
      <w:pPr>
        <w:pStyle w:val="T2"/>
        <w:rPr>
          <w:rFonts w:ascii="Times New Roman" w:eastAsiaTheme="minorEastAsia" w:hAnsi="Times New Roman"/>
          <w:bCs w:val="0"/>
        </w:rPr>
      </w:pPr>
      <w:hyperlink w:anchor="_Toc113615339" w:history="1">
        <w:r w:rsidR="00135D72" w:rsidRPr="009E1B38">
          <w:rPr>
            <w:rStyle w:val="Kpr"/>
            <w:rFonts w:ascii="Times New Roman" w:hAnsi="Times New Roman"/>
          </w:rPr>
          <w:t>3.3 Petroleum Market Licensing Activities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_Toc113615339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186</w:t>
        </w:r>
        <w:r w:rsidR="00135D72" w:rsidRPr="009E1B38">
          <w:rPr>
            <w:rFonts w:ascii="Times New Roman" w:hAnsi="Times New Roman"/>
            <w:webHidden/>
          </w:rPr>
          <w:fldChar w:fldCharType="end"/>
        </w:r>
      </w:hyperlink>
    </w:p>
    <w:p w14:paraId="7F12DDFA" w14:textId="6E95A8E1" w:rsidR="00135D72" w:rsidRPr="009E1B38" w:rsidRDefault="00E020C3">
      <w:pPr>
        <w:pStyle w:val="T3"/>
        <w:rPr>
          <w:rFonts w:ascii="Times New Roman" w:eastAsiaTheme="minorEastAsia" w:hAnsi="Times New Roman"/>
          <w:noProof/>
        </w:rPr>
      </w:pPr>
      <w:hyperlink w:anchor="_Toc113615340" w:history="1">
        <w:r w:rsidR="00135D72" w:rsidRPr="009E1B38">
          <w:rPr>
            <w:rStyle w:val="Kpr"/>
            <w:rFonts w:ascii="Times New Roman" w:hAnsi="Times New Roman"/>
            <w:noProof/>
          </w:rPr>
          <w:t>3.3.1</w:t>
        </w:r>
        <w:r w:rsidR="00135D72" w:rsidRPr="009E1B38">
          <w:rPr>
            <w:rFonts w:ascii="Times New Roman" w:eastAsiaTheme="minorEastAsia" w:hAnsi="Times New Roman"/>
            <w:noProof/>
          </w:rPr>
          <w:tab/>
        </w:r>
        <w:r w:rsidR="00135D72" w:rsidRPr="009E1B38">
          <w:rPr>
            <w:rStyle w:val="Kpr"/>
            <w:rFonts w:ascii="Times New Roman" w:hAnsi="Times New Roman"/>
            <w:noProof/>
          </w:rPr>
          <w:t>Procedures Regarding Non-fuel Product Permits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_Toc113615340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188</w:t>
        </w:r>
        <w:r w:rsidR="00135D72" w:rsidRPr="009E1B38">
          <w:rPr>
            <w:rFonts w:ascii="Times New Roman" w:hAnsi="Times New Roman"/>
            <w:noProof/>
            <w:webHidden/>
          </w:rPr>
          <w:fldChar w:fldCharType="end"/>
        </w:r>
      </w:hyperlink>
    </w:p>
    <w:p w14:paraId="11DAC7AB" w14:textId="5E5EFF95" w:rsidR="00135D72" w:rsidRPr="009E1B38" w:rsidRDefault="00E020C3">
      <w:pPr>
        <w:pStyle w:val="T3"/>
        <w:rPr>
          <w:rFonts w:ascii="Times New Roman" w:eastAsiaTheme="minorEastAsia" w:hAnsi="Times New Roman"/>
          <w:noProof/>
        </w:rPr>
      </w:pPr>
      <w:hyperlink w:anchor="_Toc113615341" w:history="1">
        <w:r w:rsidR="00135D72" w:rsidRPr="009E1B38">
          <w:rPr>
            <w:rStyle w:val="Kpr"/>
            <w:rFonts w:ascii="Times New Roman" w:hAnsi="Times New Roman"/>
            <w:noProof/>
          </w:rPr>
          <w:t>3.3.2. Automation Studies for Licensees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_Toc113615341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188</w:t>
        </w:r>
        <w:r w:rsidR="00135D72" w:rsidRPr="009E1B38">
          <w:rPr>
            <w:rFonts w:ascii="Times New Roman" w:hAnsi="Times New Roman"/>
            <w:noProof/>
            <w:webHidden/>
          </w:rPr>
          <w:fldChar w:fldCharType="end"/>
        </w:r>
      </w:hyperlink>
    </w:p>
    <w:p w14:paraId="112AAABD" w14:textId="73F11C4A" w:rsidR="00135D72" w:rsidRPr="009E1B38" w:rsidRDefault="00E020C3">
      <w:pPr>
        <w:pStyle w:val="T4"/>
        <w:tabs>
          <w:tab w:val="right" w:leader="dot" w:pos="9060"/>
        </w:tabs>
        <w:rPr>
          <w:rFonts w:ascii="Times New Roman" w:eastAsiaTheme="minorEastAsia" w:hAnsi="Times New Roman"/>
          <w:noProof/>
        </w:rPr>
      </w:pPr>
      <w:hyperlink w:anchor="_Toc113615342" w:history="1">
        <w:r w:rsidR="00135D72" w:rsidRPr="009E1B38">
          <w:rPr>
            <w:rStyle w:val="Kpr"/>
            <w:rFonts w:ascii="Times New Roman" w:hAnsi="Times New Roman"/>
            <w:noProof/>
          </w:rPr>
          <w:t>3.3.2.1. National Marker</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_Toc113615342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188</w:t>
        </w:r>
        <w:r w:rsidR="00135D72" w:rsidRPr="009E1B38">
          <w:rPr>
            <w:rFonts w:ascii="Times New Roman" w:hAnsi="Times New Roman"/>
            <w:noProof/>
            <w:webHidden/>
          </w:rPr>
          <w:fldChar w:fldCharType="end"/>
        </w:r>
      </w:hyperlink>
    </w:p>
    <w:p w14:paraId="2CE4D04E" w14:textId="376544AB" w:rsidR="00135D72" w:rsidRPr="009E1B38" w:rsidRDefault="00E020C3">
      <w:pPr>
        <w:pStyle w:val="T4"/>
        <w:tabs>
          <w:tab w:val="right" w:leader="dot" w:pos="9060"/>
        </w:tabs>
        <w:rPr>
          <w:rFonts w:ascii="Times New Roman" w:eastAsiaTheme="minorEastAsia" w:hAnsi="Times New Roman"/>
          <w:noProof/>
        </w:rPr>
      </w:pPr>
      <w:hyperlink w:anchor="_Toc113615343" w:history="1">
        <w:r w:rsidR="00135D72" w:rsidRPr="009E1B38">
          <w:rPr>
            <w:rStyle w:val="Kpr"/>
            <w:rFonts w:ascii="Times New Roman" w:hAnsi="Times New Roman"/>
            <w:noProof/>
          </w:rPr>
          <w:t>3.3.2.2. Fuel Dealers Automation System</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_Toc113615343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190</w:t>
        </w:r>
        <w:r w:rsidR="00135D72" w:rsidRPr="009E1B38">
          <w:rPr>
            <w:rFonts w:ascii="Times New Roman" w:hAnsi="Times New Roman"/>
            <w:noProof/>
            <w:webHidden/>
          </w:rPr>
          <w:fldChar w:fldCharType="end"/>
        </w:r>
      </w:hyperlink>
    </w:p>
    <w:p w14:paraId="61180A4A" w14:textId="18F6759E" w:rsidR="00135D72" w:rsidRPr="009E1B38" w:rsidRDefault="00E020C3">
      <w:pPr>
        <w:pStyle w:val="T4"/>
        <w:tabs>
          <w:tab w:val="right" w:leader="dot" w:pos="9060"/>
        </w:tabs>
        <w:rPr>
          <w:rFonts w:ascii="Times New Roman" w:eastAsiaTheme="minorEastAsia" w:hAnsi="Times New Roman"/>
          <w:noProof/>
        </w:rPr>
      </w:pPr>
      <w:hyperlink w:anchor="_Toc113615344" w:history="1">
        <w:r w:rsidR="00135D72" w:rsidRPr="009E1B38">
          <w:rPr>
            <w:rStyle w:val="Kpr"/>
            <w:rFonts w:ascii="Times New Roman" w:hAnsi="Times New Roman"/>
            <w:noProof/>
          </w:rPr>
          <w:t>3.3.2.3. Oil Warehouse Stock Tracking System</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_Toc113615344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191</w:t>
        </w:r>
        <w:r w:rsidR="00135D72" w:rsidRPr="009E1B38">
          <w:rPr>
            <w:rFonts w:ascii="Times New Roman" w:hAnsi="Times New Roman"/>
            <w:noProof/>
            <w:webHidden/>
          </w:rPr>
          <w:fldChar w:fldCharType="end"/>
        </w:r>
      </w:hyperlink>
    </w:p>
    <w:p w14:paraId="724F9D6F" w14:textId="324E5DBE" w:rsidR="00135D72" w:rsidRPr="009E1B38" w:rsidRDefault="00E020C3">
      <w:pPr>
        <w:pStyle w:val="T2"/>
        <w:rPr>
          <w:rFonts w:ascii="Times New Roman" w:eastAsiaTheme="minorEastAsia" w:hAnsi="Times New Roman"/>
          <w:bCs w:val="0"/>
        </w:rPr>
      </w:pPr>
      <w:hyperlink w:anchor="_Toc113615345" w:history="1">
        <w:r w:rsidR="00135D72" w:rsidRPr="009E1B38">
          <w:rPr>
            <w:rStyle w:val="Kpr"/>
            <w:rFonts w:ascii="Times New Roman" w:hAnsi="Times New Roman"/>
          </w:rPr>
          <w:t>3.4</w:t>
        </w:r>
        <w:r w:rsidR="00135D72" w:rsidRPr="009E1B38">
          <w:rPr>
            <w:rFonts w:ascii="Times New Roman" w:eastAsiaTheme="minorEastAsia" w:hAnsi="Times New Roman"/>
            <w:bCs w:val="0"/>
          </w:rPr>
          <w:tab/>
        </w:r>
        <w:r w:rsidR="00135D72" w:rsidRPr="009E1B38">
          <w:rPr>
            <w:rStyle w:val="Kpr"/>
            <w:rFonts w:ascii="Times New Roman" w:hAnsi="Times New Roman"/>
          </w:rPr>
          <w:t>Liquefied Petroleum Gas (LPG) Market Licensing Activities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_Toc113615345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192</w:t>
        </w:r>
        <w:r w:rsidR="00135D72" w:rsidRPr="009E1B38">
          <w:rPr>
            <w:rFonts w:ascii="Times New Roman" w:hAnsi="Times New Roman"/>
            <w:webHidden/>
          </w:rPr>
          <w:fldChar w:fldCharType="end"/>
        </w:r>
      </w:hyperlink>
    </w:p>
    <w:p w14:paraId="7357A262" w14:textId="60828F2F" w:rsidR="00135D72" w:rsidRPr="009E1B38" w:rsidRDefault="00E020C3">
      <w:pPr>
        <w:pStyle w:val="T1"/>
        <w:tabs>
          <w:tab w:val="left" w:pos="660"/>
        </w:tabs>
        <w:rPr>
          <w:rFonts w:ascii="Times New Roman" w:eastAsiaTheme="minorEastAsia" w:hAnsi="Times New Roman"/>
          <w:b w:val="0"/>
          <w:noProof/>
        </w:rPr>
      </w:pPr>
      <w:hyperlink w:anchor="_Toc113615346" w:history="1">
        <w:r w:rsidR="00135D72" w:rsidRPr="009E1B38">
          <w:rPr>
            <w:rStyle w:val="Kpr"/>
            <w:rFonts w:ascii="Times New Roman" w:hAnsi="Times New Roman"/>
            <w:noProof/>
          </w:rPr>
          <w:t>4</w:t>
        </w:r>
        <w:r w:rsidR="00135D72" w:rsidRPr="009E1B38">
          <w:rPr>
            <w:rFonts w:ascii="Times New Roman" w:eastAsiaTheme="minorEastAsia" w:hAnsi="Times New Roman"/>
            <w:b w:val="0"/>
            <w:noProof/>
          </w:rPr>
          <w:tab/>
        </w:r>
        <w:r w:rsidR="00135D72" w:rsidRPr="009E1B38">
          <w:rPr>
            <w:rStyle w:val="Kpr"/>
            <w:rFonts w:ascii="Times New Roman" w:hAnsi="Times New Roman"/>
            <w:noProof/>
          </w:rPr>
          <w:t>PRICE FORMATION AND TARIFFICATION ACTIVITIES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_Toc113615346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194</w:t>
        </w:r>
        <w:r w:rsidR="00135D72" w:rsidRPr="009E1B38">
          <w:rPr>
            <w:rFonts w:ascii="Times New Roman" w:hAnsi="Times New Roman"/>
            <w:noProof/>
            <w:webHidden/>
          </w:rPr>
          <w:fldChar w:fldCharType="end"/>
        </w:r>
      </w:hyperlink>
    </w:p>
    <w:p w14:paraId="03FD7B92" w14:textId="677BD8E1" w:rsidR="00135D72" w:rsidRPr="009E1B38" w:rsidRDefault="00E020C3">
      <w:pPr>
        <w:pStyle w:val="T2"/>
        <w:rPr>
          <w:rFonts w:ascii="Times New Roman" w:eastAsiaTheme="minorEastAsia" w:hAnsi="Times New Roman"/>
          <w:bCs w:val="0"/>
        </w:rPr>
      </w:pPr>
      <w:hyperlink w:anchor="_Toc113615347" w:history="1">
        <w:r w:rsidR="00135D72" w:rsidRPr="009E1B38">
          <w:rPr>
            <w:rStyle w:val="Kpr"/>
            <w:rFonts w:ascii="Times New Roman" w:hAnsi="Times New Roman"/>
          </w:rPr>
          <w:t>4.1</w:t>
        </w:r>
        <w:r w:rsidR="00135D72" w:rsidRPr="009E1B38">
          <w:rPr>
            <w:rFonts w:ascii="Times New Roman" w:eastAsiaTheme="minorEastAsia" w:hAnsi="Times New Roman"/>
            <w:bCs w:val="0"/>
          </w:rPr>
          <w:tab/>
        </w:r>
        <w:r w:rsidR="00135D72" w:rsidRPr="009E1B38">
          <w:rPr>
            <w:rStyle w:val="Kpr"/>
            <w:rFonts w:ascii="Times New Roman" w:hAnsi="Times New Roman"/>
          </w:rPr>
          <w:t>Electricity Market Tariffication</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_Toc113615347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194</w:t>
        </w:r>
        <w:r w:rsidR="00135D72" w:rsidRPr="009E1B38">
          <w:rPr>
            <w:rFonts w:ascii="Times New Roman" w:hAnsi="Times New Roman"/>
            <w:webHidden/>
          </w:rPr>
          <w:fldChar w:fldCharType="end"/>
        </w:r>
      </w:hyperlink>
    </w:p>
    <w:p w14:paraId="2E7A4E28" w14:textId="0C385857" w:rsidR="00135D72" w:rsidRPr="009E1B38" w:rsidRDefault="00E020C3">
      <w:pPr>
        <w:pStyle w:val="T3"/>
        <w:rPr>
          <w:rFonts w:ascii="Times New Roman" w:eastAsiaTheme="minorEastAsia" w:hAnsi="Times New Roman"/>
          <w:noProof/>
        </w:rPr>
      </w:pPr>
      <w:hyperlink w:anchor="_Toc113615348" w:history="1">
        <w:r w:rsidR="00135D72" w:rsidRPr="009E1B38">
          <w:rPr>
            <w:rStyle w:val="Kpr"/>
            <w:rFonts w:ascii="Times New Roman" w:hAnsi="Times New Roman"/>
            <w:noProof/>
          </w:rPr>
          <w:t>4.1.1</w:t>
        </w:r>
        <w:r w:rsidR="00135D72" w:rsidRPr="009E1B38">
          <w:rPr>
            <w:rFonts w:ascii="Times New Roman" w:eastAsiaTheme="minorEastAsia" w:hAnsi="Times New Roman"/>
            <w:noProof/>
          </w:rPr>
          <w:tab/>
        </w:r>
        <w:r w:rsidR="00135D72" w:rsidRPr="009E1B38">
          <w:rPr>
            <w:rStyle w:val="Kpr"/>
            <w:rFonts w:ascii="Times New Roman" w:hAnsi="Times New Roman"/>
            <w:noProof/>
          </w:rPr>
          <w:t>Transmission Tariffication</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_Toc113615348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194</w:t>
        </w:r>
        <w:r w:rsidR="00135D72" w:rsidRPr="009E1B38">
          <w:rPr>
            <w:rFonts w:ascii="Times New Roman" w:hAnsi="Times New Roman"/>
            <w:noProof/>
            <w:webHidden/>
          </w:rPr>
          <w:fldChar w:fldCharType="end"/>
        </w:r>
      </w:hyperlink>
    </w:p>
    <w:p w14:paraId="25151E43" w14:textId="35AB7EB5" w:rsidR="00135D72" w:rsidRPr="009E1B38" w:rsidRDefault="00E020C3">
      <w:pPr>
        <w:pStyle w:val="T4"/>
        <w:tabs>
          <w:tab w:val="left" w:pos="1540"/>
          <w:tab w:val="right" w:leader="dot" w:pos="9060"/>
        </w:tabs>
        <w:rPr>
          <w:rFonts w:ascii="Times New Roman" w:eastAsiaTheme="minorEastAsia" w:hAnsi="Times New Roman"/>
          <w:noProof/>
        </w:rPr>
      </w:pPr>
      <w:hyperlink w:anchor="_Toc113615349" w:history="1">
        <w:r w:rsidR="00135D72" w:rsidRPr="009E1B38">
          <w:rPr>
            <w:rStyle w:val="Kpr"/>
            <w:rFonts w:ascii="Times New Roman" w:hAnsi="Times New Roman"/>
            <w:noProof/>
          </w:rPr>
          <w:t>4.1.1.1</w:t>
        </w:r>
        <w:r w:rsidR="00135D72" w:rsidRPr="009E1B38">
          <w:rPr>
            <w:rFonts w:ascii="Times New Roman" w:eastAsiaTheme="minorEastAsia" w:hAnsi="Times New Roman"/>
            <w:noProof/>
          </w:rPr>
          <w:tab/>
        </w:r>
        <w:r w:rsidR="00135D72" w:rsidRPr="009E1B38">
          <w:rPr>
            <w:rStyle w:val="Kpr"/>
            <w:rFonts w:ascii="Times New Roman" w:hAnsi="Times New Roman"/>
            <w:noProof/>
          </w:rPr>
          <w:t>Transmission Surcharge</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_Toc113615349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195</w:t>
        </w:r>
        <w:r w:rsidR="00135D72" w:rsidRPr="009E1B38">
          <w:rPr>
            <w:rFonts w:ascii="Times New Roman" w:hAnsi="Times New Roman"/>
            <w:noProof/>
            <w:webHidden/>
          </w:rPr>
          <w:fldChar w:fldCharType="end"/>
        </w:r>
      </w:hyperlink>
    </w:p>
    <w:p w14:paraId="3636BFFD" w14:textId="24C3527A" w:rsidR="00135D72" w:rsidRPr="009E1B38" w:rsidRDefault="00E020C3">
      <w:pPr>
        <w:pStyle w:val="T3"/>
        <w:rPr>
          <w:rFonts w:ascii="Times New Roman" w:eastAsiaTheme="minorEastAsia" w:hAnsi="Times New Roman"/>
          <w:noProof/>
        </w:rPr>
      </w:pPr>
      <w:hyperlink w:anchor="_Toc113615350" w:history="1">
        <w:r w:rsidR="00135D72" w:rsidRPr="009E1B38">
          <w:rPr>
            <w:rStyle w:val="Kpr"/>
            <w:rFonts w:ascii="Times New Roman" w:hAnsi="Times New Roman"/>
            <w:noProof/>
          </w:rPr>
          <w:t>4.1.2</w:t>
        </w:r>
        <w:r w:rsidR="00135D72" w:rsidRPr="009E1B38">
          <w:rPr>
            <w:rFonts w:ascii="Times New Roman" w:eastAsiaTheme="minorEastAsia" w:hAnsi="Times New Roman"/>
            <w:noProof/>
          </w:rPr>
          <w:tab/>
        </w:r>
        <w:r w:rsidR="00135D72" w:rsidRPr="009E1B38">
          <w:rPr>
            <w:rStyle w:val="Kpr"/>
            <w:rFonts w:ascii="Times New Roman" w:hAnsi="Times New Roman"/>
            <w:noProof/>
          </w:rPr>
          <w:t>Distribution and Retail Tariffication</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_Toc113615350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195</w:t>
        </w:r>
        <w:r w:rsidR="00135D72" w:rsidRPr="009E1B38">
          <w:rPr>
            <w:rFonts w:ascii="Times New Roman" w:hAnsi="Times New Roman"/>
            <w:noProof/>
            <w:webHidden/>
          </w:rPr>
          <w:fldChar w:fldCharType="end"/>
        </w:r>
      </w:hyperlink>
    </w:p>
    <w:p w14:paraId="6D7029F8" w14:textId="422CE6AC" w:rsidR="00135D72" w:rsidRPr="009E1B38" w:rsidRDefault="00E020C3">
      <w:pPr>
        <w:pStyle w:val="T4"/>
        <w:tabs>
          <w:tab w:val="left" w:pos="1540"/>
          <w:tab w:val="right" w:leader="dot" w:pos="9060"/>
        </w:tabs>
        <w:rPr>
          <w:rFonts w:ascii="Times New Roman" w:eastAsiaTheme="minorEastAsia" w:hAnsi="Times New Roman"/>
          <w:noProof/>
        </w:rPr>
      </w:pPr>
      <w:hyperlink w:anchor="_Toc113615351" w:history="1">
        <w:r w:rsidR="00135D72" w:rsidRPr="009E1B38">
          <w:rPr>
            <w:rStyle w:val="Kpr"/>
            <w:rFonts w:ascii="Times New Roman" w:hAnsi="Times New Roman"/>
            <w:noProof/>
          </w:rPr>
          <w:t>4.1.2.1</w:t>
        </w:r>
        <w:r w:rsidR="00135D72" w:rsidRPr="009E1B38">
          <w:rPr>
            <w:rFonts w:ascii="Times New Roman" w:eastAsiaTheme="minorEastAsia" w:hAnsi="Times New Roman"/>
            <w:noProof/>
          </w:rPr>
          <w:tab/>
        </w:r>
        <w:r w:rsidR="00135D72" w:rsidRPr="009E1B38">
          <w:rPr>
            <w:rStyle w:val="Kpr"/>
            <w:rFonts w:ascii="Times New Roman" w:hAnsi="Times New Roman"/>
            <w:noProof/>
          </w:rPr>
          <w:t>Distribution System Connection Fee</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_Toc113615351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200</w:t>
        </w:r>
        <w:r w:rsidR="00135D72" w:rsidRPr="009E1B38">
          <w:rPr>
            <w:rFonts w:ascii="Times New Roman" w:hAnsi="Times New Roman"/>
            <w:noProof/>
            <w:webHidden/>
          </w:rPr>
          <w:fldChar w:fldCharType="end"/>
        </w:r>
      </w:hyperlink>
    </w:p>
    <w:p w14:paraId="0306FFDD" w14:textId="7867B156" w:rsidR="00135D72" w:rsidRPr="009E1B38" w:rsidRDefault="00E020C3">
      <w:pPr>
        <w:pStyle w:val="T4"/>
        <w:tabs>
          <w:tab w:val="left" w:pos="1540"/>
          <w:tab w:val="right" w:leader="dot" w:pos="9060"/>
        </w:tabs>
        <w:rPr>
          <w:rFonts w:ascii="Times New Roman" w:eastAsiaTheme="minorEastAsia" w:hAnsi="Times New Roman"/>
          <w:noProof/>
        </w:rPr>
      </w:pPr>
      <w:hyperlink w:anchor="_Toc113615352" w:history="1">
        <w:r w:rsidR="00135D72" w:rsidRPr="009E1B38">
          <w:rPr>
            <w:rStyle w:val="Kpr"/>
            <w:rFonts w:ascii="Times New Roman" w:hAnsi="Times New Roman"/>
            <w:noProof/>
          </w:rPr>
          <w:t>4.1.2.2</w:t>
        </w:r>
        <w:r w:rsidR="00135D72" w:rsidRPr="009E1B38">
          <w:rPr>
            <w:rFonts w:ascii="Times New Roman" w:eastAsiaTheme="minorEastAsia" w:hAnsi="Times New Roman"/>
            <w:noProof/>
          </w:rPr>
          <w:tab/>
        </w:r>
        <w:r w:rsidR="00135D72" w:rsidRPr="009E1B38">
          <w:rPr>
            <w:rStyle w:val="Kpr"/>
            <w:rFonts w:ascii="Times New Roman" w:hAnsi="Times New Roman"/>
            <w:noProof/>
          </w:rPr>
          <w:t>Cutting-Connecting Fee</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_Toc113615352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201</w:t>
        </w:r>
        <w:r w:rsidR="00135D72" w:rsidRPr="009E1B38">
          <w:rPr>
            <w:rFonts w:ascii="Times New Roman" w:hAnsi="Times New Roman"/>
            <w:noProof/>
            <w:webHidden/>
          </w:rPr>
          <w:fldChar w:fldCharType="end"/>
        </w:r>
      </w:hyperlink>
    </w:p>
    <w:p w14:paraId="3E9282FF" w14:textId="0B939C0C" w:rsidR="00135D72" w:rsidRPr="009E1B38" w:rsidRDefault="00E020C3">
      <w:pPr>
        <w:pStyle w:val="T4"/>
        <w:tabs>
          <w:tab w:val="left" w:pos="1540"/>
          <w:tab w:val="right" w:leader="dot" w:pos="9060"/>
        </w:tabs>
        <w:rPr>
          <w:rFonts w:ascii="Times New Roman" w:eastAsiaTheme="minorEastAsia" w:hAnsi="Times New Roman"/>
          <w:noProof/>
        </w:rPr>
      </w:pPr>
      <w:hyperlink w:anchor="_Toc113615353" w:history="1">
        <w:r w:rsidR="00135D72" w:rsidRPr="009E1B38">
          <w:rPr>
            <w:rStyle w:val="Kpr"/>
            <w:rFonts w:ascii="Times New Roman" w:hAnsi="Times New Roman"/>
            <w:noProof/>
          </w:rPr>
          <w:t>4.1.2.3</w:t>
        </w:r>
        <w:r w:rsidR="00135D72" w:rsidRPr="009E1B38">
          <w:rPr>
            <w:rFonts w:ascii="Times New Roman" w:eastAsiaTheme="minorEastAsia" w:hAnsi="Times New Roman"/>
            <w:noProof/>
          </w:rPr>
          <w:tab/>
        </w:r>
        <w:r w:rsidR="00135D72" w:rsidRPr="009E1B38">
          <w:rPr>
            <w:rStyle w:val="Kpr"/>
            <w:rFonts w:ascii="Times New Roman" w:hAnsi="Times New Roman"/>
            <w:noProof/>
          </w:rPr>
          <w:t>Security Deposit</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_Toc113615353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201</w:t>
        </w:r>
        <w:r w:rsidR="00135D72" w:rsidRPr="009E1B38">
          <w:rPr>
            <w:rFonts w:ascii="Times New Roman" w:hAnsi="Times New Roman"/>
            <w:noProof/>
            <w:webHidden/>
          </w:rPr>
          <w:fldChar w:fldCharType="end"/>
        </w:r>
      </w:hyperlink>
    </w:p>
    <w:p w14:paraId="15B855F2" w14:textId="75BE709D" w:rsidR="00135D72" w:rsidRPr="009E1B38" w:rsidRDefault="00E020C3">
      <w:pPr>
        <w:pStyle w:val="T4"/>
        <w:tabs>
          <w:tab w:val="left" w:pos="1540"/>
          <w:tab w:val="right" w:leader="dot" w:pos="9060"/>
        </w:tabs>
        <w:rPr>
          <w:rFonts w:ascii="Times New Roman" w:eastAsiaTheme="minorEastAsia" w:hAnsi="Times New Roman"/>
          <w:noProof/>
        </w:rPr>
      </w:pPr>
      <w:hyperlink w:anchor="_Toc113615354" w:history="1">
        <w:r w:rsidR="00135D72" w:rsidRPr="009E1B38">
          <w:rPr>
            <w:rStyle w:val="Kpr"/>
            <w:rFonts w:ascii="Times New Roman" w:hAnsi="Times New Roman"/>
            <w:noProof/>
          </w:rPr>
          <w:t>4.1.2.4</w:t>
        </w:r>
        <w:r w:rsidR="00135D72" w:rsidRPr="009E1B38">
          <w:rPr>
            <w:rFonts w:ascii="Times New Roman" w:eastAsiaTheme="minorEastAsia" w:hAnsi="Times New Roman"/>
            <w:noProof/>
          </w:rPr>
          <w:tab/>
        </w:r>
        <w:r w:rsidR="00135D72" w:rsidRPr="009E1B38">
          <w:rPr>
            <w:rStyle w:val="Kpr"/>
            <w:rFonts w:ascii="Times New Roman" w:hAnsi="Times New Roman"/>
            <w:noProof/>
          </w:rPr>
          <w:t>Meter Check Fee</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_Toc113615354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201</w:t>
        </w:r>
        <w:r w:rsidR="00135D72" w:rsidRPr="009E1B38">
          <w:rPr>
            <w:rFonts w:ascii="Times New Roman" w:hAnsi="Times New Roman"/>
            <w:noProof/>
            <w:webHidden/>
          </w:rPr>
          <w:fldChar w:fldCharType="end"/>
        </w:r>
      </w:hyperlink>
    </w:p>
    <w:p w14:paraId="5BC5DF35" w14:textId="18F4F033" w:rsidR="00135D72" w:rsidRPr="009E1B38" w:rsidRDefault="00E020C3">
      <w:pPr>
        <w:pStyle w:val="T3"/>
        <w:rPr>
          <w:rFonts w:ascii="Times New Roman" w:eastAsiaTheme="minorEastAsia" w:hAnsi="Times New Roman"/>
          <w:noProof/>
        </w:rPr>
      </w:pPr>
      <w:hyperlink w:anchor="_Toc113615355" w:history="1">
        <w:r w:rsidR="00135D72" w:rsidRPr="009E1B38">
          <w:rPr>
            <w:rStyle w:val="Kpr"/>
            <w:rFonts w:ascii="Times New Roman" w:hAnsi="Times New Roman"/>
            <w:noProof/>
          </w:rPr>
          <w:t>4.1.3</w:t>
        </w:r>
        <w:r w:rsidR="00135D72" w:rsidRPr="009E1B38">
          <w:rPr>
            <w:rFonts w:ascii="Times New Roman" w:eastAsiaTheme="minorEastAsia" w:hAnsi="Times New Roman"/>
            <w:noProof/>
          </w:rPr>
          <w:tab/>
        </w:r>
        <w:r w:rsidR="00135D72" w:rsidRPr="009E1B38">
          <w:rPr>
            <w:rStyle w:val="Kpr"/>
            <w:rFonts w:ascii="Times New Roman" w:hAnsi="Times New Roman"/>
            <w:noProof/>
          </w:rPr>
          <w:t>Market Operation Tariffication</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_Toc113615355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203</w:t>
        </w:r>
        <w:r w:rsidR="00135D72" w:rsidRPr="009E1B38">
          <w:rPr>
            <w:rFonts w:ascii="Times New Roman" w:hAnsi="Times New Roman"/>
            <w:noProof/>
            <w:webHidden/>
          </w:rPr>
          <w:fldChar w:fldCharType="end"/>
        </w:r>
      </w:hyperlink>
    </w:p>
    <w:p w14:paraId="5110DA3B" w14:textId="685A8AB7" w:rsidR="00135D72" w:rsidRPr="009E1B38" w:rsidRDefault="00E020C3">
      <w:pPr>
        <w:pStyle w:val="T3"/>
        <w:rPr>
          <w:rFonts w:ascii="Times New Roman" w:eastAsiaTheme="minorEastAsia" w:hAnsi="Times New Roman"/>
          <w:noProof/>
        </w:rPr>
      </w:pPr>
      <w:hyperlink w:anchor="_Toc113615356" w:history="1">
        <w:r w:rsidR="00135D72" w:rsidRPr="009E1B38">
          <w:rPr>
            <w:rStyle w:val="Kpr"/>
            <w:rFonts w:ascii="Times New Roman" w:hAnsi="Times New Roman"/>
            <w:noProof/>
          </w:rPr>
          <w:t>4.1.4</w:t>
        </w:r>
        <w:r w:rsidR="00135D72" w:rsidRPr="009E1B38">
          <w:rPr>
            <w:rFonts w:ascii="Times New Roman" w:eastAsiaTheme="minorEastAsia" w:hAnsi="Times New Roman"/>
            <w:noProof/>
          </w:rPr>
          <w:tab/>
        </w:r>
        <w:r w:rsidR="00135D72" w:rsidRPr="009E1B38">
          <w:rPr>
            <w:rStyle w:val="Kpr"/>
            <w:rFonts w:ascii="Times New Roman" w:hAnsi="Times New Roman"/>
            <w:noProof/>
          </w:rPr>
          <w:t>OIZ Distribution Fee</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_Toc113615356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203</w:t>
        </w:r>
        <w:r w:rsidR="00135D72" w:rsidRPr="009E1B38">
          <w:rPr>
            <w:rFonts w:ascii="Times New Roman" w:hAnsi="Times New Roman"/>
            <w:noProof/>
            <w:webHidden/>
          </w:rPr>
          <w:fldChar w:fldCharType="end"/>
        </w:r>
      </w:hyperlink>
    </w:p>
    <w:p w14:paraId="0E90EB71" w14:textId="59C6F246" w:rsidR="00135D72" w:rsidRPr="009E1B38" w:rsidRDefault="00E020C3">
      <w:pPr>
        <w:pStyle w:val="T3"/>
        <w:rPr>
          <w:rFonts w:ascii="Times New Roman" w:eastAsiaTheme="minorEastAsia" w:hAnsi="Times New Roman"/>
          <w:noProof/>
        </w:rPr>
      </w:pPr>
      <w:hyperlink w:anchor="_Toc113615357" w:history="1">
        <w:r w:rsidR="00135D72" w:rsidRPr="009E1B38">
          <w:rPr>
            <w:rStyle w:val="Kpr"/>
            <w:rFonts w:ascii="Times New Roman" w:hAnsi="Times New Roman"/>
            <w:noProof/>
          </w:rPr>
          <w:t>4.1.5</w:t>
        </w:r>
        <w:r w:rsidR="00135D72" w:rsidRPr="009E1B38">
          <w:rPr>
            <w:rFonts w:ascii="Times New Roman" w:eastAsiaTheme="minorEastAsia" w:hAnsi="Times New Roman"/>
            <w:noProof/>
          </w:rPr>
          <w:tab/>
        </w:r>
        <w:r w:rsidR="00135D72" w:rsidRPr="009E1B38">
          <w:rPr>
            <w:rStyle w:val="Kpr"/>
            <w:rFonts w:ascii="Times New Roman" w:hAnsi="Times New Roman"/>
            <w:noProof/>
          </w:rPr>
          <w:t>EÜAŞ Wholesale Tariffication</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_Toc113615357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203</w:t>
        </w:r>
        <w:r w:rsidR="00135D72" w:rsidRPr="009E1B38">
          <w:rPr>
            <w:rFonts w:ascii="Times New Roman" w:hAnsi="Times New Roman"/>
            <w:noProof/>
            <w:webHidden/>
          </w:rPr>
          <w:fldChar w:fldCharType="end"/>
        </w:r>
      </w:hyperlink>
    </w:p>
    <w:p w14:paraId="68A51801" w14:textId="1B628525" w:rsidR="00135D72" w:rsidRPr="009E1B38" w:rsidRDefault="00E020C3">
      <w:pPr>
        <w:pStyle w:val="T3"/>
        <w:rPr>
          <w:rFonts w:ascii="Times New Roman" w:eastAsiaTheme="minorEastAsia" w:hAnsi="Times New Roman"/>
          <w:noProof/>
        </w:rPr>
      </w:pPr>
      <w:hyperlink w:anchor="_Toc113615358" w:history="1">
        <w:r w:rsidR="00135D72" w:rsidRPr="009E1B38">
          <w:rPr>
            <w:rStyle w:val="Kpr"/>
            <w:rFonts w:ascii="Times New Roman" w:hAnsi="Times New Roman"/>
            <w:noProof/>
          </w:rPr>
          <w:t>4.1.6</w:t>
        </w:r>
        <w:r w:rsidR="00135D72" w:rsidRPr="009E1B38">
          <w:rPr>
            <w:rFonts w:ascii="Times New Roman" w:eastAsiaTheme="minorEastAsia" w:hAnsi="Times New Roman"/>
            <w:noProof/>
          </w:rPr>
          <w:tab/>
        </w:r>
        <w:r w:rsidR="00135D72" w:rsidRPr="009E1B38">
          <w:rPr>
            <w:rStyle w:val="Kpr"/>
            <w:rFonts w:ascii="Times New Roman" w:hAnsi="Times New Roman"/>
            <w:noProof/>
          </w:rPr>
          <w:t>Türkiye Average Electricity Wholesale Price</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_Toc113615358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204</w:t>
        </w:r>
        <w:r w:rsidR="00135D72" w:rsidRPr="009E1B38">
          <w:rPr>
            <w:rFonts w:ascii="Times New Roman" w:hAnsi="Times New Roman"/>
            <w:noProof/>
            <w:webHidden/>
          </w:rPr>
          <w:fldChar w:fldCharType="end"/>
        </w:r>
      </w:hyperlink>
    </w:p>
    <w:p w14:paraId="2096C2EB" w14:textId="7E0B4A98" w:rsidR="00135D72" w:rsidRPr="009E1B38" w:rsidRDefault="00E020C3">
      <w:pPr>
        <w:pStyle w:val="T3"/>
        <w:rPr>
          <w:rFonts w:ascii="Times New Roman" w:eastAsiaTheme="minorEastAsia" w:hAnsi="Times New Roman"/>
          <w:noProof/>
        </w:rPr>
      </w:pPr>
      <w:hyperlink w:anchor="_Toc113615359" w:history="1">
        <w:r w:rsidR="00135D72" w:rsidRPr="009E1B38">
          <w:rPr>
            <w:rStyle w:val="Kpr"/>
            <w:rFonts w:ascii="Times New Roman" w:eastAsia="Times New Roman" w:hAnsi="Times New Roman"/>
            <w:noProof/>
          </w:rPr>
          <w:t>4.1.7</w:t>
        </w:r>
        <w:r w:rsidR="00135D72" w:rsidRPr="009E1B38">
          <w:rPr>
            <w:rFonts w:ascii="Times New Roman" w:eastAsiaTheme="minorEastAsia" w:hAnsi="Times New Roman"/>
            <w:noProof/>
          </w:rPr>
          <w:tab/>
        </w:r>
        <w:r w:rsidR="00135D72" w:rsidRPr="009E1B38">
          <w:rPr>
            <w:rStyle w:val="Kpr"/>
            <w:rFonts w:ascii="Times New Roman" w:eastAsia="Times New Roman" w:hAnsi="Times New Roman"/>
            <w:noProof/>
          </w:rPr>
          <w:t>Other Tariffication Decisions Regarding the Electricity Market</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_Toc113615359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204</w:t>
        </w:r>
        <w:r w:rsidR="00135D72" w:rsidRPr="009E1B38">
          <w:rPr>
            <w:rFonts w:ascii="Times New Roman" w:hAnsi="Times New Roman"/>
            <w:noProof/>
            <w:webHidden/>
          </w:rPr>
          <w:fldChar w:fldCharType="end"/>
        </w:r>
      </w:hyperlink>
    </w:p>
    <w:p w14:paraId="52C08211" w14:textId="563C76F5" w:rsidR="00135D72" w:rsidRPr="009E1B38" w:rsidRDefault="00E020C3">
      <w:pPr>
        <w:pStyle w:val="T3"/>
        <w:rPr>
          <w:rFonts w:ascii="Times New Roman" w:eastAsiaTheme="minorEastAsia" w:hAnsi="Times New Roman"/>
          <w:noProof/>
        </w:rPr>
      </w:pPr>
      <w:hyperlink w:anchor="_Toc113615360" w:history="1">
        <w:r w:rsidR="00135D72" w:rsidRPr="009E1B38">
          <w:rPr>
            <w:rStyle w:val="Kpr"/>
            <w:rFonts w:ascii="Times New Roman" w:hAnsi="Times New Roman"/>
            <w:noProof/>
          </w:rPr>
          <w:t>4.1.8</w:t>
        </w:r>
        <w:r w:rsidR="00135D72" w:rsidRPr="009E1B38">
          <w:rPr>
            <w:rFonts w:ascii="Times New Roman" w:eastAsiaTheme="minorEastAsia" w:hAnsi="Times New Roman"/>
            <w:noProof/>
          </w:rPr>
          <w:tab/>
        </w:r>
        <w:r w:rsidR="00135D72" w:rsidRPr="009E1B38">
          <w:rPr>
            <w:rStyle w:val="Kpr"/>
            <w:rFonts w:ascii="Times New Roman" w:hAnsi="Times New Roman"/>
            <w:noProof/>
          </w:rPr>
          <w:t>Licence Fees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_Toc113615360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210</w:t>
        </w:r>
        <w:r w:rsidR="00135D72" w:rsidRPr="009E1B38">
          <w:rPr>
            <w:rFonts w:ascii="Times New Roman" w:hAnsi="Times New Roman"/>
            <w:noProof/>
            <w:webHidden/>
          </w:rPr>
          <w:fldChar w:fldCharType="end"/>
        </w:r>
      </w:hyperlink>
    </w:p>
    <w:p w14:paraId="3E4AB811" w14:textId="5F62B1CB" w:rsidR="00135D72" w:rsidRPr="009E1B38" w:rsidRDefault="00E020C3">
      <w:pPr>
        <w:pStyle w:val="T2"/>
        <w:rPr>
          <w:rFonts w:ascii="Times New Roman" w:eastAsiaTheme="minorEastAsia" w:hAnsi="Times New Roman"/>
          <w:bCs w:val="0"/>
        </w:rPr>
      </w:pPr>
      <w:hyperlink w:anchor="_Toc113615361" w:history="1">
        <w:r w:rsidR="00135D72" w:rsidRPr="009E1B38">
          <w:rPr>
            <w:rStyle w:val="Kpr"/>
            <w:rFonts w:ascii="Times New Roman" w:hAnsi="Times New Roman"/>
          </w:rPr>
          <w:t>4.2</w:t>
        </w:r>
        <w:r w:rsidR="00135D72" w:rsidRPr="009E1B38">
          <w:rPr>
            <w:rFonts w:ascii="Times New Roman" w:eastAsiaTheme="minorEastAsia" w:hAnsi="Times New Roman"/>
            <w:bCs w:val="0"/>
          </w:rPr>
          <w:tab/>
        </w:r>
        <w:r w:rsidR="00135D72" w:rsidRPr="009E1B38">
          <w:rPr>
            <w:rStyle w:val="Kpr"/>
            <w:rFonts w:ascii="Times New Roman" w:hAnsi="Times New Roman"/>
          </w:rPr>
          <w:t>Natural Gas Market Tariffs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_Toc113615361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211</w:t>
        </w:r>
        <w:r w:rsidR="00135D72" w:rsidRPr="009E1B38">
          <w:rPr>
            <w:rFonts w:ascii="Times New Roman" w:hAnsi="Times New Roman"/>
            <w:webHidden/>
          </w:rPr>
          <w:fldChar w:fldCharType="end"/>
        </w:r>
      </w:hyperlink>
    </w:p>
    <w:p w14:paraId="5384419C" w14:textId="4BFED708" w:rsidR="00135D72" w:rsidRPr="009E1B38" w:rsidRDefault="00E020C3">
      <w:pPr>
        <w:pStyle w:val="T3"/>
        <w:rPr>
          <w:rFonts w:ascii="Times New Roman" w:eastAsiaTheme="minorEastAsia" w:hAnsi="Times New Roman"/>
          <w:noProof/>
        </w:rPr>
      </w:pPr>
      <w:hyperlink w:anchor="_Toc113615362" w:history="1">
        <w:r w:rsidR="00135D72" w:rsidRPr="009E1B38">
          <w:rPr>
            <w:rStyle w:val="Kpr"/>
            <w:rFonts w:ascii="Times New Roman" w:hAnsi="Times New Roman"/>
            <w:noProof/>
          </w:rPr>
          <w:t>4.2.1</w:t>
        </w:r>
        <w:r w:rsidR="00135D72" w:rsidRPr="009E1B38">
          <w:rPr>
            <w:rFonts w:ascii="Times New Roman" w:eastAsiaTheme="minorEastAsia" w:hAnsi="Times New Roman"/>
            <w:noProof/>
          </w:rPr>
          <w:tab/>
        </w:r>
        <w:r w:rsidR="00135D72" w:rsidRPr="009E1B38">
          <w:rPr>
            <w:rStyle w:val="Kpr"/>
            <w:rFonts w:ascii="Times New Roman" w:hAnsi="Times New Roman"/>
            <w:noProof/>
          </w:rPr>
          <w:t>Transmission and Shipment Control Tariffs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_Toc113615362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211</w:t>
        </w:r>
        <w:r w:rsidR="00135D72" w:rsidRPr="009E1B38">
          <w:rPr>
            <w:rFonts w:ascii="Times New Roman" w:hAnsi="Times New Roman"/>
            <w:noProof/>
            <w:webHidden/>
          </w:rPr>
          <w:fldChar w:fldCharType="end"/>
        </w:r>
      </w:hyperlink>
    </w:p>
    <w:p w14:paraId="13D5EAEC" w14:textId="5ECC386D" w:rsidR="00135D72" w:rsidRPr="009E1B38" w:rsidRDefault="00E020C3">
      <w:pPr>
        <w:pStyle w:val="T3"/>
        <w:rPr>
          <w:rFonts w:ascii="Times New Roman" w:eastAsiaTheme="minorEastAsia" w:hAnsi="Times New Roman"/>
          <w:noProof/>
        </w:rPr>
      </w:pPr>
      <w:hyperlink w:anchor="_Toc113615363" w:history="1">
        <w:r w:rsidR="00135D72" w:rsidRPr="009E1B38">
          <w:rPr>
            <w:rStyle w:val="Kpr"/>
            <w:rFonts w:ascii="Times New Roman" w:hAnsi="Times New Roman"/>
            <w:noProof/>
          </w:rPr>
          <w:t>4.2.2</w:t>
        </w:r>
        <w:r w:rsidR="00135D72" w:rsidRPr="009E1B38">
          <w:rPr>
            <w:rFonts w:ascii="Times New Roman" w:eastAsiaTheme="minorEastAsia" w:hAnsi="Times New Roman"/>
            <w:noProof/>
          </w:rPr>
          <w:tab/>
        </w:r>
        <w:r w:rsidR="00135D72" w:rsidRPr="009E1B38">
          <w:rPr>
            <w:rStyle w:val="Kpr"/>
            <w:rFonts w:ascii="Times New Roman" w:hAnsi="Times New Roman"/>
            <w:noProof/>
          </w:rPr>
          <w:t>Connection Tariffs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_Toc113615363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212</w:t>
        </w:r>
        <w:r w:rsidR="00135D72" w:rsidRPr="009E1B38">
          <w:rPr>
            <w:rFonts w:ascii="Times New Roman" w:hAnsi="Times New Roman"/>
            <w:noProof/>
            <w:webHidden/>
          </w:rPr>
          <w:fldChar w:fldCharType="end"/>
        </w:r>
      </w:hyperlink>
    </w:p>
    <w:p w14:paraId="10A20CC5" w14:textId="2CBB5878" w:rsidR="00135D72" w:rsidRPr="009E1B38" w:rsidRDefault="00E020C3">
      <w:pPr>
        <w:pStyle w:val="T3"/>
        <w:rPr>
          <w:rFonts w:ascii="Times New Roman" w:eastAsiaTheme="minorEastAsia" w:hAnsi="Times New Roman"/>
          <w:noProof/>
        </w:rPr>
      </w:pPr>
      <w:hyperlink w:anchor="_Toc113615364" w:history="1">
        <w:r w:rsidR="00135D72" w:rsidRPr="009E1B38">
          <w:rPr>
            <w:rStyle w:val="Kpr"/>
            <w:rFonts w:ascii="Times New Roman" w:hAnsi="Times New Roman"/>
            <w:noProof/>
          </w:rPr>
          <w:t>4.2.3</w:t>
        </w:r>
        <w:r w:rsidR="00135D72" w:rsidRPr="009E1B38">
          <w:rPr>
            <w:rFonts w:ascii="Times New Roman" w:eastAsiaTheme="minorEastAsia" w:hAnsi="Times New Roman"/>
            <w:noProof/>
          </w:rPr>
          <w:tab/>
        </w:r>
        <w:r w:rsidR="00135D72" w:rsidRPr="009E1B38">
          <w:rPr>
            <w:rStyle w:val="Kpr"/>
            <w:rFonts w:ascii="Times New Roman" w:hAnsi="Times New Roman"/>
            <w:noProof/>
          </w:rPr>
          <w:t>Fees for Internal Installation Project Approval, Controlling, Testing and Commissioning Procedures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_Toc113615364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212</w:t>
        </w:r>
        <w:r w:rsidR="00135D72" w:rsidRPr="009E1B38">
          <w:rPr>
            <w:rFonts w:ascii="Times New Roman" w:hAnsi="Times New Roman"/>
            <w:noProof/>
            <w:webHidden/>
          </w:rPr>
          <w:fldChar w:fldCharType="end"/>
        </w:r>
      </w:hyperlink>
    </w:p>
    <w:p w14:paraId="33D09B6A" w14:textId="635E84F6" w:rsidR="00135D72" w:rsidRPr="009E1B38" w:rsidRDefault="00E020C3">
      <w:pPr>
        <w:pStyle w:val="T3"/>
        <w:rPr>
          <w:rFonts w:ascii="Times New Roman" w:eastAsiaTheme="minorEastAsia" w:hAnsi="Times New Roman"/>
          <w:noProof/>
        </w:rPr>
      </w:pPr>
      <w:hyperlink w:anchor="_Toc113615365" w:history="1">
        <w:r w:rsidR="00135D72" w:rsidRPr="009E1B38">
          <w:rPr>
            <w:rStyle w:val="Kpr"/>
            <w:rFonts w:ascii="Times New Roman" w:hAnsi="Times New Roman"/>
            <w:noProof/>
          </w:rPr>
          <w:t>4.2.4</w:t>
        </w:r>
        <w:r w:rsidR="00135D72" w:rsidRPr="009E1B38">
          <w:rPr>
            <w:rFonts w:ascii="Times New Roman" w:eastAsiaTheme="minorEastAsia" w:hAnsi="Times New Roman"/>
            <w:noProof/>
          </w:rPr>
          <w:tab/>
        </w:r>
        <w:r w:rsidR="00135D72" w:rsidRPr="009E1B38">
          <w:rPr>
            <w:rStyle w:val="Kpr"/>
            <w:rFonts w:ascii="Times New Roman" w:hAnsi="Times New Roman"/>
            <w:noProof/>
          </w:rPr>
          <w:t>Wholesale Tariffs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_Toc113615365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213</w:t>
        </w:r>
        <w:r w:rsidR="00135D72" w:rsidRPr="009E1B38">
          <w:rPr>
            <w:rFonts w:ascii="Times New Roman" w:hAnsi="Times New Roman"/>
            <w:noProof/>
            <w:webHidden/>
          </w:rPr>
          <w:fldChar w:fldCharType="end"/>
        </w:r>
      </w:hyperlink>
    </w:p>
    <w:p w14:paraId="64E6EDAC" w14:textId="7C831AB1" w:rsidR="00135D72" w:rsidRPr="009E1B38" w:rsidRDefault="00E020C3">
      <w:pPr>
        <w:pStyle w:val="T3"/>
        <w:rPr>
          <w:rFonts w:ascii="Times New Roman" w:eastAsiaTheme="minorEastAsia" w:hAnsi="Times New Roman"/>
          <w:noProof/>
        </w:rPr>
      </w:pPr>
      <w:hyperlink w:anchor="_Toc113615366" w:history="1">
        <w:r w:rsidR="00135D72" w:rsidRPr="009E1B38">
          <w:rPr>
            <w:rStyle w:val="Kpr"/>
            <w:rFonts w:ascii="Times New Roman" w:hAnsi="Times New Roman"/>
            <w:noProof/>
          </w:rPr>
          <w:t>4.2.5</w:t>
        </w:r>
        <w:r w:rsidR="00135D72" w:rsidRPr="009E1B38">
          <w:rPr>
            <w:rFonts w:ascii="Times New Roman" w:eastAsiaTheme="minorEastAsia" w:hAnsi="Times New Roman"/>
            <w:noProof/>
          </w:rPr>
          <w:tab/>
        </w:r>
        <w:r w:rsidR="00135D72" w:rsidRPr="009E1B38">
          <w:rPr>
            <w:rStyle w:val="Kpr"/>
            <w:rFonts w:ascii="Times New Roman" w:hAnsi="Times New Roman"/>
            <w:noProof/>
          </w:rPr>
          <w:t>Retail Tariffs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_Toc113615366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213</w:t>
        </w:r>
        <w:r w:rsidR="00135D72" w:rsidRPr="009E1B38">
          <w:rPr>
            <w:rFonts w:ascii="Times New Roman" w:hAnsi="Times New Roman"/>
            <w:noProof/>
            <w:webHidden/>
          </w:rPr>
          <w:fldChar w:fldCharType="end"/>
        </w:r>
      </w:hyperlink>
    </w:p>
    <w:p w14:paraId="0A38DA38" w14:textId="08F721AE" w:rsidR="00135D72" w:rsidRPr="009E1B38" w:rsidRDefault="00E020C3">
      <w:pPr>
        <w:pStyle w:val="T3"/>
        <w:rPr>
          <w:rFonts w:ascii="Times New Roman" w:eastAsiaTheme="minorEastAsia" w:hAnsi="Times New Roman"/>
          <w:noProof/>
        </w:rPr>
      </w:pPr>
      <w:hyperlink w:anchor="_Toc113615367" w:history="1">
        <w:r w:rsidR="00135D72" w:rsidRPr="009E1B38">
          <w:rPr>
            <w:rStyle w:val="Kpr"/>
            <w:rFonts w:ascii="Times New Roman" w:eastAsia="Times New Roman" w:hAnsi="Times New Roman"/>
            <w:noProof/>
          </w:rPr>
          <w:t>4.2.6</w:t>
        </w:r>
        <w:r w:rsidR="00135D72" w:rsidRPr="009E1B38">
          <w:rPr>
            <w:rFonts w:ascii="Times New Roman" w:eastAsiaTheme="minorEastAsia" w:hAnsi="Times New Roman"/>
            <w:noProof/>
          </w:rPr>
          <w:tab/>
        </w:r>
        <w:r w:rsidR="00135D72" w:rsidRPr="009E1B38">
          <w:rPr>
            <w:rStyle w:val="Kpr"/>
            <w:rFonts w:ascii="Times New Roman" w:eastAsia="Times New Roman" w:hAnsi="Times New Roman"/>
            <w:noProof/>
          </w:rPr>
          <w:t>Other Tariff Board Decisions Regarding the Natural Gas Market</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_Toc113615367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215</w:t>
        </w:r>
        <w:r w:rsidR="00135D72" w:rsidRPr="009E1B38">
          <w:rPr>
            <w:rFonts w:ascii="Times New Roman" w:hAnsi="Times New Roman"/>
            <w:noProof/>
            <w:webHidden/>
          </w:rPr>
          <w:fldChar w:fldCharType="end"/>
        </w:r>
      </w:hyperlink>
    </w:p>
    <w:p w14:paraId="42185E0D" w14:textId="4E12E95D" w:rsidR="00135D72" w:rsidRPr="009E1B38" w:rsidRDefault="00E020C3">
      <w:pPr>
        <w:pStyle w:val="T3"/>
        <w:rPr>
          <w:rFonts w:ascii="Times New Roman" w:eastAsiaTheme="minorEastAsia" w:hAnsi="Times New Roman"/>
          <w:noProof/>
        </w:rPr>
      </w:pPr>
      <w:hyperlink w:anchor="_Toc113615368" w:history="1">
        <w:r w:rsidR="00135D72" w:rsidRPr="009E1B38">
          <w:rPr>
            <w:rStyle w:val="Kpr"/>
            <w:rFonts w:ascii="Times New Roman" w:hAnsi="Times New Roman"/>
            <w:noProof/>
          </w:rPr>
          <w:t>4.2.7</w:t>
        </w:r>
        <w:r w:rsidR="00135D72" w:rsidRPr="009E1B38">
          <w:rPr>
            <w:rFonts w:ascii="Times New Roman" w:eastAsiaTheme="minorEastAsia" w:hAnsi="Times New Roman"/>
            <w:noProof/>
          </w:rPr>
          <w:tab/>
        </w:r>
        <w:r w:rsidR="00135D72" w:rsidRPr="009E1B38">
          <w:rPr>
            <w:rStyle w:val="Kpr"/>
            <w:rFonts w:ascii="Times New Roman" w:hAnsi="Times New Roman"/>
            <w:noProof/>
          </w:rPr>
          <w:t>License Fees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_Toc113615368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216</w:t>
        </w:r>
        <w:r w:rsidR="00135D72" w:rsidRPr="009E1B38">
          <w:rPr>
            <w:rFonts w:ascii="Times New Roman" w:hAnsi="Times New Roman"/>
            <w:noProof/>
            <w:webHidden/>
          </w:rPr>
          <w:fldChar w:fldCharType="end"/>
        </w:r>
      </w:hyperlink>
    </w:p>
    <w:p w14:paraId="3BDCEC0B" w14:textId="3AA5078C" w:rsidR="00135D72" w:rsidRPr="009E1B38" w:rsidRDefault="00E020C3">
      <w:pPr>
        <w:pStyle w:val="T2"/>
        <w:rPr>
          <w:rFonts w:ascii="Times New Roman" w:eastAsiaTheme="minorEastAsia" w:hAnsi="Times New Roman"/>
          <w:bCs w:val="0"/>
        </w:rPr>
      </w:pPr>
      <w:hyperlink w:anchor="_Toc113615369" w:history="1">
        <w:r w:rsidR="00135D72" w:rsidRPr="009E1B38">
          <w:rPr>
            <w:rStyle w:val="Kpr"/>
            <w:rFonts w:ascii="Times New Roman" w:hAnsi="Times New Roman"/>
          </w:rPr>
          <w:t>4.3</w:t>
        </w:r>
        <w:r w:rsidR="00135D72" w:rsidRPr="009E1B38">
          <w:rPr>
            <w:rFonts w:ascii="Times New Roman" w:eastAsiaTheme="minorEastAsia" w:hAnsi="Times New Roman"/>
            <w:bCs w:val="0"/>
          </w:rPr>
          <w:tab/>
        </w:r>
        <w:r w:rsidR="00135D72" w:rsidRPr="009E1B38">
          <w:rPr>
            <w:rStyle w:val="Kpr"/>
            <w:rFonts w:ascii="Times New Roman" w:hAnsi="Times New Roman"/>
          </w:rPr>
          <w:t>Petroleum Market Tariffs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_Toc113615369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217</w:t>
        </w:r>
        <w:r w:rsidR="00135D72" w:rsidRPr="009E1B38">
          <w:rPr>
            <w:rFonts w:ascii="Times New Roman" w:hAnsi="Times New Roman"/>
            <w:webHidden/>
          </w:rPr>
          <w:fldChar w:fldCharType="end"/>
        </w:r>
      </w:hyperlink>
    </w:p>
    <w:p w14:paraId="25583B3D" w14:textId="252D50B0" w:rsidR="00135D72" w:rsidRPr="009E1B38" w:rsidRDefault="00E020C3">
      <w:pPr>
        <w:pStyle w:val="T3"/>
        <w:rPr>
          <w:rFonts w:ascii="Times New Roman" w:eastAsiaTheme="minorEastAsia" w:hAnsi="Times New Roman"/>
          <w:noProof/>
        </w:rPr>
      </w:pPr>
      <w:hyperlink w:anchor="_Toc113615370" w:history="1">
        <w:r w:rsidR="00135D72" w:rsidRPr="009E1B38">
          <w:rPr>
            <w:rStyle w:val="Kpr"/>
            <w:rFonts w:ascii="Times New Roman" w:hAnsi="Times New Roman"/>
            <w:noProof/>
          </w:rPr>
          <w:t>4.3.1</w:t>
        </w:r>
        <w:r w:rsidR="00135D72" w:rsidRPr="009E1B38">
          <w:rPr>
            <w:rFonts w:ascii="Times New Roman" w:eastAsiaTheme="minorEastAsia" w:hAnsi="Times New Roman"/>
            <w:noProof/>
          </w:rPr>
          <w:tab/>
        </w:r>
        <w:r w:rsidR="00135D72" w:rsidRPr="009E1B38">
          <w:rPr>
            <w:rStyle w:val="Kpr"/>
            <w:rFonts w:ascii="Times New Roman" w:hAnsi="Times New Roman"/>
            <w:noProof/>
          </w:rPr>
          <w:t>License Fees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_Toc113615370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219</w:t>
        </w:r>
        <w:r w:rsidR="00135D72" w:rsidRPr="009E1B38">
          <w:rPr>
            <w:rFonts w:ascii="Times New Roman" w:hAnsi="Times New Roman"/>
            <w:noProof/>
            <w:webHidden/>
          </w:rPr>
          <w:fldChar w:fldCharType="end"/>
        </w:r>
      </w:hyperlink>
    </w:p>
    <w:p w14:paraId="44E55373" w14:textId="04ED9A6D" w:rsidR="00135D72" w:rsidRPr="009E1B38" w:rsidRDefault="00E020C3">
      <w:pPr>
        <w:pStyle w:val="T2"/>
        <w:rPr>
          <w:rFonts w:ascii="Times New Roman" w:eastAsiaTheme="minorEastAsia" w:hAnsi="Times New Roman"/>
          <w:bCs w:val="0"/>
        </w:rPr>
      </w:pPr>
      <w:hyperlink w:anchor="_Toc113615371" w:history="1">
        <w:r w:rsidR="00135D72" w:rsidRPr="009E1B38">
          <w:rPr>
            <w:rStyle w:val="Kpr"/>
            <w:rFonts w:ascii="Times New Roman" w:hAnsi="Times New Roman"/>
          </w:rPr>
          <w:t>4.4</w:t>
        </w:r>
        <w:r w:rsidR="00135D72" w:rsidRPr="009E1B38">
          <w:rPr>
            <w:rFonts w:ascii="Times New Roman" w:eastAsiaTheme="minorEastAsia" w:hAnsi="Times New Roman"/>
            <w:bCs w:val="0"/>
          </w:rPr>
          <w:tab/>
        </w:r>
        <w:r w:rsidR="00135D72" w:rsidRPr="009E1B38">
          <w:rPr>
            <w:rStyle w:val="Kpr"/>
            <w:rFonts w:ascii="Times New Roman" w:hAnsi="Times New Roman"/>
          </w:rPr>
          <w:t>Prices in the Liquefied Petroleum Gas (LPG) Market</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_Toc113615371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220</w:t>
        </w:r>
        <w:r w:rsidR="00135D72" w:rsidRPr="009E1B38">
          <w:rPr>
            <w:rFonts w:ascii="Times New Roman" w:hAnsi="Times New Roman"/>
            <w:webHidden/>
          </w:rPr>
          <w:fldChar w:fldCharType="end"/>
        </w:r>
      </w:hyperlink>
    </w:p>
    <w:p w14:paraId="2CBF36C6" w14:textId="23A36CF0" w:rsidR="00135D72" w:rsidRPr="009E1B38" w:rsidRDefault="00E020C3">
      <w:pPr>
        <w:pStyle w:val="T3"/>
        <w:rPr>
          <w:rFonts w:ascii="Times New Roman" w:eastAsiaTheme="minorEastAsia" w:hAnsi="Times New Roman"/>
          <w:noProof/>
        </w:rPr>
      </w:pPr>
      <w:hyperlink w:anchor="_Toc113615372" w:history="1">
        <w:r w:rsidR="00135D72" w:rsidRPr="009E1B38">
          <w:rPr>
            <w:rStyle w:val="Kpr"/>
            <w:rFonts w:ascii="Times New Roman" w:hAnsi="Times New Roman"/>
            <w:noProof/>
          </w:rPr>
          <w:t>4.4.1</w:t>
        </w:r>
        <w:r w:rsidR="00135D72" w:rsidRPr="009E1B38">
          <w:rPr>
            <w:rFonts w:ascii="Times New Roman" w:eastAsiaTheme="minorEastAsia" w:hAnsi="Times New Roman"/>
            <w:noProof/>
          </w:rPr>
          <w:tab/>
        </w:r>
        <w:r w:rsidR="00135D72" w:rsidRPr="009E1B38">
          <w:rPr>
            <w:rStyle w:val="Kpr"/>
            <w:rFonts w:ascii="Times New Roman" w:hAnsi="Times New Roman"/>
            <w:noProof/>
          </w:rPr>
          <w:t>License Fees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_Toc113615372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220</w:t>
        </w:r>
        <w:r w:rsidR="00135D72" w:rsidRPr="009E1B38">
          <w:rPr>
            <w:rFonts w:ascii="Times New Roman" w:hAnsi="Times New Roman"/>
            <w:noProof/>
            <w:webHidden/>
          </w:rPr>
          <w:fldChar w:fldCharType="end"/>
        </w:r>
      </w:hyperlink>
    </w:p>
    <w:p w14:paraId="3EA51528" w14:textId="44D58519" w:rsidR="00135D72" w:rsidRPr="009E1B38" w:rsidRDefault="00E020C3">
      <w:pPr>
        <w:pStyle w:val="T1"/>
        <w:tabs>
          <w:tab w:val="left" w:pos="660"/>
        </w:tabs>
        <w:rPr>
          <w:rFonts w:ascii="Times New Roman" w:eastAsiaTheme="minorEastAsia" w:hAnsi="Times New Roman"/>
          <w:b w:val="0"/>
          <w:noProof/>
        </w:rPr>
      </w:pPr>
      <w:hyperlink w:anchor="_Toc113615373" w:history="1">
        <w:r w:rsidR="00135D72" w:rsidRPr="009E1B38">
          <w:rPr>
            <w:rStyle w:val="Kpr"/>
            <w:rFonts w:ascii="Times New Roman" w:eastAsia="Times New Roman" w:hAnsi="Times New Roman"/>
            <w:noProof/>
          </w:rPr>
          <w:t>5.</w:t>
        </w:r>
        <w:r w:rsidR="00135D72" w:rsidRPr="009E1B38">
          <w:rPr>
            <w:rFonts w:ascii="Times New Roman" w:eastAsiaTheme="minorEastAsia" w:hAnsi="Times New Roman"/>
            <w:b w:val="0"/>
            <w:noProof/>
          </w:rPr>
          <w:tab/>
        </w:r>
        <w:r w:rsidR="00135D72" w:rsidRPr="009E1B38">
          <w:rPr>
            <w:rStyle w:val="Kpr"/>
            <w:rFonts w:ascii="Times New Roman" w:eastAsia="Times New Roman" w:hAnsi="Times New Roman"/>
            <w:noProof/>
          </w:rPr>
          <w:t>INFORMATION SYSTEM ACTIVITIES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_Toc113615373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221</w:t>
        </w:r>
        <w:r w:rsidR="00135D72" w:rsidRPr="009E1B38">
          <w:rPr>
            <w:rFonts w:ascii="Times New Roman" w:hAnsi="Times New Roman"/>
            <w:noProof/>
            <w:webHidden/>
          </w:rPr>
          <w:fldChar w:fldCharType="end"/>
        </w:r>
      </w:hyperlink>
    </w:p>
    <w:p w14:paraId="5E298775" w14:textId="174F90E2" w:rsidR="00135D72" w:rsidRPr="009E1B38" w:rsidRDefault="00E020C3">
      <w:pPr>
        <w:pStyle w:val="T2"/>
        <w:rPr>
          <w:rFonts w:ascii="Times New Roman" w:eastAsiaTheme="minorEastAsia" w:hAnsi="Times New Roman"/>
          <w:bCs w:val="0"/>
        </w:rPr>
      </w:pPr>
      <w:hyperlink w:anchor="_Toc113615374" w:history="1">
        <w:r w:rsidR="00135D72" w:rsidRPr="009E1B38">
          <w:rPr>
            <w:rStyle w:val="Kpr"/>
            <w:rFonts w:ascii="Times New Roman" w:hAnsi="Times New Roman"/>
          </w:rPr>
          <w:t>5.1 Information Security Management System (ISMS)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_Toc113615374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221</w:t>
        </w:r>
        <w:r w:rsidR="00135D72" w:rsidRPr="009E1B38">
          <w:rPr>
            <w:rFonts w:ascii="Times New Roman" w:hAnsi="Times New Roman"/>
            <w:webHidden/>
          </w:rPr>
          <w:fldChar w:fldCharType="end"/>
        </w:r>
      </w:hyperlink>
    </w:p>
    <w:p w14:paraId="7A3E6ADE" w14:textId="0C4EC899" w:rsidR="00135D72" w:rsidRPr="009E1B38" w:rsidRDefault="00E020C3">
      <w:pPr>
        <w:pStyle w:val="T2"/>
        <w:rPr>
          <w:rFonts w:ascii="Times New Roman" w:eastAsiaTheme="minorEastAsia" w:hAnsi="Times New Roman"/>
          <w:bCs w:val="0"/>
        </w:rPr>
      </w:pPr>
      <w:hyperlink w:anchor="_Toc113615375" w:history="1">
        <w:r w:rsidR="00135D72" w:rsidRPr="009E1B38">
          <w:rPr>
            <w:rStyle w:val="Kpr"/>
            <w:rFonts w:ascii="Times New Roman" w:hAnsi="Times New Roman"/>
          </w:rPr>
          <w:t>5.2 Information Infrastructure System and Support Services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_Toc113615375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221</w:t>
        </w:r>
        <w:r w:rsidR="00135D72" w:rsidRPr="009E1B38">
          <w:rPr>
            <w:rFonts w:ascii="Times New Roman" w:hAnsi="Times New Roman"/>
            <w:webHidden/>
          </w:rPr>
          <w:fldChar w:fldCharType="end"/>
        </w:r>
      </w:hyperlink>
    </w:p>
    <w:p w14:paraId="4796BEE9" w14:textId="3D61314C" w:rsidR="00135D72" w:rsidRPr="009E1B38" w:rsidRDefault="00E020C3">
      <w:pPr>
        <w:pStyle w:val="T2"/>
        <w:rPr>
          <w:rFonts w:ascii="Times New Roman" w:eastAsiaTheme="minorEastAsia" w:hAnsi="Times New Roman"/>
          <w:bCs w:val="0"/>
        </w:rPr>
      </w:pPr>
      <w:hyperlink w:anchor="_Toc113615376" w:history="1">
        <w:r w:rsidR="00135D72" w:rsidRPr="009E1B38">
          <w:rPr>
            <w:rStyle w:val="Kpr"/>
            <w:rFonts w:ascii="Times New Roman" w:hAnsi="Times New Roman"/>
          </w:rPr>
          <w:t>5.3</w:t>
        </w:r>
        <w:r w:rsidR="00135D72" w:rsidRPr="009E1B38">
          <w:rPr>
            <w:rFonts w:ascii="Times New Roman" w:eastAsiaTheme="minorEastAsia" w:hAnsi="Times New Roman"/>
            <w:bCs w:val="0"/>
          </w:rPr>
          <w:tab/>
        </w:r>
        <w:r w:rsidR="00135D72" w:rsidRPr="009E1B38">
          <w:rPr>
            <w:rStyle w:val="Kpr"/>
            <w:rFonts w:ascii="Times New Roman" w:hAnsi="Times New Roman"/>
          </w:rPr>
          <w:t>Electric Document Management System (EDMS)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_Toc113615376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222</w:t>
        </w:r>
        <w:r w:rsidR="00135D72" w:rsidRPr="009E1B38">
          <w:rPr>
            <w:rFonts w:ascii="Times New Roman" w:hAnsi="Times New Roman"/>
            <w:webHidden/>
          </w:rPr>
          <w:fldChar w:fldCharType="end"/>
        </w:r>
      </w:hyperlink>
    </w:p>
    <w:p w14:paraId="7D26B8A6" w14:textId="454E437A" w:rsidR="00135D72" w:rsidRPr="009E1B38" w:rsidRDefault="00E020C3">
      <w:pPr>
        <w:pStyle w:val="T2"/>
        <w:rPr>
          <w:rFonts w:ascii="Times New Roman" w:eastAsiaTheme="minorEastAsia" w:hAnsi="Times New Roman"/>
          <w:bCs w:val="0"/>
        </w:rPr>
      </w:pPr>
      <w:hyperlink w:anchor="_Toc113615377" w:history="1">
        <w:r w:rsidR="00135D72" w:rsidRPr="009E1B38">
          <w:rPr>
            <w:rStyle w:val="Kpr"/>
            <w:rFonts w:ascii="Times New Roman" w:hAnsi="Times New Roman"/>
          </w:rPr>
          <w:t>5.4</w:t>
        </w:r>
        <w:r w:rsidR="00135D72" w:rsidRPr="009E1B38">
          <w:rPr>
            <w:rFonts w:ascii="Times New Roman" w:eastAsiaTheme="minorEastAsia" w:hAnsi="Times New Roman"/>
            <w:bCs w:val="0"/>
          </w:rPr>
          <w:tab/>
        </w:r>
        <w:r w:rsidR="00135D72" w:rsidRPr="009E1B38">
          <w:rPr>
            <w:rStyle w:val="Kpr"/>
            <w:rFonts w:ascii="Times New Roman" w:hAnsi="Times New Roman"/>
          </w:rPr>
          <w:t>Authority’s Website</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_Toc113615377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222</w:t>
        </w:r>
        <w:r w:rsidR="00135D72" w:rsidRPr="009E1B38">
          <w:rPr>
            <w:rFonts w:ascii="Times New Roman" w:hAnsi="Times New Roman"/>
            <w:webHidden/>
          </w:rPr>
          <w:fldChar w:fldCharType="end"/>
        </w:r>
      </w:hyperlink>
    </w:p>
    <w:p w14:paraId="5186A77F" w14:textId="0BDFF481" w:rsidR="00135D72" w:rsidRPr="009E1B38" w:rsidRDefault="00E020C3">
      <w:pPr>
        <w:pStyle w:val="T2"/>
        <w:rPr>
          <w:rFonts w:ascii="Times New Roman" w:eastAsiaTheme="minorEastAsia" w:hAnsi="Times New Roman"/>
          <w:bCs w:val="0"/>
        </w:rPr>
      </w:pPr>
      <w:hyperlink w:anchor="_Toc113615378" w:history="1">
        <w:r w:rsidR="00135D72" w:rsidRPr="009E1B38">
          <w:rPr>
            <w:rStyle w:val="Kpr"/>
            <w:rFonts w:ascii="Times New Roman" w:hAnsi="Times New Roman"/>
          </w:rPr>
          <w:t>5.5</w:t>
        </w:r>
        <w:r w:rsidR="00135D72" w:rsidRPr="009E1B38">
          <w:rPr>
            <w:rFonts w:ascii="Times New Roman" w:eastAsiaTheme="minorEastAsia" w:hAnsi="Times New Roman"/>
            <w:bCs w:val="0"/>
          </w:rPr>
          <w:tab/>
        </w:r>
        <w:r w:rsidR="00135D72" w:rsidRPr="009E1B38">
          <w:rPr>
            <w:rStyle w:val="Kpr"/>
            <w:rFonts w:ascii="Times New Roman" w:hAnsi="Times New Roman"/>
          </w:rPr>
          <w:t>Enterprise Resource Planning (ERP)</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_Toc113615378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223</w:t>
        </w:r>
        <w:r w:rsidR="00135D72" w:rsidRPr="009E1B38">
          <w:rPr>
            <w:rFonts w:ascii="Times New Roman" w:hAnsi="Times New Roman"/>
            <w:webHidden/>
          </w:rPr>
          <w:fldChar w:fldCharType="end"/>
        </w:r>
      </w:hyperlink>
    </w:p>
    <w:p w14:paraId="35D4A242" w14:textId="594EB5F9" w:rsidR="00135D72" w:rsidRPr="009E1B38" w:rsidRDefault="00E020C3">
      <w:pPr>
        <w:pStyle w:val="T2"/>
        <w:rPr>
          <w:rFonts w:ascii="Times New Roman" w:eastAsiaTheme="minorEastAsia" w:hAnsi="Times New Roman"/>
          <w:bCs w:val="0"/>
        </w:rPr>
      </w:pPr>
      <w:hyperlink w:anchor="_Toc113615379" w:history="1">
        <w:r w:rsidR="00135D72" w:rsidRPr="009E1B38">
          <w:rPr>
            <w:rStyle w:val="Kpr"/>
            <w:rFonts w:ascii="Times New Roman" w:hAnsi="Times New Roman"/>
          </w:rPr>
          <w:t>5.6</w:t>
        </w:r>
        <w:r w:rsidR="00135D72" w:rsidRPr="009E1B38">
          <w:rPr>
            <w:rFonts w:ascii="Times New Roman" w:eastAsiaTheme="minorEastAsia" w:hAnsi="Times New Roman"/>
            <w:bCs w:val="0"/>
          </w:rPr>
          <w:tab/>
        </w:r>
        <w:r w:rsidR="00135D72" w:rsidRPr="009E1B38">
          <w:rPr>
            <w:rStyle w:val="Kpr"/>
            <w:rFonts w:ascii="Times New Roman" w:hAnsi="Times New Roman"/>
          </w:rPr>
          <w:t>Energy Market Analysis and Reporting System (EPARS)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_Toc113615379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223</w:t>
        </w:r>
        <w:r w:rsidR="00135D72" w:rsidRPr="009E1B38">
          <w:rPr>
            <w:rFonts w:ascii="Times New Roman" w:hAnsi="Times New Roman"/>
            <w:webHidden/>
          </w:rPr>
          <w:fldChar w:fldCharType="end"/>
        </w:r>
      </w:hyperlink>
    </w:p>
    <w:p w14:paraId="39617FC4" w14:textId="096ADCD3" w:rsidR="00135D72" w:rsidRPr="009E1B38" w:rsidRDefault="00E020C3">
      <w:pPr>
        <w:pStyle w:val="T2"/>
        <w:rPr>
          <w:rFonts w:ascii="Times New Roman" w:eastAsiaTheme="minorEastAsia" w:hAnsi="Times New Roman"/>
          <w:bCs w:val="0"/>
        </w:rPr>
      </w:pPr>
      <w:hyperlink w:anchor="_Toc113615380" w:history="1">
        <w:r w:rsidR="00135D72" w:rsidRPr="009E1B38">
          <w:rPr>
            <w:rStyle w:val="Kpr"/>
            <w:rFonts w:ascii="Times New Roman" w:hAnsi="Times New Roman"/>
          </w:rPr>
          <w:t>5.7</w:t>
        </w:r>
        <w:r w:rsidR="00135D72" w:rsidRPr="009E1B38">
          <w:rPr>
            <w:rFonts w:ascii="Times New Roman" w:eastAsiaTheme="minorEastAsia" w:hAnsi="Times New Roman"/>
            <w:bCs w:val="0"/>
          </w:rPr>
          <w:tab/>
        </w:r>
        <w:r w:rsidR="00135D72" w:rsidRPr="009E1B38">
          <w:rPr>
            <w:rStyle w:val="Kpr"/>
            <w:rFonts w:ascii="Times New Roman" w:hAnsi="Times New Roman"/>
          </w:rPr>
          <w:t>Energy Market Database Management System (EMDMS)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_Toc113615380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223</w:t>
        </w:r>
        <w:r w:rsidR="00135D72" w:rsidRPr="009E1B38">
          <w:rPr>
            <w:rFonts w:ascii="Times New Roman" w:hAnsi="Times New Roman"/>
            <w:webHidden/>
          </w:rPr>
          <w:fldChar w:fldCharType="end"/>
        </w:r>
      </w:hyperlink>
    </w:p>
    <w:p w14:paraId="6C6F481C" w14:textId="1AF408DB" w:rsidR="00135D72" w:rsidRPr="009E1B38" w:rsidRDefault="00E020C3">
      <w:pPr>
        <w:pStyle w:val="T2"/>
        <w:rPr>
          <w:rFonts w:ascii="Times New Roman" w:eastAsiaTheme="minorEastAsia" w:hAnsi="Times New Roman"/>
          <w:bCs w:val="0"/>
        </w:rPr>
      </w:pPr>
      <w:hyperlink w:anchor="_Toc113615381" w:history="1">
        <w:r w:rsidR="00135D72" w:rsidRPr="009E1B38">
          <w:rPr>
            <w:rStyle w:val="Kpr"/>
            <w:rFonts w:ascii="Times New Roman" w:hAnsi="Times New Roman"/>
          </w:rPr>
          <w:t>5.8</w:t>
        </w:r>
        <w:r w:rsidR="00135D72" w:rsidRPr="009E1B38">
          <w:rPr>
            <w:rFonts w:ascii="Times New Roman" w:eastAsiaTheme="minorEastAsia" w:hAnsi="Times New Roman"/>
            <w:bCs w:val="0"/>
          </w:rPr>
          <w:tab/>
        </w:r>
        <w:r w:rsidR="00135D72" w:rsidRPr="009E1B38">
          <w:rPr>
            <w:rStyle w:val="Kpr"/>
            <w:rFonts w:ascii="Times New Roman" w:hAnsi="Times New Roman"/>
          </w:rPr>
          <w:t>Data Sharing with Other Authorities and Organizations (Data Access and Sharing System (VEPS))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_Toc113615381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224</w:t>
        </w:r>
        <w:r w:rsidR="00135D72" w:rsidRPr="009E1B38">
          <w:rPr>
            <w:rFonts w:ascii="Times New Roman" w:hAnsi="Times New Roman"/>
            <w:webHidden/>
          </w:rPr>
          <w:fldChar w:fldCharType="end"/>
        </w:r>
      </w:hyperlink>
    </w:p>
    <w:p w14:paraId="042E4613" w14:textId="4DF1B0BD" w:rsidR="00135D72" w:rsidRPr="009E1B38" w:rsidRDefault="00E020C3">
      <w:pPr>
        <w:pStyle w:val="T2"/>
        <w:rPr>
          <w:rFonts w:ascii="Times New Roman" w:eastAsiaTheme="minorEastAsia" w:hAnsi="Times New Roman"/>
          <w:bCs w:val="0"/>
        </w:rPr>
      </w:pPr>
      <w:hyperlink w:anchor="_Toc113615382" w:history="1">
        <w:r w:rsidR="00135D72" w:rsidRPr="009E1B38">
          <w:rPr>
            <w:rStyle w:val="Kpr"/>
            <w:rFonts w:ascii="Times New Roman" w:hAnsi="Times New Roman"/>
          </w:rPr>
          <w:t>5.9</w:t>
        </w:r>
        <w:r w:rsidR="00135D72" w:rsidRPr="009E1B38">
          <w:rPr>
            <w:rFonts w:ascii="Times New Roman" w:eastAsiaTheme="minorEastAsia" w:hAnsi="Times New Roman"/>
            <w:bCs w:val="0"/>
          </w:rPr>
          <w:tab/>
        </w:r>
        <w:r w:rsidR="00135D72" w:rsidRPr="009E1B38">
          <w:rPr>
            <w:rStyle w:val="Kpr"/>
            <w:rFonts w:ascii="Times New Roman" w:hAnsi="Times New Roman"/>
          </w:rPr>
          <w:t>Electronic Notification System (EBİS)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_Toc113615382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225</w:t>
        </w:r>
        <w:r w:rsidR="00135D72" w:rsidRPr="009E1B38">
          <w:rPr>
            <w:rFonts w:ascii="Times New Roman" w:hAnsi="Times New Roman"/>
            <w:webHidden/>
          </w:rPr>
          <w:fldChar w:fldCharType="end"/>
        </w:r>
      </w:hyperlink>
    </w:p>
    <w:p w14:paraId="7E42E997" w14:textId="0D9ECEE5" w:rsidR="00135D72" w:rsidRPr="009E1B38" w:rsidRDefault="00E020C3">
      <w:pPr>
        <w:pStyle w:val="T1"/>
        <w:tabs>
          <w:tab w:val="left" w:pos="660"/>
        </w:tabs>
        <w:rPr>
          <w:rFonts w:ascii="Times New Roman" w:eastAsiaTheme="minorEastAsia" w:hAnsi="Times New Roman"/>
          <w:b w:val="0"/>
          <w:noProof/>
        </w:rPr>
      </w:pPr>
      <w:hyperlink w:anchor="_Toc113615383" w:history="1">
        <w:r w:rsidR="00135D72" w:rsidRPr="009E1B38">
          <w:rPr>
            <w:rStyle w:val="Kpr"/>
            <w:rFonts w:ascii="Times New Roman" w:eastAsia="Times New Roman" w:hAnsi="Times New Roman"/>
            <w:noProof/>
          </w:rPr>
          <w:t>6</w:t>
        </w:r>
        <w:r w:rsidR="00135D72" w:rsidRPr="009E1B38">
          <w:rPr>
            <w:rFonts w:ascii="Times New Roman" w:eastAsiaTheme="minorEastAsia" w:hAnsi="Times New Roman"/>
            <w:b w:val="0"/>
            <w:noProof/>
          </w:rPr>
          <w:tab/>
        </w:r>
        <w:r w:rsidR="00135D72" w:rsidRPr="009E1B38">
          <w:rPr>
            <w:rStyle w:val="Kpr"/>
            <w:rFonts w:ascii="Times New Roman" w:eastAsia="Times New Roman" w:hAnsi="Times New Roman"/>
            <w:noProof/>
          </w:rPr>
          <w:t>AUDIT</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_Toc113615383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226</w:t>
        </w:r>
        <w:r w:rsidR="00135D72" w:rsidRPr="009E1B38">
          <w:rPr>
            <w:rFonts w:ascii="Times New Roman" w:hAnsi="Times New Roman"/>
            <w:noProof/>
            <w:webHidden/>
          </w:rPr>
          <w:fldChar w:fldCharType="end"/>
        </w:r>
      </w:hyperlink>
    </w:p>
    <w:p w14:paraId="680849E1" w14:textId="277A98D5" w:rsidR="00135D72" w:rsidRPr="009E1B38" w:rsidRDefault="00E020C3">
      <w:pPr>
        <w:pStyle w:val="T2"/>
        <w:rPr>
          <w:rFonts w:ascii="Times New Roman" w:eastAsiaTheme="minorEastAsia" w:hAnsi="Times New Roman"/>
          <w:bCs w:val="0"/>
        </w:rPr>
      </w:pPr>
      <w:hyperlink w:anchor="_Toc113615384" w:history="1">
        <w:r w:rsidR="00135D72" w:rsidRPr="009E1B38">
          <w:rPr>
            <w:rStyle w:val="Kpr"/>
            <w:rFonts w:ascii="Times New Roman" w:hAnsi="Times New Roman"/>
          </w:rPr>
          <w:t>6.1</w:t>
        </w:r>
        <w:r w:rsidR="00135D72" w:rsidRPr="009E1B38">
          <w:rPr>
            <w:rFonts w:ascii="Times New Roman" w:eastAsiaTheme="minorEastAsia" w:hAnsi="Times New Roman"/>
            <w:bCs w:val="0"/>
          </w:rPr>
          <w:tab/>
        </w:r>
        <w:r w:rsidR="00135D72" w:rsidRPr="009E1B38">
          <w:rPr>
            <w:rStyle w:val="Kpr"/>
            <w:rFonts w:ascii="Times New Roman" w:hAnsi="Times New Roman"/>
          </w:rPr>
          <w:t>Electricity Market Audit Activities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_Toc113615384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226</w:t>
        </w:r>
        <w:r w:rsidR="00135D72" w:rsidRPr="009E1B38">
          <w:rPr>
            <w:rFonts w:ascii="Times New Roman" w:hAnsi="Times New Roman"/>
            <w:webHidden/>
          </w:rPr>
          <w:fldChar w:fldCharType="end"/>
        </w:r>
      </w:hyperlink>
    </w:p>
    <w:p w14:paraId="210718AD" w14:textId="75905855" w:rsidR="00135D72" w:rsidRPr="009E1B38" w:rsidRDefault="00E020C3">
      <w:pPr>
        <w:pStyle w:val="T2"/>
        <w:rPr>
          <w:rFonts w:ascii="Times New Roman" w:eastAsiaTheme="minorEastAsia" w:hAnsi="Times New Roman"/>
          <w:bCs w:val="0"/>
        </w:rPr>
      </w:pPr>
      <w:hyperlink w:anchor="_Toc113615385" w:history="1">
        <w:r w:rsidR="00135D72" w:rsidRPr="009E1B38">
          <w:rPr>
            <w:rStyle w:val="Kpr"/>
            <w:rFonts w:ascii="Times New Roman" w:hAnsi="Times New Roman"/>
          </w:rPr>
          <w:t>6.2</w:t>
        </w:r>
        <w:r w:rsidR="00135D72" w:rsidRPr="009E1B38">
          <w:rPr>
            <w:rFonts w:ascii="Times New Roman" w:eastAsiaTheme="minorEastAsia" w:hAnsi="Times New Roman"/>
            <w:bCs w:val="0"/>
          </w:rPr>
          <w:tab/>
        </w:r>
        <w:r w:rsidR="00135D72" w:rsidRPr="009E1B38">
          <w:rPr>
            <w:rStyle w:val="Kpr"/>
            <w:rFonts w:ascii="Times New Roman" w:hAnsi="Times New Roman"/>
          </w:rPr>
          <w:t>Naturel Gas Market Inspection and Audit Activities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_Toc113615385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226</w:t>
        </w:r>
        <w:r w:rsidR="00135D72" w:rsidRPr="009E1B38">
          <w:rPr>
            <w:rFonts w:ascii="Times New Roman" w:hAnsi="Times New Roman"/>
            <w:webHidden/>
          </w:rPr>
          <w:fldChar w:fldCharType="end"/>
        </w:r>
      </w:hyperlink>
    </w:p>
    <w:p w14:paraId="284A79D1" w14:textId="668814AA" w:rsidR="00135D72" w:rsidRPr="009E1B38" w:rsidRDefault="00E020C3">
      <w:pPr>
        <w:pStyle w:val="T3"/>
        <w:rPr>
          <w:rFonts w:ascii="Times New Roman" w:eastAsiaTheme="minorEastAsia" w:hAnsi="Times New Roman"/>
          <w:noProof/>
        </w:rPr>
      </w:pPr>
      <w:hyperlink w:anchor="_Toc113615386" w:history="1">
        <w:r w:rsidR="00135D72" w:rsidRPr="009E1B38">
          <w:rPr>
            <w:rStyle w:val="Kpr"/>
            <w:rFonts w:ascii="Times New Roman" w:eastAsia="Times New Roman" w:hAnsi="Times New Roman"/>
            <w:noProof/>
          </w:rPr>
          <w:t>6.2.1</w:t>
        </w:r>
        <w:r w:rsidR="00135D72" w:rsidRPr="009E1B38">
          <w:rPr>
            <w:rFonts w:ascii="Times New Roman" w:eastAsiaTheme="minorEastAsia" w:hAnsi="Times New Roman"/>
            <w:noProof/>
          </w:rPr>
          <w:tab/>
        </w:r>
        <w:r w:rsidR="00135D72" w:rsidRPr="009E1B38">
          <w:rPr>
            <w:rStyle w:val="Kpr"/>
            <w:rFonts w:ascii="Times New Roman" w:eastAsia="Times New Roman" w:hAnsi="Times New Roman"/>
            <w:noProof/>
          </w:rPr>
          <w:t>5-Year Investment Obligations of Natural Gas Distribution Companies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_Toc113615386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226</w:t>
        </w:r>
        <w:r w:rsidR="00135D72" w:rsidRPr="009E1B38">
          <w:rPr>
            <w:rFonts w:ascii="Times New Roman" w:hAnsi="Times New Roman"/>
            <w:noProof/>
            <w:webHidden/>
          </w:rPr>
          <w:fldChar w:fldCharType="end"/>
        </w:r>
      </w:hyperlink>
    </w:p>
    <w:p w14:paraId="4C302004" w14:textId="15882439" w:rsidR="00135D72" w:rsidRPr="009E1B38" w:rsidRDefault="00E020C3">
      <w:pPr>
        <w:pStyle w:val="T3"/>
        <w:rPr>
          <w:rFonts w:ascii="Times New Roman" w:eastAsiaTheme="minorEastAsia" w:hAnsi="Times New Roman"/>
          <w:noProof/>
        </w:rPr>
      </w:pPr>
      <w:hyperlink w:anchor="_Toc113615387" w:history="1">
        <w:r w:rsidR="00135D72" w:rsidRPr="009E1B38">
          <w:rPr>
            <w:rStyle w:val="Kpr"/>
            <w:rFonts w:ascii="Times New Roman" w:eastAsia="Times New Roman" w:hAnsi="Times New Roman"/>
            <w:noProof/>
          </w:rPr>
          <w:t>6.2.2</w:t>
        </w:r>
        <w:r w:rsidR="00135D72" w:rsidRPr="009E1B38">
          <w:rPr>
            <w:rFonts w:ascii="Times New Roman" w:eastAsiaTheme="minorEastAsia" w:hAnsi="Times New Roman"/>
            <w:noProof/>
          </w:rPr>
          <w:tab/>
        </w:r>
        <w:r w:rsidR="00135D72" w:rsidRPr="009E1B38">
          <w:rPr>
            <w:rStyle w:val="Kpr"/>
            <w:rFonts w:ascii="Times New Roman" w:eastAsia="Times New Roman" w:hAnsi="Times New Roman"/>
            <w:noProof/>
          </w:rPr>
          <w:t>Natural Gas Market Audit Activities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_Toc113615387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227</w:t>
        </w:r>
        <w:r w:rsidR="00135D72" w:rsidRPr="009E1B38">
          <w:rPr>
            <w:rFonts w:ascii="Times New Roman" w:hAnsi="Times New Roman"/>
            <w:noProof/>
            <w:webHidden/>
          </w:rPr>
          <w:fldChar w:fldCharType="end"/>
        </w:r>
      </w:hyperlink>
    </w:p>
    <w:p w14:paraId="6D49122A" w14:textId="60A968BE" w:rsidR="00135D72" w:rsidRPr="009E1B38" w:rsidRDefault="00E020C3">
      <w:pPr>
        <w:pStyle w:val="T2"/>
        <w:rPr>
          <w:rFonts w:ascii="Times New Roman" w:eastAsiaTheme="minorEastAsia" w:hAnsi="Times New Roman"/>
          <w:bCs w:val="0"/>
        </w:rPr>
      </w:pPr>
      <w:hyperlink w:anchor="_Toc113615388" w:history="1">
        <w:r w:rsidR="00135D72" w:rsidRPr="009E1B38">
          <w:rPr>
            <w:rStyle w:val="Kpr"/>
            <w:rFonts w:ascii="Times New Roman" w:hAnsi="Times New Roman"/>
          </w:rPr>
          <w:t>6.3</w:t>
        </w:r>
        <w:r w:rsidR="00135D72" w:rsidRPr="009E1B38">
          <w:rPr>
            <w:rFonts w:ascii="Times New Roman" w:eastAsiaTheme="minorEastAsia" w:hAnsi="Times New Roman"/>
            <w:bCs w:val="0"/>
          </w:rPr>
          <w:tab/>
        </w:r>
        <w:r w:rsidR="00135D72" w:rsidRPr="009E1B38">
          <w:rPr>
            <w:rStyle w:val="Kpr"/>
            <w:rFonts w:ascii="Times New Roman" w:hAnsi="Times New Roman"/>
          </w:rPr>
          <w:t>Petroleum Market Audit Activities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_Toc113615388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228</w:t>
        </w:r>
        <w:r w:rsidR="00135D72" w:rsidRPr="009E1B38">
          <w:rPr>
            <w:rFonts w:ascii="Times New Roman" w:hAnsi="Times New Roman"/>
            <w:webHidden/>
          </w:rPr>
          <w:fldChar w:fldCharType="end"/>
        </w:r>
      </w:hyperlink>
    </w:p>
    <w:p w14:paraId="274AD7DC" w14:textId="3B164548" w:rsidR="00135D72" w:rsidRPr="009E1B38" w:rsidRDefault="00E020C3">
      <w:pPr>
        <w:pStyle w:val="T2"/>
        <w:rPr>
          <w:rFonts w:ascii="Times New Roman" w:eastAsiaTheme="minorEastAsia" w:hAnsi="Times New Roman"/>
          <w:bCs w:val="0"/>
        </w:rPr>
      </w:pPr>
      <w:hyperlink w:anchor="_Toc113615389" w:history="1">
        <w:r w:rsidR="00135D72" w:rsidRPr="009E1B38">
          <w:rPr>
            <w:rStyle w:val="Kpr"/>
            <w:rFonts w:ascii="Times New Roman" w:hAnsi="Times New Roman"/>
          </w:rPr>
          <w:t>6.4</w:t>
        </w:r>
        <w:r w:rsidR="00135D72" w:rsidRPr="009E1B38">
          <w:rPr>
            <w:rFonts w:ascii="Times New Roman" w:eastAsiaTheme="minorEastAsia" w:hAnsi="Times New Roman"/>
            <w:bCs w:val="0"/>
          </w:rPr>
          <w:tab/>
        </w:r>
        <w:r w:rsidR="00135D72" w:rsidRPr="009E1B38">
          <w:rPr>
            <w:rStyle w:val="Kpr"/>
            <w:rFonts w:ascii="Times New Roman" w:hAnsi="Times New Roman"/>
          </w:rPr>
          <w:t>Liquefied Petroleum Gas Market Audit Activities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_Toc113615389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230</w:t>
        </w:r>
        <w:r w:rsidR="00135D72" w:rsidRPr="009E1B38">
          <w:rPr>
            <w:rFonts w:ascii="Times New Roman" w:hAnsi="Times New Roman"/>
            <w:webHidden/>
          </w:rPr>
          <w:fldChar w:fldCharType="end"/>
        </w:r>
      </w:hyperlink>
    </w:p>
    <w:p w14:paraId="7D47DD79" w14:textId="1635091D" w:rsidR="00135D72" w:rsidRPr="009E1B38" w:rsidRDefault="00E020C3">
      <w:pPr>
        <w:pStyle w:val="T1"/>
        <w:rPr>
          <w:rFonts w:ascii="Times New Roman" w:eastAsiaTheme="minorEastAsia" w:hAnsi="Times New Roman"/>
          <w:b w:val="0"/>
          <w:noProof/>
        </w:rPr>
      </w:pPr>
      <w:hyperlink w:anchor="_Toc113615390" w:history="1">
        <w:r w:rsidR="00135D72" w:rsidRPr="009E1B38">
          <w:rPr>
            <w:rStyle w:val="Kpr"/>
            <w:rFonts w:ascii="Times New Roman" w:eastAsia="Times New Roman" w:hAnsi="Times New Roman"/>
            <w:noProof/>
          </w:rPr>
          <w:t>7.REAL ESTATE SUPPLY WORKS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_Toc113615390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232</w:t>
        </w:r>
        <w:r w:rsidR="00135D72" w:rsidRPr="009E1B38">
          <w:rPr>
            <w:rFonts w:ascii="Times New Roman" w:hAnsi="Times New Roman"/>
            <w:noProof/>
            <w:webHidden/>
          </w:rPr>
          <w:fldChar w:fldCharType="end"/>
        </w:r>
      </w:hyperlink>
    </w:p>
    <w:p w14:paraId="490860E5" w14:textId="5836FD23" w:rsidR="00135D72" w:rsidRPr="009E1B38" w:rsidRDefault="00E020C3">
      <w:pPr>
        <w:pStyle w:val="T1"/>
        <w:rPr>
          <w:rFonts w:ascii="Times New Roman" w:eastAsiaTheme="minorEastAsia" w:hAnsi="Times New Roman"/>
          <w:b w:val="0"/>
          <w:noProof/>
        </w:rPr>
      </w:pPr>
      <w:hyperlink w:anchor="_Toc113615391" w:history="1">
        <w:r w:rsidR="00135D72" w:rsidRPr="009E1B38">
          <w:rPr>
            <w:rStyle w:val="Kpr"/>
            <w:rFonts w:ascii="Times New Roman" w:eastAsia="Times New Roman" w:hAnsi="Times New Roman"/>
            <w:noProof/>
          </w:rPr>
          <w:t>8.LEGAL AFFAIRS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_Toc113615391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235</w:t>
        </w:r>
        <w:r w:rsidR="00135D72" w:rsidRPr="009E1B38">
          <w:rPr>
            <w:rFonts w:ascii="Times New Roman" w:hAnsi="Times New Roman"/>
            <w:noProof/>
            <w:webHidden/>
          </w:rPr>
          <w:fldChar w:fldCharType="end"/>
        </w:r>
      </w:hyperlink>
    </w:p>
    <w:p w14:paraId="617A076F" w14:textId="101EB262" w:rsidR="00135D72" w:rsidRPr="009E1B38" w:rsidRDefault="00E020C3">
      <w:pPr>
        <w:pStyle w:val="T2"/>
        <w:rPr>
          <w:rFonts w:ascii="Times New Roman" w:eastAsiaTheme="minorEastAsia" w:hAnsi="Times New Roman"/>
          <w:bCs w:val="0"/>
        </w:rPr>
      </w:pPr>
      <w:hyperlink w:anchor="_Toc113615392" w:history="1">
        <w:r w:rsidR="00135D72" w:rsidRPr="009E1B38">
          <w:rPr>
            <w:rStyle w:val="Kpr"/>
            <w:rFonts w:ascii="Times New Roman" w:hAnsi="Times New Roman"/>
          </w:rPr>
          <w:t>8.1. Litigation Procedures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_Toc113615392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235</w:t>
        </w:r>
        <w:r w:rsidR="00135D72" w:rsidRPr="009E1B38">
          <w:rPr>
            <w:rFonts w:ascii="Times New Roman" w:hAnsi="Times New Roman"/>
            <w:webHidden/>
          </w:rPr>
          <w:fldChar w:fldCharType="end"/>
        </w:r>
      </w:hyperlink>
    </w:p>
    <w:p w14:paraId="217C09CA" w14:textId="766D89F8" w:rsidR="00135D72" w:rsidRPr="009E1B38" w:rsidRDefault="00E020C3">
      <w:pPr>
        <w:pStyle w:val="T2"/>
        <w:rPr>
          <w:rFonts w:ascii="Times New Roman" w:eastAsiaTheme="minorEastAsia" w:hAnsi="Times New Roman"/>
          <w:bCs w:val="0"/>
        </w:rPr>
      </w:pPr>
      <w:hyperlink w:anchor="_Toc113615393" w:history="1">
        <w:r w:rsidR="00135D72" w:rsidRPr="009E1B38">
          <w:rPr>
            <w:rStyle w:val="Kpr"/>
            <w:rFonts w:ascii="Times New Roman" w:hAnsi="Times New Roman"/>
          </w:rPr>
          <w:t>8.2. Providing Opinion</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_Toc113615393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237</w:t>
        </w:r>
        <w:r w:rsidR="00135D72" w:rsidRPr="009E1B38">
          <w:rPr>
            <w:rFonts w:ascii="Times New Roman" w:hAnsi="Times New Roman"/>
            <w:webHidden/>
          </w:rPr>
          <w:fldChar w:fldCharType="end"/>
        </w:r>
      </w:hyperlink>
    </w:p>
    <w:p w14:paraId="2E904368" w14:textId="328B7B01" w:rsidR="00135D72" w:rsidRPr="009E1B38" w:rsidRDefault="00E020C3">
      <w:pPr>
        <w:pStyle w:val="T1"/>
        <w:rPr>
          <w:rFonts w:ascii="Times New Roman" w:eastAsiaTheme="minorEastAsia" w:hAnsi="Times New Roman"/>
          <w:b w:val="0"/>
          <w:noProof/>
        </w:rPr>
      </w:pPr>
      <w:hyperlink w:anchor="_Toc113615394" w:history="1">
        <w:r w:rsidR="00135D72" w:rsidRPr="009E1B38">
          <w:rPr>
            <w:rStyle w:val="Kpr"/>
            <w:rFonts w:ascii="Times New Roman" w:eastAsia="Times New Roman" w:hAnsi="Times New Roman"/>
            <w:noProof/>
          </w:rPr>
          <w:t>9. PROTECTING CONSUMER RIGHTS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_Toc113615394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240</w:t>
        </w:r>
        <w:r w:rsidR="00135D72" w:rsidRPr="009E1B38">
          <w:rPr>
            <w:rFonts w:ascii="Times New Roman" w:hAnsi="Times New Roman"/>
            <w:noProof/>
            <w:webHidden/>
          </w:rPr>
          <w:fldChar w:fldCharType="end"/>
        </w:r>
      </w:hyperlink>
    </w:p>
    <w:p w14:paraId="6F76A905" w14:textId="674DE62E" w:rsidR="00135D72" w:rsidRPr="009E1B38" w:rsidRDefault="00E020C3">
      <w:pPr>
        <w:pStyle w:val="T2"/>
        <w:rPr>
          <w:rFonts w:ascii="Times New Roman" w:eastAsiaTheme="minorEastAsia" w:hAnsi="Times New Roman"/>
          <w:bCs w:val="0"/>
        </w:rPr>
      </w:pPr>
      <w:hyperlink w:anchor="_Toc113615395" w:history="1">
        <w:r w:rsidR="00135D72" w:rsidRPr="009E1B38">
          <w:rPr>
            <w:rStyle w:val="Kpr"/>
            <w:rFonts w:ascii="Times New Roman" w:hAnsi="Times New Roman"/>
          </w:rPr>
          <w:t>9.1.Creating and Developing Consumer Awareness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_Toc113615395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240</w:t>
        </w:r>
        <w:r w:rsidR="00135D72" w:rsidRPr="009E1B38">
          <w:rPr>
            <w:rFonts w:ascii="Times New Roman" w:hAnsi="Times New Roman"/>
            <w:webHidden/>
          </w:rPr>
          <w:fldChar w:fldCharType="end"/>
        </w:r>
      </w:hyperlink>
    </w:p>
    <w:p w14:paraId="363F2685" w14:textId="4C2AEB43" w:rsidR="00135D72" w:rsidRPr="009E1B38" w:rsidRDefault="00E020C3">
      <w:pPr>
        <w:pStyle w:val="T2"/>
        <w:rPr>
          <w:rFonts w:ascii="Times New Roman" w:eastAsiaTheme="minorEastAsia" w:hAnsi="Times New Roman"/>
          <w:bCs w:val="0"/>
        </w:rPr>
      </w:pPr>
      <w:hyperlink w:anchor="_Toc113615396" w:history="1">
        <w:r w:rsidR="00135D72" w:rsidRPr="009E1B38">
          <w:rPr>
            <w:rStyle w:val="Kpr"/>
            <w:rFonts w:ascii="Times New Roman" w:hAnsi="Times New Roman"/>
          </w:rPr>
          <w:t>9.2.Evaluation of Consumer Complaints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_Toc113615396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241</w:t>
        </w:r>
        <w:r w:rsidR="00135D72" w:rsidRPr="009E1B38">
          <w:rPr>
            <w:rFonts w:ascii="Times New Roman" w:hAnsi="Times New Roman"/>
            <w:webHidden/>
          </w:rPr>
          <w:fldChar w:fldCharType="end"/>
        </w:r>
      </w:hyperlink>
    </w:p>
    <w:p w14:paraId="2FB57FFA" w14:textId="3176BA32" w:rsidR="00135D72" w:rsidRPr="009E1B38" w:rsidRDefault="00E020C3">
      <w:pPr>
        <w:pStyle w:val="T3"/>
        <w:rPr>
          <w:rFonts w:ascii="Times New Roman" w:eastAsiaTheme="minorEastAsia" w:hAnsi="Times New Roman"/>
          <w:noProof/>
        </w:rPr>
      </w:pPr>
      <w:hyperlink w:anchor="_Toc113615397" w:history="1">
        <w:r w:rsidR="00135D72" w:rsidRPr="009E1B38">
          <w:rPr>
            <w:rStyle w:val="Kpr"/>
            <w:rFonts w:ascii="Times New Roman" w:hAnsi="Times New Roman"/>
            <w:noProof/>
          </w:rPr>
          <w:t>9.2.1. Information Acquisition/ Complaint and Channels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_Toc113615397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241</w:t>
        </w:r>
        <w:r w:rsidR="00135D72" w:rsidRPr="009E1B38">
          <w:rPr>
            <w:rFonts w:ascii="Times New Roman" w:hAnsi="Times New Roman"/>
            <w:noProof/>
            <w:webHidden/>
          </w:rPr>
          <w:fldChar w:fldCharType="end"/>
        </w:r>
      </w:hyperlink>
    </w:p>
    <w:p w14:paraId="60FB747B" w14:textId="580905CF" w:rsidR="00135D72" w:rsidRPr="009E1B38" w:rsidRDefault="00E020C3">
      <w:pPr>
        <w:pStyle w:val="T3"/>
        <w:rPr>
          <w:rFonts w:ascii="Times New Roman" w:eastAsiaTheme="minorEastAsia" w:hAnsi="Times New Roman"/>
          <w:noProof/>
        </w:rPr>
      </w:pPr>
      <w:hyperlink w:anchor="_Toc113615398" w:history="1">
        <w:r w:rsidR="00135D72" w:rsidRPr="009E1B38">
          <w:rPr>
            <w:rStyle w:val="Kpr"/>
            <w:rFonts w:ascii="Times New Roman" w:hAnsi="Times New Roman"/>
            <w:noProof/>
          </w:rPr>
          <w:t>9.2.2. Complaint Notifications by Sectors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_Toc113615398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242</w:t>
        </w:r>
        <w:r w:rsidR="00135D72" w:rsidRPr="009E1B38">
          <w:rPr>
            <w:rFonts w:ascii="Times New Roman" w:hAnsi="Times New Roman"/>
            <w:noProof/>
            <w:webHidden/>
          </w:rPr>
          <w:fldChar w:fldCharType="end"/>
        </w:r>
      </w:hyperlink>
    </w:p>
    <w:p w14:paraId="29B08AA5" w14:textId="17153AF7" w:rsidR="00135D72" w:rsidRPr="009E1B38" w:rsidRDefault="00E020C3">
      <w:pPr>
        <w:pStyle w:val="T3"/>
        <w:rPr>
          <w:rFonts w:ascii="Times New Roman" w:eastAsiaTheme="minorEastAsia" w:hAnsi="Times New Roman"/>
          <w:noProof/>
        </w:rPr>
      </w:pPr>
      <w:hyperlink w:anchor="_Toc113615399" w:history="1">
        <w:r w:rsidR="00135D72" w:rsidRPr="009E1B38">
          <w:rPr>
            <w:rStyle w:val="Kpr"/>
            <w:rFonts w:ascii="Times New Roman" w:hAnsi="Times New Roman"/>
            <w:noProof/>
          </w:rPr>
          <w:t>9.2.3. Classification of Complaints and Realizations in the Electricity Sector</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_Toc113615399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244</w:t>
        </w:r>
        <w:r w:rsidR="00135D72" w:rsidRPr="009E1B38">
          <w:rPr>
            <w:rFonts w:ascii="Times New Roman" w:hAnsi="Times New Roman"/>
            <w:noProof/>
            <w:webHidden/>
          </w:rPr>
          <w:fldChar w:fldCharType="end"/>
        </w:r>
      </w:hyperlink>
    </w:p>
    <w:p w14:paraId="74C3AE5C" w14:textId="5EBDEB92" w:rsidR="00135D72" w:rsidRPr="009E1B38" w:rsidRDefault="00E020C3">
      <w:pPr>
        <w:pStyle w:val="T3"/>
        <w:rPr>
          <w:rFonts w:ascii="Times New Roman" w:eastAsiaTheme="minorEastAsia" w:hAnsi="Times New Roman"/>
          <w:noProof/>
        </w:rPr>
      </w:pPr>
      <w:hyperlink w:anchor="_Toc113615400" w:history="1">
        <w:r w:rsidR="00135D72" w:rsidRPr="009E1B38">
          <w:rPr>
            <w:rStyle w:val="Kpr"/>
            <w:rFonts w:ascii="Times New Roman" w:hAnsi="Times New Roman"/>
            <w:noProof/>
          </w:rPr>
          <w:t>9.2.4. Classification of Complaints and Realizations in Natural Gas Sector</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_Toc113615400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245</w:t>
        </w:r>
        <w:r w:rsidR="00135D72" w:rsidRPr="009E1B38">
          <w:rPr>
            <w:rFonts w:ascii="Times New Roman" w:hAnsi="Times New Roman"/>
            <w:noProof/>
            <w:webHidden/>
          </w:rPr>
          <w:fldChar w:fldCharType="end"/>
        </w:r>
      </w:hyperlink>
    </w:p>
    <w:p w14:paraId="1204F822" w14:textId="34ED60D2" w:rsidR="00135D72" w:rsidRPr="009E1B38" w:rsidRDefault="00E020C3">
      <w:pPr>
        <w:pStyle w:val="T3"/>
        <w:rPr>
          <w:rFonts w:ascii="Times New Roman" w:eastAsiaTheme="minorEastAsia" w:hAnsi="Times New Roman"/>
          <w:noProof/>
        </w:rPr>
      </w:pPr>
      <w:hyperlink w:anchor="_Toc113615401" w:history="1">
        <w:r w:rsidR="00135D72" w:rsidRPr="009E1B38">
          <w:rPr>
            <w:rStyle w:val="Kpr"/>
            <w:rFonts w:ascii="Times New Roman" w:hAnsi="Times New Roman"/>
            <w:noProof/>
          </w:rPr>
          <w:t>9.2.5. Classification of Complaints and Realizations in the Petroleum Sector</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_Toc113615401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247</w:t>
        </w:r>
        <w:r w:rsidR="00135D72" w:rsidRPr="009E1B38">
          <w:rPr>
            <w:rFonts w:ascii="Times New Roman" w:hAnsi="Times New Roman"/>
            <w:noProof/>
            <w:webHidden/>
          </w:rPr>
          <w:fldChar w:fldCharType="end"/>
        </w:r>
      </w:hyperlink>
    </w:p>
    <w:p w14:paraId="63AFFBCD" w14:textId="60496204" w:rsidR="00135D72" w:rsidRPr="009E1B38" w:rsidRDefault="00E020C3">
      <w:pPr>
        <w:pStyle w:val="T3"/>
        <w:rPr>
          <w:rFonts w:ascii="Times New Roman" w:eastAsiaTheme="minorEastAsia" w:hAnsi="Times New Roman"/>
          <w:noProof/>
        </w:rPr>
      </w:pPr>
      <w:hyperlink w:anchor="_Toc113615402" w:history="1">
        <w:r w:rsidR="00135D72" w:rsidRPr="009E1B38">
          <w:rPr>
            <w:rStyle w:val="Kpr"/>
            <w:rFonts w:ascii="Times New Roman" w:hAnsi="Times New Roman"/>
            <w:noProof/>
          </w:rPr>
          <w:t>9.2.6. Classification and Realizations of Liquefied Petroleum Gases (LPG) Complaints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_Toc113615402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247</w:t>
        </w:r>
        <w:r w:rsidR="00135D72" w:rsidRPr="009E1B38">
          <w:rPr>
            <w:rFonts w:ascii="Times New Roman" w:hAnsi="Times New Roman"/>
            <w:noProof/>
            <w:webHidden/>
          </w:rPr>
          <w:fldChar w:fldCharType="end"/>
        </w:r>
      </w:hyperlink>
    </w:p>
    <w:p w14:paraId="715BE44D" w14:textId="1913830B" w:rsidR="00135D72" w:rsidRPr="009E1B38" w:rsidRDefault="00E020C3">
      <w:pPr>
        <w:pStyle w:val="T1"/>
        <w:rPr>
          <w:rFonts w:ascii="Times New Roman" w:eastAsiaTheme="minorEastAsia" w:hAnsi="Times New Roman"/>
          <w:b w:val="0"/>
          <w:noProof/>
        </w:rPr>
      </w:pPr>
      <w:hyperlink w:anchor="_Toc113615403" w:history="1">
        <w:r w:rsidR="00135D72" w:rsidRPr="009E1B38">
          <w:rPr>
            <w:rStyle w:val="Kpr"/>
            <w:rFonts w:ascii="Times New Roman" w:hAnsi="Times New Roman"/>
            <w:noProof/>
          </w:rPr>
          <w:t>10. PRESS AND PUBLIC RELATIONS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_Toc113615403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249</w:t>
        </w:r>
        <w:r w:rsidR="00135D72" w:rsidRPr="009E1B38">
          <w:rPr>
            <w:rFonts w:ascii="Times New Roman" w:hAnsi="Times New Roman"/>
            <w:noProof/>
            <w:webHidden/>
          </w:rPr>
          <w:fldChar w:fldCharType="end"/>
        </w:r>
      </w:hyperlink>
    </w:p>
    <w:p w14:paraId="6D524F56" w14:textId="2EBF04B1" w:rsidR="00135D72" w:rsidRPr="009E1B38" w:rsidRDefault="00E020C3">
      <w:pPr>
        <w:pStyle w:val="T1"/>
        <w:rPr>
          <w:rFonts w:ascii="Times New Roman" w:eastAsiaTheme="minorEastAsia" w:hAnsi="Times New Roman"/>
          <w:b w:val="0"/>
          <w:noProof/>
        </w:rPr>
      </w:pPr>
      <w:hyperlink w:anchor="_Toc113615404" w:history="1">
        <w:r w:rsidR="00135D72" w:rsidRPr="009E1B38">
          <w:rPr>
            <w:rStyle w:val="Kpr"/>
            <w:rFonts w:ascii="Times New Roman" w:eastAsiaTheme="majorEastAsia" w:hAnsi="Times New Roman"/>
            <w:bCs/>
            <w:noProof/>
          </w:rPr>
          <w:t>11. RELATIONS WITH OTHER INSTITUTIONS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_Toc113615404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249</w:t>
        </w:r>
        <w:r w:rsidR="00135D72" w:rsidRPr="009E1B38">
          <w:rPr>
            <w:rFonts w:ascii="Times New Roman" w:hAnsi="Times New Roman"/>
            <w:noProof/>
            <w:webHidden/>
          </w:rPr>
          <w:fldChar w:fldCharType="end"/>
        </w:r>
      </w:hyperlink>
    </w:p>
    <w:p w14:paraId="09BA8FB4" w14:textId="58E710BA" w:rsidR="00135D72" w:rsidRPr="009E1B38" w:rsidRDefault="00E020C3">
      <w:pPr>
        <w:pStyle w:val="T3"/>
        <w:rPr>
          <w:rFonts w:ascii="Times New Roman" w:eastAsiaTheme="minorEastAsia" w:hAnsi="Times New Roman"/>
          <w:noProof/>
        </w:rPr>
      </w:pPr>
      <w:hyperlink w:anchor="_Toc113615405" w:history="1">
        <w:r w:rsidR="00135D72" w:rsidRPr="009E1B38">
          <w:rPr>
            <w:rStyle w:val="Kpr"/>
            <w:rFonts w:ascii="Times New Roman" w:hAnsi="Times New Roman"/>
            <w:noProof/>
          </w:rPr>
          <w:t>11.1. Question Proposals from the Grand National Assembly of Türkiye through the Ministry</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_Toc113615405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249</w:t>
        </w:r>
        <w:r w:rsidR="00135D72" w:rsidRPr="009E1B38">
          <w:rPr>
            <w:rFonts w:ascii="Times New Roman" w:hAnsi="Times New Roman"/>
            <w:noProof/>
            <w:webHidden/>
          </w:rPr>
          <w:fldChar w:fldCharType="end"/>
        </w:r>
      </w:hyperlink>
    </w:p>
    <w:p w14:paraId="5527B0CD" w14:textId="2B35BD3D" w:rsidR="00135D72" w:rsidRPr="009E1B38" w:rsidRDefault="00E020C3">
      <w:pPr>
        <w:pStyle w:val="T1"/>
        <w:rPr>
          <w:rFonts w:ascii="Times New Roman" w:eastAsiaTheme="minorEastAsia" w:hAnsi="Times New Roman"/>
          <w:b w:val="0"/>
          <w:noProof/>
        </w:rPr>
      </w:pPr>
      <w:hyperlink w:anchor="_Toc113615406" w:history="1">
        <w:r w:rsidR="00135D72" w:rsidRPr="009E1B38">
          <w:rPr>
            <w:rStyle w:val="Kpr"/>
            <w:rFonts w:ascii="Times New Roman" w:hAnsi="Times New Roman"/>
            <w:noProof/>
          </w:rPr>
          <w:t>12. EXTERNAL RELATIONS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_Toc113615406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252</w:t>
        </w:r>
        <w:r w:rsidR="00135D72" w:rsidRPr="009E1B38">
          <w:rPr>
            <w:rFonts w:ascii="Times New Roman" w:hAnsi="Times New Roman"/>
            <w:noProof/>
            <w:webHidden/>
          </w:rPr>
          <w:fldChar w:fldCharType="end"/>
        </w:r>
      </w:hyperlink>
    </w:p>
    <w:p w14:paraId="6EB67C17" w14:textId="12FBFDB5" w:rsidR="00135D72" w:rsidRPr="009E1B38" w:rsidRDefault="00E020C3">
      <w:pPr>
        <w:pStyle w:val="T2"/>
        <w:rPr>
          <w:rFonts w:ascii="Times New Roman" w:eastAsiaTheme="minorEastAsia" w:hAnsi="Times New Roman"/>
          <w:bCs w:val="0"/>
        </w:rPr>
      </w:pPr>
      <w:hyperlink w:anchor="_Toc113615407" w:history="1">
        <w:r w:rsidR="00135D72" w:rsidRPr="009E1B38">
          <w:rPr>
            <w:rStyle w:val="Kpr"/>
            <w:rFonts w:ascii="Times New Roman" w:hAnsi="Times New Roman"/>
          </w:rPr>
          <w:t>12.1. Relations with International Associations of which EMRA is a Member</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_Toc113615407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252</w:t>
        </w:r>
        <w:r w:rsidR="00135D72" w:rsidRPr="009E1B38">
          <w:rPr>
            <w:rFonts w:ascii="Times New Roman" w:hAnsi="Times New Roman"/>
            <w:webHidden/>
          </w:rPr>
          <w:fldChar w:fldCharType="end"/>
        </w:r>
      </w:hyperlink>
    </w:p>
    <w:p w14:paraId="69C37377" w14:textId="1A5052E8" w:rsidR="00135D72" w:rsidRPr="009E1B38" w:rsidRDefault="00E020C3">
      <w:pPr>
        <w:pStyle w:val="T2"/>
        <w:rPr>
          <w:rFonts w:ascii="Times New Roman" w:eastAsiaTheme="minorEastAsia" w:hAnsi="Times New Roman"/>
          <w:bCs w:val="0"/>
        </w:rPr>
      </w:pPr>
      <w:hyperlink w:anchor="_Toc113615408" w:history="1">
        <w:r w:rsidR="00135D72" w:rsidRPr="009E1B38">
          <w:rPr>
            <w:rStyle w:val="Kpr"/>
            <w:rFonts w:ascii="Times New Roman" w:hAnsi="Times New Roman"/>
          </w:rPr>
          <w:t>12.2. Bilateral Relations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_Toc113615408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253</w:t>
        </w:r>
        <w:r w:rsidR="00135D72" w:rsidRPr="009E1B38">
          <w:rPr>
            <w:rFonts w:ascii="Times New Roman" w:hAnsi="Times New Roman"/>
            <w:webHidden/>
          </w:rPr>
          <w:fldChar w:fldCharType="end"/>
        </w:r>
      </w:hyperlink>
    </w:p>
    <w:p w14:paraId="0A3198D7" w14:textId="5B46E8EB" w:rsidR="00135D72" w:rsidRPr="009E1B38" w:rsidRDefault="00E020C3">
      <w:pPr>
        <w:pStyle w:val="T2"/>
        <w:rPr>
          <w:rFonts w:ascii="Times New Roman" w:eastAsiaTheme="minorEastAsia" w:hAnsi="Times New Roman"/>
          <w:bCs w:val="0"/>
        </w:rPr>
      </w:pPr>
      <w:hyperlink w:anchor="_Toc113615409" w:history="1">
        <w:r w:rsidR="00135D72" w:rsidRPr="009E1B38">
          <w:rPr>
            <w:rStyle w:val="Kpr"/>
            <w:rFonts w:ascii="Times New Roman" w:hAnsi="Times New Roman"/>
          </w:rPr>
          <w:t>12.3. Activities within the Scope of Alignment with the EU Acquis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_Toc113615409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253</w:t>
        </w:r>
        <w:r w:rsidR="00135D72" w:rsidRPr="009E1B38">
          <w:rPr>
            <w:rFonts w:ascii="Times New Roman" w:hAnsi="Times New Roman"/>
            <w:webHidden/>
          </w:rPr>
          <w:fldChar w:fldCharType="end"/>
        </w:r>
      </w:hyperlink>
    </w:p>
    <w:p w14:paraId="2BC12635" w14:textId="78BD02EA" w:rsidR="00135D72" w:rsidRPr="009E1B38" w:rsidRDefault="00E020C3">
      <w:pPr>
        <w:pStyle w:val="T2"/>
        <w:rPr>
          <w:rFonts w:ascii="Times New Roman" w:eastAsiaTheme="minorEastAsia" w:hAnsi="Times New Roman"/>
          <w:bCs w:val="0"/>
        </w:rPr>
      </w:pPr>
      <w:hyperlink w:anchor="_Toc113615410" w:history="1">
        <w:r w:rsidR="00135D72" w:rsidRPr="009E1B38">
          <w:rPr>
            <w:rStyle w:val="Kpr"/>
            <w:rFonts w:ascii="Times New Roman" w:hAnsi="Times New Roman"/>
          </w:rPr>
          <w:t>12.4. The Studies in the Areas Falling within the Organization’s Mandate in Which Our Country is a Part of it or Have Relations with</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_Toc113615410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254</w:t>
        </w:r>
        <w:r w:rsidR="00135D72" w:rsidRPr="009E1B38">
          <w:rPr>
            <w:rFonts w:ascii="Times New Roman" w:hAnsi="Times New Roman"/>
            <w:webHidden/>
          </w:rPr>
          <w:fldChar w:fldCharType="end"/>
        </w:r>
      </w:hyperlink>
    </w:p>
    <w:p w14:paraId="2BE37847" w14:textId="5B2F58A6" w:rsidR="00135D72" w:rsidRPr="009E1B38" w:rsidRDefault="00E020C3">
      <w:pPr>
        <w:pStyle w:val="T2"/>
        <w:rPr>
          <w:rFonts w:ascii="Times New Roman" w:eastAsiaTheme="minorEastAsia" w:hAnsi="Times New Roman"/>
          <w:bCs w:val="0"/>
        </w:rPr>
      </w:pPr>
      <w:hyperlink w:anchor="_Toc113615411" w:history="1">
        <w:r w:rsidR="00135D72" w:rsidRPr="009E1B38">
          <w:rPr>
            <w:rStyle w:val="Kpr"/>
            <w:rFonts w:ascii="Times New Roman" w:hAnsi="Times New Roman"/>
          </w:rPr>
          <w:t>12.5. Monitoring and Reporting of Developments in International Energy Markets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_Toc113615411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254</w:t>
        </w:r>
        <w:r w:rsidR="00135D72" w:rsidRPr="009E1B38">
          <w:rPr>
            <w:rFonts w:ascii="Times New Roman" w:hAnsi="Times New Roman"/>
            <w:webHidden/>
          </w:rPr>
          <w:fldChar w:fldCharType="end"/>
        </w:r>
      </w:hyperlink>
    </w:p>
    <w:p w14:paraId="5089F809" w14:textId="169585BD" w:rsidR="00135D72" w:rsidRPr="009E1B38" w:rsidRDefault="00E020C3">
      <w:pPr>
        <w:pStyle w:val="T1"/>
        <w:rPr>
          <w:rFonts w:ascii="Times New Roman" w:eastAsiaTheme="minorEastAsia" w:hAnsi="Times New Roman"/>
          <w:b w:val="0"/>
          <w:noProof/>
        </w:rPr>
      </w:pPr>
      <w:hyperlink w:anchor="_Toc113615412" w:history="1">
        <w:r w:rsidR="00135D72" w:rsidRPr="009E1B38">
          <w:rPr>
            <w:rStyle w:val="Kpr"/>
            <w:rFonts w:ascii="Times New Roman" w:hAnsi="Times New Roman"/>
            <w:noProof/>
          </w:rPr>
          <w:t>13.HUMAN RESOURCES AND TRAINING ACTIVITIES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_Toc113615412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255</w:t>
        </w:r>
        <w:r w:rsidR="00135D72" w:rsidRPr="009E1B38">
          <w:rPr>
            <w:rFonts w:ascii="Times New Roman" w:hAnsi="Times New Roman"/>
            <w:noProof/>
            <w:webHidden/>
          </w:rPr>
          <w:fldChar w:fldCharType="end"/>
        </w:r>
      </w:hyperlink>
    </w:p>
    <w:p w14:paraId="57FD4C9B" w14:textId="152BFE3D" w:rsidR="00135D72" w:rsidRPr="009E1B38" w:rsidRDefault="00E020C3">
      <w:pPr>
        <w:pStyle w:val="T2"/>
        <w:rPr>
          <w:rFonts w:ascii="Times New Roman" w:eastAsiaTheme="minorEastAsia" w:hAnsi="Times New Roman"/>
          <w:bCs w:val="0"/>
        </w:rPr>
      </w:pPr>
      <w:hyperlink w:anchor="_Toc113615413" w:history="1">
        <w:r w:rsidR="00135D72" w:rsidRPr="009E1B38">
          <w:rPr>
            <w:rStyle w:val="Kpr"/>
            <w:rFonts w:ascii="Times New Roman" w:hAnsi="Times New Roman"/>
          </w:rPr>
          <w:t>13.1.Staff of the Authority</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_Toc113615413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255</w:t>
        </w:r>
        <w:r w:rsidR="00135D72" w:rsidRPr="009E1B38">
          <w:rPr>
            <w:rFonts w:ascii="Times New Roman" w:hAnsi="Times New Roman"/>
            <w:webHidden/>
          </w:rPr>
          <w:fldChar w:fldCharType="end"/>
        </w:r>
      </w:hyperlink>
    </w:p>
    <w:p w14:paraId="2B70C042" w14:textId="1E8D4662" w:rsidR="00135D72" w:rsidRPr="009E1B38" w:rsidRDefault="00E020C3">
      <w:pPr>
        <w:pStyle w:val="T2"/>
        <w:rPr>
          <w:rFonts w:ascii="Times New Roman" w:eastAsiaTheme="minorEastAsia" w:hAnsi="Times New Roman"/>
          <w:bCs w:val="0"/>
        </w:rPr>
      </w:pPr>
      <w:hyperlink w:anchor="_Toc113615414" w:history="1">
        <w:r w:rsidR="00135D72" w:rsidRPr="009E1B38">
          <w:rPr>
            <w:rStyle w:val="Kpr"/>
            <w:rFonts w:ascii="Times New Roman" w:hAnsi="Times New Roman"/>
          </w:rPr>
          <w:t>13.2.Training Activities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_Toc113615414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259</w:t>
        </w:r>
        <w:r w:rsidR="00135D72" w:rsidRPr="009E1B38">
          <w:rPr>
            <w:rFonts w:ascii="Times New Roman" w:hAnsi="Times New Roman"/>
            <w:webHidden/>
          </w:rPr>
          <w:fldChar w:fldCharType="end"/>
        </w:r>
      </w:hyperlink>
    </w:p>
    <w:p w14:paraId="1F8C77AC" w14:textId="73BB6EB9" w:rsidR="00135D72" w:rsidRPr="009E1B38" w:rsidRDefault="00E020C3">
      <w:pPr>
        <w:pStyle w:val="T3"/>
        <w:rPr>
          <w:rFonts w:ascii="Times New Roman" w:eastAsiaTheme="minorEastAsia" w:hAnsi="Times New Roman"/>
          <w:noProof/>
        </w:rPr>
      </w:pPr>
      <w:hyperlink w:anchor="_Toc113615415" w:history="1">
        <w:r w:rsidR="00135D72" w:rsidRPr="009E1B38">
          <w:rPr>
            <w:rStyle w:val="Kpr"/>
            <w:rFonts w:ascii="Times New Roman" w:hAnsi="Times New Roman"/>
            <w:noProof/>
          </w:rPr>
          <w:t>13.2.1. In-service Training Activities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_Toc113615415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260</w:t>
        </w:r>
        <w:r w:rsidR="00135D72" w:rsidRPr="009E1B38">
          <w:rPr>
            <w:rFonts w:ascii="Times New Roman" w:hAnsi="Times New Roman"/>
            <w:noProof/>
            <w:webHidden/>
          </w:rPr>
          <w:fldChar w:fldCharType="end"/>
        </w:r>
      </w:hyperlink>
    </w:p>
    <w:p w14:paraId="6AD7D733" w14:textId="5E03F482" w:rsidR="00135D72" w:rsidRPr="009E1B38" w:rsidRDefault="00E020C3">
      <w:pPr>
        <w:pStyle w:val="T3"/>
        <w:rPr>
          <w:rFonts w:ascii="Times New Roman" w:eastAsiaTheme="minorEastAsia" w:hAnsi="Times New Roman"/>
          <w:noProof/>
        </w:rPr>
      </w:pPr>
      <w:hyperlink w:anchor="_Toc113615416" w:history="1">
        <w:r w:rsidR="00135D72" w:rsidRPr="009E1B38">
          <w:rPr>
            <w:rStyle w:val="Kpr"/>
            <w:rFonts w:ascii="Times New Roman" w:hAnsi="Times New Roman"/>
            <w:noProof/>
          </w:rPr>
          <w:t>13.2.2</w:t>
        </w:r>
        <w:r w:rsidR="00135D72" w:rsidRPr="009E1B38">
          <w:rPr>
            <w:rFonts w:ascii="Times New Roman" w:eastAsiaTheme="minorEastAsia" w:hAnsi="Times New Roman"/>
            <w:noProof/>
          </w:rPr>
          <w:tab/>
        </w:r>
        <w:r w:rsidR="00135D72" w:rsidRPr="009E1B38">
          <w:rPr>
            <w:rStyle w:val="Kpr"/>
            <w:rFonts w:ascii="Times New Roman" w:hAnsi="Times New Roman"/>
            <w:noProof/>
          </w:rPr>
          <w:t>Other Training Activities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_Toc113615416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261</w:t>
        </w:r>
        <w:r w:rsidR="00135D72" w:rsidRPr="009E1B38">
          <w:rPr>
            <w:rFonts w:ascii="Times New Roman" w:hAnsi="Times New Roman"/>
            <w:noProof/>
            <w:webHidden/>
          </w:rPr>
          <w:fldChar w:fldCharType="end"/>
        </w:r>
      </w:hyperlink>
    </w:p>
    <w:p w14:paraId="7567B7EF" w14:textId="54013D12" w:rsidR="00135D72" w:rsidRPr="009E1B38" w:rsidRDefault="00E020C3">
      <w:pPr>
        <w:pStyle w:val="T1"/>
        <w:tabs>
          <w:tab w:val="left" w:pos="660"/>
        </w:tabs>
        <w:rPr>
          <w:rFonts w:ascii="Times New Roman" w:eastAsiaTheme="minorEastAsia" w:hAnsi="Times New Roman"/>
          <w:b w:val="0"/>
          <w:noProof/>
        </w:rPr>
      </w:pPr>
      <w:hyperlink w:anchor="_Toc113615417" w:history="1">
        <w:r w:rsidR="00135D72" w:rsidRPr="009E1B38">
          <w:rPr>
            <w:rStyle w:val="Kpr"/>
            <w:rFonts w:ascii="Times New Roman" w:hAnsi="Times New Roman"/>
            <w:noProof/>
          </w:rPr>
          <w:t>14.</w:t>
        </w:r>
        <w:r w:rsidR="00135D72" w:rsidRPr="009E1B38">
          <w:rPr>
            <w:rFonts w:ascii="Times New Roman" w:eastAsiaTheme="minorEastAsia" w:hAnsi="Times New Roman"/>
            <w:b w:val="0"/>
            <w:noProof/>
          </w:rPr>
          <w:tab/>
        </w:r>
        <w:r w:rsidR="00135D72" w:rsidRPr="009E1B38">
          <w:rPr>
            <w:rStyle w:val="Kpr"/>
            <w:rFonts w:ascii="Times New Roman" w:hAnsi="Times New Roman"/>
            <w:noProof/>
          </w:rPr>
          <w:t>FINANCIAL INFORMATION</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_Toc113615417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264</w:t>
        </w:r>
        <w:r w:rsidR="00135D72" w:rsidRPr="009E1B38">
          <w:rPr>
            <w:rFonts w:ascii="Times New Roman" w:hAnsi="Times New Roman"/>
            <w:noProof/>
            <w:webHidden/>
          </w:rPr>
          <w:fldChar w:fldCharType="end"/>
        </w:r>
      </w:hyperlink>
    </w:p>
    <w:p w14:paraId="27084822" w14:textId="3DA06F5C" w:rsidR="00135D72" w:rsidRPr="009E1B38" w:rsidRDefault="00E020C3">
      <w:pPr>
        <w:pStyle w:val="T2"/>
        <w:rPr>
          <w:rFonts w:ascii="Times New Roman" w:eastAsiaTheme="minorEastAsia" w:hAnsi="Times New Roman"/>
          <w:bCs w:val="0"/>
        </w:rPr>
      </w:pPr>
      <w:hyperlink w:anchor="_Toc113615418" w:history="1">
        <w:r w:rsidR="00135D72" w:rsidRPr="009E1B38">
          <w:rPr>
            <w:rStyle w:val="Kpr"/>
            <w:rFonts w:ascii="Times New Roman" w:hAnsi="Times New Roman"/>
          </w:rPr>
          <w:t>14.1. 2021 Budget Implementation Results</w:t>
        </w:r>
        <w:r w:rsidR="00135D72" w:rsidRPr="009E1B38">
          <w:rPr>
            <w:rFonts w:ascii="Times New Roman" w:hAnsi="Times New Roman"/>
            <w:webHidden/>
          </w:rPr>
          <w:tab/>
        </w:r>
        <w:r w:rsidR="00135D72" w:rsidRPr="009E1B38">
          <w:rPr>
            <w:rFonts w:ascii="Times New Roman" w:hAnsi="Times New Roman"/>
            <w:webHidden/>
          </w:rPr>
          <w:fldChar w:fldCharType="begin"/>
        </w:r>
        <w:r w:rsidR="00135D72" w:rsidRPr="009E1B38">
          <w:rPr>
            <w:rFonts w:ascii="Times New Roman" w:hAnsi="Times New Roman"/>
            <w:webHidden/>
          </w:rPr>
          <w:instrText xml:space="preserve"> PAGEREF _Toc113615418 \h </w:instrText>
        </w:r>
        <w:r w:rsidR="00135D72" w:rsidRPr="009E1B38">
          <w:rPr>
            <w:rFonts w:ascii="Times New Roman" w:hAnsi="Times New Roman"/>
            <w:webHidden/>
          </w:rPr>
        </w:r>
        <w:r w:rsidR="00135D72" w:rsidRPr="009E1B38">
          <w:rPr>
            <w:rFonts w:ascii="Times New Roman" w:hAnsi="Times New Roman"/>
            <w:webHidden/>
          </w:rPr>
          <w:fldChar w:fldCharType="separate"/>
        </w:r>
        <w:r w:rsidR="00135D72" w:rsidRPr="009E1B38">
          <w:rPr>
            <w:rFonts w:ascii="Times New Roman" w:hAnsi="Times New Roman"/>
            <w:webHidden/>
          </w:rPr>
          <w:t>265</w:t>
        </w:r>
        <w:r w:rsidR="00135D72" w:rsidRPr="009E1B38">
          <w:rPr>
            <w:rFonts w:ascii="Times New Roman" w:hAnsi="Times New Roman"/>
            <w:webHidden/>
          </w:rPr>
          <w:fldChar w:fldCharType="end"/>
        </w:r>
      </w:hyperlink>
    </w:p>
    <w:p w14:paraId="03C40105" w14:textId="2C9F3BDD" w:rsidR="00135D72" w:rsidRPr="009E1B38" w:rsidRDefault="00E020C3">
      <w:pPr>
        <w:pStyle w:val="T3"/>
        <w:rPr>
          <w:rFonts w:ascii="Times New Roman" w:eastAsiaTheme="minorEastAsia" w:hAnsi="Times New Roman"/>
          <w:noProof/>
        </w:rPr>
      </w:pPr>
      <w:hyperlink w:anchor="_Toc113615419" w:history="1">
        <w:r w:rsidR="00135D72" w:rsidRPr="009E1B38">
          <w:rPr>
            <w:rStyle w:val="Kpr"/>
            <w:rFonts w:ascii="Times New Roman" w:hAnsi="Times New Roman"/>
            <w:noProof/>
          </w:rPr>
          <w:t>14.1.1 Income Budget</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_Toc113615419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265</w:t>
        </w:r>
        <w:r w:rsidR="00135D72" w:rsidRPr="009E1B38">
          <w:rPr>
            <w:rFonts w:ascii="Times New Roman" w:hAnsi="Times New Roman"/>
            <w:noProof/>
            <w:webHidden/>
          </w:rPr>
          <w:fldChar w:fldCharType="end"/>
        </w:r>
      </w:hyperlink>
    </w:p>
    <w:p w14:paraId="1167C6EE" w14:textId="68B93667" w:rsidR="00135D72" w:rsidRPr="009E1B38" w:rsidRDefault="00E020C3">
      <w:pPr>
        <w:pStyle w:val="T3"/>
        <w:rPr>
          <w:rFonts w:ascii="Times New Roman" w:eastAsiaTheme="minorEastAsia" w:hAnsi="Times New Roman"/>
          <w:noProof/>
        </w:rPr>
      </w:pPr>
      <w:hyperlink w:anchor="_Toc113615420" w:history="1">
        <w:r w:rsidR="00135D72" w:rsidRPr="009E1B38">
          <w:rPr>
            <w:rStyle w:val="Kpr"/>
            <w:rFonts w:ascii="Times New Roman" w:hAnsi="Times New Roman"/>
            <w:noProof/>
          </w:rPr>
          <w:t>14.1.2. Expenditure Budget</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_Toc113615420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266</w:t>
        </w:r>
        <w:r w:rsidR="00135D72" w:rsidRPr="009E1B38">
          <w:rPr>
            <w:rFonts w:ascii="Times New Roman" w:hAnsi="Times New Roman"/>
            <w:noProof/>
            <w:webHidden/>
          </w:rPr>
          <w:fldChar w:fldCharType="end"/>
        </w:r>
      </w:hyperlink>
    </w:p>
    <w:p w14:paraId="55474F15" w14:textId="568BE424" w:rsidR="00135D72" w:rsidRPr="009E1B38" w:rsidRDefault="00E020C3">
      <w:pPr>
        <w:pStyle w:val="T1"/>
        <w:rPr>
          <w:rFonts w:ascii="Times New Roman" w:eastAsiaTheme="minorEastAsia" w:hAnsi="Times New Roman"/>
          <w:b w:val="0"/>
          <w:noProof/>
        </w:rPr>
      </w:pPr>
      <w:hyperlink w:anchor="_Toc113615421" w:history="1">
        <w:r w:rsidR="00135D72" w:rsidRPr="009E1B38">
          <w:rPr>
            <w:rStyle w:val="Kpr"/>
            <w:rFonts w:ascii="Times New Roman" w:hAnsi="Times New Roman"/>
            <w:noProof/>
          </w:rPr>
          <w:t>APPENDICES</w:t>
        </w:r>
        <w:r w:rsidR="00135D72" w:rsidRPr="009E1B38">
          <w:rPr>
            <w:rFonts w:ascii="Times New Roman" w:hAnsi="Times New Roman"/>
            <w:noProof/>
            <w:webHidden/>
          </w:rPr>
          <w:tab/>
        </w:r>
        <w:r w:rsidR="00135D72" w:rsidRPr="009E1B38">
          <w:rPr>
            <w:rFonts w:ascii="Times New Roman" w:hAnsi="Times New Roman"/>
            <w:noProof/>
            <w:webHidden/>
          </w:rPr>
          <w:fldChar w:fldCharType="begin"/>
        </w:r>
        <w:r w:rsidR="00135D72" w:rsidRPr="009E1B38">
          <w:rPr>
            <w:rFonts w:ascii="Times New Roman" w:hAnsi="Times New Roman"/>
            <w:noProof/>
            <w:webHidden/>
          </w:rPr>
          <w:instrText xml:space="preserve"> PAGEREF _Toc113615421 \h </w:instrText>
        </w:r>
        <w:r w:rsidR="00135D72" w:rsidRPr="009E1B38">
          <w:rPr>
            <w:rFonts w:ascii="Times New Roman" w:hAnsi="Times New Roman"/>
            <w:noProof/>
            <w:webHidden/>
          </w:rPr>
        </w:r>
        <w:r w:rsidR="00135D72" w:rsidRPr="009E1B38">
          <w:rPr>
            <w:rFonts w:ascii="Times New Roman" w:hAnsi="Times New Roman"/>
            <w:noProof/>
            <w:webHidden/>
          </w:rPr>
          <w:fldChar w:fldCharType="separate"/>
        </w:r>
        <w:r w:rsidR="00135D72" w:rsidRPr="009E1B38">
          <w:rPr>
            <w:rFonts w:ascii="Times New Roman" w:hAnsi="Times New Roman"/>
            <w:noProof/>
            <w:webHidden/>
          </w:rPr>
          <w:t>267</w:t>
        </w:r>
        <w:r w:rsidR="00135D72" w:rsidRPr="009E1B38">
          <w:rPr>
            <w:rFonts w:ascii="Times New Roman" w:hAnsi="Times New Roman"/>
            <w:noProof/>
            <w:webHidden/>
          </w:rPr>
          <w:fldChar w:fldCharType="end"/>
        </w:r>
      </w:hyperlink>
    </w:p>
    <w:p w14:paraId="7D4A70FE" w14:textId="2CE33B4E" w:rsidR="00FC1275" w:rsidRPr="009E1B38" w:rsidRDefault="00364BDD" w:rsidP="008C40F5">
      <w:pPr>
        <w:spacing w:after="0"/>
        <w:rPr>
          <w:rFonts w:ascii="Times New Roman" w:hAnsi="Times New Roman"/>
          <w:b/>
        </w:rPr>
      </w:pPr>
      <w:r w:rsidRPr="009E1B38">
        <w:rPr>
          <w:rFonts w:ascii="Times New Roman" w:hAnsi="Times New Roman"/>
          <w:b/>
        </w:rPr>
        <w:fldChar w:fldCharType="end"/>
      </w:r>
      <w:r w:rsidR="00FC1275" w:rsidRPr="009E1B38">
        <w:rPr>
          <w:rFonts w:ascii="Times New Roman" w:hAnsi="Times New Roman"/>
          <w:b/>
        </w:rPr>
        <w:br w:type="page"/>
      </w:r>
    </w:p>
    <w:p w14:paraId="6476F4F4" w14:textId="77777777" w:rsidR="0095467F" w:rsidRPr="009E1B38" w:rsidRDefault="0095467F" w:rsidP="0095467F">
      <w:pPr>
        <w:rPr>
          <w:rFonts w:ascii="Times New Roman" w:hAnsi="Times New Roman"/>
          <w:b/>
        </w:rPr>
      </w:pPr>
      <w:r w:rsidRPr="009E1B38">
        <w:rPr>
          <w:rFonts w:ascii="Times New Roman" w:hAnsi="Times New Roman"/>
          <w:b/>
        </w:rPr>
        <w:lastRenderedPageBreak/>
        <w:t>LIST OF TABLES AND FIGURES</w:t>
      </w:r>
    </w:p>
    <w:p w14:paraId="6A488CDC" w14:textId="69C415A4" w:rsidR="00BF74A6" w:rsidRPr="009E1B38" w:rsidRDefault="00364BDD">
      <w:pPr>
        <w:pStyle w:val="ekillerTablosu"/>
        <w:tabs>
          <w:tab w:val="right" w:leader="dot" w:pos="9060"/>
        </w:tabs>
        <w:rPr>
          <w:rFonts w:ascii="Times New Roman" w:eastAsiaTheme="minorEastAsia" w:hAnsi="Times New Roman"/>
          <w:noProof/>
          <w:lang w:eastAsia="tr-TR"/>
        </w:rPr>
      </w:pPr>
      <w:r w:rsidRPr="009E1B38">
        <w:rPr>
          <w:rFonts w:ascii="Times New Roman" w:hAnsi="Times New Roman"/>
        </w:rPr>
        <w:fldChar w:fldCharType="begin"/>
      </w:r>
      <w:r w:rsidR="00170052" w:rsidRPr="009E1B38">
        <w:rPr>
          <w:rFonts w:ascii="Times New Roman" w:hAnsi="Times New Roman"/>
        </w:rPr>
        <w:instrText xml:space="preserve"> TOC \h \z \t "Başlık 5" \c </w:instrText>
      </w:r>
      <w:r w:rsidRPr="009E1B38">
        <w:rPr>
          <w:rFonts w:ascii="Times New Roman" w:hAnsi="Times New Roman"/>
        </w:rPr>
        <w:fldChar w:fldCharType="separate"/>
      </w:r>
      <w:hyperlink w:anchor="_Toc107499494" w:history="1">
        <w:r w:rsidR="00BF74A6" w:rsidRPr="009E1B38">
          <w:rPr>
            <w:rStyle w:val="Kpr"/>
            <w:rFonts w:ascii="Times New Roman" w:hAnsi="Times New Roman"/>
            <w:bCs/>
            <w:noProof/>
          </w:rPr>
          <w:t>Figure 1.1: Board Decisions Taken by Service Units in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_Toc107499494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14</w:t>
        </w:r>
        <w:r w:rsidR="00BF74A6" w:rsidRPr="009E1B38">
          <w:rPr>
            <w:rFonts w:ascii="Times New Roman" w:hAnsi="Times New Roman"/>
            <w:noProof/>
            <w:webHidden/>
          </w:rPr>
          <w:fldChar w:fldCharType="end"/>
        </w:r>
      </w:hyperlink>
    </w:p>
    <w:p w14:paraId="7C50B4F3" w14:textId="7A10390A"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495" w:history="1">
        <w:r w:rsidR="00BF74A6" w:rsidRPr="009E1B38">
          <w:rPr>
            <w:rStyle w:val="Kpr"/>
            <w:rFonts w:ascii="Times New Roman" w:hAnsi="Times New Roman"/>
            <w:bCs/>
            <w:noProof/>
          </w:rPr>
          <w:t>Table 1.2: Distribution of Board Decisions Taken Between 2017-2021 by Authority Service Units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_Toc107499495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15</w:t>
        </w:r>
        <w:r w:rsidR="00BF74A6" w:rsidRPr="009E1B38">
          <w:rPr>
            <w:rFonts w:ascii="Times New Roman" w:hAnsi="Times New Roman"/>
            <w:noProof/>
            <w:webHidden/>
          </w:rPr>
          <w:fldChar w:fldCharType="end"/>
        </w:r>
      </w:hyperlink>
    </w:p>
    <w:p w14:paraId="3F3AD719" w14:textId="511BF12A"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496" w:history="1">
        <w:r w:rsidR="0082470D" w:rsidRPr="009E1B38">
          <w:rPr>
            <w:rStyle w:val="Kpr"/>
            <w:rFonts w:ascii="Times New Roman" w:hAnsi="Times New Roman"/>
            <w:bCs/>
            <w:noProof/>
          </w:rPr>
          <w:t>Table</w:t>
        </w:r>
        <w:r w:rsidR="00BF74A6" w:rsidRPr="009E1B38">
          <w:rPr>
            <w:rStyle w:val="Kpr"/>
            <w:rFonts w:ascii="Times New Roman" w:hAnsi="Times New Roman"/>
            <w:bCs/>
            <w:noProof/>
          </w:rPr>
          <w:t xml:space="preserve"> 1.3: General Distribution of Board Decisions Taken Between 2017-2021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_Toc107499496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15</w:t>
        </w:r>
        <w:r w:rsidR="00BF74A6" w:rsidRPr="009E1B38">
          <w:rPr>
            <w:rFonts w:ascii="Times New Roman" w:hAnsi="Times New Roman"/>
            <w:noProof/>
            <w:webHidden/>
          </w:rPr>
          <w:fldChar w:fldCharType="end"/>
        </w:r>
      </w:hyperlink>
    </w:p>
    <w:p w14:paraId="4F5AA7A2" w14:textId="27E65900"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497" w:history="1">
        <w:r w:rsidR="0095467F" w:rsidRPr="009E1B38">
          <w:rPr>
            <w:rStyle w:val="Kpr"/>
            <w:rFonts w:ascii="Times New Roman" w:hAnsi="Times New Roman"/>
            <w:bCs/>
            <w:noProof/>
          </w:rPr>
          <w:t>Table 2.1: Change of Eligible Consumer Limit in the Electricity Market by Years (2003-2022)</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_Toc107499497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128</w:t>
        </w:r>
        <w:r w:rsidR="00BF74A6" w:rsidRPr="009E1B38">
          <w:rPr>
            <w:rFonts w:ascii="Times New Roman" w:hAnsi="Times New Roman"/>
            <w:noProof/>
            <w:webHidden/>
          </w:rPr>
          <w:fldChar w:fldCharType="end"/>
        </w:r>
      </w:hyperlink>
    </w:p>
    <w:p w14:paraId="63DDCB9D" w14:textId="2E84B8C1"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498" w:history="1">
        <w:r w:rsidR="00BF74A6" w:rsidRPr="009E1B38">
          <w:rPr>
            <w:rStyle w:val="Kpr"/>
            <w:rFonts w:ascii="Times New Roman" w:hAnsi="Times New Roman"/>
            <w:bCs/>
            <w:noProof/>
          </w:rPr>
          <w:t>Table 2.2: Natural Gas Consumption Estimate and Realization Data by Years (2005-2021)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_Toc107499498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152</w:t>
        </w:r>
        <w:r w:rsidR="00BF74A6" w:rsidRPr="009E1B38">
          <w:rPr>
            <w:rFonts w:ascii="Times New Roman" w:hAnsi="Times New Roman"/>
            <w:noProof/>
            <w:webHidden/>
          </w:rPr>
          <w:fldChar w:fldCharType="end"/>
        </w:r>
      </w:hyperlink>
    </w:p>
    <w:p w14:paraId="4ED9371A" w14:textId="059AFC8F"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499" w:history="1">
        <w:r w:rsidR="00BF74A6" w:rsidRPr="009E1B38">
          <w:rPr>
            <w:rStyle w:val="Kpr"/>
            <w:rFonts w:ascii="Times New Roman" w:hAnsi="Times New Roman"/>
            <w:bCs/>
            <w:noProof/>
          </w:rPr>
          <w:t>Table 2.3: Change of Eligible Consumer Limit in Natural Gas Market by Years (2005-2021)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_Toc107499499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156</w:t>
        </w:r>
        <w:r w:rsidR="00BF74A6" w:rsidRPr="009E1B38">
          <w:rPr>
            <w:rFonts w:ascii="Times New Roman" w:hAnsi="Times New Roman"/>
            <w:noProof/>
            <w:webHidden/>
          </w:rPr>
          <w:fldChar w:fldCharType="end"/>
        </w:r>
      </w:hyperlink>
    </w:p>
    <w:p w14:paraId="7E23BDF4" w14:textId="54BA0FF6"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00" w:history="1">
        <w:r w:rsidR="00BF74A6" w:rsidRPr="009E1B38">
          <w:rPr>
            <w:rStyle w:val="Kpr"/>
            <w:rFonts w:ascii="Times New Roman" w:hAnsi="Times New Roman"/>
            <w:bCs/>
            <w:noProof/>
          </w:rPr>
          <w:t>Table 3.2: License Transactions Performed in the Electricity Market within the Scope of Generation Activity in 2020 (MWe)</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_Toc107499500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181</w:t>
        </w:r>
        <w:r w:rsidR="00BF74A6" w:rsidRPr="009E1B38">
          <w:rPr>
            <w:rFonts w:ascii="Times New Roman" w:hAnsi="Times New Roman"/>
            <w:noProof/>
            <w:webHidden/>
          </w:rPr>
          <w:fldChar w:fldCharType="end"/>
        </w:r>
      </w:hyperlink>
    </w:p>
    <w:p w14:paraId="3C3B2DDB" w14:textId="6F7B863A"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01" w:history="1">
        <w:r w:rsidR="00BF74A6" w:rsidRPr="009E1B38">
          <w:rPr>
            <w:rStyle w:val="Kpr"/>
            <w:rFonts w:ascii="Times New Roman" w:hAnsi="Times New Roman"/>
            <w:noProof/>
          </w:rPr>
          <w:t>Table 3.3: License Transactions in the Natural Gas Market in 2020 (Number)</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_Toc107499501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184</w:t>
        </w:r>
        <w:r w:rsidR="00BF74A6" w:rsidRPr="009E1B38">
          <w:rPr>
            <w:rFonts w:ascii="Times New Roman" w:hAnsi="Times New Roman"/>
            <w:noProof/>
            <w:webHidden/>
          </w:rPr>
          <w:fldChar w:fldCharType="end"/>
        </w:r>
      </w:hyperlink>
    </w:p>
    <w:p w14:paraId="455AF9E8" w14:textId="6E24161F"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02" w:history="1">
        <w:r w:rsidR="00BF74A6" w:rsidRPr="009E1B38">
          <w:rPr>
            <w:rStyle w:val="Kpr"/>
            <w:rFonts w:ascii="Times New Roman" w:hAnsi="Times New Roman"/>
            <w:bCs/>
            <w:noProof/>
          </w:rPr>
          <w:t>Table 3.5: Certificate Transactions in the Natural Gas Market in 2021 (Number)</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_Toc107499502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186</w:t>
        </w:r>
        <w:r w:rsidR="00BF74A6" w:rsidRPr="009E1B38">
          <w:rPr>
            <w:rFonts w:ascii="Times New Roman" w:hAnsi="Times New Roman"/>
            <w:noProof/>
            <w:webHidden/>
          </w:rPr>
          <w:fldChar w:fldCharType="end"/>
        </w:r>
      </w:hyperlink>
    </w:p>
    <w:p w14:paraId="4E3220D5" w14:textId="3C7E5CF5"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03" w:history="1">
        <w:r w:rsidR="00BF74A6" w:rsidRPr="009E1B38">
          <w:rPr>
            <w:rStyle w:val="Kpr"/>
            <w:rFonts w:ascii="Times New Roman" w:hAnsi="Times New Roman"/>
            <w:bCs/>
            <w:noProof/>
          </w:rPr>
          <w:t>Table 3.6: License Transactions in the Petroleum Market in 2020 (Number)</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_Toc107499503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187</w:t>
        </w:r>
        <w:r w:rsidR="00BF74A6" w:rsidRPr="009E1B38">
          <w:rPr>
            <w:rFonts w:ascii="Times New Roman" w:hAnsi="Times New Roman"/>
            <w:noProof/>
            <w:webHidden/>
          </w:rPr>
          <w:fldChar w:fldCharType="end"/>
        </w:r>
      </w:hyperlink>
    </w:p>
    <w:p w14:paraId="74226644" w14:textId="2FB6F038"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04" w:history="1">
        <w:r w:rsidR="00BF74A6" w:rsidRPr="009E1B38">
          <w:rPr>
            <w:rStyle w:val="Kpr"/>
            <w:rFonts w:ascii="Times New Roman" w:hAnsi="Times New Roman"/>
            <w:bCs/>
            <w:noProof/>
          </w:rPr>
          <w:t>Table 3.8: Petroleum Market Storage License Information as of the End of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_Toc107499504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189</w:t>
        </w:r>
        <w:r w:rsidR="00BF74A6" w:rsidRPr="009E1B38">
          <w:rPr>
            <w:rFonts w:ascii="Times New Roman" w:hAnsi="Times New Roman"/>
            <w:noProof/>
            <w:webHidden/>
          </w:rPr>
          <w:fldChar w:fldCharType="end"/>
        </w:r>
      </w:hyperlink>
    </w:p>
    <w:p w14:paraId="66BA2534" w14:textId="11E1BDE5"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05" w:history="1">
        <w:r w:rsidR="0082470D" w:rsidRPr="009E1B38">
          <w:rPr>
            <w:rStyle w:val="Kpr"/>
            <w:rFonts w:ascii="Times New Roman" w:hAnsi="Times New Roman"/>
            <w:bCs/>
            <w:noProof/>
          </w:rPr>
          <w:t>Table</w:t>
        </w:r>
        <w:r w:rsidR="00BF74A6" w:rsidRPr="009E1B38">
          <w:rPr>
            <w:rStyle w:val="Kpr"/>
            <w:rFonts w:ascii="Times New Roman" w:hAnsi="Times New Roman"/>
            <w:bCs/>
            <w:noProof/>
          </w:rPr>
          <w:t xml:space="preserve"> 3.9: National Marker and Marked Fuel Quantities Used by Years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_Toc107499505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190</w:t>
        </w:r>
        <w:r w:rsidR="00BF74A6" w:rsidRPr="009E1B38">
          <w:rPr>
            <w:rFonts w:ascii="Times New Roman" w:hAnsi="Times New Roman"/>
            <w:noProof/>
            <w:webHidden/>
          </w:rPr>
          <w:fldChar w:fldCharType="end"/>
        </w:r>
      </w:hyperlink>
    </w:p>
    <w:p w14:paraId="0E322851" w14:textId="239906CA"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06" w:history="1">
        <w:r w:rsidR="00BF74A6" w:rsidRPr="009E1B38">
          <w:rPr>
            <w:rStyle w:val="Kpr"/>
            <w:rFonts w:ascii="Times New Roman" w:hAnsi="Times New Roman"/>
            <w:bCs/>
            <w:noProof/>
          </w:rPr>
          <w:t>Table 3.10: License Transactions in the LPG Market in 2020 (Number)</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_Toc107499506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193</w:t>
        </w:r>
        <w:r w:rsidR="00BF74A6" w:rsidRPr="009E1B38">
          <w:rPr>
            <w:rFonts w:ascii="Times New Roman" w:hAnsi="Times New Roman"/>
            <w:noProof/>
            <w:webHidden/>
          </w:rPr>
          <w:fldChar w:fldCharType="end"/>
        </w:r>
      </w:hyperlink>
    </w:p>
    <w:p w14:paraId="35415889" w14:textId="39D49259"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07" w:history="1">
        <w:r w:rsidR="00BF74A6" w:rsidRPr="009E1B38">
          <w:rPr>
            <w:rStyle w:val="Kpr"/>
            <w:rFonts w:ascii="Times New Roman" w:hAnsi="Times New Roman"/>
            <w:bCs/>
            <w:noProof/>
          </w:rPr>
          <w:t>Table 3.11: LPG Market Storage License Information as of the End of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_Toc107499507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193</w:t>
        </w:r>
        <w:r w:rsidR="00BF74A6" w:rsidRPr="009E1B38">
          <w:rPr>
            <w:rFonts w:ascii="Times New Roman" w:hAnsi="Times New Roman"/>
            <w:noProof/>
            <w:webHidden/>
          </w:rPr>
          <w:fldChar w:fldCharType="end"/>
        </w:r>
      </w:hyperlink>
    </w:p>
    <w:p w14:paraId="26EE4096" w14:textId="71376AF2"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08" w:history="1">
        <w:r w:rsidR="00BF74A6" w:rsidRPr="009E1B38">
          <w:rPr>
            <w:rStyle w:val="Kpr"/>
            <w:rFonts w:ascii="Times New Roman" w:hAnsi="Times New Roman"/>
            <w:noProof/>
          </w:rPr>
          <w:t>Table 4.1: TEİAŞ's System Usage and System Operation Revenue</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_Toc107499508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195</w:t>
        </w:r>
        <w:r w:rsidR="00BF74A6" w:rsidRPr="009E1B38">
          <w:rPr>
            <w:rFonts w:ascii="Times New Roman" w:hAnsi="Times New Roman"/>
            <w:noProof/>
            <w:webHidden/>
          </w:rPr>
          <w:fldChar w:fldCharType="end"/>
        </w:r>
      </w:hyperlink>
    </w:p>
    <w:p w14:paraId="1D30728A" w14:textId="1B5FE990"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09" w:history="1">
        <w:r w:rsidR="00BF74A6" w:rsidRPr="009E1B38">
          <w:rPr>
            <w:rStyle w:val="Kpr"/>
            <w:rFonts w:ascii="Times New Roman" w:hAnsi="Times New Roman"/>
            <w:noProof/>
          </w:rPr>
          <w:t>Table 4.2: Transmission System Usage and System Operation Tariffication</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_Toc107499509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195</w:t>
        </w:r>
        <w:r w:rsidR="00BF74A6" w:rsidRPr="009E1B38">
          <w:rPr>
            <w:rFonts w:ascii="Times New Roman" w:hAnsi="Times New Roman"/>
            <w:noProof/>
            <w:webHidden/>
          </w:rPr>
          <w:fldChar w:fldCharType="end"/>
        </w:r>
      </w:hyperlink>
    </w:p>
    <w:p w14:paraId="66A6ECE0" w14:textId="2CEC7B89"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10"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4.3: Board Decisions on Tariff Tables of Distribution and İncumbent Supply Companies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_Toc107499510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196</w:t>
        </w:r>
        <w:r w:rsidR="00BF74A6" w:rsidRPr="009E1B38">
          <w:rPr>
            <w:rFonts w:ascii="Times New Roman" w:hAnsi="Times New Roman"/>
            <w:noProof/>
            <w:webHidden/>
          </w:rPr>
          <w:fldChar w:fldCharType="end"/>
        </w:r>
      </w:hyperlink>
    </w:p>
    <w:p w14:paraId="2CDA37ED" w14:textId="08322FDF"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11"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4.4: Board Decisions on Approval of Distribution Companies' 2021-2025 Fourth İmplementation Period System Operating Revenue Requirements and Related Parameters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_Toc107499511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197</w:t>
        </w:r>
        <w:r w:rsidR="00BF74A6" w:rsidRPr="009E1B38">
          <w:rPr>
            <w:rFonts w:ascii="Times New Roman" w:hAnsi="Times New Roman"/>
            <w:noProof/>
            <w:webHidden/>
          </w:rPr>
          <w:fldChar w:fldCharType="end"/>
        </w:r>
      </w:hyperlink>
    </w:p>
    <w:p w14:paraId="4AA03DD0" w14:textId="16AFEA30"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12" w:history="1">
        <w:r w:rsidR="00BF74A6" w:rsidRPr="009E1B38">
          <w:rPr>
            <w:rStyle w:val="Kpr"/>
            <w:rFonts w:ascii="Times New Roman" w:hAnsi="Times New Roman"/>
            <w:noProof/>
          </w:rPr>
          <w:t>Table 4.5: Board Decisions Regarding the Approval of 2021 System Operation Revenue Ceilings of Distribution Companies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_Toc107499512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198</w:t>
        </w:r>
        <w:r w:rsidR="00BF74A6" w:rsidRPr="009E1B38">
          <w:rPr>
            <w:rFonts w:ascii="Times New Roman" w:hAnsi="Times New Roman"/>
            <w:noProof/>
            <w:webHidden/>
          </w:rPr>
          <w:fldChar w:fldCharType="end"/>
        </w:r>
      </w:hyperlink>
    </w:p>
    <w:p w14:paraId="00702FAE" w14:textId="7C4DA650"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13" w:history="1">
        <w:r w:rsidR="00BF74A6" w:rsidRPr="009E1B38">
          <w:rPr>
            <w:rStyle w:val="Kpr"/>
            <w:rFonts w:ascii="Times New Roman" w:hAnsi="Times New Roman"/>
            <w:noProof/>
          </w:rPr>
          <w:t>Table 4.6: Board Decisions Regarding the Approval of Retail Sales Revenue Ceilings for the Year 2022 of the Incumbent Supply Companies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_Toc107499513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199</w:t>
        </w:r>
        <w:r w:rsidR="00BF74A6" w:rsidRPr="009E1B38">
          <w:rPr>
            <w:rFonts w:ascii="Times New Roman" w:hAnsi="Times New Roman"/>
            <w:noProof/>
            <w:webHidden/>
          </w:rPr>
          <w:fldChar w:fldCharType="end"/>
        </w:r>
      </w:hyperlink>
    </w:p>
    <w:p w14:paraId="6AE1D4E4" w14:textId="6F0B4CC0"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14" w:history="1">
        <w:r w:rsidR="00BF74A6" w:rsidRPr="009E1B38">
          <w:rPr>
            <w:rStyle w:val="Kpr"/>
            <w:rFonts w:ascii="Times New Roman" w:hAnsi="Times New Roman"/>
            <w:noProof/>
          </w:rPr>
          <w:t>Table 4.7: Board Decisions Regarding the Revision of the Investment Plans for the Years 2021-2025</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_Toc107499514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200</w:t>
        </w:r>
        <w:r w:rsidR="00BF74A6" w:rsidRPr="009E1B38">
          <w:rPr>
            <w:rFonts w:ascii="Times New Roman" w:hAnsi="Times New Roman"/>
            <w:noProof/>
            <w:webHidden/>
          </w:rPr>
          <w:fldChar w:fldCharType="end"/>
        </w:r>
      </w:hyperlink>
    </w:p>
    <w:p w14:paraId="74B10EE2" w14:textId="19B53788"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15" w:history="1">
        <w:r w:rsidR="00BF74A6" w:rsidRPr="009E1B38">
          <w:rPr>
            <w:rStyle w:val="Kpr"/>
            <w:rFonts w:ascii="Times New Roman" w:hAnsi="Times New Roman"/>
            <w:noProof/>
          </w:rPr>
          <w:t>Table 4.8 shows the electricity distribution investment amounts made on the basis of electricity distribution region in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_Toc107499515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200</w:t>
        </w:r>
        <w:r w:rsidR="00BF74A6" w:rsidRPr="009E1B38">
          <w:rPr>
            <w:rFonts w:ascii="Times New Roman" w:hAnsi="Times New Roman"/>
            <w:noProof/>
            <w:webHidden/>
          </w:rPr>
          <w:fldChar w:fldCharType="end"/>
        </w:r>
      </w:hyperlink>
    </w:p>
    <w:p w14:paraId="4794FA99" w14:textId="53DCCA84"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16" w:history="1">
        <w:r w:rsidR="00BF74A6" w:rsidRPr="009E1B38">
          <w:rPr>
            <w:rStyle w:val="Kpr"/>
            <w:rFonts w:ascii="Times New Roman" w:hAnsi="Times New Roman"/>
            <w:noProof/>
          </w:rPr>
          <w:t>Table 4.8: Investment Amounts Based on Distribution Region in 2020 (Current Prices-TL)</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_Toc107499516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200</w:t>
        </w:r>
        <w:r w:rsidR="00BF74A6" w:rsidRPr="009E1B38">
          <w:rPr>
            <w:rFonts w:ascii="Times New Roman" w:hAnsi="Times New Roman"/>
            <w:noProof/>
            <w:webHidden/>
          </w:rPr>
          <w:fldChar w:fldCharType="end"/>
        </w:r>
      </w:hyperlink>
    </w:p>
    <w:p w14:paraId="395E9B38" w14:textId="42D44946"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17" w:history="1">
        <w:r w:rsidR="00BF74A6" w:rsidRPr="009E1B38">
          <w:rPr>
            <w:rStyle w:val="Kpr"/>
            <w:rFonts w:ascii="Times New Roman" w:hAnsi="Times New Roman"/>
            <w:noProof/>
          </w:rPr>
          <w:t>Table 4.9: Distribution System Connection Fees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_Toc107499517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202</w:t>
        </w:r>
        <w:r w:rsidR="00BF74A6" w:rsidRPr="009E1B38">
          <w:rPr>
            <w:rFonts w:ascii="Times New Roman" w:hAnsi="Times New Roman"/>
            <w:noProof/>
            <w:webHidden/>
          </w:rPr>
          <w:fldChar w:fldCharType="end"/>
        </w:r>
      </w:hyperlink>
    </w:p>
    <w:p w14:paraId="7D7592CD" w14:textId="5F492746"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18"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4.10: Cutting-Connecting Fee</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_Toc107499518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202</w:t>
        </w:r>
        <w:r w:rsidR="00BF74A6" w:rsidRPr="009E1B38">
          <w:rPr>
            <w:rFonts w:ascii="Times New Roman" w:hAnsi="Times New Roman"/>
            <w:noProof/>
            <w:webHidden/>
          </w:rPr>
          <w:fldChar w:fldCharType="end"/>
        </w:r>
      </w:hyperlink>
    </w:p>
    <w:p w14:paraId="228DAC0C" w14:textId="5465E65C"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19"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4.11: Security Deposit</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_Toc107499519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202</w:t>
        </w:r>
        <w:r w:rsidR="00BF74A6" w:rsidRPr="009E1B38">
          <w:rPr>
            <w:rFonts w:ascii="Times New Roman" w:hAnsi="Times New Roman"/>
            <w:noProof/>
            <w:webHidden/>
          </w:rPr>
          <w:fldChar w:fldCharType="end"/>
        </w:r>
      </w:hyperlink>
    </w:p>
    <w:p w14:paraId="300E1FA7" w14:textId="00BFE946"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20"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4.12: Meter Check Fee</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_Toc107499520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203</w:t>
        </w:r>
        <w:r w:rsidR="00BF74A6" w:rsidRPr="009E1B38">
          <w:rPr>
            <w:rFonts w:ascii="Times New Roman" w:hAnsi="Times New Roman"/>
            <w:noProof/>
            <w:webHidden/>
          </w:rPr>
          <w:fldChar w:fldCharType="end"/>
        </w:r>
      </w:hyperlink>
    </w:p>
    <w:p w14:paraId="28E11499" w14:textId="0199E982"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21"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4.13: Unlicensed Production Application Fee (Distribution Companies)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_Toc107499521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203</w:t>
        </w:r>
        <w:r w:rsidR="00BF74A6" w:rsidRPr="009E1B38">
          <w:rPr>
            <w:rFonts w:ascii="Times New Roman" w:hAnsi="Times New Roman"/>
            <w:noProof/>
            <w:webHidden/>
          </w:rPr>
          <w:fldChar w:fldCharType="end"/>
        </w:r>
      </w:hyperlink>
    </w:p>
    <w:p w14:paraId="5DDFFDA2" w14:textId="77330A6E"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22"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4.14: Unlicensed Production Operating Cost (Assigned Supply Companies)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_Toc107499522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203</w:t>
        </w:r>
        <w:r w:rsidR="00BF74A6" w:rsidRPr="009E1B38">
          <w:rPr>
            <w:rFonts w:ascii="Times New Roman" w:hAnsi="Times New Roman"/>
            <w:noProof/>
            <w:webHidden/>
          </w:rPr>
          <w:fldChar w:fldCharType="end"/>
        </w:r>
      </w:hyperlink>
    </w:p>
    <w:p w14:paraId="751217B3" w14:textId="105CB645"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23"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4.15: Unlicensed Production Operating Cost (Electricity Distribution Companies)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_Toc107499523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204</w:t>
        </w:r>
        <w:r w:rsidR="00BF74A6" w:rsidRPr="009E1B38">
          <w:rPr>
            <w:rFonts w:ascii="Times New Roman" w:hAnsi="Times New Roman"/>
            <w:noProof/>
            <w:webHidden/>
          </w:rPr>
          <w:fldChar w:fldCharType="end"/>
        </w:r>
      </w:hyperlink>
    </w:p>
    <w:p w14:paraId="522424CA" w14:textId="5CF3B402"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24" w:history="1">
        <w:r w:rsidR="00BF74A6" w:rsidRPr="009E1B38">
          <w:rPr>
            <w:rStyle w:val="Kpr"/>
            <w:rFonts w:ascii="Times New Roman" w:hAnsi="Times New Roman"/>
            <w:noProof/>
          </w:rPr>
          <w:t>Table 4.16: EPİAŞ 2022 Yılı Market Operation Revenue Ceiling(TL)</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_Toc107499524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204</w:t>
        </w:r>
        <w:r w:rsidR="00BF74A6" w:rsidRPr="009E1B38">
          <w:rPr>
            <w:rFonts w:ascii="Times New Roman" w:hAnsi="Times New Roman"/>
            <w:noProof/>
            <w:webHidden/>
          </w:rPr>
          <w:fldChar w:fldCharType="end"/>
        </w:r>
      </w:hyperlink>
    </w:p>
    <w:p w14:paraId="4FA42F7A" w14:textId="721CBA10"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25"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4.17: EÜAŞ Wholesale Tariffs (Technical and Non-Technical Lost Energy Sales to Distribution Companies and Sales to Contracted Supply Companies)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_Toc107499525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205</w:t>
        </w:r>
        <w:r w:rsidR="00BF74A6" w:rsidRPr="009E1B38">
          <w:rPr>
            <w:rFonts w:ascii="Times New Roman" w:hAnsi="Times New Roman"/>
            <w:noProof/>
            <w:webHidden/>
          </w:rPr>
          <w:fldChar w:fldCharType="end"/>
        </w:r>
      </w:hyperlink>
    </w:p>
    <w:p w14:paraId="68BE29D8" w14:textId="4BEBCBBC"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26"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4.18: EÜAŞ Wholesale Tariffications (Sales to Distribution Companies within the Scope of General Lighting)</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_Toc107499526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205</w:t>
        </w:r>
        <w:r w:rsidR="00BF74A6" w:rsidRPr="009E1B38">
          <w:rPr>
            <w:rFonts w:ascii="Times New Roman" w:hAnsi="Times New Roman"/>
            <w:noProof/>
            <w:webHidden/>
          </w:rPr>
          <w:fldChar w:fldCharType="end"/>
        </w:r>
      </w:hyperlink>
    </w:p>
    <w:p w14:paraId="62582B18" w14:textId="61E88E04"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27" w:history="1">
        <w:r w:rsidR="00BF74A6" w:rsidRPr="009E1B38">
          <w:rPr>
            <w:rStyle w:val="Kpr"/>
            <w:rFonts w:ascii="Times New Roman" w:hAnsi="Times New Roman"/>
            <w:bCs/>
            <w:noProof/>
          </w:rPr>
          <w:t>Table 4.19: Transmission Capacity Fee Upper Limits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_Toc107499527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213</w:t>
        </w:r>
        <w:r w:rsidR="00BF74A6" w:rsidRPr="009E1B38">
          <w:rPr>
            <w:rFonts w:ascii="Times New Roman" w:hAnsi="Times New Roman"/>
            <w:noProof/>
            <w:webHidden/>
          </w:rPr>
          <w:fldChar w:fldCharType="end"/>
        </w:r>
      </w:hyperlink>
    </w:p>
    <w:p w14:paraId="6B7A1993" w14:textId="6BF50AC0"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28" w:history="1">
        <w:r w:rsidR="00BF74A6" w:rsidRPr="009E1B38">
          <w:rPr>
            <w:rStyle w:val="Kpr"/>
            <w:rFonts w:ascii="Times New Roman" w:hAnsi="Times New Roman"/>
            <w:bCs/>
            <w:noProof/>
          </w:rPr>
          <w:t>Table 4.20: BOTAŞ’ Transmission Service Fee Upper Limit</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_Toc107499528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213</w:t>
        </w:r>
        <w:r w:rsidR="00BF74A6" w:rsidRPr="009E1B38">
          <w:rPr>
            <w:rFonts w:ascii="Times New Roman" w:hAnsi="Times New Roman"/>
            <w:noProof/>
            <w:webHidden/>
          </w:rPr>
          <w:fldChar w:fldCharType="end"/>
        </w:r>
      </w:hyperlink>
    </w:p>
    <w:p w14:paraId="4633FEC8" w14:textId="0D515A2F"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29" w:history="1">
        <w:r w:rsidR="00BF74A6" w:rsidRPr="009E1B38">
          <w:rPr>
            <w:rStyle w:val="Kpr"/>
            <w:rFonts w:ascii="Times New Roman" w:hAnsi="Times New Roman"/>
            <w:bCs/>
            <w:noProof/>
          </w:rPr>
          <w:t>Table 4.21: BOTAŞ' Third İmplementation Period Investment Ceiling</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_Toc107499529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213</w:t>
        </w:r>
        <w:r w:rsidR="00BF74A6" w:rsidRPr="009E1B38">
          <w:rPr>
            <w:rFonts w:ascii="Times New Roman" w:hAnsi="Times New Roman"/>
            <w:noProof/>
            <w:webHidden/>
          </w:rPr>
          <w:fldChar w:fldCharType="end"/>
        </w:r>
      </w:hyperlink>
    </w:p>
    <w:p w14:paraId="53C22B87" w14:textId="150F4DC9"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30" w:history="1">
        <w:r w:rsidR="00BF74A6" w:rsidRPr="009E1B38">
          <w:rPr>
            <w:rStyle w:val="Kpr"/>
            <w:rFonts w:ascii="Times New Roman" w:hAnsi="Times New Roman"/>
            <w:bCs/>
            <w:noProof/>
          </w:rPr>
          <w:t>Table 4.22: BOTAŞ' Third İmplementation Period Revenue Requirement</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_Toc107499530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214</w:t>
        </w:r>
        <w:r w:rsidR="00BF74A6" w:rsidRPr="009E1B38">
          <w:rPr>
            <w:rFonts w:ascii="Times New Roman" w:hAnsi="Times New Roman"/>
            <w:noProof/>
            <w:webHidden/>
          </w:rPr>
          <w:fldChar w:fldCharType="end"/>
        </w:r>
      </w:hyperlink>
    </w:p>
    <w:p w14:paraId="5B0CB0F5" w14:textId="0AB3113B"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31" w:history="1">
        <w:r w:rsidR="00BF74A6" w:rsidRPr="009E1B38">
          <w:rPr>
            <w:rStyle w:val="Kpr"/>
            <w:rFonts w:ascii="Times New Roman" w:hAnsi="Times New Roman"/>
            <w:bCs/>
            <w:noProof/>
          </w:rPr>
          <w:t xml:space="preserve">Table 4.24: </w:t>
        </w:r>
        <w:r w:rsidR="00BF74A6" w:rsidRPr="009E1B38">
          <w:rPr>
            <w:rStyle w:val="Kpr"/>
            <w:rFonts w:ascii="Times New Roman" w:hAnsi="Times New Roman"/>
            <w:noProof/>
          </w:rPr>
          <w:t>Internal Installation Project Approval, Control, Test and Commissioning Upper Costs Determined by the Authority</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_Toc107499531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215</w:t>
        </w:r>
        <w:r w:rsidR="00BF74A6" w:rsidRPr="009E1B38">
          <w:rPr>
            <w:rFonts w:ascii="Times New Roman" w:hAnsi="Times New Roman"/>
            <w:noProof/>
            <w:webHidden/>
          </w:rPr>
          <w:fldChar w:fldCharType="end"/>
        </w:r>
      </w:hyperlink>
    </w:p>
    <w:p w14:paraId="10ED9BD2" w14:textId="56EE74F7"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32" w:history="1">
        <w:r w:rsidR="00BF74A6" w:rsidRPr="009E1B38">
          <w:rPr>
            <w:rStyle w:val="Kpr"/>
            <w:rFonts w:ascii="Times New Roman" w:hAnsi="Times New Roman"/>
            <w:bCs/>
            <w:noProof/>
          </w:rPr>
          <w:t>Table 4.25: Natural Gas Distribution Companies with Board Decisions Regarding Retail Sales Tariffs in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_Toc107499532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215</w:t>
        </w:r>
        <w:r w:rsidR="00BF74A6" w:rsidRPr="009E1B38">
          <w:rPr>
            <w:rFonts w:ascii="Times New Roman" w:hAnsi="Times New Roman"/>
            <w:noProof/>
            <w:webHidden/>
          </w:rPr>
          <w:fldChar w:fldCharType="end"/>
        </w:r>
      </w:hyperlink>
    </w:p>
    <w:p w14:paraId="067F8196" w14:textId="05448A7B"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33" w:history="1">
        <w:r w:rsidR="00BF74A6" w:rsidRPr="009E1B38">
          <w:rPr>
            <w:rStyle w:val="Kpr"/>
            <w:rFonts w:ascii="Times New Roman" w:eastAsia="Times New Roman" w:hAnsi="Times New Roman"/>
            <w:bCs/>
            <w:noProof/>
          </w:rPr>
          <w:t>Table 6.1: Transfer of Allowances to Protocolist Organizations within the Scope of Audit in 2020 and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_Toc107499533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231</w:t>
        </w:r>
        <w:r w:rsidR="00BF74A6" w:rsidRPr="009E1B38">
          <w:rPr>
            <w:rFonts w:ascii="Times New Roman" w:hAnsi="Times New Roman"/>
            <w:noProof/>
            <w:webHidden/>
          </w:rPr>
          <w:fldChar w:fldCharType="end"/>
        </w:r>
      </w:hyperlink>
    </w:p>
    <w:p w14:paraId="649B171B" w14:textId="5246BD32"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34" w:history="1">
        <w:r w:rsidR="00BF74A6" w:rsidRPr="009E1B38">
          <w:rPr>
            <w:rStyle w:val="Kpr"/>
            <w:rFonts w:ascii="Times New Roman" w:eastAsia="Times New Roman" w:hAnsi="Times New Roman"/>
            <w:bCs/>
            <w:noProof/>
          </w:rPr>
          <w:t>Table 6.2: 2019-2021 National Marker Field Device (XP) Analysis Results Comparison</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_Toc107499534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232</w:t>
        </w:r>
        <w:r w:rsidR="00BF74A6" w:rsidRPr="009E1B38">
          <w:rPr>
            <w:rFonts w:ascii="Times New Roman" w:hAnsi="Times New Roman"/>
            <w:noProof/>
            <w:webHidden/>
          </w:rPr>
          <w:fldChar w:fldCharType="end"/>
        </w:r>
      </w:hyperlink>
    </w:p>
    <w:p w14:paraId="2CD248D1" w14:textId="28F37F98"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35" w:history="1">
        <w:r w:rsidR="00BF74A6" w:rsidRPr="009E1B38">
          <w:rPr>
            <w:rStyle w:val="Kpr"/>
            <w:rFonts w:ascii="Times New Roman" w:eastAsia="Times New Roman" w:hAnsi="Times New Roman"/>
            <w:bCs/>
            <w:noProof/>
          </w:rPr>
          <w:t>Table 6.3: Distribution of Administrative Fines İmplemented in the Petroleum Market in 2020 by License Type</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_Toc107499535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232</w:t>
        </w:r>
        <w:r w:rsidR="00BF74A6" w:rsidRPr="009E1B38">
          <w:rPr>
            <w:rFonts w:ascii="Times New Roman" w:hAnsi="Times New Roman"/>
            <w:noProof/>
            <w:webHidden/>
          </w:rPr>
          <w:fldChar w:fldCharType="end"/>
        </w:r>
      </w:hyperlink>
    </w:p>
    <w:p w14:paraId="1A4043E2" w14:textId="1FB5067B"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36" w:history="1">
        <w:r w:rsidR="00BF74A6" w:rsidRPr="009E1B38">
          <w:rPr>
            <w:rStyle w:val="Kpr"/>
            <w:rFonts w:ascii="Times New Roman" w:eastAsia="Times New Roman" w:hAnsi="Times New Roman"/>
            <w:bCs/>
            <w:noProof/>
          </w:rPr>
          <w:t>Table 6.4: Distribution of Administrative Fines İmplemented in the Petroleum Market in 2019-2020 by License Type</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_Toc107499536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232</w:t>
        </w:r>
        <w:r w:rsidR="00BF74A6" w:rsidRPr="009E1B38">
          <w:rPr>
            <w:rFonts w:ascii="Times New Roman" w:hAnsi="Times New Roman"/>
            <w:noProof/>
            <w:webHidden/>
          </w:rPr>
          <w:fldChar w:fldCharType="end"/>
        </w:r>
      </w:hyperlink>
    </w:p>
    <w:p w14:paraId="2E78F34B" w14:textId="1356F322"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37" w:history="1">
        <w:r w:rsidR="00BF74A6" w:rsidRPr="009E1B38">
          <w:rPr>
            <w:rStyle w:val="Kpr"/>
            <w:rFonts w:ascii="Times New Roman" w:eastAsia="Times New Roman" w:hAnsi="Times New Roman"/>
            <w:bCs/>
            <w:noProof/>
          </w:rPr>
          <w:t>Table 6.5: Distribution of Administrative Fines İmplemented in the Petroleum Market in 2021 by Acts Subject to Administrative Fines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_Toc107499537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233</w:t>
        </w:r>
        <w:r w:rsidR="00BF74A6" w:rsidRPr="009E1B38">
          <w:rPr>
            <w:rFonts w:ascii="Times New Roman" w:hAnsi="Times New Roman"/>
            <w:noProof/>
            <w:webHidden/>
          </w:rPr>
          <w:fldChar w:fldCharType="end"/>
        </w:r>
      </w:hyperlink>
    </w:p>
    <w:p w14:paraId="711A54F1" w14:textId="43EAD671"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38" w:history="1">
        <w:r w:rsidR="00BF74A6" w:rsidRPr="009E1B38">
          <w:rPr>
            <w:rStyle w:val="Kpr"/>
            <w:rFonts w:ascii="Times New Roman" w:eastAsia="Times New Roman" w:hAnsi="Times New Roman"/>
            <w:bCs/>
            <w:noProof/>
          </w:rPr>
          <w:t>Table 6.6: Distribution of Administrative Fines İmplemented in the LPG Market in 2020 by License Type</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_Toc107499538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234</w:t>
        </w:r>
        <w:r w:rsidR="00BF74A6" w:rsidRPr="009E1B38">
          <w:rPr>
            <w:rFonts w:ascii="Times New Roman" w:hAnsi="Times New Roman"/>
            <w:noProof/>
            <w:webHidden/>
          </w:rPr>
          <w:fldChar w:fldCharType="end"/>
        </w:r>
      </w:hyperlink>
    </w:p>
    <w:p w14:paraId="1A399372" w14:textId="6DA9E24B"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39" w:history="1">
        <w:r w:rsidR="00BF74A6" w:rsidRPr="009E1B38">
          <w:rPr>
            <w:rStyle w:val="Kpr"/>
            <w:rFonts w:ascii="Times New Roman" w:eastAsia="Times New Roman" w:hAnsi="Times New Roman"/>
            <w:bCs/>
            <w:noProof/>
          </w:rPr>
          <w:t>Table 6.7: Distribution of Administrative Fines Implemented in the LPG Market in 2019-2020 by License Type</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_Toc107499539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234</w:t>
        </w:r>
        <w:r w:rsidR="00BF74A6" w:rsidRPr="009E1B38">
          <w:rPr>
            <w:rFonts w:ascii="Times New Roman" w:hAnsi="Times New Roman"/>
            <w:noProof/>
            <w:webHidden/>
          </w:rPr>
          <w:fldChar w:fldCharType="end"/>
        </w:r>
      </w:hyperlink>
    </w:p>
    <w:p w14:paraId="2DDA337D" w14:textId="71DA16F1"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40" w:history="1">
        <w:r w:rsidR="00BF74A6" w:rsidRPr="009E1B38">
          <w:rPr>
            <w:rStyle w:val="Kpr"/>
            <w:rFonts w:ascii="Times New Roman" w:eastAsia="Times New Roman" w:hAnsi="Times New Roman"/>
            <w:noProof/>
          </w:rPr>
          <w:t>Table 6.8: Distribution of Administrative Fines İmplemented in the LPG Market in 2020 by Acts Subject to Administrative Fines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_Toc107499540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234</w:t>
        </w:r>
        <w:r w:rsidR="00BF74A6" w:rsidRPr="009E1B38">
          <w:rPr>
            <w:rFonts w:ascii="Times New Roman" w:hAnsi="Times New Roman"/>
            <w:noProof/>
            <w:webHidden/>
          </w:rPr>
          <w:fldChar w:fldCharType="end"/>
        </w:r>
      </w:hyperlink>
    </w:p>
    <w:p w14:paraId="26F6094B" w14:textId="0186129F"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41" w:history="1">
        <w:r w:rsidR="00BF74A6" w:rsidRPr="009E1B38">
          <w:rPr>
            <w:rStyle w:val="Kpr"/>
            <w:rFonts w:ascii="Times New Roman" w:eastAsia="Times New Roman" w:hAnsi="Times New Roman"/>
            <w:noProof/>
          </w:rPr>
          <w:t>Figure 7.1: Distribution of Board Decisions Regarding the Procurement of Real Estate in 2020</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_Toc107499541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236</w:t>
        </w:r>
        <w:r w:rsidR="00BF74A6" w:rsidRPr="009E1B38">
          <w:rPr>
            <w:rFonts w:ascii="Times New Roman" w:hAnsi="Times New Roman"/>
            <w:noProof/>
            <w:webHidden/>
          </w:rPr>
          <w:fldChar w:fldCharType="end"/>
        </w:r>
      </w:hyperlink>
    </w:p>
    <w:p w14:paraId="47CF55A4" w14:textId="0C03EA65"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42" w:history="1">
        <w:r w:rsidR="00BF74A6" w:rsidRPr="009E1B38">
          <w:rPr>
            <w:rStyle w:val="Kpr"/>
            <w:rFonts w:ascii="Times New Roman" w:eastAsia="Times New Roman" w:hAnsi="Times New Roman"/>
            <w:noProof/>
          </w:rPr>
          <w:t>Figure 7.2: Distribution of Board Decisions Regarding the Procurement of Real Estate in 2021 by  Facility Types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_Toc107499542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236</w:t>
        </w:r>
        <w:r w:rsidR="00BF74A6" w:rsidRPr="009E1B38">
          <w:rPr>
            <w:rFonts w:ascii="Times New Roman" w:hAnsi="Times New Roman"/>
            <w:noProof/>
            <w:webHidden/>
          </w:rPr>
          <w:fldChar w:fldCharType="end"/>
        </w:r>
      </w:hyperlink>
    </w:p>
    <w:p w14:paraId="781554C8" w14:textId="0F790ADF"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43" w:history="1">
        <w:r w:rsidR="00BF74A6" w:rsidRPr="009E1B38">
          <w:rPr>
            <w:rStyle w:val="Kpr"/>
            <w:rFonts w:ascii="Times New Roman" w:eastAsia="Times New Roman" w:hAnsi="Times New Roman"/>
            <w:noProof/>
          </w:rPr>
          <w:t>Table 8.1: As of the End of 2020, Total Number of Cases To which Our Authority is a Party</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_Toc107499543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238</w:t>
        </w:r>
        <w:r w:rsidR="00BF74A6" w:rsidRPr="009E1B38">
          <w:rPr>
            <w:rFonts w:ascii="Times New Roman" w:hAnsi="Times New Roman"/>
            <w:noProof/>
            <w:webHidden/>
          </w:rPr>
          <w:fldChar w:fldCharType="end"/>
        </w:r>
      </w:hyperlink>
    </w:p>
    <w:p w14:paraId="6562858C" w14:textId="6D4C9A9C"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44" w:history="1">
        <w:r w:rsidR="00BF74A6" w:rsidRPr="009E1B38">
          <w:rPr>
            <w:rStyle w:val="Kpr"/>
            <w:rFonts w:ascii="Times New Roman" w:eastAsia="Times New Roman" w:hAnsi="Times New Roman"/>
            <w:noProof/>
          </w:rPr>
          <w:t>Table 8.2: Distribution of Cases to which our Authority is a Party to the Markets as of the End of 2020</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_Toc107499544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238</w:t>
        </w:r>
        <w:r w:rsidR="00BF74A6" w:rsidRPr="009E1B38">
          <w:rPr>
            <w:rFonts w:ascii="Times New Roman" w:hAnsi="Times New Roman"/>
            <w:noProof/>
            <w:webHidden/>
          </w:rPr>
          <w:fldChar w:fldCharType="end"/>
        </w:r>
      </w:hyperlink>
    </w:p>
    <w:p w14:paraId="0FAA46AC" w14:textId="5FF525A8"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45" w:history="1">
        <w:r w:rsidR="00BF74A6" w:rsidRPr="009E1B38">
          <w:rPr>
            <w:rStyle w:val="Kpr"/>
            <w:rFonts w:ascii="Times New Roman" w:eastAsia="Times New Roman" w:hAnsi="Times New Roman"/>
            <w:noProof/>
          </w:rPr>
          <w:t>Table 8.3: Distribution of Cases to which our Authority is a Party in 2020</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_Toc107499545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238</w:t>
        </w:r>
        <w:r w:rsidR="00BF74A6" w:rsidRPr="009E1B38">
          <w:rPr>
            <w:rFonts w:ascii="Times New Roman" w:hAnsi="Times New Roman"/>
            <w:noProof/>
            <w:webHidden/>
          </w:rPr>
          <w:fldChar w:fldCharType="end"/>
        </w:r>
      </w:hyperlink>
    </w:p>
    <w:p w14:paraId="1265DCCD" w14:textId="229F675F"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46" w:history="1">
        <w:r w:rsidR="00BF74A6" w:rsidRPr="009E1B38">
          <w:rPr>
            <w:rStyle w:val="Kpr"/>
            <w:rFonts w:ascii="Times New Roman" w:eastAsia="Times New Roman" w:hAnsi="Times New Roman"/>
            <w:noProof/>
          </w:rPr>
          <w:t>Figure 8.1: Market Based Distribution of Lawsuits Opened to Our Authority by Years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_Toc107499546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239</w:t>
        </w:r>
        <w:r w:rsidR="00BF74A6" w:rsidRPr="009E1B38">
          <w:rPr>
            <w:rFonts w:ascii="Times New Roman" w:hAnsi="Times New Roman"/>
            <w:noProof/>
            <w:webHidden/>
          </w:rPr>
          <w:fldChar w:fldCharType="end"/>
        </w:r>
      </w:hyperlink>
    </w:p>
    <w:p w14:paraId="68D44D4E" w14:textId="5E567AEC"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47" w:history="1">
        <w:r w:rsidR="00BF74A6" w:rsidRPr="009E1B38">
          <w:rPr>
            <w:rStyle w:val="Kpr"/>
            <w:rFonts w:ascii="Times New Roman" w:eastAsia="Times New Roman" w:hAnsi="Times New Roman"/>
            <w:noProof/>
          </w:rPr>
          <w:t>Table 8.4: Finalization Status of the Cases Followed by Our Authority as of the End of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_Toc107499547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239</w:t>
        </w:r>
        <w:r w:rsidR="00BF74A6" w:rsidRPr="009E1B38">
          <w:rPr>
            <w:rFonts w:ascii="Times New Roman" w:hAnsi="Times New Roman"/>
            <w:noProof/>
            <w:webHidden/>
          </w:rPr>
          <w:fldChar w:fldCharType="end"/>
        </w:r>
      </w:hyperlink>
    </w:p>
    <w:p w14:paraId="33A6A951" w14:textId="36EDE204"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48" w:history="1">
        <w:r w:rsidR="00BF74A6" w:rsidRPr="009E1B38">
          <w:rPr>
            <w:rStyle w:val="Kpr"/>
            <w:rFonts w:ascii="Times New Roman" w:eastAsia="Times New Roman" w:hAnsi="Times New Roman"/>
            <w:noProof/>
          </w:rPr>
          <w:t>Table 8.5: As of the end of 2020, the Distribution of the Cases Determined to be Finalized among the Cases To which our Authority is a Party, in Terms of Results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_Toc107499548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239</w:t>
        </w:r>
        <w:r w:rsidR="00BF74A6" w:rsidRPr="009E1B38">
          <w:rPr>
            <w:rFonts w:ascii="Times New Roman" w:hAnsi="Times New Roman"/>
            <w:noProof/>
            <w:webHidden/>
          </w:rPr>
          <w:fldChar w:fldCharType="end"/>
        </w:r>
      </w:hyperlink>
    </w:p>
    <w:p w14:paraId="1BBA4532" w14:textId="288FADCB"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49" w:history="1">
        <w:r w:rsidR="00BF74A6" w:rsidRPr="009E1B38">
          <w:rPr>
            <w:rStyle w:val="Kpr"/>
            <w:rFonts w:ascii="Times New Roman" w:eastAsia="Times New Roman" w:hAnsi="Times New Roman"/>
            <w:noProof/>
          </w:rPr>
          <w:t>Table 8.6: As of the End of 2020, Distribution of the Cases Concluded from the Cases To which our Authority is a Party</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_Toc107499549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240</w:t>
        </w:r>
        <w:r w:rsidR="00BF74A6" w:rsidRPr="009E1B38">
          <w:rPr>
            <w:rFonts w:ascii="Times New Roman" w:hAnsi="Times New Roman"/>
            <w:noProof/>
            <w:webHidden/>
          </w:rPr>
          <w:fldChar w:fldCharType="end"/>
        </w:r>
      </w:hyperlink>
    </w:p>
    <w:p w14:paraId="53FD4E8D" w14:textId="4EBF4AD3"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50" w:history="1">
        <w:r w:rsidR="00BF74A6" w:rsidRPr="009E1B38">
          <w:rPr>
            <w:rStyle w:val="Kpr"/>
            <w:rFonts w:ascii="Times New Roman" w:eastAsia="Times New Roman" w:hAnsi="Times New Roman"/>
            <w:noProof/>
          </w:rPr>
          <w:t>Figure 8.2: As of the End of 2020, Distribution of the Cases To which our Authority is a Party in terms of Results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_Toc107499550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240</w:t>
        </w:r>
        <w:r w:rsidR="00BF74A6" w:rsidRPr="009E1B38">
          <w:rPr>
            <w:rFonts w:ascii="Times New Roman" w:hAnsi="Times New Roman"/>
            <w:noProof/>
            <w:webHidden/>
          </w:rPr>
          <w:fldChar w:fldCharType="end"/>
        </w:r>
      </w:hyperlink>
    </w:p>
    <w:p w14:paraId="37BB6AB0" w14:textId="56070609"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51" w:history="1">
        <w:r w:rsidR="00BF74A6" w:rsidRPr="009E1B38">
          <w:rPr>
            <w:rStyle w:val="Kpr"/>
            <w:rFonts w:ascii="Times New Roman" w:eastAsia="Times New Roman" w:hAnsi="Times New Roman"/>
            <w:noProof/>
          </w:rPr>
          <w:t>Table 8.7: Distribution of Opinions Given by the Legal Department as of the End of 2020</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_Toc107499551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241</w:t>
        </w:r>
        <w:r w:rsidR="00BF74A6" w:rsidRPr="009E1B38">
          <w:rPr>
            <w:rFonts w:ascii="Times New Roman" w:hAnsi="Times New Roman"/>
            <w:noProof/>
            <w:webHidden/>
          </w:rPr>
          <w:fldChar w:fldCharType="end"/>
        </w:r>
      </w:hyperlink>
    </w:p>
    <w:p w14:paraId="2BF8B842" w14:textId="3EC0A5B6"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52" w:history="1">
        <w:r w:rsidR="00BF74A6" w:rsidRPr="009E1B38">
          <w:rPr>
            <w:rStyle w:val="Kpr"/>
            <w:rFonts w:ascii="Times New Roman" w:eastAsia="Times New Roman" w:hAnsi="Times New Roman"/>
            <w:noProof/>
          </w:rPr>
          <w:t>Table 8.8: Distribution of Opinions Given by the Legal Department by Years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_Toc107499552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241</w:t>
        </w:r>
        <w:r w:rsidR="00BF74A6" w:rsidRPr="009E1B38">
          <w:rPr>
            <w:rFonts w:ascii="Times New Roman" w:hAnsi="Times New Roman"/>
            <w:noProof/>
            <w:webHidden/>
          </w:rPr>
          <w:fldChar w:fldCharType="end"/>
        </w:r>
      </w:hyperlink>
    </w:p>
    <w:p w14:paraId="7FC1790A" w14:textId="65E260F8"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53" w:history="1">
        <w:r w:rsidR="00BF74A6" w:rsidRPr="009E1B38">
          <w:rPr>
            <w:rStyle w:val="Kpr"/>
            <w:rFonts w:ascii="Times New Roman" w:eastAsia="Times New Roman" w:hAnsi="Times New Roman"/>
            <w:noProof/>
          </w:rPr>
          <w:t>Figure 8.3: Distribution of Opinions Given by the Legal Department by Years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_Toc107499553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242</w:t>
        </w:r>
        <w:r w:rsidR="00BF74A6" w:rsidRPr="009E1B38">
          <w:rPr>
            <w:rFonts w:ascii="Times New Roman" w:hAnsi="Times New Roman"/>
            <w:noProof/>
            <w:webHidden/>
          </w:rPr>
          <w:fldChar w:fldCharType="end"/>
        </w:r>
      </w:hyperlink>
    </w:p>
    <w:p w14:paraId="3C4D7642" w14:textId="7A1FAB38"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54" w:history="1">
        <w:r w:rsidR="00BF74A6" w:rsidRPr="009E1B38">
          <w:rPr>
            <w:rStyle w:val="Kpr"/>
            <w:rFonts w:ascii="Times New Roman" w:hAnsi="Times New Roman"/>
            <w:noProof/>
          </w:rPr>
          <w:t>Figure 9.1: Percentage Distribution of Notifications Processed Under the Complaint Heading by Months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_Toc107499554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244</w:t>
        </w:r>
        <w:r w:rsidR="00BF74A6" w:rsidRPr="009E1B38">
          <w:rPr>
            <w:rFonts w:ascii="Times New Roman" w:hAnsi="Times New Roman"/>
            <w:noProof/>
            <w:webHidden/>
          </w:rPr>
          <w:fldChar w:fldCharType="end"/>
        </w:r>
      </w:hyperlink>
    </w:p>
    <w:p w14:paraId="02BEA51C" w14:textId="7D0B48CB"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55" w:history="1">
        <w:r w:rsidR="00BF74A6" w:rsidRPr="009E1B38">
          <w:rPr>
            <w:rStyle w:val="Kpr"/>
            <w:rFonts w:ascii="Times New Roman" w:hAnsi="Times New Roman"/>
            <w:noProof/>
          </w:rPr>
          <w:t>Figure 9.2: Percentage Distribution of Complaint Notifications by Complaint Channels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_Toc107499555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245</w:t>
        </w:r>
        <w:r w:rsidR="00BF74A6" w:rsidRPr="009E1B38">
          <w:rPr>
            <w:rFonts w:ascii="Times New Roman" w:hAnsi="Times New Roman"/>
            <w:noProof/>
            <w:webHidden/>
          </w:rPr>
          <w:fldChar w:fldCharType="end"/>
        </w:r>
      </w:hyperlink>
    </w:p>
    <w:p w14:paraId="66D0E28F" w14:textId="1F0391C2"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56" w:history="1">
        <w:r w:rsidR="00BF74A6" w:rsidRPr="009E1B38">
          <w:rPr>
            <w:rStyle w:val="Kpr"/>
            <w:rFonts w:ascii="Times New Roman" w:hAnsi="Times New Roman"/>
            <w:noProof/>
          </w:rPr>
          <w:t>Figure 9.3: Sectoral Distribution of Complaint Notifications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_Toc107499556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246</w:t>
        </w:r>
        <w:r w:rsidR="00BF74A6" w:rsidRPr="009E1B38">
          <w:rPr>
            <w:rFonts w:ascii="Times New Roman" w:hAnsi="Times New Roman"/>
            <w:noProof/>
            <w:webHidden/>
          </w:rPr>
          <w:fldChar w:fldCharType="end"/>
        </w:r>
      </w:hyperlink>
    </w:p>
    <w:p w14:paraId="76907B6A" w14:textId="36E25029"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57" w:history="1">
        <w:r w:rsidR="00BF74A6" w:rsidRPr="009E1B38">
          <w:rPr>
            <w:rStyle w:val="Kpr"/>
            <w:rFonts w:ascii="Times New Roman" w:hAnsi="Times New Roman"/>
            <w:noProof/>
          </w:rPr>
          <w:t>Figure 9.4: Distribution of Complaint Notifications by Relevant Addresses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_Toc107499557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247</w:t>
        </w:r>
        <w:r w:rsidR="00BF74A6" w:rsidRPr="009E1B38">
          <w:rPr>
            <w:rFonts w:ascii="Times New Roman" w:hAnsi="Times New Roman"/>
            <w:noProof/>
            <w:webHidden/>
          </w:rPr>
          <w:fldChar w:fldCharType="end"/>
        </w:r>
      </w:hyperlink>
    </w:p>
    <w:p w14:paraId="1FDB7ED5" w14:textId="3B09D4E0"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58" w:history="1">
        <w:r w:rsidR="00BF74A6" w:rsidRPr="009E1B38">
          <w:rPr>
            <w:rStyle w:val="Kpr"/>
            <w:rFonts w:ascii="Times New Roman" w:hAnsi="Times New Roman"/>
            <w:noProof/>
          </w:rPr>
          <w:t>Figure 9.5: Percentage Distribution of Sub-Classification of Complaints in the Electricity Sector</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_Toc107499558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248</w:t>
        </w:r>
        <w:r w:rsidR="00BF74A6" w:rsidRPr="009E1B38">
          <w:rPr>
            <w:rFonts w:ascii="Times New Roman" w:hAnsi="Times New Roman"/>
            <w:noProof/>
            <w:webHidden/>
          </w:rPr>
          <w:fldChar w:fldCharType="end"/>
        </w:r>
      </w:hyperlink>
    </w:p>
    <w:p w14:paraId="429D6574" w14:textId="2A998B45"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59" w:history="1">
        <w:r w:rsidR="00BF74A6" w:rsidRPr="009E1B38">
          <w:rPr>
            <w:rStyle w:val="Kpr"/>
            <w:rFonts w:ascii="Times New Roman" w:hAnsi="Times New Roman"/>
            <w:noProof/>
          </w:rPr>
          <w:t>Figure 9.6: Percentage Distribution of Notifications in the Electricity Sector by Months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_Toc107499559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248</w:t>
        </w:r>
        <w:r w:rsidR="00BF74A6" w:rsidRPr="009E1B38">
          <w:rPr>
            <w:rFonts w:ascii="Times New Roman" w:hAnsi="Times New Roman"/>
            <w:noProof/>
            <w:webHidden/>
          </w:rPr>
          <w:fldChar w:fldCharType="end"/>
        </w:r>
      </w:hyperlink>
    </w:p>
    <w:p w14:paraId="2B49F633" w14:textId="62F2CCDB"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60" w:history="1">
        <w:r w:rsidR="00BF74A6" w:rsidRPr="009E1B38">
          <w:rPr>
            <w:rStyle w:val="Kpr"/>
            <w:rFonts w:ascii="Times New Roman" w:hAnsi="Times New Roman"/>
            <w:noProof/>
          </w:rPr>
          <w:t>Figure 9.7: Percentage Distribution of Sub-Classification of Complaints and Realizations in the Natural Gas Sector</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_Toc107499560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249</w:t>
        </w:r>
        <w:r w:rsidR="00BF74A6" w:rsidRPr="009E1B38">
          <w:rPr>
            <w:rFonts w:ascii="Times New Roman" w:hAnsi="Times New Roman"/>
            <w:noProof/>
            <w:webHidden/>
          </w:rPr>
          <w:fldChar w:fldCharType="end"/>
        </w:r>
      </w:hyperlink>
    </w:p>
    <w:p w14:paraId="4F76BAF3" w14:textId="0A3F1344"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61" w:history="1">
        <w:r w:rsidR="00BF74A6" w:rsidRPr="009E1B38">
          <w:rPr>
            <w:rStyle w:val="Kpr"/>
            <w:rFonts w:ascii="Times New Roman" w:hAnsi="Times New Roman"/>
            <w:noProof/>
          </w:rPr>
          <w:t>Figure 9.8: Percentage Distribution of Notifications in the Natural Gas Sector by Months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_Toc107499561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250</w:t>
        </w:r>
        <w:r w:rsidR="00BF74A6" w:rsidRPr="009E1B38">
          <w:rPr>
            <w:rFonts w:ascii="Times New Roman" w:hAnsi="Times New Roman"/>
            <w:noProof/>
            <w:webHidden/>
          </w:rPr>
          <w:fldChar w:fldCharType="end"/>
        </w:r>
      </w:hyperlink>
    </w:p>
    <w:p w14:paraId="18EECD81" w14:textId="56A347B6"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62" w:history="1">
        <w:r w:rsidR="00BF74A6" w:rsidRPr="009E1B38">
          <w:rPr>
            <w:rStyle w:val="Kpr"/>
            <w:rFonts w:ascii="Times New Roman" w:hAnsi="Times New Roman"/>
            <w:noProof/>
          </w:rPr>
          <w:t>Figure 9.9: Percentage Distribution of Sub-classification of Complaints in the Petroleum Industry</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_Toc107499562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251</w:t>
        </w:r>
        <w:r w:rsidR="00BF74A6" w:rsidRPr="009E1B38">
          <w:rPr>
            <w:rFonts w:ascii="Times New Roman" w:hAnsi="Times New Roman"/>
            <w:noProof/>
            <w:webHidden/>
          </w:rPr>
          <w:fldChar w:fldCharType="end"/>
        </w:r>
      </w:hyperlink>
    </w:p>
    <w:p w14:paraId="1C4E7D72" w14:textId="3A031A70"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63" w:history="1">
        <w:r w:rsidR="00BF74A6" w:rsidRPr="009E1B38">
          <w:rPr>
            <w:rStyle w:val="Kpr"/>
            <w:rFonts w:ascii="Times New Roman" w:hAnsi="Times New Roman"/>
            <w:noProof/>
          </w:rPr>
          <w:t>Figure 9.10: Percentage Distribution of Subclassification of Complaints in the LPG Industry</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_Toc107499563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252</w:t>
        </w:r>
        <w:r w:rsidR="00BF74A6" w:rsidRPr="009E1B38">
          <w:rPr>
            <w:rFonts w:ascii="Times New Roman" w:hAnsi="Times New Roman"/>
            <w:noProof/>
            <w:webHidden/>
          </w:rPr>
          <w:fldChar w:fldCharType="end"/>
        </w:r>
      </w:hyperlink>
    </w:p>
    <w:p w14:paraId="0A2F3F02" w14:textId="3541A1BD"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64" w:history="1">
        <w:r w:rsidR="00BF74A6" w:rsidRPr="009E1B38">
          <w:rPr>
            <w:rStyle w:val="Kpr"/>
            <w:rFonts w:ascii="Times New Roman" w:hAnsi="Times New Roman"/>
            <w:noProof/>
          </w:rPr>
          <w:t>Table 11.1: Distribution of the Parliamentary Question in 2021 by Subject</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_Toc107499564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254</w:t>
        </w:r>
        <w:r w:rsidR="00BF74A6" w:rsidRPr="009E1B38">
          <w:rPr>
            <w:rFonts w:ascii="Times New Roman" w:hAnsi="Times New Roman"/>
            <w:noProof/>
            <w:webHidden/>
          </w:rPr>
          <w:fldChar w:fldCharType="end"/>
        </w:r>
      </w:hyperlink>
    </w:p>
    <w:p w14:paraId="5190D2DE" w14:textId="0C14B213"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65" w:history="1">
        <w:r w:rsidR="00BF74A6" w:rsidRPr="009E1B38">
          <w:rPr>
            <w:rStyle w:val="Kpr"/>
            <w:rFonts w:ascii="Times New Roman" w:hAnsi="Times New Roman"/>
            <w:noProof/>
          </w:rPr>
          <w:t>Figure 11.1: Percentage Distribution of Questionnaires Received in 2021 by Subject</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_Toc107499565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255</w:t>
        </w:r>
        <w:r w:rsidR="00BF74A6" w:rsidRPr="009E1B38">
          <w:rPr>
            <w:rFonts w:ascii="Times New Roman" w:hAnsi="Times New Roman"/>
            <w:noProof/>
            <w:webHidden/>
          </w:rPr>
          <w:fldChar w:fldCharType="end"/>
        </w:r>
      </w:hyperlink>
    </w:p>
    <w:p w14:paraId="3BF66FC2" w14:textId="375CF030"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66"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13.1: Information on Staff Assigned in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_Toc107499566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260</w:t>
        </w:r>
        <w:r w:rsidR="00BF74A6" w:rsidRPr="009E1B38">
          <w:rPr>
            <w:rFonts w:ascii="Times New Roman" w:hAnsi="Times New Roman"/>
            <w:noProof/>
            <w:webHidden/>
          </w:rPr>
          <w:fldChar w:fldCharType="end"/>
        </w:r>
      </w:hyperlink>
    </w:p>
    <w:p w14:paraId="782A2889" w14:textId="0E721841"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67"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13.2: Information on the Staff who Left the Authority in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_Toc107499567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261</w:t>
        </w:r>
        <w:r w:rsidR="00BF74A6" w:rsidRPr="009E1B38">
          <w:rPr>
            <w:rFonts w:ascii="Times New Roman" w:hAnsi="Times New Roman"/>
            <w:noProof/>
            <w:webHidden/>
          </w:rPr>
          <w:fldChar w:fldCharType="end"/>
        </w:r>
      </w:hyperlink>
    </w:p>
    <w:p w14:paraId="0461FF6B" w14:textId="44B9ECF7"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68"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13.3:  Distribution of Cadres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_Toc107499568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261</w:t>
        </w:r>
        <w:r w:rsidR="00BF74A6" w:rsidRPr="009E1B38">
          <w:rPr>
            <w:rFonts w:ascii="Times New Roman" w:hAnsi="Times New Roman"/>
            <w:noProof/>
            <w:webHidden/>
          </w:rPr>
          <w:fldChar w:fldCharType="end"/>
        </w:r>
      </w:hyperlink>
    </w:p>
    <w:p w14:paraId="3E9051DC" w14:textId="2E69FD0D"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69"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13.4:  Number of Employees by Years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_Toc107499569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263</w:t>
        </w:r>
        <w:r w:rsidR="00BF74A6" w:rsidRPr="009E1B38">
          <w:rPr>
            <w:rFonts w:ascii="Times New Roman" w:hAnsi="Times New Roman"/>
            <w:noProof/>
            <w:webHidden/>
          </w:rPr>
          <w:fldChar w:fldCharType="end"/>
        </w:r>
      </w:hyperlink>
    </w:p>
    <w:p w14:paraId="41A14248" w14:textId="14249A00"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70"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13.5: Information on the Personnel Who Started to Work in the Authority in 2021 (Permanent Worker)</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_Toc107499570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263</w:t>
        </w:r>
        <w:r w:rsidR="00BF74A6" w:rsidRPr="009E1B38">
          <w:rPr>
            <w:rFonts w:ascii="Times New Roman" w:hAnsi="Times New Roman"/>
            <w:noProof/>
            <w:webHidden/>
          </w:rPr>
          <w:fldChar w:fldCharType="end"/>
        </w:r>
      </w:hyperlink>
    </w:p>
    <w:p w14:paraId="6278AA6E" w14:textId="0C78399C"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71"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13.6: Distribution of Cadres (Permanent Worker)</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_Toc107499571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264</w:t>
        </w:r>
        <w:r w:rsidR="00BF74A6" w:rsidRPr="009E1B38">
          <w:rPr>
            <w:rFonts w:ascii="Times New Roman" w:hAnsi="Times New Roman"/>
            <w:noProof/>
            <w:webHidden/>
          </w:rPr>
          <w:fldChar w:fldCharType="end"/>
        </w:r>
      </w:hyperlink>
    </w:p>
    <w:p w14:paraId="4A2F3BD7" w14:textId="665A6011"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72"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13.7: Time and Budget Spent for Training Activities in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_Toc107499572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264</w:t>
        </w:r>
        <w:r w:rsidR="00BF74A6" w:rsidRPr="009E1B38">
          <w:rPr>
            <w:rFonts w:ascii="Times New Roman" w:hAnsi="Times New Roman"/>
            <w:noProof/>
            <w:webHidden/>
          </w:rPr>
          <w:fldChar w:fldCharType="end"/>
        </w:r>
      </w:hyperlink>
    </w:p>
    <w:p w14:paraId="111786F1" w14:textId="292FD448"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73" w:history="1">
        <w:r w:rsidR="00BF74A6" w:rsidRPr="009E1B38">
          <w:rPr>
            <w:rStyle w:val="Kpr"/>
            <w:rFonts w:ascii="Times New Roman" w:hAnsi="Times New Roman"/>
            <w:noProof/>
          </w:rPr>
          <w:t>Trainer Authority</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_Toc107499573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264</w:t>
        </w:r>
        <w:r w:rsidR="00BF74A6" w:rsidRPr="009E1B38">
          <w:rPr>
            <w:rFonts w:ascii="Times New Roman" w:hAnsi="Times New Roman"/>
            <w:noProof/>
            <w:webHidden/>
          </w:rPr>
          <w:fldChar w:fldCharType="end"/>
        </w:r>
      </w:hyperlink>
    </w:p>
    <w:p w14:paraId="4EA08B3D" w14:textId="4C7C8887"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74" w:history="1">
        <w:r w:rsidR="00BF74A6" w:rsidRPr="009E1B38">
          <w:rPr>
            <w:rStyle w:val="Kpr"/>
            <w:rFonts w:ascii="Times New Roman" w:hAnsi="Times New Roman"/>
            <w:noProof/>
          </w:rPr>
          <w:t>Name of the Training</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_Toc107499574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264</w:t>
        </w:r>
        <w:r w:rsidR="00BF74A6" w:rsidRPr="009E1B38">
          <w:rPr>
            <w:rFonts w:ascii="Times New Roman" w:hAnsi="Times New Roman"/>
            <w:noProof/>
            <w:webHidden/>
          </w:rPr>
          <w:fldChar w:fldCharType="end"/>
        </w:r>
      </w:hyperlink>
    </w:p>
    <w:p w14:paraId="000A8C24" w14:textId="370DE42E"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75" w:history="1">
        <w:r w:rsidR="00BF74A6" w:rsidRPr="009E1B38">
          <w:rPr>
            <w:rStyle w:val="Kpr"/>
            <w:rFonts w:ascii="Times New Roman" w:hAnsi="Times New Roman"/>
            <w:noProof/>
          </w:rPr>
          <w:t>Number of Participants</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_Toc107499575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264</w:t>
        </w:r>
        <w:r w:rsidR="00BF74A6" w:rsidRPr="009E1B38">
          <w:rPr>
            <w:rFonts w:ascii="Times New Roman" w:hAnsi="Times New Roman"/>
            <w:noProof/>
            <w:webHidden/>
          </w:rPr>
          <w:fldChar w:fldCharType="end"/>
        </w:r>
      </w:hyperlink>
    </w:p>
    <w:p w14:paraId="2FAEE08D" w14:textId="746A1664"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76"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13.8: Overseas Education Activities in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_Toc107499576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266</w:t>
        </w:r>
        <w:r w:rsidR="00BF74A6" w:rsidRPr="009E1B38">
          <w:rPr>
            <w:rFonts w:ascii="Times New Roman" w:hAnsi="Times New Roman"/>
            <w:noProof/>
            <w:webHidden/>
          </w:rPr>
          <w:fldChar w:fldCharType="end"/>
        </w:r>
      </w:hyperlink>
    </w:p>
    <w:p w14:paraId="62E93FCA" w14:textId="3CB36262"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77"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13.9: Foreign Language Trainings in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_Toc107499577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266</w:t>
        </w:r>
        <w:r w:rsidR="00BF74A6" w:rsidRPr="009E1B38">
          <w:rPr>
            <w:rFonts w:ascii="Times New Roman" w:hAnsi="Times New Roman"/>
            <w:noProof/>
            <w:webHidden/>
          </w:rPr>
          <w:fldChar w:fldCharType="end"/>
        </w:r>
      </w:hyperlink>
    </w:p>
    <w:p w14:paraId="29410333" w14:textId="3D78FC53"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78"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13.10: Information on the Interns in 2021</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_Toc107499578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267</w:t>
        </w:r>
        <w:r w:rsidR="00BF74A6" w:rsidRPr="009E1B38">
          <w:rPr>
            <w:rFonts w:ascii="Times New Roman" w:hAnsi="Times New Roman"/>
            <w:noProof/>
            <w:webHidden/>
          </w:rPr>
          <w:fldChar w:fldCharType="end"/>
        </w:r>
      </w:hyperlink>
    </w:p>
    <w:p w14:paraId="3E2474B3" w14:textId="4ABE8B6D" w:rsidR="00BF74A6" w:rsidRPr="009E1B38" w:rsidRDefault="00E020C3">
      <w:pPr>
        <w:pStyle w:val="ekillerTablosu"/>
        <w:tabs>
          <w:tab w:val="right" w:leader="dot" w:pos="9060"/>
        </w:tabs>
        <w:rPr>
          <w:rFonts w:ascii="Times New Roman" w:eastAsiaTheme="minorEastAsia" w:hAnsi="Times New Roman"/>
          <w:noProof/>
          <w:lang w:eastAsia="tr-TR"/>
        </w:rPr>
      </w:pPr>
      <w:hyperlink w:anchor="_Toc107499579" w:history="1">
        <w:r w:rsidR="0082470D" w:rsidRPr="009E1B38">
          <w:rPr>
            <w:rStyle w:val="Kpr"/>
            <w:rFonts w:ascii="Times New Roman" w:hAnsi="Times New Roman"/>
            <w:noProof/>
          </w:rPr>
          <w:t>Table</w:t>
        </w:r>
        <w:r w:rsidR="00BF74A6" w:rsidRPr="009E1B38">
          <w:rPr>
            <w:rStyle w:val="Kpr"/>
            <w:rFonts w:ascii="Times New Roman" w:hAnsi="Times New Roman"/>
            <w:noProof/>
          </w:rPr>
          <w:t xml:space="preserve"> 14.1: Income Surplus Transferred to Ministry of Finance by Years (TL)</w:t>
        </w:r>
        <w:r w:rsidR="00BF74A6" w:rsidRPr="009E1B38">
          <w:rPr>
            <w:rFonts w:ascii="Times New Roman" w:hAnsi="Times New Roman"/>
            <w:noProof/>
            <w:webHidden/>
          </w:rPr>
          <w:tab/>
        </w:r>
        <w:r w:rsidR="00BF74A6" w:rsidRPr="009E1B38">
          <w:rPr>
            <w:rFonts w:ascii="Times New Roman" w:hAnsi="Times New Roman"/>
            <w:noProof/>
            <w:webHidden/>
          </w:rPr>
          <w:fldChar w:fldCharType="begin"/>
        </w:r>
        <w:r w:rsidR="00BF74A6" w:rsidRPr="009E1B38">
          <w:rPr>
            <w:rFonts w:ascii="Times New Roman" w:hAnsi="Times New Roman"/>
            <w:noProof/>
            <w:webHidden/>
          </w:rPr>
          <w:instrText xml:space="preserve"> PAGEREF _Toc107499579 \h </w:instrText>
        </w:r>
        <w:r w:rsidR="00BF74A6" w:rsidRPr="009E1B38">
          <w:rPr>
            <w:rFonts w:ascii="Times New Roman" w:hAnsi="Times New Roman"/>
            <w:noProof/>
            <w:webHidden/>
          </w:rPr>
        </w:r>
        <w:r w:rsidR="00BF74A6" w:rsidRPr="009E1B38">
          <w:rPr>
            <w:rFonts w:ascii="Times New Roman" w:hAnsi="Times New Roman"/>
            <w:noProof/>
            <w:webHidden/>
          </w:rPr>
          <w:fldChar w:fldCharType="separate"/>
        </w:r>
        <w:r w:rsidR="00BF74A6" w:rsidRPr="009E1B38">
          <w:rPr>
            <w:rFonts w:ascii="Times New Roman" w:hAnsi="Times New Roman"/>
            <w:noProof/>
            <w:webHidden/>
          </w:rPr>
          <w:t>269</w:t>
        </w:r>
        <w:r w:rsidR="00BF74A6" w:rsidRPr="009E1B38">
          <w:rPr>
            <w:rFonts w:ascii="Times New Roman" w:hAnsi="Times New Roman"/>
            <w:noProof/>
            <w:webHidden/>
          </w:rPr>
          <w:fldChar w:fldCharType="end"/>
        </w:r>
      </w:hyperlink>
    </w:p>
    <w:p w14:paraId="7D4A7157" w14:textId="179DC136" w:rsidR="00F4087E" w:rsidRPr="009E1B38" w:rsidRDefault="00364BDD" w:rsidP="008C40F5">
      <w:pPr>
        <w:spacing w:after="0"/>
        <w:rPr>
          <w:rFonts w:ascii="Times New Roman" w:hAnsi="Times New Roman"/>
        </w:rPr>
      </w:pPr>
      <w:r w:rsidRPr="009E1B38">
        <w:rPr>
          <w:rFonts w:ascii="Times New Roman" w:hAnsi="Times New Roman"/>
        </w:rPr>
        <w:fldChar w:fldCharType="end"/>
      </w:r>
    </w:p>
    <w:p w14:paraId="7D4A7158" w14:textId="77777777" w:rsidR="00F4087E" w:rsidRPr="009E1B38" w:rsidRDefault="00F4087E" w:rsidP="00A02EDE">
      <w:pPr>
        <w:spacing w:after="0"/>
        <w:rPr>
          <w:rFonts w:ascii="Times New Roman" w:hAnsi="Times New Roman"/>
        </w:rPr>
      </w:pPr>
    </w:p>
    <w:p w14:paraId="7D4A7159" w14:textId="77777777" w:rsidR="005720F4" w:rsidRPr="009E1B38" w:rsidRDefault="005720F4" w:rsidP="00A02EDE">
      <w:pPr>
        <w:spacing w:after="0"/>
        <w:rPr>
          <w:rFonts w:ascii="Times New Roman" w:hAnsi="Times New Roman"/>
        </w:rPr>
      </w:pPr>
    </w:p>
    <w:p w14:paraId="7D4A715A" w14:textId="77777777" w:rsidR="003528E3" w:rsidRPr="009E1B38" w:rsidRDefault="003528E3" w:rsidP="00A02EDE">
      <w:pPr>
        <w:spacing w:after="0"/>
        <w:rPr>
          <w:rFonts w:ascii="Times New Roman" w:hAnsi="Times New Roman"/>
        </w:rPr>
      </w:pPr>
    </w:p>
    <w:p w14:paraId="7D4A715B" w14:textId="77777777" w:rsidR="00EE3616" w:rsidRPr="009E1B38" w:rsidRDefault="00EE3616">
      <w:pPr>
        <w:rPr>
          <w:rFonts w:ascii="Times New Roman" w:eastAsiaTheme="minorHAnsi" w:hAnsi="Times New Roman"/>
          <w:b/>
        </w:rPr>
      </w:pPr>
      <w:r w:rsidRPr="009E1B38">
        <w:rPr>
          <w:rFonts w:ascii="Times New Roman" w:eastAsiaTheme="minorHAnsi" w:hAnsi="Times New Roman"/>
          <w:b/>
        </w:rPr>
        <w:br w:type="page"/>
      </w:r>
    </w:p>
    <w:p w14:paraId="6CC8102F" w14:textId="77777777" w:rsidR="00E42809" w:rsidRPr="009E1B38" w:rsidRDefault="00E42809" w:rsidP="00A02EDE">
      <w:pPr>
        <w:spacing w:after="100"/>
        <w:rPr>
          <w:rFonts w:ascii="Times New Roman" w:hAnsi="Times New Roman"/>
          <w:b/>
        </w:rPr>
      </w:pPr>
      <w:r w:rsidRPr="009E1B38">
        <w:rPr>
          <w:rFonts w:ascii="Times New Roman" w:hAnsi="Times New Roman"/>
          <w:b/>
        </w:rPr>
        <w:lastRenderedPageBreak/>
        <w:t>ABBREVIATIONS</w:t>
      </w:r>
    </w:p>
    <w:p w14:paraId="7D4A715D" w14:textId="3B6C530F" w:rsidR="009E6287" w:rsidRPr="009E1B38" w:rsidRDefault="009E6287" w:rsidP="00A02EDE">
      <w:pPr>
        <w:spacing w:after="100"/>
        <w:rPr>
          <w:rFonts w:ascii="Times New Roman" w:eastAsiaTheme="minorHAnsi" w:hAnsi="Times New Roman"/>
          <w:b/>
        </w:rPr>
      </w:pPr>
      <w:r w:rsidRPr="009E1B38">
        <w:rPr>
          <w:rFonts w:ascii="Times New Roman" w:eastAsiaTheme="minorHAnsi" w:hAnsi="Times New Roman"/>
          <w:b/>
        </w:rPr>
        <w:t xml:space="preserve">AB: </w:t>
      </w:r>
      <w:r w:rsidR="00F042C3" w:rsidRPr="009E1B38">
        <w:rPr>
          <w:rFonts w:ascii="Times New Roman" w:eastAsiaTheme="minorHAnsi" w:hAnsi="Times New Roman"/>
        </w:rPr>
        <w:t>European Union</w:t>
      </w:r>
    </w:p>
    <w:p w14:paraId="7D4A715E" w14:textId="3DD9AB88" w:rsidR="003528E3" w:rsidRPr="009E1B38" w:rsidRDefault="003528E3" w:rsidP="00A02EDE">
      <w:pPr>
        <w:spacing w:after="100"/>
        <w:rPr>
          <w:rFonts w:ascii="Times New Roman" w:eastAsiaTheme="minorHAnsi" w:hAnsi="Times New Roman"/>
          <w:bCs/>
          <w:color w:val="000000" w:themeColor="text1"/>
        </w:rPr>
      </w:pPr>
      <w:r w:rsidRPr="009E1B38">
        <w:rPr>
          <w:rFonts w:ascii="Times New Roman" w:eastAsiaTheme="minorHAnsi" w:hAnsi="Times New Roman"/>
          <w:b/>
          <w:bCs/>
          <w:color w:val="000000" w:themeColor="text1"/>
        </w:rPr>
        <w:t xml:space="preserve">AG: </w:t>
      </w:r>
      <w:r w:rsidR="00252E20" w:rsidRPr="009E1B38">
        <w:rPr>
          <w:rFonts w:ascii="Times New Roman" w:eastAsiaTheme="minorHAnsi" w:hAnsi="Times New Roman"/>
          <w:bCs/>
          <w:color w:val="000000" w:themeColor="text1"/>
        </w:rPr>
        <w:t>Low Tension</w:t>
      </w:r>
    </w:p>
    <w:p w14:paraId="7D4A715F" w14:textId="2614C23F" w:rsidR="003528E3" w:rsidRPr="009E1B38" w:rsidRDefault="00B247D3" w:rsidP="00A02EDE">
      <w:pPr>
        <w:spacing w:after="100"/>
        <w:rPr>
          <w:rFonts w:ascii="Times New Roman" w:eastAsiaTheme="minorHAnsi" w:hAnsi="Times New Roman"/>
        </w:rPr>
      </w:pPr>
      <w:r w:rsidRPr="009E1B38">
        <w:rPr>
          <w:rFonts w:ascii="Times New Roman" w:eastAsiaTheme="minorHAnsi" w:hAnsi="Times New Roman"/>
          <w:b/>
        </w:rPr>
        <w:t>Ministry</w:t>
      </w:r>
      <w:r w:rsidR="00797745" w:rsidRPr="009E1B38">
        <w:rPr>
          <w:rFonts w:ascii="Times New Roman" w:eastAsiaTheme="minorHAnsi" w:hAnsi="Times New Roman"/>
          <w:b/>
        </w:rPr>
        <w:t>/ETKB</w:t>
      </w:r>
      <w:r w:rsidR="003528E3" w:rsidRPr="009E1B38">
        <w:rPr>
          <w:rFonts w:ascii="Times New Roman" w:eastAsiaTheme="minorHAnsi" w:hAnsi="Times New Roman"/>
          <w:b/>
        </w:rPr>
        <w:t xml:space="preserve">: </w:t>
      </w:r>
      <w:r w:rsidR="003D0359" w:rsidRPr="009E1B38">
        <w:rPr>
          <w:rFonts w:ascii="Times New Roman" w:eastAsiaTheme="minorHAnsi" w:hAnsi="Times New Roman"/>
        </w:rPr>
        <w:t>Ministry of Energy and Natural Resour</w:t>
      </w:r>
      <w:r w:rsidR="000935A8" w:rsidRPr="009E1B38">
        <w:rPr>
          <w:rFonts w:ascii="Times New Roman" w:eastAsiaTheme="minorHAnsi" w:hAnsi="Times New Roman"/>
        </w:rPr>
        <w:t>ces</w:t>
      </w:r>
    </w:p>
    <w:p w14:paraId="7D4A7160" w14:textId="59000B18" w:rsidR="003528E3" w:rsidRPr="009E1B38" w:rsidRDefault="003528E3" w:rsidP="00A02EDE">
      <w:pPr>
        <w:spacing w:after="100"/>
        <w:rPr>
          <w:rFonts w:ascii="Times New Roman" w:eastAsiaTheme="minorHAnsi" w:hAnsi="Times New Roman"/>
        </w:rPr>
      </w:pPr>
      <w:r w:rsidRPr="009E1B38">
        <w:rPr>
          <w:rFonts w:ascii="Times New Roman" w:eastAsiaTheme="minorHAnsi" w:hAnsi="Times New Roman"/>
          <w:b/>
        </w:rPr>
        <w:t>BGYS:</w:t>
      </w:r>
      <w:r w:rsidRPr="009E1B38">
        <w:rPr>
          <w:rFonts w:ascii="Times New Roman" w:eastAsiaTheme="minorHAnsi" w:hAnsi="Times New Roman"/>
        </w:rPr>
        <w:t xml:space="preserve"> </w:t>
      </w:r>
      <w:r w:rsidR="00DE0696" w:rsidRPr="009E1B38">
        <w:rPr>
          <w:rFonts w:ascii="Times New Roman" w:eastAsiaTheme="minorHAnsi" w:hAnsi="Times New Roman"/>
        </w:rPr>
        <w:t>Information Security Management System</w:t>
      </w:r>
    </w:p>
    <w:p w14:paraId="7D4A7161" w14:textId="0D88746D" w:rsidR="003528E3" w:rsidRPr="009E1B38" w:rsidRDefault="003528E3" w:rsidP="00A02EDE">
      <w:pPr>
        <w:spacing w:after="100"/>
        <w:rPr>
          <w:rFonts w:ascii="Times New Roman" w:eastAsiaTheme="minorHAnsi" w:hAnsi="Times New Roman"/>
          <w:color w:val="000000" w:themeColor="text1"/>
        </w:rPr>
      </w:pPr>
      <w:r w:rsidRPr="009E1B38">
        <w:rPr>
          <w:rFonts w:ascii="Times New Roman" w:eastAsiaTheme="minorHAnsi" w:hAnsi="Times New Roman"/>
          <w:b/>
          <w:color w:val="000000" w:themeColor="text1"/>
        </w:rPr>
        <w:t>BOTAŞ:</w:t>
      </w:r>
      <w:r w:rsidR="001F14C3" w:rsidRPr="009E1B38">
        <w:rPr>
          <w:rFonts w:ascii="Times New Roman" w:eastAsiaTheme="minorHAnsi" w:hAnsi="Times New Roman"/>
          <w:b/>
          <w:color w:val="000000" w:themeColor="text1"/>
        </w:rPr>
        <w:t xml:space="preserve"> </w:t>
      </w:r>
      <w:r w:rsidR="0087421E" w:rsidRPr="009E1B38">
        <w:rPr>
          <w:rFonts w:ascii="Times New Roman" w:hAnsi="Times New Roman"/>
        </w:rPr>
        <w:t xml:space="preserve">Joint Stock Company for Transporting Oil </w:t>
      </w:r>
      <w:r w:rsidR="008E69EF" w:rsidRPr="009E1B38">
        <w:rPr>
          <w:rFonts w:ascii="Times New Roman" w:hAnsi="Times New Roman"/>
        </w:rPr>
        <w:t>by</w:t>
      </w:r>
      <w:r w:rsidR="0087421E" w:rsidRPr="009E1B38">
        <w:rPr>
          <w:rFonts w:ascii="Times New Roman" w:hAnsi="Times New Roman"/>
        </w:rPr>
        <w:t xml:space="preserve"> Pipelines</w:t>
      </w:r>
    </w:p>
    <w:p w14:paraId="422084C0" w14:textId="77777777" w:rsidR="00274648" w:rsidRPr="009E1B38" w:rsidRDefault="00FD2C95" w:rsidP="00A02EDE">
      <w:pPr>
        <w:spacing w:after="100"/>
        <w:rPr>
          <w:rFonts w:ascii="Times New Roman" w:eastAsiaTheme="minorHAnsi" w:hAnsi="Times New Roman"/>
          <w:color w:val="000000" w:themeColor="text1"/>
        </w:rPr>
      </w:pPr>
      <w:r w:rsidRPr="009E1B38">
        <w:rPr>
          <w:rFonts w:ascii="Times New Roman" w:eastAsiaTheme="minorHAnsi" w:hAnsi="Times New Roman"/>
          <w:b/>
          <w:color w:val="000000" w:themeColor="text1"/>
        </w:rPr>
        <w:t xml:space="preserve">CİMER: </w:t>
      </w:r>
      <w:r w:rsidR="00274648" w:rsidRPr="009E1B38">
        <w:rPr>
          <w:rFonts w:ascii="Times New Roman" w:eastAsiaTheme="minorHAnsi" w:hAnsi="Times New Roman"/>
          <w:color w:val="000000" w:themeColor="text1"/>
        </w:rPr>
        <w:t>Presidential Communication Center</w:t>
      </w:r>
    </w:p>
    <w:p w14:paraId="7D4A7163" w14:textId="03399981" w:rsidR="003528E3" w:rsidRPr="009E1B38" w:rsidRDefault="003528E3" w:rsidP="00A02EDE">
      <w:pPr>
        <w:spacing w:after="100"/>
        <w:rPr>
          <w:rFonts w:ascii="Times New Roman" w:eastAsiaTheme="minorHAnsi" w:hAnsi="Times New Roman"/>
          <w:bCs/>
          <w:color w:val="000000" w:themeColor="text1"/>
        </w:rPr>
      </w:pPr>
      <w:r w:rsidRPr="009E1B38">
        <w:rPr>
          <w:rFonts w:ascii="Times New Roman" w:eastAsiaTheme="minorHAnsi" w:hAnsi="Times New Roman"/>
          <w:b/>
          <w:bCs/>
          <w:color w:val="000000" w:themeColor="text1"/>
        </w:rPr>
        <w:t>CNG:</w:t>
      </w:r>
      <w:r w:rsidRPr="009E1B38">
        <w:rPr>
          <w:rFonts w:ascii="Times New Roman" w:eastAsiaTheme="minorHAnsi" w:hAnsi="Times New Roman"/>
          <w:bCs/>
          <w:color w:val="000000" w:themeColor="text1"/>
        </w:rPr>
        <w:t xml:space="preserve"> </w:t>
      </w:r>
      <w:r w:rsidR="00DB5973" w:rsidRPr="009E1B38">
        <w:rPr>
          <w:rFonts w:ascii="Times New Roman" w:eastAsiaTheme="minorHAnsi" w:hAnsi="Times New Roman"/>
          <w:bCs/>
          <w:color w:val="000000" w:themeColor="text1"/>
        </w:rPr>
        <w:t>Compressed Natural Gas</w:t>
      </w:r>
    </w:p>
    <w:p w14:paraId="7D4A7164" w14:textId="47AB8232" w:rsidR="008C0C45" w:rsidRPr="009E1B38" w:rsidRDefault="008C0C45" w:rsidP="00A02EDE">
      <w:pPr>
        <w:spacing w:after="100"/>
        <w:rPr>
          <w:rFonts w:ascii="Times New Roman" w:eastAsiaTheme="minorHAnsi" w:hAnsi="Times New Roman"/>
          <w:bCs/>
          <w:color w:val="000000" w:themeColor="text1"/>
        </w:rPr>
      </w:pPr>
      <w:r w:rsidRPr="009E1B38">
        <w:rPr>
          <w:rFonts w:ascii="Times New Roman" w:eastAsiaTheme="minorHAnsi" w:hAnsi="Times New Roman"/>
          <w:b/>
          <w:bCs/>
          <w:color w:val="000000" w:themeColor="text1"/>
        </w:rPr>
        <w:t>DTÖ:</w:t>
      </w:r>
      <w:r w:rsidRPr="009E1B38">
        <w:rPr>
          <w:rFonts w:ascii="Times New Roman" w:eastAsiaTheme="minorHAnsi" w:hAnsi="Times New Roman"/>
          <w:bCs/>
          <w:color w:val="000000" w:themeColor="text1"/>
        </w:rPr>
        <w:t xml:space="preserve"> </w:t>
      </w:r>
      <w:r w:rsidR="00C1383F" w:rsidRPr="009E1B38">
        <w:rPr>
          <w:rFonts w:ascii="Times New Roman" w:eastAsiaTheme="minorHAnsi" w:hAnsi="Times New Roman"/>
          <w:bCs/>
          <w:color w:val="000000" w:themeColor="text1"/>
        </w:rPr>
        <w:t xml:space="preserve">World Trade </w:t>
      </w:r>
      <w:r w:rsidR="009E1B38" w:rsidRPr="009E1B38">
        <w:rPr>
          <w:rFonts w:ascii="Times New Roman" w:eastAsiaTheme="minorHAnsi" w:hAnsi="Times New Roman"/>
          <w:bCs/>
          <w:color w:val="000000" w:themeColor="text1"/>
        </w:rPr>
        <w:t>Organization</w:t>
      </w:r>
    </w:p>
    <w:p w14:paraId="7D4A7165" w14:textId="543D4F41" w:rsidR="003528E3" w:rsidRPr="009E1B38" w:rsidRDefault="003528E3" w:rsidP="00A02EDE">
      <w:pPr>
        <w:spacing w:after="100"/>
        <w:rPr>
          <w:rFonts w:ascii="Times New Roman" w:eastAsiaTheme="minorHAnsi" w:hAnsi="Times New Roman"/>
        </w:rPr>
      </w:pPr>
      <w:r w:rsidRPr="009E1B38">
        <w:rPr>
          <w:rFonts w:ascii="Times New Roman" w:eastAsiaTheme="minorHAnsi" w:hAnsi="Times New Roman"/>
          <w:b/>
        </w:rPr>
        <w:t>EBİS:</w:t>
      </w:r>
      <w:r w:rsidRPr="009E1B38">
        <w:rPr>
          <w:rFonts w:ascii="Times New Roman" w:eastAsiaTheme="minorHAnsi" w:hAnsi="Times New Roman"/>
        </w:rPr>
        <w:t xml:space="preserve"> </w:t>
      </w:r>
      <w:r w:rsidR="00732B29" w:rsidRPr="009E1B38">
        <w:rPr>
          <w:rFonts w:ascii="Times New Roman" w:eastAsiaTheme="minorHAnsi" w:hAnsi="Times New Roman"/>
        </w:rPr>
        <w:t>Electronic Notification System</w:t>
      </w:r>
    </w:p>
    <w:p w14:paraId="7D4A7166" w14:textId="3A4CE077" w:rsidR="003528E3" w:rsidRPr="009E1B38" w:rsidRDefault="003528E3" w:rsidP="00A02EDE">
      <w:pPr>
        <w:spacing w:after="100"/>
        <w:rPr>
          <w:rFonts w:ascii="Times New Roman" w:eastAsiaTheme="minorHAnsi" w:hAnsi="Times New Roman"/>
        </w:rPr>
      </w:pPr>
      <w:r w:rsidRPr="009E1B38">
        <w:rPr>
          <w:rFonts w:ascii="Times New Roman" w:eastAsia="Times New Roman" w:hAnsi="Times New Roman"/>
          <w:b/>
          <w:color w:val="000000"/>
          <w:lang w:eastAsia="tr-TR"/>
        </w:rPr>
        <w:t>EBYS:</w:t>
      </w:r>
      <w:r w:rsidR="00F078B2" w:rsidRPr="009E1B38">
        <w:rPr>
          <w:rFonts w:ascii="Times New Roman" w:eastAsia="Times New Roman" w:hAnsi="Times New Roman"/>
          <w:b/>
          <w:color w:val="000000"/>
          <w:lang w:eastAsia="tr-TR"/>
        </w:rPr>
        <w:t xml:space="preserve"> </w:t>
      </w:r>
      <w:r w:rsidR="002929CE" w:rsidRPr="009E1B38">
        <w:rPr>
          <w:rFonts w:ascii="Times New Roman" w:eastAsiaTheme="minorHAnsi" w:hAnsi="Times New Roman"/>
        </w:rPr>
        <w:t>Electronic Document Management Systems</w:t>
      </w:r>
    </w:p>
    <w:p w14:paraId="7D4A7167" w14:textId="45F4448D" w:rsidR="008C0C45" w:rsidRPr="009E1B38" w:rsidRDefault="008C0C45" w:rsidP="00A02EDE">
      <w:pPr>
        <w:spacing w:after="100"/>
        <w:rPr>
          <w:rFonts w:ascii="Times New Roman" w:eastAsiaTheme="minorHAnsi" w:hAnsi="Times New Roman"/>
        </w:rPr>
      </w:pPr>
      <w:r w:rsidRPr="009E1B38">
        <w:rPr>
          <w:rFonts w:ascii="Times New Roman" w:eastAsiaTheme="minorHAnsi" w:hAnsi="Times New Roman"/>
          <w:b/>
        </w:rPr>
        <w:t xml:space="preserve">ECRB: </w:t>
      </w:r>
      <w:r w:rsidR="000A6186" w:rsidRPr="009E1B38">
        <w:rPr>
          <w:rFonts w:ascii="Times New Roman" w:eastAsiaTheme="minorHAnsi" w:hAnsi="Times New Roman"/>
        </w:rPr>
        <w:t>Energy Community Regulatory Board</w:t>
      </w:r>
    </w:p>
    <w:p w14:paraId="7D4A7168" w14:textId="07C7D186" w:rsidR="00FD2C95" w:rsidRPr="009E1B38" w:rsidRDefault="00FD2C95" w:rsidP="00A02EDE">
      <w:pPr>
        <w:spacing w:after="100"/>
        <w:rPr>
          <w:rFonts w:ascii="Times New Roman" w:hAnsi="Times New Roman"/>
        </w:rPr>
      </w:pPr>
      <w:r w:rsidRPr="009E1B38">
        <w:rPr>
          <w:rFonts w:ascii="Times New Roman" w:hAnsi="Times New Roman"/>
          <w:b/>
        </w:rPr>
        <w:t xml:space="preserve">EGE-PAL: </w:t>
      </w:r>
      <w:r w:rsidR="006A35F8" w:rsidRPr="009E1B38">
        <w:rPr>
          <w:rFonts w:ascii="Times New Roman" w:hAnsi="Times New Roman"/>
        </w:rPr>
        <w:t>Ege University- Petroleum Research Laboratory</w:t>
      </w:r>
    </w:p>
    <w:p w14:paraId="1B07A3CC" w14:textId="77777777" w:rsidR="00CB0F56" w:rsidRPr="009E1B38" w:rsidRDefault="008C0C45" w:rsidP="00A02EDE">
      <w:pPr>
        <w:spacing w:after="100"/>
        <w:rPr>
          <w:rFonts w:ascii="Times New Roman" w:hAnsi="Times New Roman"/>
        </w:rPr>
      </w:pPr>
      <w:r w:rsidRPr="009E1B38">
        <w:rPr>
          <w:rFonts w:ascii="Times New Roman" w:hAnsi="Times New Roman"/>
          <w:b/>
        </w:rPr>
        <w:t xml:space="preserve">EİT: </w:t>
      </w:r>
      <w:r w:rsidR="00CB0F56" w:rsidRPr="009E1B38">
        <w:rPr>
          <w:rFonts w:ascii="Times New Roman" w:hAnsi="Times New Roman"/>
        </w:rPr>
        <w:t>Organization of Economic Cooperation</w:t>
      </w:r>
    </w:p>
    <w:p w14:paraId="7D4A716A" w14:textId="3F3C840B" w:rsidR="003528E3" w:rsidRPr="009E1B38" w:rsidRDefault="003528E3" w:rsidP="00A02EDE">
      <w:pPr>
        <w:spacing w:after="100"/>
        <w:rPr>
          <w:rFonts w:ascii="Times New Roman" w:eastAsiaTheme="minorHAnsi" w:hAnsi="Times New Roman"/>
        </w:rPr>
      </w:pPr>
      <w:r w:rsidRPr="009E1B38">
        <w:rPr>
          <w:rFonts w:ascii="Times New Roman" w:eastAsiaTheme="minorHAnsi" w:hAnsi="Times New Roman"/>
          <w:b/>
        </w:rPr>
        <w:t>ENTSO-E:</w:t>
      </w:r>
      <w:r w:rsidRPr="009E1B38">
        <w:rPr>
          <w:rFonts w:ascii="Times New Roman" w:eastAsiaTheme="minorHAnsi" w:hAnsi="Times New Roman"/>
        </w:rPr>
        <w:t xml:space="preserve"> </w:t>
      </w:r>
      <w:r w:rsidR="005B3483" w:rsidRPr="009E1B38">
        <w:rPr>
          <w:rFonts w:ascii="Times New Roman" w:eastAsiaTheme="minorHAnsi" w:hAnsi="Times New Roman"/>
        </w:rPr>
        <w:t>European Electricity Transmission System Operators</w:t>
      </w:r>
    </w:p>
    <w:p w14:paraId="7D4A716B" w14:textId="1103AAEA" w:rsidR="003528E3" w:rsidRPr="009E1B38" w:rsidRDefault="003528E3" w:rsidP="00A02EDE">
      <w:pPr>
        <w:spacing w:after="100"/>
        <w:rPr>
          <w:rFonts w:ascii="Times New Roman" w:eastAsiaTheme="minorHAnsi" w:hAnsi="Times New Roman"/>
        </w:rPr>
      </w:pPr>
      <w:r w:rsidRPr="009E1B38">
        <w:rPr>
          <w:rFonts w:ascii="Times New Roman" w:eastAsiaTheme="minorHAnsi" w:hAnsi="Times New Roman"/>
          <w:b/>
        </w:rPr>
        <w:t>EPARS:</w:t>
      </w:r>
      <w:r w:rsidRPr="009E1B38">
        <w:rPr>
          <w:rFonts w:ascii="Times New Roman" w:eastAsiaTheme="minorHAnsi" w:hAnsi="Times New Roman"/>
        </w:rPr>
        <w:t xml:space="preserve"> </w:t>
      </w:r>
      <w:r w:rsidR="00FF6962" w:rsidRPr="009E1B38">
        <w:rPr>
          <w:rFonts w:ascii="Times New Roman" w:eastAsiaTheme="minorHAnsi" w:hAnsi="Times New Roman"/>
        </w:rPr>
        <w:t>Energy Market Analysis and Reporting System</w:t>
      </w:r>
    </w:p>
    <w:p w14:paraId="058EB120" w14:textId="5BC60D6F" w:rsidR="00D17C8C" w:rsidRPr="009E1B38" w:rsidRDefault="003528E3" w:rsidP="00A02EDE">
      <w:pPr>
        <w:spacing w:after="100"/>
        <w:rPr>
          <w:rFonts w:ascii="Times New Roman" w:eastAsia="ヒラギノ明朝 Pro W3" w:hAnsi="Times New Roman"/>
        </w:rPr>
      </w:pPr>
      <w:r w:rsidRPr="009E1B38">
        <w:rPr>
          <w:rFonts w:ascii="Times New Roman" w:eastAsiaTheme="minorHAnsi" w:hAnsi="Times New Roman"/>
          <w:b/>
        </w:rPr>
        <w:t>EPİAŞ:</w:t>
      </w:r>
      <w:r w:rsidR="00F078B2" w:rsidRPr="009E1B38">
        <w:rPr>
          <w:rFonts w:ascii="Times New Roman" w:eastAsiaTheme="minorHAnsi" w:hAnsi="Times New Roman"/>
          <w:b/>
        </w:rPr>
        <w:t xml:space="preserve"> </w:t>
      </w:r>
      <w:r w:rsidR="00D17C8C" w:rsidRPr="009E1B38">
        <w:rPr>
          <w:rFonts w:ascii="Times New Roman" w:eastAsia="ヒラギノ明朝 Pro W3" w:hAnsi="Times New Roman"/>
        </w:rPr>
        <w:t xml:space="preserve">Energy Markets </w:t>
      </w:r>
      <w:r w:rsidR="00135D72" w:rsidRPr="009E1B38">
        <w:rPr>
          <w:rFonts w:ascii="Times New Roman" w:eastAsia="ヒラギノ明朝 Pro W3" w:hAnsi="Times New Roman"/>
        </w:rPr>
        <w:t>Operator Company of Türkiye</w:t>
      </w:r>
    </w:p>
    <w:p w14:paraId="7D4A716D" w14:textId="28764E2C" w:rsidR="003528E3" w:rsidRPr="009E1B38" w:rsidRDefault="003528E3" w:rsidP="00A02EDE">
      <w:pPr>
        <w:spacing w:after="100"/>
        <w:rPr>
          <w:rFonts w:ascii="Times New Roman" w:eastAsiaTheme="minorHAnsi" w:hAnsi="Times New Roman"/>
        </w:rPr>
      </w:pPr>
      <w:r w:rsidRPr="009E1B38">
        <w:rPr>
          <w:rFonts w:ascii="Times New Roman" w:eastAsiaTheme="minorHAnsi" w:hAnsi="Times New Roman"/>
          <w:b/>
        </w:rPr>
        <w:t xml:space="preserve">EPVYS: </w:t>
      </w:r>
      <w:r w:rsidR="00C32BE9" w:rsidRPr="009E1B38">
        <w:rPr>
          <w:rFonts w:ascii="Times New Roman" w:eastAsiaTheme="minorHAnsi" w:hAnsi="Times New Roman"/>
        </w:rPr>
        <w:t>Energy Market Database Management System</w:t>
      </w:r>
    </w:p>
    <w:p w14:paraId="7D4A716E" w14:textId="39C6207A" w:rsidR="003528E3" w:rsidRPr="009E1B38" w:rsidRDefault="003528E3" w:rsidP="00A02EDE">
      <w:pPr>
        <w:spacing w:after="100"/>
        <w:rPr>
          <w:rFonts w:ascii="Times New Roman" w:eastAsia="Times New Roman" w:hAnsi="Times New Roman"/>
          <w:lang w:eastAsia="tr-TR"/>
        </w:rPr>
      </w:pPr>
      <w:r w:rsidRPr="009E1B38">
        <w:rPr>
          <w:rFonts w:ascii="Times New Roman" w:eastAsiaTheme="minorHAnsi" w:hAnsi="Times New Roman"/>
          <w:b/>
        </w:rPr>
        <w:t>ERRA:</w:t>
      </w:r>
      <w:r w:rsidR="00F078B2" w:rsidRPr="009E1B38">
        <w:rPr>
          <w:rFonts w:ascii="Times New Roman" w:eastAsiaTheme="minorHAnsi" w:hAnsi="Times New Roman"/>
          <w:b/>
        </w:rPr>
        <w:t xml:space="preserve"> </w:t>
      </w:r>
      <w:r w:rsidR="005D3DEF" w:rsidRPr="009E1B38">
        <w:rPr>
          <w:rFonts w:ascii="Times New Roman" w:eastAsia="Times New Roman" w:hAnsi="Times New Roman"/>
          <w:lang w:eastAsia="tr-TR"/>
        </w:rPr>
        <w:t>Regional Association of Energy Regulators</w:t>
      </w:r>
    </w:p>
    <w:p w14:paraId="7E2011AC" w14:textId="77777777" w:rsidR="00917207" w:rsidRPr="009E1B38" w:rsidRDefault="009E6287" w:rsidP="00A02EDE">
      <w:pPr>
        <w:spacing w:after="100"/>
        <w:rPr>
          <w:rFonts w:ascii="Times New Roman" w:eastAsiaTheme="minorHAnsi" w:hAnsi="Times New Roman"/>
        </w:rPr>
      </w:pPr>
      <w:r w:rsidRPr="009E1B38">
        <w:rPr>
          <w:rFonts w:ascii="Times New Roman" w:eastAsiaTheme="minorHAnsi" w:hAnsi="Times New Roman"/>
          <w:b/>
        </w:rPr>
        <w:t xml:space="preserve">ICER: </w:t>
      </w:r>
      <w:r w:rsidR="00917207" w:rsidRPr="009E1B38">
        <w:rPr>
          <w:rFonts w:ascii="Times New Roman" w:eastAsiaTheme="minorHAnsi" w:hAnsi="Times New Roman"/>
        </w:rPr>
        <w:t>International Confederation of Energy Regulators</w:t>
      </w:r>
    </w:p>
    <w:p w14:paraId="7D4A7170" w14:textId="15E68348" w:rsidR="00FD2C95" w:rsidRPr="009E1B38" w:rsidRDefault="00FD2C95" w:rsidP="00A02EDE">
      <w:pPr>
        <w:spacing w:after="100"/>
        <w:rPr>
          <w:rFonts w:ascii="Times New Roman" w:hAnsi="Times New Roman"/>
        </w:rPr>
      </w:pPr>
      <w:r w:rsidRPr="009E1B38">
        <w:rPr>
          <w:rFonts w:ascii="Times New Roman" w:hAnsi="Times New Roman"/>
          <w:b/>
        </w:rPr>
        <w:t xml:space="preserve">İNÖNÜ-PAL: </w:t>
      </w:r>
      <w:r w:rsidR="007B6495" w:rsidRPr="009E1B38">
        <w:rPr>
          <w:rFonts w:ascii="Times New Roman" w:hAnsi="Times New Roman"/>
        </w:rPr>
        <w:t>İnönü</w:t>
      </w:r>
      <w:r w:rsidR="00EB3688" w:rsidRPr="009E1B38">
        <w:rPr>
          <w:rFonts w:ascii="Times New Roman" w:hAnsi="Times New Roman"/>
        </w:rPr>
        <w:t xml:space="preserve"> University- Petroleum Research Laboratory</w:t>
      </w:r>
    </w:p>
    <w:p w14:paraId="4FB4E4A1" w14:textId="1BADDC47" w:rsidR="006D6A7E" w:rsidRPr="009E1B38" w:rsidRDefault="00CE3227" w:rsidP="00A02EDE">
      <w:pPr>
        <w:spacing w:after="100"/>
        <w:rPr>
          <w:rFonts w:ascii="Times New Roman" w:hAnsi="Times New Roman"/>
        </w:rPr>
      </w:pPr>
      <w:r w:rsidRPr="009E1B38">
        <w:rPr>
          <w:rFonts w:ascii="Times New Roman" w:hAnsi="Times New Roman"/>
          <w:b/>
        </w:rPr>
        <w:t>IPA:</w:t>
      </w:r>
      <w:r w:rsidRPr="009E1B38">
        <w:rPr>
          <w:rFonts w:ascii="Times New Roman" w:hAnsi="Times New Roman"/>
        </w:rPr>
        <w:t xml:space="preserve"> </w:t>
      </w:r>
      <w:r w:rsidR="006D6A7E" w:rsidRPr="009E1B38">
        <w:rPr>
          <w:rFonts w:ascii="Times New Roman" w:hAnsi="Times New Roman"/>
        </w:rPr>
        <w:t>EU-</w:t>
      </w:r>
      <w:r w:rsidR="0082470D" w:rsidRPr="009E1B38">
        <w:rPr>
          <w:rFonts w:ascii="Times New Roman" w:hAnsi="Times New Roman"/>
        </w:rPr>
        <w:t>Türkiye</w:t>
      </w:r>
      <w:r w:rsidR="006D6A7E" w:rsidRPr="009E1B38">
        <w:rPr>
          <w:rFonts w:ascii="Times New Roman" w:hAnsi="Times New Roman"/>
        </w:rPr>
        <w:t xml:space="preserve"> Financial Cooperation Instrument for Pre-Accession Assistance</w:t>
      </w:r>
    </w:p>
    <w:p w14:paraId="7D4A7172" w14:textId="7BE059F7" w:rsidR="00D42084" w:rsidRPr="009E1B38" w:rsidRDefault="00D42084" w:rsidP="00A02EDE">
      <w:pPr>
        <w:spacing w:after="100"/>
        <w:rPr>
          <w:rFonts w:ascii="Times New Roman" w:eastAsiaTheme="minorHAnsi" w:hAnsi="Times New Roman"/>
        </w:rPr>
      </w:pPr>
      <w:r w:rsidRPr="009E1B38">
        <w:rPr>
          <w:rFonts w:ascii="Times New Roman" w:eastAsiaTheme="minorHAnsi" w:hAnsi="Times New Roman"/>
          <w:b/>
        </w:rPr>
        <w:t>KBK:</w:t>
      </w:r>
      <w:r w:rsidRPr="009E1B38">
        <w:rPr>
          <w:rFonts w:ascii="Times New Roman" w:eastAsiaTheme="minorHAnsi" w:hAnsi="Times New Roman"/>
        </w:rPr>
        <w:t xml:space="preserve"> </w:t>
      </w:r>
      <w:r w:rsidR="007C30DC" w:rsidRPr="009E1B38">
        <w:rPr>
          <w:rFonts w:ascii="Times New Roman" w:eastAsiaTheme="minorHAnsi" w:hAnsi="Times New Roman"/>
        </w:rPr>
        <w:t>Coefficient Determined by the Board</w:t>
      </w:r>
    </w:p>
    <w:p w14:paraId="7D4A7173" w14:textId="66775C08" w:rsidR="009E6287" w:rsidRPr="009E1B38" w:rsidRDefault="009E6287" w:rsidP="00A02EDE">
      <w:pPr>
        <w:spacing w:after="100"/>
        <w:rPr>
          <w:rFonts w:ascii="Times New Roman" w:hAnsi="Times New Roman"/>
        </w:rPr>
      </w:pPr>
      <w:r w:rsidRPr="009E1B38">
        <w:rPr>
          <w:rFonts w:ascii="Times New Roman" w:hAnsi="Times New Roman"/>
          <w:b/>
        </w:rPr>
        <w:t>KEİ:</w:t>
      </w:r>
      <w:r w:rsidR="00F078B2" w:rsidRPr="009E1B38">
        <w:rPr>
          <w:rFonts w:ascii="Times New Roman" w:hAnsi="Times New Roman"/>
          <w:b/>
        </w:rPr>
        <w:t xml:space="preserve"> </w:t>
      </w:r>
      <w:r w:rsidR="00F90EE7" w:rsidRPr="009E1B38">
        <w:rPr>
          <w:rFonts w:ascii="Times New Roman" w:hAnsi="Times New Roman"/>
        </w:rPr>
        <w:t>Black Sea Economic Cooperation</w:t>
      </w:r>
    </w:p>
    <w:p w14:paraId="7D4A7174" w14:textId="4EC2159D" w:rsidR="00FD2C95" w:rsidRPr="009E1B38" w:rsidRDefault="00FD2C95" w:rsidP="00A02EDE">
      <w:pPr>
        <w:spacing w:after="100"/>
        <w:rPr>
          <w:rFonts w:ascii="Times New Roman" w:hAnsi="Times New Roman"/>
        </w:rPr>
      </w:pPr>
      <w:r w:rsidRPr="009E1B38">
        <w:rPr>
          <w:rFonts w:ascii="Times New Roman" w:hAnsi="Times New Roman"/>
          <w:b/>
        </w:rPr>
        <w:t>KEP:</w:t>
      </w:r>
      <w:r w:rsidR="00F078B2" w:rsidRPr="009E1B38">
        <w:rPr>
          <w:rFonts w:ascii="Times New Roman" w:hAnsi="Times New Roman"/>
          <w:b/>
        </w:rPr>
        <w:t xml:space="preserve"> </w:t>
      </w:r>
      <w:r w:rsidR="007421DA" w:rsidRPr="009E1B38">
        <w:rPr>
          <w:rFonts w:ascii="Times New Roman" w:hAnsi="Times New Roman"/>
        </w:rPr>
        <w:t>Registered Electronic Mail</w:t>
      </w:r>
    </w:p>
    <w:p w14:paraId="7D4A7175" w14:textId="17580FA8" w:rsidR="00D045F0" w:rsidRPr="009E1B38" w:rsidRDefault="00D045F0" w:rsidP="00A02EDE">
      <w:pPr>
        <w:spacing w:after="100"/>
        <w:rPr>
          <w:rFonts w:ascii="Times New Roman" w:hAnsi="Times New Roman"/>
          <w:b/>
        </w:rPr>
      </w:pPr>
      <w:r w:rsidRPr="009E1B38">
        <w:rPr>
          <w:rFonts w:ascii="Times New Roman" w:hAnsi="Times New Roman"/>
          <w:b/>
        </w:rPr>
        <w:t>KKP:</w:t>
      </w:r>
      <w:r w:rsidRPr="009E1B38">
        <w:rPr>
          <w:rFonts w:ascii="Times New Roman" w:hAnsi="Times New Roman"/>
        </w:rPr>
        <w:t xml:space="preserve"> </w:t>
      </w:r>
      <w:r w:rsidR="008A2032" w:rsidRPr="009E1B38">
        <w:rPr>
          <w:rFonts w:ascii="Times New Roman" w:hAnsi="Times New Roman"/>
        </w:rPr>
        <w:t xml:space="preserve">Institutional </w:t>
      </w:r>
      <w:r w:rsidR="003760CB" w:rsidRPr="009E1B38">
        <w:rPr>
          <w:rFonts w:ascii="Times New Roman" w:hAnsi="Times New Roman"/>
        </w:rPr>
        <w:t>Resource Planning</w:t>
      </w:r>
    </w:p>
    <w:p w14:paraId="7D4A7176" w14:textId="31CFC7F9" w:rsidR="00FD2C95" w:rsidRPr="009E1B38" w:rsidRDefault="00FD2C95" w:rsidP="00A02EDE">
      <w:pPr>
        <w:spacing w:after="100"/>
        <w:rPr>
          <w:rFonts w:ascii="Times New Roman" w:eastAsiaTheme="minorHAnsi" w:hAnsi="Times New Roman"/>
          <w:b/>
        </w:rPr>
      </w:pPr>
      <w:r w:rsidRPr="009E1B38">
        <w:rPr>
          <w:rFonts w:ascii="Times New Roman" w:hAnsi="Times New Roman"/>
          <w:b/>
        </w:rPr>
        <w:t>KTÜ-YUAM:</w:t>
      </w:r>
      <w:r w:rsidR="00F078B2" w:rsidRPr="009E1B38">
        <w:rPr>
          <w:rFonts w:ascii="Times New Roman" w:hAnsi="Times New Roman"/>
          <w:b/>
        </w:rPr>
        <w:t xml:space="preserve"> </w:t>
      </w:r>
      <w:r w:rsidR="004A063B" w:rsidRPr="009E1B38">
        <w:rPr>
          <w:rFonts w:ascii="Times New Roman" w:hAnsi="Times New Roman"/>
        </w:rPr>
        <w:t>Karadeniz Technical University- Fuel Application and Research Center</w:t>
      </w:r>
    </w:p>
    <w:p w14:paraId="7D4A7177" w14:textId="3CF3D84F" w:rsidR="003528E3" w:rsidRPr="009E1B38" w:rsidRDefault="00B247D3" w:rsidP="00A02EDE">
      <w:pPr>
        <w:spacing w:after="100"/>
        <w:rPr>
          <w:rFonts w:ascii="Times New Roman" w:eastAsiaTheme="minorHAnsi" w:hAnsi="Times New Roman"/>
        </w:rPr>
      </w:pPr>
      <w:r w:rsidRPr="009E1B38">
        <w:rPr>
          <w:rFonts w:ascii="Times New Roman" w:eastAsiaTheme="minorHAnsi" w:hAnsi="Times New Roman"/>
          <w:b/>
        </w:rPr>
        <w:t>Board</w:t>
      </w:r>
      <w:r w:rsidR="003528E3" w:rsidRPr="009E1B38">
        <w:rPr>
          <w:rFonts w:ascii="Times New Roman" w:eastAsiaTheme="minorHAnsi" w:hAnsi="Times New Roman"/>
          <w:b/>
        </w:rPr>
        <w:t>:</w:t>
      </w:r>
      <w:r w:rsidR="003528E3" w:rsidRPr="009E1B38">
        <w:rPr>
          <w:rFonts w:ascii="Times New Roman" w:eastAsiaTheme="minorHAnsi" w:hAnsi="Times New Roman"/>
        </w:rPr>
        <w:t xml:space="preserve"> </w:t>
      </w:r>
      <w:r w:rsidR="002F260D" w:rsidRPr="009E1B38">
        <w:rPr>
          <w:rFonts w:ascii="Times New Roman" w:eastAsiaTheme="minorHAnsi" w:hAnsi="Times New Roman"/>
        </w:rPr>
        <w:t>Energy Market Regulatory Board</w:t>
      </w:r>
    </w:p>
    <w:p w14:paraId="7D4A7178" w14:textId="26F4C171" w:rsidR="003528E3" w:rsidRPr="009E1B38" w:rsidRDefault="007B6495" w:rsidP="00A02EDE">
      <w:pPr>
        <w:spacing w:after="100"/>
        <w:rPr>
          <w:rFonts w:ascii="Times New Roman" w:eastAsiaTheme="minorHAnsi" w:hAnsi="Times New Roman"/>
        </w:rPr>
      </w:pPr>
      <w:r w:rsidRPr="009E1B38">
        <w:rPr>
          <w:rFonts w:ascii="Times New Roman" w:eastAsiaTheme="minorHAnsi" w:hAnsi="Times New Roman"/>
          <w:b/>
        </w:rPr>
        <w:t>Authority/</w:t>
      </w:r>
      <w:r w:rsidR="003528E3" w:rsidRPr="009E1B38">
        <w:rPr>
          <w:rFonts w:ascii="Times New Roman" w:eastAsiaTheme="minorHAnsi" w:hAnsi="Times New Roman"/>
          <w:b/>
        </w:rPr>
        <w:t>EPDK:</w:t>
      </w:r>
      <w:r w:rsidR="003528E3" w:rsidRPr="009E1B38">
        <w:rPr>
          <w:rFonts w:ascii="Times New Roman" w:eastAsiaTheme="minorHAnsi" w:hAnsi="Times New Roman"/>
        </w:rPr>
        <w:t xml:space="preserve"> </w:t>
      </w:r>
      <w:r w:rsidR="00727531" w:rsidRPr="009E1B38">
        <w:rPr>
          <w:rFonts w:ascii="Times New Roman" w:eastAsiaTheme="minorHAnsi" w:hAnsi="Times New Roman"/>
        </w:rPr>
        <w:t>Energy Market Regulatory Authority</w:t>
      </w:r>
    </w:p>
    <w:p w14:paraId="7D4A7179" w14:textId="6F8839E9" w:rsidR="003528E3" w:rsidRPr="009E1B38" w:rsidRDefault="003528E3" w:rsidP="00A02EDE">
      <w:pPr>
        <w:spacing w:after="100"/>
        <w:rPr>
          <w:rFonts w:ascii="Times New Roman" w:eastAsiaTheme="minorHAnsi" w:hAnsi="Times New Roman"/>
          <w:bCs/>
          <w:color w:val="000000" w:themeColor="text1"/>
        </w:rPr>
      </w:pPr>
      <w:r w:rsidRPr="009E1B38">
        <w:rPr>
          <w:rFonts w:ascii="Times New Roman" w:eastAsiaTheme="minorHAnsi" w:hAnsi="Times New Roman"/>
          <w:b/>
        </w:rPr>
        <w:t xml:space="preserve">LNG: </w:t>
      </w:r>
      <w:r w:rsidR="00860BB4" w:rsidRPr="009E1B38">
        <w:rPr>
          <w:rFonts w:ascii="Times New Roman" w:eastAsiaTheme="minorHAnsi" w:hAnsi="Times New Roman"/>
          <w:color w:val="000000" w:themeColor="text1"/>
        </w:rPr>
        <w:t>Liquefied Natural Gas</w:t>
      </w:r>
    </w:p>
    <w:p w14:paraId="767A9948" w14:textId="77777777" w:rsidR="00C63AB6" w:rsidRPr="009E1B38" w:rsidRDefault="003528E3" w:rsidP="00A02EDE">
      <w:pPr>
        <w:spacing w:after="100"/>
        <w:rPr>
          <w:rFonts w:ascii="Times New Roman" w:eastAsiaTheme="minorHAnsi" w:hAnsi="Times New Roman"/>
        </w:rPr>
      </w:pPr>
      <w:r w:rsidRPr="009E1B38">
        <w:rPr>
          <w:rFonts w:ascii="Times New Roman" w:eastAsiaTheme="minorHAnsi" w:hAnsi="Times New Roman"/>
          <w:b/>
          <w:color w:val="000000" w:themeColor="text1"/>
          <w:lang w:bidi="ta-IN"/>
        </w:rPr>
        <w:t>LPG:</w:t>
      </w:r>
      <w:r w:rsidR="00F078B2" w:rsidRPr="009E1B38">
        <w:rPr>
          <w:rFonts w:ascii="Times New Roman" w:eastAsiaTheme="minorHAnsi" w:hAnsi="Times New Roman"/>
          <w:b/>
          <w:color w:val="000000" w:themeColor="text1"/>
          <w:lang w:bidi="ta-IN"/>
        </w:rPr>
        <w:t xml:space="preserve"> </w:t>
      </w:r>
      <w:r w:rsidR="00C63AB6" w:rsidRPr="009E1B38">
        <w:rPr>
          <w:rFonts w:ascii="Times New Roman" w:eastAsiaTheme="minorHAnsi" w:hAnsi="Times New Roman"/>
        </w:rPr>
        <w:t>Liquefied Petroleum Gases</w:t>
      </w:r>
    </w:p>
    <w:p w14:paraId="5C7074D2" w14:textId="77777777" w:rsidR="003F1C9E" w:rsidRPr="009E1B38" w:rsidRDefault="00727E8D" w:rsidP="00A02EDE">
      <w:pPr>
        <w:spacing w:after="100"/>
        <w:rPr>
          <w:rFonts w:ascii="Times New Roman" w:eastAsiaTheme="minorHAnsi" w:hAnsi="Times New Roman"/>
        </w:rPr>
      </w:pPr>
      <w:r w:rsidRPr="009E1B38">
        <w:rPr>
          <w:rFonts w:ascii="Times New Roman" w:eastAsiaTheme="minorHAnsi" w:hAnsi="Times New Roman"/>
          <w:b/>
        </w:rPr>
        <w:t>LÜY:</w:t>
      </w:r>
      <w:r w:rsidRPr="009E1B38">
        <w:rPr>
          <w:rFonts w:ascii="Times New Roman" w:eastAsiaTheme="minorHAnsi" w:hAnsi="Times New Roman"/>
        </w:rPr>
        <w:t xml:space="preserve"> </w:t>
      </w:r>
      <w:r w:rsidR="003F1C9E" w:rsidRPr="009E1B38">
        <w:rPr>
          <w:rFonts w:ascii="Times New Roman" w:eastAsiaTheme="minorHAnsi" w:hAnsi="Times New Roman"/>
        </w:rPr>
        <w:t>Unlicensed Electricity Generation Regulation</w:t>
      </w:r>
    </w:p>
    <w:p w14:paraId="7D4A717C" w14:textId="47999E3F" w:rsidR="003528E3" w:rsidRPr="009E1B38" w:rsidRDefault="003528E3" w:rsidP="00A02EDE">
      <w:pPr>
        <w:spacing w:after="100"/>
        <w:rPr>
          <w:rFonts w:ascii="Times New Roman" w:eastAsia="Times New Roman" w:hAnsi="Times New Roman"/>
          <w:lang w:eastAsia="tr-TR"/>
        </w:rPr>
      </w:pPr>
      <w:r w:rsidRPr="009E1B38">
        <w:rPr>
          <w:rFonts w:ascii="Times New Roman" w:eastAsia="Times New Roman" w:hAnsi="Times New Roman"/>
          <w:b/>
          <w:lang w:eastAsia="tr-TR"/>
        </w:rPr>
        <w:t>MEDREG:</w:t>
      </w:r>
      <w:r w:rsidRPr="009E1B38">
        <w:rPr>
          <w:rFonts w:ascii="Times New Roman" w:eastAsia="Times New Roman" w:hAnsi="Times New Roman"/>
          <w:lang w:eastAsia="tr-TR"/>
        </w:rPr>
        <w:t xml:space="preserve"> </w:t>
      </w:r>
      <w:r w:rsidR="00CF4300" w:rsidRPr="009E1B38">
        <w:rPr>
          <w:rFonts w:ascii="Times New Roman" w:eastAsia="Times New Roman" w:hAnsi="Times New Roman"/>
          <w:lang w:eastAsia="tr-TR"/>
        </w:rPr>
        <w:t>Mediterranean Electricity and Gas Regulators Association</w:t>
      </w:r>
    </w:p>
    <w:p w14:paraId="7D4A717D" w14:textId="0B75A5D7" w:rsidR="009E6287" w:rsidRPr="009E1B38" w:rsidRDefault="009E6287" w:rsidP="00A02EDE">
      <w:pPr>
        <w:spacing w:after="100"/>
        <w:rPr>
          <w:rFonts w:ascii="Times New Roman" w:eastAsia="Times New Roman" w:hAnsi="Times New Roman"/>
          <w:lang w:eastAsia="tr-TR"/>
        </w:rPr>
      </w:pPr>
      <w:r w:rsidRPr="009E1B38">
        <w:rPr>
          <w:rFonts w:ascii="Times New Roman" w:eastAsia="Times New Roman" w:hAnsi="Times New Roman"/>
          <w:b/>
          <w:lang w:eastAsia="tr-TR"/>
        </w:rPr>
        <w:t xml:space="preserve">OECD: </w:t>
      </w:r>
      <w:r w:rsidR="00D23F26" w:rsidRPr="009E1B38">
        <w:rPr>
          <w:rFonts w:ascii="Times New Roman" w:eastAsia="Times New Roman" w:hAnsi="Times New Roman"/>
          <w:lang w:eastAsia="tr-TR"/>
        </w:rPr>
        <w:t>Organization for Economic Cooperation and Development</w:t>
      </w:r>
    </w:p>
    <w:p w14:paraId="7D4A717E" w14:textId="397E0F49" w:rsidR="003528E3" w:rsidRPr="009E1B38" w:rsidRDefault="003528E3" w:rsidP="00A02EDE">
      <w:pPr>
        <w:spacing w:after="100"/>
        <w:rPr>
          <w:rFonts w:ascii="Times New Roman" w:eastAsiaTheme="minorHAnsi" w:hAnsi="Times New Roman"/>
          <w:bCs/>
          <w:color w:val="000000" w:themeColor="text1"/>
        </w:rPr>
      </w:pPr>
      <w:r w:rsidRPr="009E1B38">
        <w:rPr>
          <w:rFonts w:ascii="Times New Roman" w:eastAsiaTheme="minorHAnsi" w:hAnsi="Times New Roman"/>
          <w:b/>
          <w:bCs/>
          <w:color w:val="000000" w:themeColor="text1"/>
        </w:rPr>
        <w:t>OG:</w:t>
      </w:r>
      <w:r w:rsidRPr="009E1B38">
        <w:rPr>
          <w:rFonts w:ascii="Times New Roman" w:eastAsiaTheme="minorHAnsi" w:hAnsi="Times New Roman"/>
          <w:bCs/>
          <w:color w:val="000000" w:themeColor="text1"/>
        </w:rPr>
        <w:t xml:space="preserve"> </w:t>
      </w:r>
      <w:r w:rsidR="006B0F5B" w:rsidRPr="009E1B38">
        <w:rPr>
          <w:rFonts w:ascii="Times New Roman" w:eastAsiaTheme="minorHAnsi" w:hAnsi="Times New Roman"/>
          <w:bCs/>
          <w:color w:val="000000" w:themeColor="text1"/>
        </w:rPr>
        <w:t>Medium Tension</w:t>
      </w:r>
    </w:p>
    <w:p w14:paraId="7D4A717F" w14:textId="153634DD" w:rsidR="003528E3" w:rsidRPr="009E1B38" w:rsidRDefault="003528E3" w:rsidP="00A02EDE">
      <w:pPr>
        <w:spacing w:after="100"/>
        <w:rPr>
          <w:rFonts w:ascii="Times New Roman" w:eastAsiaTheme="minorHAnsi" w:hAnsi="Times New Roman"/>
        </w:rPr>
      </w:pPr>
      <w:r w:rsidRPr="009E1B38">
        <w:rPr>
          <w:rFonts w:ascii="Times New Roman" w:eastAsiaTheme="minorHAnsi" w:hAnsi="Times New Roman"/>
          <w:b/>
        </w:rPr>
        <w:t>OSB:</w:t>
      </w:r>
      <w:r w:rsidRPr="009E1B38">
        <w:rPr>
          <w:rFonts w:ascii="Times New Roman" w:eastAsiaTheme="minorHAnsi" w:hAnsi="Times New Roman"/>
        </w:rPr>
        <w:t xml:space="preserve"> </w:t>
      </w:r>
      <w:r w:rsidR="00417719" w:rsidRPr="009E1B38">
        <w:rPr>
          <w:rFonts w:ascii="Times New Roman" w:eastAsiaTheme="minorHAnsi" w:hAnsi="Times New Roman"/>
        </w:rPr>
        <w:t>Organized Industrial Zone</w:t>
      </w:r>
    </w:p>
    <w:p w14:paraId="7D4A7180" w14:textId="2D302B03" w:rsidR="005A1C72" w:rsidRPr="009E1B38" w:rsidRDefault="005A1C72" w:rsidP="00A02EDE">
      <w:pPr>
        <w:spacing w:after="100"/>
        <w:rPr>
          <w:rFonts w:ascii="Times New Roman" w:eastAsiaTheme="minorHAnsi" w:hAnsi="Times New Roman"/>
        </w:rPr>
      </w:pPr>
      <w:r w:rsidRPr="009E1B38">
        <w:rPr>
          <w:rFonts w:ascii="Times New Roman" w:eastAsiaTheme="minorHAnsi" w:hAnsi="Times New Roman"/>
          <w:b/>
        </w:rPr>
        <w:lastRenderedPageBreak/>
        <w:t>STP:</w:t>
      </w:r>
      <w:r w:rsidRPr="009E1B38">
        <w:rPr>
          <w:rFonts w:ascii="Times New Roman" w:eastAsiaTheme="minorHAnsi" w:hAnsi="Times New Roman"/>
        </w:rPr>
        <w:t xml:space="preserve"> </w:t>
      </w:r>
      <w:r w:rsidR="00747E11" w:rsidRPr="009E1B38">
        <w:rPr>
          <w:rFonts w:ascii="Times New Roman" w:eastAsiaTheme="minorHAnsi" w:hAnsi="Times New Roman"/>
        </w:rPr>
        <w:t>Continuous Trading Platform</w:t>
      </w:r>
    </w:p>
    <w:p w14:paraId="7D4A7181" w14:textId="0E617BC1" w:rsidR="006343EC" w:rsidRPr="009E1B38" w:rsidRDefault="006343EC" w:rsidP="00A02EDE">
      <w:pPr>
        <w:spacing w:after="100"/>
        <w:rPr>
          <w:rFonts w:ascii="Times New Roman" w:hAnsi="Times New Roman"/>
          <w:color w:val="000000" w:themeColor="text1"/>
        </w:rPr>
      </w:pPr>
      <w:r w:rsidRPr="009E1B38">
        <w:rPr>
          <w:rFonts w:ascii="Times New Roman" w:hAnsi="Times New Roman"/>
          <w:b/>
          <w:color w:val="000000" w:themeColor="text1"/>
        </w:rPr>
        <w:t xml:space="preserve">SOME: </w:t>
      </w:r>
      <w:r w:rsidR="007C7CDA" w:rsidRPr="009E1B38">
        <w:rPr>
          <w:rFonts w:ascii="Times New Roman" w:hAnsi="Times New Roman"/>
          <w:color w:val="000000" w:themeColor="text1"/>
        </w:rPr>
        <w:t>Cyber Incident Response Team</w:t>
      </w:r>
    </w:p>
    <w:p w14:paraId="7D4A7182" w14:textId="53EACE93" w:rsidR="006343EC" w:rsidRPr="009E1B38" w:rsidRDefault="006343EC" w:rsidP="00A02EDE">
      <w:pPr>
        <w:spacing w:after="100"/>
        <w:rPr>
          <w:rFonts w:ascii="Times New Roman" w:eastAsiaTheme="minorHAnsi" w:hAnsi="Times New Roman"/>
        </w:rPr>
      </w:pPr>
      <w:r w:rsidRPr="009E1B38">
        <w:rPr>
          <w:rFonts w:ascii="Times New Roman" w:hAnsi="Times New Roman"/>
          <w:b/>
          <w:color w:val="000000" w:themeColor="text1"/>
        </w:rPr>
        <w:t>TBMM:</w:t>
      </w:r>
      <w:r w:rsidRPr="009E1B38">
        <w:rPr>
          <w:rFonts w:ascii="Times New Roman" w:hAnsi="Times New Roman"/>
          <w:color w:val="000000" w:themeColor="text1"/>
        </w:rPr>
        <w:t xml:space="preserve"> </w:t>
      </w:r>
      <w:r w:rsidR="006413CA" w:rsidRPr="009E1B38">
        <w:rPr>
          <w:rFonts w:ascii="Times New Roman" w:hAnsi="Times New Roman"/>
          <w:color w:val="000000" w:themeColor="text1"/>
        </w:rPr>
        <w:t>Grand National Assembly</w:t>
      </w:r>
      <w:r w:rsidR="00AA111D">
        <w:rPr>
          <w:rFonts w:ascii="Times New Roman" w:hAnsi="Times New Roman"/>
          <w:color w:val="000000" w:themeColor="text1"/>
        </w:rPr>
        <w:t xml:space="preserve"> of Türkiye</w:t>
      </w:r>
    </w:p>
    <w:p w14:paraId="7D4A7183" w14:textId="23CE46B9" w:rsidR="003528E3" w:rsidRPr="009E1B38" w:rsidRDefault="003528E3" w:rsidP="00A02EDE">
      <w:pPr>
        <w:spacing w:after="100"/>
        <w:rPr>
          <w:rFonts w:ascii="Times New Roman" w:eastAsiaTheme="minorHAnsi" w:hAnsi="Times New Roman"/>
          <w:color w:val="000000" w:themeColor="text1"/>
        </w:rPr>
      </w:pPr>
      <w:r w:rsidRPr="009E1B38">
        <w:rPr>
          <w:rFonts w:ascii="Times New Roman" w:eastAsiaTheme="minorHAnsi" w:hAnsi="Times New Roman"/>
          <w:b/>
          <w:bCs/>
          <w:color w:val="000000" w:themeColor="text1"/>
        </w:rPr>
        <w:t>TEİAŞ:</w:t>
      </w:r>
      <w:r w:rsidR="00F078B2" w:rsidRPr="009E1B38">
        <w:rPr>
          <w:rFonts w:ascii="Times New Roman" w:eastAsiaTheme="minorHAnsi" w:hAnsi="Times New Roman"/>
          <w:b/>
          <w:bCs/>
          <w:color w:val="000000" w:themeColor="text1"/>
        </w:rPr>
        <w:t xml:space="preserve"> </w:t>
      </w:r>
      <w:r w:rsidR="0082470D" w:rsidRPr="009E1B38">
        <w:rPr>
          <w:rFonts w:ascii="Times New Roman" w:eastAsiaTheme="minorHAnsi" w:hAnsi="Times New Roman"/>
          <w:color w:val="000000" w:themeColor="text1"/>
        </w:rPr>
        <w:t>Türkiye</w:t>
      </w:r>
      <w:r w:rsidR="00AA19B9" w:rsidRPr="009E1B38">
        <w:rPr>
          <w:rFonts w:ascii="Times New Roman" w:eastAsiaTheme="minorHAnsi" w:hAnsi="Times New Roman"/>
          <w:color w:val="000000" w:themeColor="text1"/>
        </w:rPr>
        <w:t xml:space="preserve"> Electricity Transmission Corporation</w:t>
      </w:r>
    </w:p>
    <w:p w14:paraId="7AAFFBEA" w14:textId="77777777" w:rsidR="0002438F" w:rsidRPr="009E1B38" w:rsidRDefault="003528E3" w:rsidP="00A02EDE">
      <w:pPr>
        <w:spacing w:after="100"/>
        <w:rPr>
          <w:rFonts w:ascii="Times New Roman" w:eastAsiaTheme="minorHAnsi" w:hAnsi="Times New Roman"/>
        </w:rPr>
      </w:pPr>
      <w:r w:rsidRPr="009E1B38">
        <w:rPr>
          <w:rFonts w:ascii="Times New Roman" w:eastAsiaTheme="minorHAnsi" w:hAnsi="Times New Roman"/>
          <w:b/>
          <w:bCs/>
          <w:color w:val="000000" w:themeColor="text1"/>
        </w:rPr>
        <w:t>TETAŞ:</w:t>
      </w:r>
      <w:r w:rsidR="00F078B2" w:rsidRPr="009E1B38">
        <w:rPr>
          <w:rFonts w:ascii="Times New Roman" w:eastAsiaTheme="minorHAnsi" w:hAnsi="Times New Roman"/>
          <w:b/>
          <w:bCs/>
          <w:color w:val="000000" w:themeColor="text1"/>
        </w:rPr>
        <w:t xml:space="preserve"> </w:t>
      </w:r>
      <w:r w:rsidR="0002438F" w:rsidRPr="009E1B38">
        <w:rPr>
          <w:rFonts w:ascii="Times New Roman" w:eastAsiaTheme="minorHAnsi" w:hAnsi="Times New Roman"/>
        </w:rPr>
        <w:t>Turkish Electricity Trade and Contracting Joint Stock Company</w:t>
      </w:r>
    </w:p>
    <w:p w14:paraId="7D4A7185" w14:textId="1E0A8900" w:rsidR="003528E3" w:rsidRPr="009E1B38" w:rsidRDefault="003528E3" w:rsidP="00A02EDE">
      <w:pPr>
        <w:spacing w:after="100"/>
        <w:rPr>
          <w:rFonts w:ascii="Times New Roman" w:eastAsia="Times New Roman" w:hAnsi="Times New Roman"/>
          <w:color w:val="000000"/>
          <w:lang w:eastAsia="tr-TR"/>
        </w:rPr>
      </w:pPr>
      <w:r w:rsidRPr="009E1B38">
        <w:rPr>
          <w:rFonts w:ascii="Times New Roman" w:eastAsia="Times New Roman" w:hAnsi="Times New Roman"/>
          <w:b/>
          <w:color w:val="000000"/>
          <w:lang w:eastAsia="tr-TR"/>
        </w:rPr>
        <w:t>TÜBİTAK:</w:t>
      </w:r>
      <w:r w:rsidRPr="009E1B38">
        <w:rPr>
          <w:rFonts w:ascii="Times New Roman" w:eastAsia="Times New Roman" w:hAnsi="Times New Roman"/>
          <w:color w:val="000000"/>
          <w:lang w:eastAsia="tr-TR"/>
        </w:rPr>
        <w:t xml:space="preserve"> </w:t>
      </w:r>
      <w:r w:rsidR="007F39D2" w:rsidRPr="009E1B38">
        <w:rPr>
          <w:rFonts w:ascii="Times New Roman" w:eastAsia="Times New Roman" w:hAnsi="Times New Roman"/>
          <w:color w:val="000000"/>
          <w:lang w:eastAsia="tr-TR"/>
        </w:rPr>
        <w:t xml:space="preserve">Scientific and Technological Research Council of </w:t>
      </w:r>
      <w:r w:rsidR="0082470D" w:rsidRPr="009E1B38">
        <w:rPr>
          <w:rFonts w:ascii="Times New Roman" w:eastAsia="Times New Roman" w:hAnsi="Times New Roman"/>
          <w:color w:val="000000"/>
          <w:lang w:eastAsia="tr-TR"/>
        </w:rPr>
        <w:t>Türkiye</w:t>
      </w:r>
    </w:p>
    <w:p w14:paraId="7D4A7186" w14:textId="3ECDF0D1" w:rsidR="003528E3" w:rsidRPr="009E1B38" w:rsidRDefault="003528E3" w:rsidP="00A02EDE">
      <w:pPr>
        <w:spacing w:after="100"/>
        <w:rPr>
          <w:rFonts w:ascii="Times New Roman" w:eastAsia="Times New Roman" w:hAnsi="Times New Roman"/>
          <w:color w:val="000000"/>
          <w:lang w:eastAsia="tr-TR"/>
        </w:rPr>
      </w:pPr>
      <w:r w:rsidRPr="009E1B38">
        <w:rPr>
          <w:rFonts w:ascii="Times New Roman" w:eastAsiaTheme="minorHAnsi" w:hAnsi="Times New Roman"/>
          <w:b/>
          <w:bCs/>
          <w:color w:val="000000" w:themeColor="text1"/>
        </w:rPr>
        <w:t xml:space="preserve">TÜPRAŞ: </w:t>
      </w:r>
      <w:r w:rsidR="008677E4" w:rsidRPr="009E1B38">
        <w:rPr>
          <w:rFonts w:ascii="Times New Roman" w:eastAsia="Times New Roman" w:hAnsi="Times New Roman"/>
          <w:color w:val="000000"/>
          <w:lang w:eastAsia="tr-TR"/>
        </w:rPr>
        <w:t>Turkish Petroleum Refineries Corp.</w:t>
      </w:r>
    </w:p>
    <w:p w14:paraId="7D4A7187" w14:textId="03DDB5F8" w:rsidR="003528E3" w:rsidRPr="009E1B38" w:rsidRDefault="003528E3" w:rsidP="00A02EDE">
      <w:pPr>
        <w:spacing w:after="100"/>
        <w:rPr>
          <w:rFonts w:ascii="Times New Roman" w:eastAsiaTheme="minorHAnsi" w:hAnsi="Times New Roman"/>
        </w:rPr>
      </w:pPr>
      <w:r w:rsidRPr="009E1B38">
        <w:rPr>
          <w:rFonts w:ascii="Times New Roman" w:eastAsiaTheme="minorHAnsi" w:hAnsi="Times New Roman"/>
          <w:b/>
        </w:rPr>
        <w:t>UEA:</w:t>
      </w:r>
      <w:r w:rsidRPr="009E1B38">
        <w:rPr>
          <w:rFonts w:ascii="Times New Roman" w:eastAsiaTheme="minorHAnsi" w:hAnsi="Times New Roman"/>
        </w:rPr>
        <w:t xml:space="preserve"> </w:t>
      </w:r>
      <w:r w:rsidR="00590FF3" w:rsidRPr="009E1B38">
        <w:rPr>
          <w:rFonts w:ascii="Times New Roman" w:eastAsiaTheme="minorHAnsi" w:hAnsi="Times New Roman"/>
        </w:rPr>
        <w:t>International Energy Agency</w:t>
      </w:r>
    </w:p>
    <w:p w14:paraId="7D4A7188" w14:textId="2E00DEC8" w:rsidR="006343EC" w:rsidRPr="009E1B38" w:rsidRDefault="006343EC" w:rsidP="00A02EDE">
      <w:pPr>
        <w:spacing w:after="100"/>
        <w:rPr>
          <w:rFonts w:ascii="Times New Roman" w:eastAsiaTheme="minorHAnsi" w:hAnsi="Times New Roman"/>
        </w:rPr>
      </w:pPr>
      <w:r w:rsidRPr="009E1B38">
        <w:rPr>
          <w:rFonts w:ascii="Times New Roman" w:eastAsiaTheme="minorHAnsi" w:hAnsi="Times New Roman"/>
          <w:b/>
        </w:rPr>
        <w:t>UGETAM:</w:t>
      </w:r>
      <w:r w:rsidR="00F078B2" w:rsidRPr="009E1B38">
        <w:rPr>
          <w:rFonts w:ascii="Times New Roman" w:eastAsiaTheme="minorHAnsi" w:hAnsi="Times New Roman"/>
          <w:b/>
        </w:rPr>
        <w:t xml:space="preserve"> </w:t>
      </w:r>
      <w:r w:rsidR="0047595E" w:rsidRPr="009E1B38">
        <w:rPr>
          <w:rFonts w:ascii="Times New Roman" w:eastAsiaTheme="minorHAnsi" w:hAnsi="Times New Roman"/>
        </w:rPr>
        <w:t>Istanbul Applied Gas and Energy Technologies Research Engineering Industry Trade Inc.</w:t>
      </w:r>
    </w:p>
    <w:p w14:paraId="7D4A7189" w14:textId="0C1864D2" w:rsidR="007E4989" w:rsidRPr="009E1B38" w:rsidRDefault="00BC6D92" w:rsidP="004E2C12">
      <w:pPr>
        <w:spacing w:after="100"/>
        <w:jc w:val="left"/>
        <w:rPr>
          <w:rFonts w:ascii="Times New Roman" w:eastAsiaTheme="minorHAnsi" w:hAnsi="Times New Roman"/>
        </w:rPr>
        <w:sectPr w:rsidR="007E4989" w:rsidRPr="009E1B38" w:rsidSect="008D594C">
          <w:footerReference w:type="first" r:id="rId11"/>
          <w:pgSz w:w="11906" w:h="16838"/>
          <w:pgMar w:top="1418" w:right="1418" w:bottom="1418" w:left="1418" w:header="709" w:footer="709" w:gutter="0"/>
          <w:pgNumType w:fmt="lowerRoman" w:start="1"/>
          <w:cols w:space="708"/>
          <w:titlePg/>
          <w:docGrid w:linePitch="360"/>
        </w:sectPr>
      </w:pPr>
      <w:r w:rsidRPr="009E1B38">
        <w:rPr>
          <w:rFonts w:ascii="Times New Roman" w:eastAsiaTheme="minorHAnsi" w:hAnsi="Times New Roman"/>
          <w:b/>
        </w:rPr>
        <w:t>UM:</w:t>
      </w:r>
      <w:r w:rsidR="004E2C12" w:rsidRPr="009E1B38">
        <w:rPr>
          <w:rFonts w:ascii="Times New Roman" w:eastAsiaTheme="minorHAnsi" w:hAnsi="Times New Roman"/>
          <w:b/>
        </w:rPr>
        <w:t xml:space="preserve"> </w:t>
      </w:r>
      <w:r w:rsidR="00B22A1F" w:rsidRPr="009E1B38">
        <w:rPr>
          <w:rFonts w:ascii="Times New Roman" w:eastAsiaTheme="minorHAnsi" w:hAnsi="Times New Roman"/>
        </w:rPr>
        <w:t>National Marker</w:t>
      </w:r>
      <w:r w:rsidR="00C7333E" w:rsidRPr="009E1B38">
        <w:rPr>
          <w:rFonts w:ascii="Times New Roman" w:eastAsiaTheme="minorHAnsi" w:hAnsi="Times New Roman"/>
        </w:rPr>
        <w:t xml:space="preserve"> </w:t>
      </w:r>
    </w:p>
    <w:p w14:paraId="7D4A718A" w14:textId="17C8D91D" w:rsidR="004367E4" w:rsidRPr="009E1B38" w:rsidRDefault="004D232C" w:rsidP="00A02EDE">
      <w:pPr>
        <w:pStyle w:val="KonuBal"/>
        <w:outlineLvl w:val="0"/>
        <w:rPr>
          <w:rStyle w:val="KitapBal"/>
          <w:rFonts w:ascii="Times New Roman" w:hAnsi="Times New Roman" w:cs="Times New Roman"/>
          <w:color w:val="auto"/>
          <w:sz w:val="24"/>
          <w:szCs w:val="24"/>
        </w:rPr>
      </w:pPr>
      <w:bookmarkStart w:id="0" w:name="_Toc113615302"/>
      <w:r w:rsidRPr="009E1B38">
        <w:rPr>
          <w:rStyle w:val="KitapBal"/>
          <w:rFonts w:ascii="Times New Roman" w:hAnsi="Times New Roman" w:cs="Times New Roman"/>
          <w:color w:val="auto"/>
          <w:sz w:val="24"/>
          <w:szCs w:val="24"/>
        </w:rPr>
        <w:lastRenderedPageBreak/>
        <w:t>FIRST PART</w:t>
      </w:r>
      <w:bookmarkEnd w:id="0"/>
    </w:p>
    <w:p w14:paraId="7D4A718B" w14:textId="5EFDDFA1" w:rsidR="004367E4" w:rsidRPr="009E1B38" w:rsidRDefault="004D232C" w:rsidP="00A02EDE">
      <w:pPr>
        <w:pStyle w:val="KonuBal"/>
        <w:rPr>
          <w:rStyle w:val="KitapBal"/>
          <w:rFonts w:ascii="Times New Roman" w:hAnsi="Times New Roman" w:cs="Times New Roman"/>
          <w:color w:val="auto"/>
          <w:sz w:val="24"/>
          <w:szCs w:val="24"/>
        </w:rPr>
      </w:pPr>
      <w:r w:rsidRPr="009E1B38">
        <w:rPr>
          <w:rStyle w:val="KitapBal"/>
          <w:rFonts w:ascii="Times New Roman" w:hAnsi="Times New Roman" w:cs="Times New Roman"/>
          <w:color w:val="auto"/>
          <w:sz w:val="24"/>
          <w:szCs w:val="24"/>
        </w:rPr>
        <w:t xml:space="preserve">GENERAL INFORMATION </w:t>
      </w:r>
    </w:p>
    <w:p w14:paraId="7D4A718C" w14:textId="479EF89A" w:rsidR="00C553AB" w:rsidRPr="009E1B38" w:rsidRDefault="008809A1" w:rsidP="003C5E4D">
      <w:pPr>
        <w:pStyle w:val="Balk1"/>
        <w:numPr>
          <w:ilvl w:val="0"/>
          <w:numId w:val="7"/>
        </w:numPr>
        <w:rPr>
          <w:rFonts w:cs="Times New Roman"/>
          <w:szCs w:val="24"/>
        </w:rPr>
      </w:pPr>
      <w:bookmarkStart w:id="1" w:name="_Toc113615303"/>
      <w:r w:rsidRPr="009E1B38">
        <w:rPr>
          <w:rFonts w:cs="Times New Roman"/>
          <w:szCs w:val="24"/>
        </w:rPr>
        <w:t>ENERGY MARKET RE</w:t>
      </w:r>
      <w:r w:rsidR="005A2E7C" w:rsidRPr="009E1B38">
        <w:rPr>
          <w:rFonts w:cs="Times New Roman"/>
          <w:szCs w:val="24"/>
        </w:rPr>
        <w:t>G</w:t>
      </w:r>
      <w:r w:rsidRPr="009E1B38">
        <w:rPr>
          <w:rFonts w:cs="Times New Roman"/>
          <w:szCs w:val="24"/>
        </w:rPr>
        <w:t>ULATORY AUTHORITY</w:t>
      </w:r>
      <w:bookmarkEnd w:id="1"/>
    </w:p>
    <w:p w14:paraId="7D4A718D" w14:textId="77777777" w:rsidR="009824D9" w:rsidRPr="009E1B38" w:rsidRDefault="009824D9" w:rsidP="00A02EDE">
      <w:pPr>
        <w:spacing w:after="0"/>
        <w:rPr>
          <w:rFonts w:ascii="Times New Roman" w:hAnsi="Times New Roman"/>
        </w:rPr>
      </w:pPr>
    </w:p>
    <w:p w14:paraId="0FF27B2D" w14:textId="77777777" w:rsidR="008809A1" w:rsidRPr="009E1B38" w:rsidRDefault="008809A1" w:rsidP="008809A1">
      <w:pPr>
        <w:rPr>
          <w:rFonts w:ascii="Times New Roman" w:hAnsi="Times New Roman"/>
        </w:rPr>
      </w:pPr>
      <w:bookmarkStart w:id="2" w:name="_Toc442431224"/>
      <w:r w:rsidRPr="009E1B38">
        <w:rPr>
          <w:rFonts w:ascii="Times New Roman" w:hAnsi="Times New Roman"/>
        </w:rPr>
        <w:t>Information about the duties, powers and responsibilities of the Authority and the structure of the Authority are included.</w:t>
      </w:r>
    </w:p>
    <w:p w14:paraId="7DAE5B8D" w14:textId="77777777" w:rsidR="003C1A2B" w:rsidRPr="009E1B38" w:rsidRDefault="003C1A2B" w:rsidP="003C1A2B">
      <w:pPr>
        <w:pStyle w:val="Balk2"/>
        <w:rPr>
          <w:rFonts w:cs="Times New Roman"/>
        </w:rPr>
      </w:pPr>
      <w:bookmarkStart w:id="3" w:name="_Toc77092230"/>
      <w:bookmarkStart w:id="4" w:name="_Toc113615304"/>
      <w:bookmarkEnd w:id="2"/>
      <w:r w:rsidRPr="009E1B38">
        <w:rPr>
          <w:rFonts w:cs="Times New Roman"/>
        </w:rPr>
        <w:t>1.1. Duties, Authorities and Responsibilities of the Authority</w:t>
      </w:r>
      <w:bookmarkEnd w:id="3"/>
      <w:bookmarkEnd w:id="4"/>
    </w:p>
    <w:p w14:paraId="33EBA2C0" w14:textId="77777777" w:rsidR="00430CBE" w:rsidRPr="009E1B38" w:rsidRDefault="00430CBE" w:rsidP="00430CBE">
      <w:pPr>
        <w:spacing w:after="0"/>
        <w:rPr>
          <w:rFonts w:ascii="Times New Roman" w:eastAsiaTheme="majorEastAsia" w:hAnsi="Times New Roman"/>
        </w:rPr>
      </w:pPr>
      <w:r w:rsidRPr="009E1B38">
        <w:rPr>
          <w:rFonts w:ascii="Times New Roman" w:eastAsiaTheme="majorEastAsia" w:hAnsi="Times New Roman"/>
        </w:rPr>
        <w:t>The Authority was established under the name of "Electricity Market Regulatory Authority" with the old "Electricity Market Law" numbered 4628, published in the Official Gazette dated 03.03.2001 and numbered 24335 (repeated), and was established under the name of "Natural Gas Market Law numbered 4646 published in the Official Gazette dated 02.05.2001 and numbered 24390". Law (Amendment of the Electricity Market Law and the Law on the Natural Gas Market)” and the name of the “Energy Market Regulatory Authority”.</w:t>
      </w:r>
    </w:p>
    <w:p w14:paraId="49511616" w14:textId="77777777" w:rsidR="00E804D6" w:rsidRPr="009E1B38" w:rsidRDefault="00E804D6" w:rsidP="00430CBE">
      <w:pPr>
        <w:spacing w:after="0"/>
        <w:rPr>
          <w:rFonts w:ascii="Times New Roman" w:eastAsiaTheme="majorEastAsia" w:hAnsi="Times New Roman"/>
        </w:rPr>
      </w:pPr>
    </w:p>
    <w:p w14:paraId="3E6BF386" w14:textId="77777777" w:rsidR="007574F2" w:rsidRPr="009E1B38" w:rsidRDefault="007574F2" w:rsidP="007574F2">
      <w:pPr>
        <w:spacing w:after="0"/>
        <w:rPr>
          <w:rFonts w:ascii="Times New Roman" w:eastAsiaTheme="majorEastAsia" w:hAnsi="Times New Roman"/>
        </w:rPr>
      </w:pPr>
      <w:r w:rsidRPr="009E1B38">
        <w:rPr>
          <w:rFonts w:ascii="Times New Roman" w:eastAsiaTheme="majorEastAsia" w:hAnsi="Times New Roman"/>
        </w:rPr>
        <w:t>The name of the Law No. 4628 was changed to “Law on the Organization and Duties of the Energy Market Regulatory Authority” with Article 30 of the Electricity Market Law No. 6446 published in the Official Gazette dated 30.03.2013 and numbered 28603.</w:t>
      </w:r>
    </w:p>
    <w:p w14:paraId="45CF4DB2" w14:textId="77777777" w:rsidR="007574F2" w:rsidRPr="009E1B38" w:rsidRDefault="007574F2" w:rsidP="007574F2">
      <w:pPr>
        <w:spacing w:after="0"/>
        <w:rPr>
          <w:rFonts w:ascii="Times New Roman" w:eastAsiaTheme="majorEastAsia" w:hAnsi="Times New Roman"/>
        </w:rPr>
      </w:pPr>
    </w:p>
    <w:p w14:paraId="33B6B6D1" w14:textId="56C06878" w:rsidR="000C3C32" w:rsidRPr="009E1B38" w:rsidRDefault="000C3C32" w:rsidP="000C3C32">
      <w:pPr>
        <w:spacing w:after="0"/>
        <w:rPr>
          <w:rFonts w:ascii="Times New Roman" w:eastAsiaTheme="majorEastAsia" w:hAnsi="Times New Roman"/>
        </w:rPr>
      </w:pPr>
      <w:r w:rsidRPr="009E1B38">
        <w:rPr>
          <w:rFonts w:ascii="Times New Roman" w:eastAsiaTheme="majorEastAsia" w:hAnsi="Times New Roman"/>
        </w:rPr>
        <w:t xml:space="preserve">The Authority has a public legal </w:t>
      </w:r>
      <w:r w:rsidR="00135D72" w:rsidRPr="009E1B38">
        <w:rPr>
          <w:rFonts w:ascii="Times New Roman" w:eastAsiaTheme="majorEastAsia" w:hAnsi="Times New Roman"/>
        </w:rPr>
        <w:t>entity</w:t>
      </w:r>
      <w:r w:rsidRPr="009E1B38">
        <w:rPr>
          <w:rFonts w:ascii="Times New Roman" w:eastAsiaTheme="majorEastAsia" w:hAnsi="Times New Roman"/>
        </w:rPr>
        <w:t xml:space="preserve"> and has administrative and financial autonomy. The Ministry to which it is related is ETKB.</w:t>
      </w:r>
    </w:p>
    <w:p w14:paraId="1F0BEDA6" w14:textId="77777777" w:rsidR="00C553AB" w:rsidRPr="009E1B38" w:rsidRDefault="00C553AB" w:rsidP="00AB54CF">
      <w:pPr>
        <w:spacing w:after="0"/>
        <w:rPr>
          <w:rFonts w:ascii="Times New Roman" w:hAnsi="Times New Roman"/>
        </w:rPr>
      </w:pPr>
    </w:p>
    <w:p w14:paraId="3C34C36D" w14:textId="799DE62E" w:rsidR="00AB54CF" w:rsidRPr="009E1B38" w:rsidRDefault="00AB54CF" w:rsidP="00AB54CF">
      <w:pPr>
        <w:spacing w:after="0"/>
        <w:rPr>
          <w:rFonts w:ascii="Times New Roman" w:eastAsiaTheme="majorEastAsia" w:hAnsi="Times New Roman"/>
        </w:rPr>
      </w:pPr>
      <w:r w:rsidRPr="009E1B38">
        <w:rPr>
          <w:rFonts w:ascii="Times New Roman" w:eastAsiaTheme="majorEastAsia" w:hAnsi="Times New Roman"/>
        </w:rPr>
        <w:t xml:space="preserve">The headquarters of the Authority is in Ankara; </w:t>
      </w:r>
      <w:r w:rsidR="009E1B38" w:rsidRPr="009E1B38">
        <w:rPr>
          <w:rFonts w:ascii="Times New Roman" w:eastAsiaTheme="majorEastAsia" w:hAnsi="Times New Roman"/>
        </w:rPr>
        <w:t>there</w:t>
      </w:r>
      <w:r w:rsidRPr="009E1B38">
        <w:rPr>
          <w:rFonts w:ascii="Times New Roman" w:eastAsiaTheme="majorEastAsia" w:hAnsi="Times New Roman"/>
        </w:rPr>
        <w:t xml:space="preserve"> is no provincial organization. The Authority can establish liaison offices in order to maintain customer relations in distribution regions. İn this context, there is a liaison office in İstanbul.</w:t>
      </w:r>
    </w:p>
    <w:p w14:paraId="10B95B23" w14:textId="77777777" w:rsidR="00AB54CF" w:rsidRPr="009E1B38" w:rsidRDefault="00AB54CF" w:rsidP="00AB54CF">
      <w:pPr>
        <w:spacing w:after="0"/>
        <w:rPr>
          <w:rFonts w:ascii="Times New Roman" w:eastAsiaTheme="majorEastAsia" w:hAnsi="Times New Roman"/>
        </w:rPr>
      </w:pPr>
    </w:p>
    <w:p w14:paraId="72D54935" w14:textId="77777777" w:rsidR="00DB558F" w:rsidRPr="009E1B38" w:rsidRDefault="00DB558F" w:rsidP="00DB558F">
      <w:pPr>
        <w:spacing w:after="0"/>
        <w:rPr>
          <w:rFonts w:ascii="Times New Roman" w:eastAsiaTheme="majorEastAsia" w:hAnsi="Times New Roman"/>
        </w:rPr>
      </w:pPr>
      <w:r w:rsidRPr="009E1B38">
        <w:rPr>
          <w:rFonts w:ascii="Times New Roman" w:eastAsiaTheme="majorEastAsia" w:hAnsi="Times New Roman"/>
        </w:rPr>
        <w:t>Authority;</w:t>
      </w:r>
    </w:p>
    <w:p w14:paraId="7B666FB6" w14:textId="2A062C63" w:rsidR="00DB558F" w:rsidRPr="009E1B38" w:rsidRDefault="00DB558F" w:rsidP="00DB558F">
      <w:pPr>
        <w:spacing w:after="0"/>
        <w:rPr>
          <w:rFonts w:ascii="Times New Roman" w:eastAsiaTheme="majorEastAsia" w:hAnsi="Times New Roman"/>
        </w:rPr>
      </w:pPr>
      <w:r w:rsidRPr="009E1B38">
        <w:rPr>
          <w:rFonts w:ascii="Times New Roman" w:eastAsiaTheme="majorEastAsia" w:hAnsi="Times New Roman"/>
        </w:rPr>
        <w:t xml:space="preserve">  • Law No. 4628 on the Organization and Duties of the Energy Market Regulatory Authority,</w:t>
      </w:r>
    </w:p>
    <w:p w14:paraId="23D883E4" w14:textId="57F9ED01" w:rsidR="00DB558F" w:rsidRPr="009E1B38" w:rsidRDefault="00DB558F" w:rsidP="00DB558F">
      <w:pPr>
        <w:spacing w:after="0"/>
        <w:rPr>
          <w:rFonts w:ascii="Times New Roman" w:eastAsiaTheme="majorEastAsia" w:hAnsi="Times New Roman"/>
        </w:rPr>
      </w:pPr>
      <w:r w:rsidRPr="009E1B38">
        <w:rPr>
          <w:rFonts w:ascii="Times New Roman" w:eastAsiaTheme="majorEastAsia" w:hAnsi="Times New Roman"/>
        </w:rPr>
        <w:t xml:space="preserve">  • Natural Gas Market Law No. 4646,</w:t>
      </w:r>
    </w:p>
    <w:p w14:paraId="44489586" w14:textId="11251DEE" w:rsidR="00DB558F" w:rsidRPr="009E1B38" w:rsidRDefault="00DB558F" w:rsidP="00DB558F">
      <w:pPr>
        <w:spacing w:after="0"/>
        <w:rPr>
          <w:rFonts w:ascii="Times New Roman" w:eastAsiaTheme="majorEastAsia" w:hAnsi="Times New Roman"/>
        </w:rPr>
      </w:pPr>
      <w:r w:rsidRPr="009E1B38">
        <w:rPr>
          <w:rFonts w:ascii="Times New Roman" w:eastAsiaTheme="majorEastAsia" w:hAnsi="Times New Roman"/>
        </w:rPr>
        <w:t xml:space="preserve">  • Petroleum Market Law No. 5015,</w:t>
      </w:r>
    </w:p>
    <w:p w14:paraId="2F9D0B66" w14:textId="0A76F86D" w:rsidR="00DB558F" w:rsidRPr="009E1B38" w:rsidRDefault="00DB558F" w:rsidP="00DB558F">
      <w:pPr>
        <w:spacing w:after="0"/>
        <w:rPr>
          <w:rFonts w:ascii="Times New Roman" w:eastAsiaTheme="majorEastAsia" w:hAnsi="Times New Roman"/>
        </w:rPr>
      </w:pPr>
      <w:r w:rsidRPr="009E1B38">
        <w:rPr>
          <w:rFonts w:ascii="Times New Roman" w:eastAsiaTheme="majorEastAsia" w:hAnsi="Times New Roman"/>
        </w:rPr>
        <w:t xml:space="preserve">  • Law No. 5307 Amending the Liquefied Petroleum Gas (LPG) Market Law and Electricity Market Law</w:t>
      </w:r>
    </w:p>
    <w:p w14:paraId="36CB1A1A" w14:textId="6D6F9EB6" w:rsidR="00DB558F" w:rsidRPr="009E1B38" w:rsidRDefault="00DB558F" w:rsidP="00DB558F">
      <w:pPr>
        <w:spacing w:after="0"/>
        <w:rPr>
          <w:rFonts w:ascii="Times New Roman" w:eastAsiaTheme="majorEastAsia" w:hAnsi="Times New Roman"/>
        </w:rPr>
      </w:pPr>
      <w:r w:rsidRPr="009E1B38">
        <w:rPr>
          <w:rFonts w:ascii="Times New Roman" w:eastAsiaTheme="majorEastAsia" w:hAnsi="Times New Roman"/>
        </w:rPr>
        <w:t xml:space="preserve">  • Electricity Market Law No. 6446</w:t>
      </w:r>
    </w:p>
    <w:p w14:paraId="28B52D51" w14:textId="77777777" w:rsidR="00DB558F" w:rsidRPr="009E1B38" w:rsidRDefault="00DB558F" w:rsidP="00DB558F">
      <w:pPr>
        <w:spacing w:after="0"/>
        <w:rPr>
          <w:rFonts w:ascii="Times New Roman" w:eastAsiaTheme="majorEastAsia" w:hAnsi="Times New Roman"/>
        </w:rPr>
      </w:pPr>
      <w:r w:rsidRPr="009E1B38">
        <w:rPr>
          <w:rFonts w:ascii="Times New Roman" w:eastAsiaTheme="majorEastAsia" w:hAnsi="Times New Roman"/>
        </w:rPr>
        <w:t>carries out the duties assigned to it and uses its powers.</w:t>
      </w:r>
    </w:p>
    <w:p w14:paraId="353A956E" w14:textId="77777777" w:rsidR="00B359EC" w:rsidRPr="009E1B38" w:rsidRDefault="00B359EC" w:rsidP="00DB558F">
      <w:pPr>
        <w:spacing w:after="0"/>
        <w:rPr>
          <w:rFonts w:ascii="Times New Roman" w:eastAsiaTheme="majorEastAsia" w:hAnsi="Times New Roman"/>
          <w:sz w:val="24"/>
          <w:szCs w:val="24"/>
        </w:rPr>
      </w:pPr>
    </w:p>
    <w:p w14:paraId="5E8147A6" w14:textId="0122D192" w:rsidR="009B3BE3" w:rsidRPr="009E1B38" w:rsidRDefault="009B3BE3" w:rsidP="009B3BE3">
      <w:pPr>
        <w:spacing w:after="0"/>
        <w:rPr>
          <w:rFonts w:ascii="Times New Roman" w:eastAsiaTheme="majorEastAsia" w:hAnsi="Times New Roman"/>
        </w:rPr>
      </w:pPr>
      <w:r w:rsidRPr="009E1B38">
        <w:rPr>
          <w:rFonts w:ascii="Times New Roman" w:eastAsiaTheme="majorEastAsia" w:hAnsi="Times New Roman"/>
        </w:rPr>
        <w:t>Said Laws, electricity, n</w:t>
      </w:r>
      <w:r w:rsidR="000B4EE1" w:rsidRPr="009E1B38">
        <w:rPr>
          <w:rFonts w:ascii="Times New Roman" w:eastAsiaTheme="majorEastAsia" w:hAnsi="Times New Roman"/>
        </w:rPr>
        <w:t xml:space="preserve">atural gas, petroleum, and LPG, </w:t>
      </w:r>
      <w:r w:rsidRPr="009E1B38">
        <w:rPr>
          <w:rFonts w:ascii="Times New Roman" w:eastAsiaTheme="majorEastAsia" w:hAnsi="Times New Roman"/>
        </w:rPr>
        <w:t>aims to create a financially strong, stable and transparent energy market in which it can operate subject to private law provisions in a competitive environment, and to ensure an independent regulation and supervision in this market, in order to make it available to consumers in an adequate, high quality, continuous, low-cost, and environmentally compatible manner.</w:t>
      </w:r>
    </w:p>
    <w:p w14:paraId="20A6818D" w14:textId="77777777" w:rsidR="009B3BE3" w:rsidRPr="009E1B38" w:rsidRDefault="009B3BE3" w:rsidP="009B3BE3">
      <w:pPr>
        <w:spacing w:after="0"/>
        <w:rPr>
          <w:rFonts w:ascii="Times New Roman" w:eastAsiaTheme="majorEastAsia" w:hAnsi="Times New Roman"/>
        </w:rPr>
      </w:pPr>
      <w:r w:rsidRPr="009E1B38">
        <w:rPr>
          <w:rFonts w:ascii="Times New Roman" w:eastAsiaTheme="majorEastAsia" w:hAnsi="Times New Roman"/>
        </w:rPr>
        <w:t>In the fulfillment of this purpose, the Authority;</w:t>
      </w:r>
    </w:p>
    <w:p w14:paraId="7D4A719D" w14:textId="131EFE86" w:rsidR="00C553AB" w:rsidRPr="009E1B38" w:rsidRDefault="00452B55" w:rsidP="007248AB">
      <w:pPr>
        <w:pStyle w:val="ListeParagraf"/>
        <w:numPr>
          <w:ilvl w:val="0"/>
          <w:numId w:val="1"/>
        </w:numPr>
        <w:tabs>
          <w:tab w:val="left" w:pos="284"/>
          <w:tab w:val="left" w:pos="567"/>
          <w:tab w:val="left" w:pos="709"/>
          <w:tab w:val="left" w:pos="851"/>
        </w:tabs>
        <w:spacing w:after="120"/>
        <w:ind w:left="284" w:firstLine="0"/>
        <w:contextualSpacing w:val="0"/>
        <w:rPr>
          <w:rFonts w:ascii="Times New Roman" w:hAnsi="Times New Roman"/>
        </w:rPr>
      </w:pPr>
      <w:r w:rsidRPr="009E1B38">
        <w:rPr>
          <w:rFonts w:ascii="Times New Roman" w:eastAsiaTheme="majorEastAsia" w:hAnsi="Times New Roman"/>
        </w:rPr>
        <w:t>In the electricity market; granting licenses defining the rights and obligations of legal entities arising from the activities for which they are authorized, and performing other related transactions; monitoring market performances and establishing performance standards; establishing, developing and implementing secondary legislation; supervision of licensee legal entities; preparation, amendment and enforcement of regulated tariffs; ensuring that the market is treated in accordance with the Electricity Market Law</w:t>
      </w:r>
      <w:r w:rsidR="00C553AB" w:rsidRPr="009E1B38">
        <w:rPr>
          <w:rFonts w:ascii="Times New Roman" w:hAnsi="Times New Roman"/>
        </w:rPr>
        <w:t>,</w:t>
      </w:r>
    </w:p>
    <w:p w14:paraId="7D4A719E" w14:textId="005B9CA3" w:rsidR="00C553AB" w:rsidRPr="009E1B38" w:rsidRDefault="00AC5CA4" w:rsidP="007248AB">
      <w:pPr>
        <w:pStyle w:val="ListeParagraf"/>
        <w:numPr>
          <w:ilvl w:val="0"/>
          <w:numId w:val="1"/>
        </w:numPr>
        <w:tabs>
          <w:tab w:val="left" w:pos="284"/>
          <w:tab w:val="left" w:pos="567"/>
          <w:tab w:val="left" w:pos="709"/>
          <w:tab w:val="left" w:pos="851"/>
        </w:tabs>
        <w:spacing w:after="120"/>
        <w:ind w:left="284" w:firstLine="0"/>
        <w:contextualSpacing w:val="0"/>
        <w:rPr>
          <w:rFonts w:ascii="Times New Roman" w:hAnsi="Times New Roman"/>
        </w:rPr>
      </w:pPr>
      <w:r w:rsidRPr="009E1B38">
        <w:rPr>
          <w:rFonts w:ascii="Times New Roman" w:eastAsiaTheme="majorEastAsia" w:hAnsi="Times New Roman"/>
        </w:rPr>
        <w:lastRenderedPageBreak/>
        <w:t xml:space="preserve">In the natural gas market; issuing licenses and certificates defining the import, transmission, distribution, storage, trade and export of natural gas and the rights and obligations of all real and legal </w:t>
      </w:r>
      <w:r w:rsidR="00135D72" w:rsidRPr="009E1B38">
        <w:rPr>
          <w:rFonts w:ascii="Times New Roman" w:eastAsiaTheme="majorEastAsia" w:hAnsi="Times New Roman"/>
        </w:rPr>
        <w:t>entities</w:t>
      </w:r>
      <w:r w:rsidRPr="009E1B38">
        <w:rPr>
          <w:rFonts w:ascii="Times New Roman" w:eastAsiaTheme="majorEastAsia" w:hAnsi="Times New Roman"/>
        </w:rPr>
        <w:t xml:space="preserve"> related to these activities, and performing other related transactions; examination of market and system functioning; creation, development and implementation of secondary legislation; supervision of license and certificate holders, preparation, amendment and implementation of regulated tariffs; ensuring that the market is treated in accordance with the Natural Gas Market Law,</w:t>
      </w:r>
    </w:p>
    <w:p w14:paraId="5080054B" w14:textId="77777777" w:rsidR="000B4EE1" w:rsidRPr="009E1B38" w:rsidRDefault="003E7DB7" w:rsidP="000B4EE1">
      <w:pPr>
        <w:pStyle w:val="ListeParagraf"/>
        <w:numPr>
          <w:ilvl w:val="0"/>
          <w:numId w:val="1"/>
        </w:numPr>
        <w:tabs>
          <w:tab w:val="left" w:pos="0"/>
          <w:tab w:val="left" w:pos="567"/>
          <w:tab w:val="left" w:pos="709"/>
          <w:tab w:val="left" w:pos="851"/>
        </w:tabs>
        <w:spacing w:after="120"/>
        <w:ind w:left="284" w:firstLine="0"/>
        <w:contextualSpacing w:val="0"/>
        <w:rPr>
          <w:rFonts w:ascii="Times New Roman" w:hAnsi="Times New Roman"/>
        </w:rPr>
      </w:pPr>
      <w:r w:rsidRPr="009E1B38">
        <w:rPr>
          <w:rFonts w:ascii="Times New Roman" w:eastAsiaTheme="majorEastAsia" w:hAnsi="Times New Roman"/>
        </w:rPr>
        <w:t>In the oil market; licensing and other related transactions for the establishment, operation, distribution, transportation and dealership of facilities for petroleum refining, processing, mineral oil production, storage, transmission, free user and bunker activities; the scope of the activities and transactions requiring a license, the rights and obligations assumed with the license, the restriction of the activities under the license, the determination of the special conditions regarding the execution of the activity; establishing, developing and implementing secondary legislation; approval of tariffs; monitoring the prices and price lists in the market, ensuring that the market is acted in accordance with the Petroleum Market Law,</w:t>
      </w:r>
      <w:bookmarkStart w:id="5" w:name="_Toc442431225"/>
    </w:p>
    <w:p w14:paraId="4F59E948" w14:textId="3EE0C8B1" w:rsidR="004562BD" w:rsidRPr="009E1B38" w:rsidRDefault="004562BD" w:rsidP="000B4EE1">
      <w:pPr>
        <w:pStyle w:val="ListeParagraf"/>
        <w:numPr>
          <w:ilvl w:val="0"/>
          <w:numId w:val="1"/>
        </w:numPr>
        <w:tabs>
          <w:tab w:val="left" w:pos="0"/>
          <w:tab w:val="left" w:pos="567"/>
          <w:tab w:val="left" w:pos="709"/>
          <w:tab w:val="left" w:pos="851"/>
        </w:tabs>
        <w:spacing w:after="120"/>
        <w:ind w:left="284" w:firstLine="0"/>
        <w:contextualSpacing w:val="0"/>
        <w:rPr>
          <w:rFonts w:ascii="Times New Roman" w:hAnsi="Times New Roman"/>
        </w:rPr>
      </w:pPr>
      <w:r w:rsidRPr="009E1B38">
        <w:rPr>
          <w:rFonts w:ascii="Times New Roman" w:eastAsiaTheme="majorEastAsia" w:hAnsi="Times New Roman"/>
        </w:rPr>
        <w:t>In the LPG market; Licensing for the establishment and operation of facilities for LPG distribution, transportation, autogas dealership activities, storage, LPG cylinder manufacturing, inspection, repair and maintenance, and performing other related transactions; scope of activities and/or transactions requiring license, rights and obligations acquired by license, determination of special conditions regarding the execution of the activity; establishing, developing and implementing secondary legislation; carrying out the necessary guidance, surveillance and inspection activities regarding market activities; following the prices in the market, ensuring that the market is acted in accordance with the Law No. 5307,</w:t>
      </w:r>
    </w:p>
    <w:p w14:paraId="47574ACB" w14:textId="77777777" w:rsidR="004562BD" w:rsidRPr="009E1B38" w:rsidRDefault="004562BD" w:rsidP="004562BD">
      <w:pPr>
        <w:spacing w:after="0"/>
        <w:ind w:left="360"/>
        <w:rPr>
          <w:rFonts w:ascii="Times New Roman" w:eastAsiaTheme="majorEastAsia" w:hAnsi="Times New Roman"/>
        </w:rPr>
      </w:pPr>
      <w:r w:rsidRPr="009E1B38">
        <w:rPr>
          <w:rFonts w:ascii="Times New Roman" w:eastAsiaTheme="majorEastAsia" w:hAnsi="Times New Roman"/>
        </w:rPr>
        <w:t>authorized and responsible.</w:t>
      </w:r>
    </w:p>
    <w:p w14:paraId="053CA172" w14:textId="77777777" w:rsidR="001505D0" w:rsidRPr="009E1B38" w:rsidRDefault="001505D0" w:rsidP="001505D0">
      <w:pPr>
        <w:pStyle w:val="Balk2"/>
        <w:rPr>
          <w:rFonts w:cs="Times New Roman"/>
        </w:rPr>
      </w:pPr>
      <w:bookmarkStart w:id="6" w:name="_Toc77092231"/>
      <w:bookmarkStart w:id="7" w:name="_Toc113615305"/>
      <w:bookmarkEnd w:id="5"/>
      <w:r w:rsidRPr="009E1B38">
        <w:rPr>
          <w:rFonts w:cs="Times New Roman"/>
        </w:rPr>
        <w:t xml:space="preserve">1.2. </w:t>
      </w:r>
      <w:bookmarkStart w:id="8" w:name="_Hlk106622296"/>
      <w:r w:rsidRPr="009E1B38">
        <w:rPr>
          <w:rFonts w:cs="Times New Roman"/>
        </w:rPr>
        <w:t>Structure of the Authority</w:t>
      </w:r>
      <w:bookmarkEnd w:id="6"/>
      <w:bookmarkEnd w:id="7"/>
      <w:bookmarkEnd w:id="8"/>
    </w:p>
    <w:p w14:paraId="21D8674B" w14:textId="7BC20150" w:rsidR="006D6843" w:rsidRPr="009E1B38" w:rsidRDefault="000B4EE1" w:rsidP="006D6843">
      <w:pPr>
        <w:rPr>
          <w:rFonts w:ascii="Times New Roman" w:hAnsi="Times New Roman"/>
          <w:sz w:val="24"/>
          <w:szCs w:val="24"/>
        </w:rPr>
      </w:pPr>
      <w:bookmarkStart w:id="9" w:name="_Toc442431226"/>
      <w:r w:rsidRPr="009E1B38">
        <w:rPr>
          <w:rFonts w:ascii="Times New Roman" w:hAnsi="Times New Roman"/>
        </w:rPr>
        <w:t>The Authority consists of t</w:t>
      </w:r>
      <w:r w:rsidR="006D6843" w:rsidRPr="009E1B38">
        <w:rPr>
          <w:rFonts w:ascii="Times New Roman" w:hAnsi="Times New Roman"/>
        </w:rPr>
        <w:t>he Board, Presidency, and the service units</w:t>
      </w:r>
      <w:r w:rsidR="006D6843" w:rsidRPr="009E1B38">
        <w:rPr>
          <w:rFonts w:ascii="Times New Roman" w:hAnsi="Times New Roman"/>
          <w:sz w:val="24"/>
          <w:szCs w:val="24"/>
        </w:rPr>
        <w:t xml:space="preserve">. </w:t>
      </w:r>
    </w:p>
    <w:p w14:paraId="00F2377E" w14:textId="77777777" w:rsidR="00DB1DE2" w:rsidRPr="009E1B38" w:rsidRDefault="00DB1DE2" w:rsidP="00DB1DE2">
      <w:pPr>
        <w:pStyle w:val="Balk3"/>
        <w:rPr>
          <w:rFonts w:ascii="Times New Roman" w:hAnsi="Times New Roman" w:cs="Times New Roman"/>
          <w:sz w:val="24"/>
          <w:szCs w:val="24"/>
        </w:rPr>
      </w:pPr>
      <w:bookmarkStart w:id="10" w:name="_Toc77092232"/>
      <w:bookmarkStart w:id="11" w:name="_Toc113615306"/>
      <w:bookmarkStart w:id="12" w:name="_Toc416447566"/>
      <w:bookmarkStart w:id="13" w:name="_Toc442441723"/>
      <w:bookmarkStart w:id="14" w:name="_Toc505346151"/>
      <w:bookmarkEnd w:id="9"/>
      <w:r w:rsidRPr="009E1B38">
        <w:rPr>
          <w:rFonts w:ascii="Times New Roman" w:hAnsi="Times New Roman" w:cs="Times New Roman"/>
          <w:sz w:val="24"/>
          <w:szCs w:val="24"/>
        </w:rPr>
        <w:t>1.2.1. Energy Market Regulatory Board</w:t>
      </w:r>
      <w:bookmarkEnd w:id="10"/>
      <w:bookmarkEnd w:id="11"/>
    </w:p>
    <w:p w14:paraId="3E9929A6" w14:textId="548B7FE8" w:rsidR="00446119" w:rsidRPr="009E1B38" w:rsidRDefault="00446119" w:rsidP="00446119">
      <w:pPr>
        <w:spacing w:after="120" w:line="240" w:lineRule="auto"/>
        <w:rPr>
          <w:rFonts w:ascii="Times New Roman" w:hAnsi="Times New Roman"/>
        </w:rPr>
      </w:pPr>
      <w:r w:rsidRPr="009E1B38">
        <w:rPr>
          <w:rFonts w:ascii="Times New Roman" w:hAnsi="Times New Roman"/>
        </w:rPr>
        <w:t>The Authority uses its powers via The Board when performing its duties. The representative and decision-making body of the Authority is the Board. The first Board assumed duty on 19.11.2001 by swearing an oath before the First Chairmanship of the Supreme Court of Appeals. The Board consists of seven members one being the President and one being the vice President.</w:t>
      </w:r>
    </w:p>
    <w:p w14:paraId="14DF99E7" w14:textId="77777777" w:rsidR="00446119" w:rsidRPr="009E1B38" w:rsidRDefault="00446119" w:rsidP="00446119">
      <w:pPr>
        <w:spacing w:after="0"/>
        <w:rPr>
          <w:rFonts w:ascii="Times New Roman" w:hAnsi="Times New Roman"/>
        </w:rPr>
      </w:pPr>
    </w:p>
    <w:p w14:paraId="611FE92A" w14:textId="77777777" w:rsidR="00446119" w:rsidRPr="009E1B38" w:rsidRDefault="00446119" w:rsidP="00446119">
      <w:pPr>
        <w:spacing w:after="0"/>
        <w:rPr>
          <w:rFonts w:ascii="Times New Roman" w:hAnsi="Times New Roman"/>
        </w:rPr>
      </w:pPr>
      <w:r w:rsidRPr="009E1B38">
        <w:rPr>
          <w:rFonts w:ascii="Times New Roman" w:hAnsi="Times New Roman"/>
        </w:rPr>
        <w:t>As of the date of appointment, the duty of the members of the Board ends as of the date they complete their fourth year in office, without the need for any further action. Board members cannot be dismissed before their term of office expires. However, the Chairman and members of the Board, whose conviction decision has been finalized due to the crimes they have committed in connection with the duties assigned to them by the Law No. 4628 or violating the prohibitions in Article 6 of the Law on the Organization and Duties of the Authority No. 4628, are sought to become civil servants in accordance with the Law No. 657 on Civil Servants. Members of the Board, who are found to have lost their qualifications, or who are unable to perform their duties for more than three months due to illness, accident, or any other reason, or who are unable to continue their duties for the remainder of their term of office, confirmed by a committee report to be obtained from a full-fledged hospital without waiting for three months, shall He be dismissed by the President. İf the Presidency or memberships become vacant for any reason before the expiry of their term of office, the vacant memberships are appointed within one month. Members whose term of office has expired can be reappointed.</w:t>
      </w:r>
    </w:p>
    <w:p w14:paraId="2040DD95" w14:textId="77777777" w:rsidR="00446119" w:rsidRPr="009E1B38" w:rsidRDefault="00446119" w:rsidP="00446119">
      <w:pPr>
        <w:spacing w:after="0"/>
        <w:rPr>
          <w:rFonts w:ascii="Times New Roman" w:hAnsi="Times New Roman"/>
        </w:rPr>
      </w:pPr>
    </w:p>
    <w:p w14:paraId="73815120" w14:textId="77777777" w:rsidR="00446119" w:rsidRPr="009E1B38" w:rsidRDefault="00446119" w:rsidP="00446119">
      <w:pPr>
        <w:spacing w:after="0"/>
        <w:rPr>
          <w:rFonts w:ascii="Times New Roman" w:hAnsi="Times New Roman"/>
        </w:rPr>
      </w:pPr>
      <w:r w:rsidRPr="009E1B38">
        <w:rPr>
          <w:rFonts w:ascii="Times New Roman" w:hAnsi="Times New Roman"/>
        </w:rPr>
        <w:t>The Board meets as often as it deems necessary, at least once a week. The meeting is chaired by the Chairman of the Board or, in his absence, by the Deputy Chairman. The agenda of each meeting is prepared by the Chairman or, in his absence, by the Vice Chairman before the meeting and notified to the Board members.</w:t>
      </w:r>
    </w:p>
    <w:p w14:paraId="43123B13" w14:textId="77777777" w:rsidR="00446119" w:rsidRPr="009E1B38" w:rsidRDefault="00446119" w:rsidP="00446119">
      <w:pPr>
        <w:spacing w:after="0"/>
        <w:rPr>
          <w:rFonts w:ascii="Times New Roman" w:hAnsi="Times New Roman"/>
        </w:rPr>
      </w:pPr>
    </w:p>
    <w:p w14:paraId="2D712AE2" w14:textId="77777777" w:rsidR="00446119" w:rsidRPr="009E1B38" w:rsidRDefault="00446119" w:rsidP="00446119">
      <w:pPr>
        <w:spacing w:after="0"/>
        <w:rPr>
          <w:rFonts w:ascii="Times New Roman" w:hAnsi="Times New Roman"/>
        </w:rPr>
      </w:pPr>
      <w:r w:rsidRPr="009E1B38">
        <w:rPr>
          <w:rFonts w:ascii="Times New Roman" w:hAnsi="Times New Roman"/>
        </w:rPr>
        <w:t>The Board convenes with absolute majority and takes the decisions by the majority of the attendees. Table 1.1 shows the distribution of Board Decisions taken in 2021 to the Authority's service units. In Table 1.2, the distribution of Board Decisions taken in 2017-2021 according to the service units of the Authority is given. As seen in Table 1.3, in 2021, the Board made an average of 185 decisions per week. The majority of the said Board Decisions are related to expropriation activities. On the other hand, 55 Board meetings were held in 2020. Therefore, in 2021, the Board made an average of 95 decisions at each meeting.</w:t>
      </w:r>
    </w:p>
    <w:bookmarkEnd w:id="12"/>
    <w:bookmarkEnd w:id="13"/>
    <w:bookmarkEnd w:id="14"/>
    <w:p w14:paraId="42D7678E" w14:textId="2688B265" w:rsidR="00B14D54" w:rsidRPr="009E1B38" w:rsidRDefault="004C07F0" w:rsidP="00446119">
      <w:pPr>
        <w:spacing w:after="0"/>
        <w:rPr>
          <w:rStyle w:val="Gl"/>
          <w:rFonts w:ascii="Times New Roman" w:hAnsi="Times New Roman"/>
          <w:sz w:val="24"/>
          <w:szCs w:val="24"/>
        </w:rPr>
      </w:pPr>
      <w:r w:rsidRPr="009E1B38">
        <w:rPr>
          <w:rStyle w:val="Gl"/>
          <w:rFonts w:ascii="Times New Roman" w:hAnsi="Times New Roman"/>
          <w:sz w:val="24"/>
          <w:szCs w:val="24"/>
        </w:rPr>
        <w:t xml:space="preserve"> </w:t>
      </w:r>
    </w:p>
    <w:p w14:paraId="2F4AE712" w14:textId="77777777" w:rsidR="00F45F76" w:rsidRPr="009E1B38" w:rsidRDefault="00F45F76" w:rsidP="00446119">
      <w:pPr>
        <w:spacing w:after="0"/>
        <w:rPr>
          <w:rStyle w:val="Gl"/>
          <w:rFonts w:ascii="Times New Roman" w:hAnsi="Times New Roman"/>
          <w:sz w:val="24"/>
          <w:szCs w:val="24"/>
        </w:rPr>
      </w:pPr>
    </w:p>
    <w:p w14:paraId="376DCF24" w14:textId="77777777" w:rsidR="00F45F76" w:rsidRPr="009E1B38" w:rsidRDefault="00F45F76" w:rsidP="00446119">
      <w:pPr>
        <w:spacing w:after="0"/>
        <w:rPr>
          <w:rStyle w:val="Gl"/>
          <w:rFonts w:ascii="Times New Roman" w:hAnsi="Times New Roman"/>
          <w:sz w:val="24"/>
          <w:szCs w:val="24"/>
        </w:rPr>
      </w:pPr>
    </w:p>
    <w:p w14:paraId="103CFA7C" w14:textId="77777777" w:rsidR="00F45F76" w:rsidRPr="009E1B38" w:rsidRDefault="00F45F76" w:rsidP="00446119">
      <w:pPr>
        <w:spacing w:after="0"/>
        <w:rPr>
          <w:rStyle w:val="Gl"/>
          <w:rFonts w:ascii="Times New Roman" w:hAnsi="Times New Roman"/>
          <w:sz w:val="24"/>
          <w:szCs w:val="24"/>
        </w:rPr>
      </w:pPr>
    </w:p>
    <w:p w14:paraId="4EEBCEFB" w14:textId="77777777" w:rsidR="00F45F76" w:rsidRPr="009E1B38" w:rsidRDefault="00F45F76" w:rsidP="00446119">
      <w:pPr>
        <w:spacing w:after="0"/>
        <w:rPr>
          <w:rStyle w:val="Gl"/>
          <w:rFonts w:ascii="Times New Roman" w:hAnsi="Times New Roman"/>
          <w:sz w:val="24"/>
          <w:szCs w:val="24"/>
        </w:rPr>
      </w:pPr>
    </w:p>
    <w:p w14:paraId="1AF749F0" w14:textId="77777777" w:rsidR="00F45F76" w:rsidRPr="009E1B38" w:rsidRDefault="00F45F76" w:rsidP="00446119">
      <w:pPr>
        <w:spacing w:after="0"/>
        <w:rPr>
          <w:rStyle w:val="Gl"/>
          <w:rFonts w:ascii="Times New Roman" w:hAnsi="Times New Roman"/>
          <w:sz w:val="24"/>
          <w:szCs w:val="24"/>
        </w:rPr>
      </w:pPr>
    </w:p>
    <w:p w14:paraId="3CDF4AF4" w14:textId="77777777" w:rsidR="00F45F76" w:rsidRPr="009E1B38" w:rsidRDefault="00F45F76" w:rsidP="00446119">
      <w:pPr>
        <w:spacing w:after="0"/>
        <w:rPr>
          <w:rStyle w:val="Gl"/>
          <w:rFonts w:ascii="Times New Roman" w:hAnsi="Times New Roman"/>
          <w:sz w:val="24"/>
          <w:szCs w:val="24"/>
        </w:rPr>
      </w:pPr>
    </w:p>
    <w:p w14:paraId="45DA49E4" w14:textId="77777777" w:rsidR="00F45F76" w:rsidRPr="009E1B38" w:rsidRDefault="00F45F76" w:rsidP="00446119">
      <w:pPr>
        <w:spacing w:after="0"/>
        <w:rPr>
          <w:rStyle w:val="Gl"/>
          <w:rFonts w:ascii="Times New Roman" w:hAnsi="Times New Roman"/>
          <w:sz w:val="24"/>
          <w:szCs w:val="24"/>
        </w:rPr>
      </w:pPr>
    </w:p>
    <w:p w14:paraId="73C463A5" w14:textId="77777777" w:rsidR="00F45F76" w:rsidRPr="009E1B38" w:rsidRDefault="00F45F76" w:rsidP="00446119">
      <w:pPr>
        <w:spacing w:after="0"/>
        <w:rPr>
          <w:rStyle w:val="Gl"/>
          <w:rFonts w:ascii="Times New Roman" w:hAnsi="Times New Roman"/>
          <w:sz w:val="24"/>
          <w:szCs w:val="24"/>
        </w:rPr>
      </w:pPr>
    </w:p>
    <w:p w14:paraId="025D2EE7" w14:textId="77777777" w:rsidR="00F45F76" w:rsidRPr="009E1B38" w:rsidRDefault="00F45F76" w:rsidP="00446119">
      <w:pPr>
        <w:spacing w:after="0"/>
        <w:rPr>
          <w:rStyle w:val="Gl"/>
          <w:rFonts w:ascii="Times New Roman" w:hAnsi="Times New Roman"/>
          <w:sz w:val="24"/>
          <w:szCs w:val="24"/>
        </w:rPr>
      </w:pPr>
    </w:p>
    <w:p w14:paraId="7DBF12CE" w14:textId="77777777" w:rsidR="00F45F76" w:rsidRPr="009E1B38" w:rsidRDefault="00F45F76" w:rsidP="00446119">
      <w:pPr>
        <w:spacing w:after="0"/>
        <w:rPr>
          <w:rStyle w:val="Gl"/>
          <w:rFonts w:ascii="Times New Roman" w:hAnsi="Times New Roman"/>
          <w:sz w:val="24"/>
          <w:szCs w:val="24"/>
        </w:rPr>
      </w:pPr>
    </w:p>
    <w:p w14:paraId="250E3BD2" w14:textId="77777777" w:rsidR="00F45F76" w:rsidRPr="009E1B38" w:rsidRDefault="00F45F76" w:rsidP="00446119">
      <w:pPr>
        <w:spacing w:after="0"/>
        <w:rPr>
          <w:rStyle w:val="Gl"/>
          <w:rFonts w:ascii="Times New Roman" w:hAnsi="Times New Roman"/>
          <w:sz w:val="24"/>
          <w:szCs w:val="24"/>
        </w:rPr>
      </w:pPr>
    </w:p>
    <w:p w14:paraId="5DB0F53A" w14:textId="77777777" w:rsidR="00F45F76" w:rsidRPr="009E1B38" w:rsidRDefault="00F45F76" w:rsidP="00446119">
      <w:pPr>
        <w:spacing w:after="0"/>
        <w:rPr>
          <w:rStyle w:val="Gl"/>
          <w:rFonts w:ascii="Times New Roman" w:hAnsi="Times New Roman"/>
          <w:sz w:val="24"/>
          <w:szCs w:val="24"/>
        </w:rPr>
      </w:pPr>
    </w:p>
    <w:p w14:paraId="342A0F9B" w14:textId="77777777" w:rsidR="00F45F76" w:rsidRPr="009E1B38" w:rsidRDefault="00F45F76" w:rsidP="00446119">
      <w:pPr>
        <w:spacing w:after="0"/>
        <w:rPr>
          <w:rStyle w:val="Gl"/>
          <w:rFonts w:ascii="Times New Roman" w:hAnsi="Times New Roman"/>
          <w:sz w:val="24"/>
          <w:szCs w:val="24"/>
        </w:rPr>
      </w:pPr>
    </w:p>
    <w:p w14:paraId="6611DD97" w14:textId="77777777" w:rsidR="000C2325" w:rsidRPr="009E1B38" w:rsidRDefault="000C2325" w:rsidP="00117F72">
      <w:pPr>
        <w:pStyle w:val="Balk8"/>
        <w:jc w:val="center"/>
        <w:rPr>
          <w:rStyle w:val="Gl"/>
          <w:rFonts w:ascii="Times New Roman" w:hAnsi="Times New Roman" w:cs="Times New Roman"/>
          <w:sz w:val="24"/>
          <w:szCs w:val="24"/>
        </w:rPr>
      </w:pPr>
      <w:r w:rsidRPr="009E1B38">
        <w:rPr>
          <w:rStyle w:val="Gl"/>
          <w:rFonts w:ascii="Times New Roman" w:hAnsi="Times New Roman" w:cs="Times New Roman"/>
          <w:sz w:val="24"/>
          <w:szCs w:val="24"/>
        </w:rPr>
        <w:t>Table 1.1: Distribution of Board Decisions Taken in 2021 by Authority Service Units</w:t>
      </w:r>
    </w:p>
    <w:tbl>
      <w:tblPr>
        <w:tblW w:w="5000" w:type="pct"/>
        <w:tblCellMar>
          <w:left w:w="70" w:type="dxa"/>
          <w:right w:w="70" w:type="dxa"/>
        </w:tblCellMar>
        <w:tblLook w:val="04A0" w:firstRow="1" w:lastRow="0" w:firstColumn="1" w:lastColumn="0" w:noHBand="0" w:noVBand="1"/>
      </w:tblPr>
      <w:tblGrid>
        <w:gridCol w:w="5897"/>
        <w:gridCol w:w="2016"/>
        <w:gridCol w:w="2149"/>
      </w:tblGrid>
      <w:tr w:rsidR="00C96A99" w:rsidRPr="009E1B38" w14:paraId="7D4A71B0" w14:textId="77777777" w:rsidTr="000262D2">
        <w:trPr>
          <w:trHeight w:val="20"/>
        </w:trPr>
        <w:tc>
          <w:tcPr>
            <w:tcW w:w="2930" w:type="pct"/>
            <w:tcBorders>
              <w:top w:val="single" w:sz="8" w:space="0" w:color="D9D9D9"/>
              <w:left w:val="single" w:sz="8" w:space="0" w:color="D9D9D9"/>
              <w:bottom w:val="single" w:sz="8" w:space="0" w:color="D9D9D9"/>
              <w:right w:val="single" w:sz="8" w:space="0" w:color="D9D9D9"/>
            </w:tcBorders>
            <w:shd w:val="clear" w:color="000000" w:fill="6E9ECA"/>
            <w:hideMark/>
          </w:tcPr>
          <w:p w14:paraId="7D4A71AD" w14:textId="03115875" w:rsidR="00C96A99" w:rsidRPr="009E1B38" w:rsidRDefault="00396C1D" w:rsidP="00C96A99">
            <w:pPr>
              <w:spacing w:after="0" w:line="240" w:lineRule="auto"/>
              <w:jc w:val="center"/>
              <w:rPr>
                <w:rFonts w:ascii="Times New Roman" w:eastAsia="Times New Roman" w:hAnsi="Times New Roman"/>
                <w:b/>
                <w:color w:val="FFFFFF"/>
                <w:sz w:val="24"/>
                <w:szCs w:val="24"/>
                <w:lang w:eastAsia="tr-TR"/>
              </w:rPr>
            </w:pPr>
            <w:bookmarkStart w:id="15" w:name="_Toc416447567"/>
            <w:bookmarkStart w:id="16" w:name="_Toc442441724"/>
            <w:r w:rsidRPr="009E1B38">
              <w:rPr>
                <w:rFonts w:ascii="Times New Roman" w:hAnsi="Times New Roman"/>
                <w:b/>
                <w:color w:val="FFFFFF" w:themeColor="background1"/>
                <w:sz w:val="24"/>
                <w:szCs w:val="24"/>
              </w:rPr>
              <w:t>Name of Service Unit</w:t>
            </w:r>
          </w:p>
        </w:tc>
        <w:tc>
          <w:tcPr>
            <w:tcW w:w="1002" w:type="pct"/>
            <w:tcBorders>
              <w:top w:val="single" w:sz="8" w:space="0" w:color="D9D9D9"/>
              <w:left w:val="nil"/>
              <w:bottom w:val="single" w:sz="8" w:space="0" w:color="D9D9D9"/>
              <w:right w:val="single" w:sz="8" w:space="0" w:color="D9D9D9"/>
            </w:tcBorders>
            <w:shd w:val="clear" w:color="000000" w:fill="6E9ECA"/>
            <w:vAlign w:val="center"/>
            <w:hideMark/>
          </w:tcPr>
          <w:p w14:paraId="7D4A71AE" w14:textId="4DC8956A" w:rsidR="00C96A99" w:rsidRPr="009E1B38" w:rsidRDefault="00396C1D" w:rsidP="00C96A99">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Number of Decisions</w:t>
            </w:r>
          </w:p>
        </w:tc>
        <w:tc>
          <w:tcPr>
            <w:tcW w:w="1068" w:type="pct"/>
            <w:tcBorders>
              <w:top w:val="single" w:sz="8" w:space="0" w:color="D9D9D9"/>
              <w:left w:val="nil"/>
              <w:bottom w:val="single" w:sz="8" w:space="0" w:color="D9D9D9"/>
              <w:right w:val="single" w:sz="8" w:space="0" w:color="D9D9D9"/>
            </w:tcBorders>
            <w:shd w:val="clear" w:color="000000" w:fill="6E9ECA"/>
            <w:vAlign w:val="center"/>
            <w:hideMark/>
          </w:tcPr>
          <w:p w14:paraId="7D4A71AF" w14:textId="0AC85E54" w:rsidR="00C96A99" w:rsidRPr="009E1B38" w:rsidRDefault="00396C1D" w:rsidP="00C96A99">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Rate</w:t>
            </w:r>
            <w:r w:rsidR="00BB280F" w:rsidRPr="009E1B38">
              <w:rPr>
                <w:rFonts w:ascii="Times New Roman" w:eastAsia="Times New Roman" w:hAnsi="Times New Roman"/>
                <w:b/>
                <w:color w:val="FFFFFF"/>
                <w:sz w:val="24"/>
                <w:szCs w:val="24"/>
                <w:lang w:eastAsia="tr-TR"/>
              </w:rPr>
              <w:t xml:space="preserve"> </w:t>
            </w:r>
            <w:r w:rsidR="00C96A99" w:rsidRPr="009E1B38">
              <w:rPr>
                <w:rFonts w:ascii="Times New Roman" w:eastAsia="Times New Roman" w:hAnsi="Times New Roman"/>
                <w:b/>
                <w:color w:val="FFFFFF"/>
                <w:sz w:val="24"/>
                <w:szCs w:val="24"/>
                <w:lang w:eastAsia="tr-TR"/>
              </w:rPr>
              <w:t>(%)</w:t>
            </w:r>
          </w:p>
        </w:tc>
      </w:tr>
      <w:tr w:rsidR="005779F9" w:rsidRPr="009E1B38" w14:paraId="7D4A71B4" w14:textId="77777777" w:rsidTr="005779F9">
        <w:trPr>
          <w:trHeight w:val="20"/>
        </w:trPr>
        <w:tc>
          <w:tcPr>
            <w:tcW w:w="2930" w:type="pct"/>
            <w:tcBorders>
              <w:top w:val="nil"/>
              <w:left w:val="single" w:sz="8" w:space="0" w:color="D9D9D9"/>
              <w:bottom w:val="single" w:sz="8" w:space="0" w:color="D9D9D9"/>
              <w:right w:val="single" w:sz="8" w:space="0" w:color="D9D9D9"/>
            </w:tcBorders>
            <w:vAlign w:val="center"/>
          </w:tcPr>
          <w:p w14:paraId="7D4A71B1" w14:textId="0A43E665" w:rsidR="005779F9" w:rsidRPr="009E1B38" w:rsidRDefault="00F349E2" w:rsidP="005779F9">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Audit Department (DDB)</w:t>
            </w:r>
          </w:p>
        </w:tc>
        <w:tc>
          <w:tcPr>
            <w:tcW w:w="1002" w:type="pct"/>
            <w:tcBorders>
              <w:top w:val="nil"/>
              <w:left w:val="nil"/>
              <w:bottom w:val="single" w:sz="8" w:space="0" w:color="D9D9D9"/>
              <w:right w:val="single" w:sz="8" w:space="0" w:color="D9D9D9"/>
            </w:tcBorders>
            <w:vAlign w:val="center"/>
          </w:tcPr>
          <w:p w14:paraId="7D4A71B2"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1.967</w:t>
            </w:r>
          </w:p>
        </w:tc>
        <w:tc>
          <w:tcPr>
            <w:tcW w:w="1068" w:type="pct"/>
            <w:tcBorders>
              <w:top w:val="nil"/>
              <w:left w:val="nil"/>
              <w:bottom w:val="single" w:sz="8" w:space="0" w:color="D9D9D9"/>
              <w:right w:val="single" w:sz="8" w:space="0" w:color="D9D9D9"/>
            </w:tcBorders>
            <w:vAlign w:val="center"/>
          </w:tcPr>
          <w:p w14:paraId="7D4A71B3"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37,74</w:t>
            </w:r>
          </w:p>
        </w:tc>
      </w:tr>
      <w:tr w:rsidR="005779F9" w:rsidRPr="009E1B38" w14:paraId="7D4A71B8"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tcPr>
          <w:p w14:paraId="7D4A71B5" w14:textId="0C649C38" w:rsidR="005779F9" w:rsidRPr="009E1B38" w:rsidRDefault="0079326B" w:rsidP="005779F9">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Electricity Market Department (EPD)</w:t>
            </w:r>
          </w:p>
        </w:tc>
        <w:tc>
          <w:tcPr>
            <w:tcW w:w="1002" w:type="pct"/>
            <w:tcBorders>
              <w:top w:val="nil"/>
              <w:left w:val="nil"/>
              <w:bottom w:val="single" w:sz="8" w:space="0" w:color="D9D9D9"/>
              <w:right w:val="single" w:sz="8" w:space="0" w:color="D9D9D9"/>
            </w:tcBorders>
            <w:vAlign w:val="center"/>
          </w:tcPr>
          <w:p w14:paraId="7D4A71B6"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1.959</w:t>
            </w:r>
          </w:p>
        </w:tc>
        <w:tc>
          <w:tcPr>
            <w:tcW w:w="1068" w:type="pct"/>
            <w:tcBorders>
              <w:top w:val="nil"/>
              <w:left w:val="nil"/>
              <w:bottom w:val="single" w:sz="8" w:space="0" w:color="D9D9D9"/>
              <w:right w:val="single" w:sz="8" w:space="0" w:color="D9D9D9"/>
            </w:tcBorders>
            <w:vAlign w:val="center"/>
          </w:tcPr>
          <w:p w14:paraId="7D4A71B7"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37,59</w:t>
            </w:r>
          </w:p>
        </w:tc>
      </w:tr>
      <w:tr w:rsidR="005779F9" w:rsidRPr="009E1B38" w14:paraId="7D4A71BC"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14:paraId="7D4A71B9" w14:textId="3519CAFB" w:rsidR="005779F9" w:rsidRPr="009E1B38" w:rsidRDefault="00D90B37" w:rsidP="005779F9">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Department of Tariffs (TDB)</w:t>
            </w:r>
          </w:p>
        </w:tc>
        <w:tc>
          <w:tcPr>
            <w:tcW w:w="1002" w:type="pct"/>
            <w:tcBorders>
              <w:top w:val="nil"/>
              <w:left w:val="nil"/>
              <w:bottom w:val="single" w:sz="8" w:space="0" w:color="D9D9D9"/>
              <w:right w:val="single" w:sz="8" w:space="0" w:color="D9D9D9"/>
            </w:tcBorders>
            <w:vAlign w:val="center"/>
            <w:hideMark/>
          </w:tcPr>
          <w:p w14:paraId="7D4A71BA"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475</w:t>
            </w:r>
          </w:p>
        </w:tc>
        <w:tc>
          <w:tcPr>
            <w:tcW w:w="1068" w:type="pct"/>
            <w:tcBorders>
              <w:top w:val="nil"/>
              <w:left w:val="nil"/>
              <w:bottom w:val="single" w:sz="8" w:space="0" w:color="D9D9D9"/>
              <w:right w:val="single" w:sz="8" w:space="0" w:color="D9D9D9"/>
            </w:tcBorders>
            <w:vAlign w:val="center"/>
            <w:hideMark/>
          </w:tcPr>
          <w:p w14:paraId="7D4A71BB"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9,11</w:t>
            </w:r>
          </w:p>
        </w:tc>
      </w:tr>
      <w:tr w:rsidR="005779F9" w:rsidRPr="009E1B38" w14:paraId="7D4A71C0"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tcPr>
          <w:p w14:paraId="7D4A71BD" w14:textId="37207458" w:rsidR="005779F9" w:rsidRPr="009E1B38" w:rsidRDefault="00967680" w:rsidP="005779F9">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Expropriation Department (KDB)</w:t>
            </w:r>
          </w:p>
        </w:tc>
        <w:tc>
          <w:tcPr>
            <w:tcW w:w="1002" w:type="pct"/>
            <w:tcBorders>
              <w:top w:val="nil"/>
              <w:left w:val="nil"/>
              <w:bottom w:val="single" w:sz="8" w:space="0" w:color="D9D9D9"/>
              <w:right w:val="single" w:sz="8" w:space="0" w:color="D9D9D9"/>
            </w:tcBorders>
            <w:vAlign w:val="center"/>
          </w:tcPr>
          <w:p w14:paraId="7D4A71BE"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284</w:t>
            </w:r>
          </w:p>
        </w:tc>
        <w:tc>
          <w:tcPr>
            <w:tcW w:w="1068" w:type="pct"/>
            <w:tcBorders>
              <w:top w:val="nil"/>
              <w:left w:val="nil"/>
              <w:bottom w:val="single" w:sz="8" w:space="0" w:color="D9D9D9"/>
              <w:right w:val="single" w:sz="8" w:space="0" w:color="D9D9D9"/>
            </w:tcBorders>
            <w:vAlign w:val="center"/>
          </w:tcPr>
          <w:p w14:paraId="7D4A71BF"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5,45</w:t>
            </w:r>
          </w:p>
        </w:tc>
      </w:tr>
      <w:tr w:rsidR="00751D17" w:rsidRPr="009E1B38" w14:paraId="7D4A71C4" w14:textId="77777777" w:rsidTr="005C5A6F">
        <w:trPr>
          <w:trHeight w:val="20"/>
        </w:trPr>
        <w:tc>
          <w:tcPr>
            <w:tcW w:w="2930" w:type="pct"/>
            <w:tcBorders>
              <w:top w:val="nil"/>
              <w:left w:val="single" w:sz="8" w:space="0" w:color="D9D9D9"/>
              <w:bottom w:val="single" w:sz="8" w:space="0" w:color="D9D9D9"/>
              <w:right w:val="single" w:sz="8" w:space="0" w:color="D9D9D9"/>
            </w:tcBorders>
          </w:tcPr>
          <w:p w14:paraId="7D4A71C1" w14:textId="029127F8" w:rsidR="00751D17" w:rsidRPr="009E1B38" w:rsidRDefault="00D929C3" w:rsidP="00751D17">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Natural Gas Market Department (DPD)</w:t>
            </w:r>
          </w:p>
        </w:tc>
        <w:tc>
          <w:tcPr>
            <w:tcW w:w="1002" w:type="pct"/>
            <w:tcBorders>
              <w:top w:val="nil"/>
              <w:left w:val="nil"/>
              <w:bottom w:val="single" w:sz="8" w:space="0" w:color="D9D9D9"/>
              <w:right w:val="single" w:sz="8" w:space="0" w:color="D9D9D9"/>
            </w:tcBorders>
            <w:vAlign w:val="center"/>
          </w:tcPr>
          <w:p w14:paraId="7D4A71C2" w14:textId="77777777" w:rsidR="00751D17" w:rsidRPr="009E1B38" w:rsidRDefault="00751D17" w:rsidP="00751D17">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200</w:t>
            </w:r>
          </w:p>
        </w:tc>
        <w:tc>
          <w:tcPr>
            <w:tcW w:w="1068" w:type="pct"/>
            <w:tcBorders>
              <w:top w:val="nil"/>
              <w:left w:val="nil"/>
              <w:bottom w:val="single" w:sz="8" w:space="0" w:color="D9D9D9"/>
              <w:right w:val="single" w:sz="8" w:space="0" w:color="D9D9D9"/>
            </w:tcBorders>
            <w:vAlign w:val="center"/>
          </w:tcPr>
          <w:p w14:paraId="7D4A71C3" w14:textId="77777777" w:rsidR="00751D17" w:rsidRPr="009E1B38" w:rsidRDefault="00751D17" w:rsidP="00751D17">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3,84</w:t>
            </w:r>
          </w:p>
        </w:tc>
      </w:tr>
      <w:tr w:rsidR="005779F9" w:rsidRPr="009E1B38" w14:paraId="7D4A71C8"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14:paraId="7D4A71C5" w14:textId="501F6B5B" w:rsidR="005779F9" w:rsidRPr="009E1B38" w:rsidRDefault="00250FEF" w:rsidP="005779F9">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Petroleum Market Department (PPD)</w:t>
            </w:r>
          </w:p>
        </w:tc>
        <w:tc>
          <w:tcPr>
            <w:tcW w:w="1002" w:type="pct"/>
            <w:tcBorders>
              <w:top w:val="nil"/>
              <w:left w:val="nil"/>
              <w:bottom w:val="single" w:sz="8" w:space="0" w:color="D9D9D9"/>
              <w:right w:val="single" w:sz="8" w:space="0" w:color="D9D9D9"/>
            </w:tcBorders>
            <w:vAlign w:val="center"/>
            <w:hideMark/>
          </w:tcPr>
          <w:p w14:paraId="7D4A71C6"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187</w:t>
            </w:r>
          </w:p>
        </w:tc>
        <w:tc>
          <w:tcPr>
            <w:tcW w:w="1068" w:type="pct"/>
            <w:tcBorders>
              <w:top w:val="nil"/>
              <w:left w:val="nil"/>
              <w:bottom w:val="single" w:sz="8" w:space="0" w:color="D9D9D9"/>
              <w:right w:val="single" w:sz="8" w:space="0" w:color="D9D9D9"/>
            </w:tcBorders>
            <w:vAlign w:val="center"/>
            <w:hideMark/>
          </w:tcPr>
          <w:p w14:paraId="7D4A71C7"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3,59</w:t>
            </w:r>
          </w:p>
        </w:tc>
      </w:tr>
      <w:tr w:rsidR="005779F9" w:rsidRPr="009E1B38" w14:paraId="7D4A71CC"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14:paraId="7D4A71C9" w14:textId="197A95DA" w:rsidR="005779F9" w:rsidRPr="009E1B38" w:rsidRDefault="00B079E2" w:rsidP="005779F9">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LPG Market Department (LPG)</w:t>
            </w:r>
          </w:p>
        </w:tc>
        <w:tc>
          <w:tcPr>
            <w:tcW w:w="1002" w:type="pct"/>
            <w:tcBorders>
              <w:top w:val="nil"/>
              <w:left w:val="nil"/>
              <w:bottom w:val="single" w:sz="8" w:space="0" w:color="D9D9D9"/>
              <w:right w:val="single" w:sz="8" w:space="0" w:color="D9D9D9"/>
            </w:tcBorders>
            <w:vAlign w:val="center"/>
            <w:hideMark/>
          </w:tcPr>
          <w:p w14:paraId="7D4A71CA"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77</w:t>
            </w:r>
          </w:p>
        </w:tc>
        <w:tc>
          <w:tcPr>
            <w:tcW w:w="1068" w:type="pct"/>
            <w:tcBorders>
              <w:top w:val="nil"/>
              <w:left w:val="nil"/>
              <w:bottom w:val="single" w:sz="8" w:space="0" w:color="D9D9D9"/>
              <w:right w:val="single" w:sz="8" w:space="0" w:color="D9D9D9"/>
            </w:tcBorders>
            <w:vAlign w:val="center"/>
            <w:hideMark/>
          </w:tcPr>
          <w:p w14:paraId="7D4A71CB"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1,48</w:t>
            </w:r>
          </w:p>
        </w:tc>
      </w:tr>
      <w:tr w:rsidR="005779F9" w:rsidRPr="009E1B38" w14:paraId="7D4A71D0"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14:paraId="7D4A71CD" w14:textId="5C02F7C0" w:rsidR="005779F9" w:rsidRPr="009E1B38" w:rsidRDefault="000162CE" w:rsidP="005779F9">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Human Resources and Support Services Department (İKM)</w:t>
            </w:r>
          </w:p>
        </w:tc>
        <w:tc>
          <w:tcPr>
            <w:tcW w:w="1002" w:type="pct"/>
            <w:tcBorders>
              <w:top w:val="nil"/>
              <w:left w:val="nil"/>
              <w:bottom w:val="single" w:sz="8" w:space="0" w:color="D9D9D9"/>
              <w:right w:val="single" w:sz="8" w:space="0" w:color="D9D9D9"/>
            </w:tcBorders>
            <w:vAlign w:val="center"/>
            <w:hideMark/>
          </w:tcPr>
          <w:p w14:paraId="7D4A71CE"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44</w:t>
            </w:r>
          </w:p>
        </w:tc>
        <w:tc>
          <w:tcPr>
            <w:tcW w:w="1068" w:type="pct"/>
            <w:tcBorders>
              <w:top w:val="nil"/>
              <w:left w:val="nil"/>
              <w:bottom w:val="single" w:sz="8" w:space="0" w:color="D9D9D9"/>
              <w:right w:val="single" w:sz="8" w:space="0" w:color="D9D9D9"/>
            </w:tcBorders>
            <w:vAlign w:val="center"/>
            <w:hideMark/>
          </w:tcPr>
          <w:p w14:paraId="7D4A71CF"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0,84</w:t>
            </w:r>
          </w:p>
        </w:tc>
      </w:tr>
      <w:tr w:rsidR="005779F9" w:rsidRPr="009E1B38" w14:paraId="7D4A71D4" w14:textId="77777777" w:rsidTr="00B21B24">
        <w:trPr>
          <w:trHeight w:val="20"/>
        </w:trPr>
        <w:tc>
          <w:tcPr>
            <w:tcW w:w="2930" w:type="pct"/>
            <w:tcBorders>
              <w:top w:val="nil"/>
              <w:left w:val="single" w:sz="8" w:space="0" w:color="D9D9D9"/>
              <w:bottom w:val="single" w:sz="8" w:space="0" w:color="D9D9D9"/>
              <w:right w:val="single" w:sz="8" w:space="0" w:color="D9D9D9"/>
            </w:tcBorders>
            <w:hideMark/>
          </w:tcPr>
          <w:p w14:paraId="7D4A71D1" w14:textId="3B76DF39" w:rsidR="005779F9" w:rsidRPr="009E1B38" w:rsidRDefault="00C064EB" w:rsidP="005779F9">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Strategy Development Department (SGD)</w:t>
            </w:r>
          </w:p>
        </w:tc>
        <w:tc>
          <w:tcPr>
            <w:tcW w:w="1002" w:type="pct"/>
            <w:tcBorders>
              <w:top w:val="nil"/>
              <w:left w:val="nil"/>
              <w:bottom w:val="single" w:sz="8" w:space="0" w:color="D9D9D9"/>
              <w:right w:val="single" w:sz="8" w:space="0" w:color="D9D9D9"/>
            </w:tcBorders>
            <w:vAlign w:val="center"/>
            <w:hideMark/>
          </w:tcPr>
          <w:p w14:paraId="7D4A71D2"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18</w:t>
            </w:r>
          </w:p>
        </w:tc>
        <w:tc>
          <w:tcPr>
            <w:tcW w:w="1068" w:type="pct"/>
            <w:tcBorders>
              <w:top w:val="nil"/>
              <w:left w:val="nil"/>
              <w:bottom w:val="single" w:sz="8" w:space="0" w:color="D9D9D9"/>
              <w:right w:val="single" w:sz="8" w:space="0" w:color="D9D9D9"/>
            </w:tcBorders>
            <w:vAlign w:val="center"/>
            <w:hideMark/>
          </w:tcPr>
          <w:p w14:paraId="7D4A71D3"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0,35</w:t>
            </w:r>
          </w:p>
        </w:tc>
      </w:tr>
      <w:tr w:rsidR="00B22B1A" w:rsidRPr="009E1B38" w14:paraId="7D4A71D8"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tcPr>
          <w:p w14:paraId="7D4A71D5" w14:textId="0CC328E4" w:rsidR="00B22B1A" w:rsidRPr="009E1B38" w:rsidRDefault="00425049" w:rsidP="00B22B1A">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Information Technology Department (BİD)</w:t>
            </w:r>
          </w:p>
        </w:tc>
        <w:tc>
          <w:tcPr>
            <w:tcW w:w="1002" w:type="pct"/>
            <w:tcBorders>
              <w:top w:val="nil"/>
              <w:left w:val="nil"/>
              <w:bottom w:val="single" w:sz="8" w:space="0" w:color="D9D9D9"/>
              <w:right w:val="single" w:sz="8" w:space="0" w:color="D9D9D9"/>
            </w:tcBorders>
            <w:vAlign w:val="center"/>
          </w:tcPr>
          <w:p w14:paraId="7D4A71D6" w14:textId="77777777" w:rsidR="00B22B1A" w:rsidRPr="009E1B38" w:rsidRDefault="00B22B1A" w:rsidP="00B22B1A">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w:t>
            </w:r>
          </w:p>
        </w:tc>
        <w:tc>
          <w:tcPr>
            <w:tcW w:w="1068" w:type="pct"/>
            <w:tcBorders>
              <w:top w:val="nil"/>
              <w:left w:val="nil"/>
              <w:bottom w:val="single" w:sz="8" w:space="0" w:color="D9D9D9"/>
              <w:right w:val="single" w:sz="8" w:space="0" w:color="D9D9D9"/>
            </w:tcBorders>
            <w:vAlign w:val="center"/>
          </w:tcPr>
          <w:p w14:paraId="7D4A71D7" w14:textId="77777777" w:rsidR="00B22B1A" w:rsidRPr="009E1B38" w:rsidRDefault="00B22B1A" w:rsidP="00B22B1A">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0,02</w:t>
            </w:r>
          </w:p>
        </w:tc>
      </w:tr>
      <w:tr w:rsidR="005779F9" w:rsidRPr="009E1B38" w14:paraId="7D4A71DC" w14:textId="77777777" w:rsidTr="007A52EE">
        <w:trPr>
          <w:trHeight w:val="20"/>
        </w:trPr>
        <w:tc>
          <w:tcPr>
            <w:tcW w:w="2930" w:type="pct"/>
            <w:tcBorders>
              <w:top w:val="nil"/>
              <w:left w:val="single" w:sz="8" w:space="0" w:color="D9D9D9"/>
              <w:bottom w:val="single" w:sz="8" w:space="0" w:color="D9D9D9"/>
              <w:right w:val="single" w:sz="8" w:space="0" w:color="D9D9D9"/>
            </w:tcBorders>
            <w:hideMark/>
          </w:tcPr>
          <w:p w14:paraId="7D4A71D9" w14:textId="5AD8F579" w:rsidR="005779F9" w:rsidRPr="009E1B38" w:rsidRDefault="00766BF9" w:rsidP="005779F9">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Department of Law (HDB)</w:t>
            </w:r>
          </w:p>
        </w:tc>
        <w:tc>
          <w:tcPr>
            <w:tcW w:w="1002" w:type="pct"/>
            <w:tcBorders>
              <w:top w:val="nil"/>
              <w:left w:val="nil"/>
              <w:bottom w:val="single" w:sz="8" w:space="0" w:color="D9D9D9"/>
              <w:right w:val="single" w:sz="8" w:space="0" w:color="D9D9D9"/>
            </w:tcBorders>
            <w:vAlign w:val="center"/>
            <w:hideMark/>
          </w:tcPr>
          <w:p w14:paraId="7D4A71DA"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0</w:t>
            </w:r>
          </w:p>
        </w:tc>
        <w:tc>
          <w:tcPr>
            <w:tcW w:w="1068" w:type="pct"/>
            <w:tcBorders>
              <w:top w:val="nil"/>
              <w:left w:val="nil"/>
              <w:bottom w:val="single" w:sz="8" w:space="0" w:color="D9D9D9"/>
              <w:right w:val="single" w:sz="8" w:space="0" w:color="D9D9D9"/>
            </w:tcBorders>
            <w:vAlign w:val="center"/>
            <w:hideMark/>
          </w:tcPr>
          <w:p w14:paraId="7D4A71DB"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0</w:t>
            </w:r>
          </w:p>
        </w:tc>
      </w:tr>
      <w:tr w:rsidR="005779F9" w:rsidRPr="009E1B38" w14:paraId="7D4A71E0"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tcPr>
          <w:p w14:paraId="7D4A71DD" w14:textId="011AB2F3" w:rsidR="005779F9" w:rsidRPr="009E1B38" w:rsidRDefault="0046482F" w:rsidP="005779F9">
            <w:pPr>
              <w:spacing w:after="0" w:line="240" w:lineRule="auto"/>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 xml:space="preserve">Department of Energy Conversion </w:t>
            </w:r>
            <w:r w:rsidR="005779F9" w:rsidRPr="009E1B38">
              <w:rPr>
                <w:rFonts w:ascii="Times New Roman" w:eastAsia="Times New Roman" w:hAnsi="Times New Roman"/>
                <w:color w:val="000000"/>
                <w:sz w:val="24"/>
                <w:szCs w:val="24"/>
                <w:lang w:eastAsia="tr-TR"/>
              </w:rPr>
              <w:t>(EDD)</w:t>
            </w:r>
          </w:p>
        </w:tc>
        <w:tc>
          <w:tcPr>
            <w:tcW w:w="1002" w:type="pct"/>
            <w:tcBorders>
              <w:top w:val="nil"/>
              <w:left w:val="nil"/>
              <w:bottom w:val="single" w:sz="8" w:space="0" w:color="D9D9D9"/>
              <w:right w:val="single" w:sz="8" w:space="0" w:color="D9D9D9"/>
            </w:tcBorders>
            <w:vAlign w:val="center"/>
          </w:tcPr>
          <w:p w14:paraId="7D4A71DE"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0</w:t>
            </w:r>
          </w:p>
        </w:tc>
        <w:tc>
          <w:tcPr>
            <w:tcW w:w="1068" w:type="pct"/>
            <w:tcBorders>
              <w:top w:val="nil"/>
              <w:left w:val="nil"/>
              <w:bottom w:val="single" w:sz="8" w:space="0" w:color="D9D9D9"/>
              <w:right w:val="single" w:sz="8" w:space="0" w:color="D9D9D9"/>
            </w:tcBorders>
            <w:vAlign w:val="center"/>
          </w:tcPr>
          <w:p w14:paraId="7D4A71DF"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0</w:t>
            </w:r>
          </w:p>
        </w:tc>
      </w:tr>
      <w:tr w:rsidR="005779F9" w:rsidRPr="009E1B38" w14:paraId="7D4A71E4"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14:paraId="7D4A71E1" w14:textId="311F133E" w:rsidR="005779F9" w:rsidRPr="009E1B38" w:rsidRDefault="0071793D" w:rsidP="005779F9">
            <w:pPr>
              <w:spacing w:after="0" w:line="240" w:lineRule="auto"/>
              <w:rPr>
                <w:rFonts w:ascii="Times New Roman" w:eastAsia="Times New Roman" w:hAnsi="Times New Roman"/>
                <w:color w:val="000000"/>
                <w:sz w:val="24"/>
                <w:szCs w:val="24"/>
                <w:lang w:eastAsia="tr-TR"/>
              </w:rPr>
            </w:pPr>
            <w:r w:rsidRPr="009E1B38">
              <w:rPr>
                <w:rFonts w:ascii="Times New Roman" w:hAnsi="Times New Roman"/>
              </w:rPr>
              <w:t>Special Bureau for the Board</w:t>
            </w:r>
            <w:r w:rsidRPr="009E1B38">
              <w:rPr>
                <w:rFonts w:ascii="Times New Roman" w:eastAsia="Times New Roman" w:hAnsi="Times New Roman"/>
                <w:color w:val="000000"/>
                <w:sz w:val="24"/>
                <w:szCs w:val="24"/>
                <w:lang w:eastAsia="tr-TR"/>
              </w:rPr>
              <w:t xml:space="preserve"> </w:t>
            </w:r>
            <w:r w:rsidR="005779F9" w:rsidRPr="009E1B38">
              <w:rPr>
                <w:rFonts w:ascii="Times New Roman" w:eastAsia="Times New Roman" w:hAnsi="Times New Roman"/>
                <w:color w:val="000000"/>
                <w:sz w:val="24"/>
                <w:szCs w:val="24"/>
                <w:lang w:eastAsia="tr-TR"/>
              </w:rPr>
              <w:t>(KHM)</w:t>
            </w:r>
          </w:p>
        </w:tc>
        <w:tc>
          <w:tcPr>
            <w:tcW w:w="1002" w:type="pct"/>
            <w:tcBorders>
              <w:top w:val="nil"/>
              <w:left w:val="nil"/>
              <w:bottom w:val="single" w:sz="8" w:space="0" w:color="D9D9D9"/>
              <w:right w:val="single" w:sz="8" w:space="0" w:color="D9D9D9"/>
            </w:tcBorders>
            <w:vAlign w:val="center"/>
            <w:hideMark/>
          </w:tcPr>
          <w:p w14:paraId="7D4A71E2"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0</w:t>
            </w:r>
          </w:p>
        </w:tc>
        <w:tc>
          <w:tcPr>
            <w:tcW w:w="1068" w:type="pct"/>
            <w:tcBorders>
              <w:top w:val="nil"/>
              <w:left w:val="nil"/>
              <w:bottom w:val="single" w:sz="8" w:space="0" w:color="D9D9D9"/>
              <w:right w:val="single" w:sz="8" w:space="0" w:color="D9D9D9"/>
            </w:tcBorders>
            <w:vAlign w:val="center"/>
            <w:hideMark/>
          </w:tcPr>
          <w:p w14:paraId="7D4A71E3"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0</w:t>
            </w:r>
          </w:p>
        </w:tc>
      </w:tr>
      <w:tr w:rsidR="005779F9" w:rsidRPr="009E1B38" w14:paraId="7D4A71E8"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14:paraId="7D4A71E5" w14:textId="3B2D14FE" w:rsidR="005779F9" w:rsidRPr="009E1B38" w:rsidRDefault="005779F9" w:rsidP="005779F9">
            <w:pPr>
              <w:spacing w:after="0" w:line="240" w:lineRule="auto"/>
              <w:rPr>
                <w:rFonts w:ascii="Times New Roman" w:eastAsia="Times New Roman" w:hAnsi="Times New Roman"/>
                <w:b/>
                <w:color w:val="000000"/>
                <w:sz w:val="24"/>
                <w:szCs w:val="24"/>
                <w:lang w:eastAsia="tr-TR"/>
              </w:rPr>
            </w:pPr>
            <w:r w:rsidRPr="009E1B38">
              <w:rPr>
                <w:rFonts w:ascii="Times New Roman" w:eastAsia="Times New Roman" w:hAnsi="Times New Roman"/>
                <w:b/>
                <w:color w:val="000000"/>
                <w:sz w:val="24"/>
                <w:szCs w:val="24"/>
                <w:lang w:eastAsia="tr-TR"/>
              </w:rPr>
              <w:t>To</w:t>
            </w:r>
            <w:r w:rsidR="007169DA" w:rsidRPr="009E1B38">
              <w:rPr>
                <w:rFonts w:ascii="Times New Roman" w:eastAsia="Times New Roman" w:hAnsi="Times New Roman"/>
                <w:b/>
                <w:color w:val="000000"/>
                <w:sz w:val="24"/>
                <w:szCs w:val="24"/>
                <w:lang w:eastAsia="tr-TR"/>
              </w:rPr>
              <w:t>tal</w:t>
            </w:r>
          </w:p>
        </w:tc>
        <w:tc>
          <w:tcPr>
            <w:tcW w:w="1002" w:type="pct"/>
            <w:tcBorders>
              <w:top w:val="nil"/>
              <w:left w:val="nil"/>
              <w:bottom w:val="single" w:sz="8" w:space="0" w:color="D9D9D9"/>
              <w:right w:val="single" w:sz="8" w:space="0" w:color="D9D9D9"/>
            </w:tcBorders>
            <w:vAlign w:val="center"/>
            <w:hideMark/>
          </w:tcPr>
          <w:p w14:paraId="7D4A71E6" w14:textId="77777777" w:rsidR="005779F9" w:rsidRPr="009E1B38" w:rsidRDefault="005779F9" w:rsidP="005779F9">
            <w:pPr>
              <w:spacing w:after="0" w:line="240" w:lineRule="auto"/>
              <w:jc w:val="right"/>
              <w:rPr>
                <w:rFonts w:ascii="Times New Roman" w:eastAsia="Times New Roman" w:hAnsi="Times New Roman"/>
                <w:b/>
                <w:color w:val="000000"/>
                <w:sz w:val="24"/>
                <w:szCs w:val="24"/>
                <w:lang w:eastAsia="tr-TR"/>
              </w:rPr>
            </w:pPr>
            <w:r w:rsidRPr="009E1B38">
              <w:rPr>
                <w:rFonts w:ascii="Times New Roman" w:eastAsia="Times New Roman" w:hAnsi="Times New Roman"/>
                <w:b/>
                <w:color w:val="000000"/>
                <w:sz w:val="24"/>
                <w:szCs w:val="24"/>
                <w:lang w:eastAsia="tr-TR"/>
              </w:rPr>
              <w:t>5.212</w:t>
            </w:r>
          </w:p>
        </w:tc>
        <w:tc>
          <w:tcPr>
            <w:tcW w:w="1068" w:type="pct"/>
            <w:tcBorders>
              <w:top w:val="nil"/>
              <w:left w:val="nil"/>
              <w:bottom w:val="single" w:sz="8" w:space="0" w:color="D9D9D9"/>
              <w:right w:val="single" w:sz="8" w:space="0" w:color="D9D9D9"/>
            </w:tcBorders>
            <w:vAlign w:val="center"/>
            <w:hideMark/>
          </w:tcPr>
          <w:p w14:paraId="7D4A71E7" w14:textId="77777777" w:rsidR="005779F9" w:rsidRPr="009E1B38" w:rsidRDefault="005779F9" w:rsidP="005779F9">
            <w:pPr>
              <w:spacing w:after="0" w:line="240" w:lineRule="auto"/>
              <w:jc w:val="right"/>
              <w:rPr>
                <w:rFonts w:ascii="Times New Roman" w:eastAsia="Times New Roman" w:hAnsi="Times New Roman"/>
                <w:b/>
                <w:color w:val="000000"/>
                <w:sz w:val="24"/>
                <w:szCs w:val="24"/>
                <w:lang w:eastAsia="tr-TR"/>
              </w:rPr>
            </w:pPr>
            <w:r w:rsidRPr="009E1B38">
              <w:rPr>
                <w:rFonts w:ascii="Times New Roman" w:eastAsia="Times New Roman" w:hAnsi="Times New Roman"/>
                <w:b/>
                <w:color w:val="000000"/>
                <w:sz w:val="24"/>
                <w:szCs w:val="24"/>
                <w:lang w:eastAsia="tr-TR"/>
              </w:rPr>
              <w:t>100</w:t>
            </w:r>
          </w:p>
        </w:tc>
      </w:tr>
    </w:tbl>
    <w:p w14:paraId="7D4A71E9" w14:textId="77777777" w:rsidR="00F307FA" w:rsidRPr="009E1B38" w:rsidRDefault="00F307FA" w:rsidP="009F6B4A">
      <w:pPr>
        <w:rPr>
          <w:rFonts w:ascii="Times New Roman" w:hAnsi="Times New Roman"/>
          <w:sz w:val="24"/>
          <w:szCs w:val="24"/>
          <w:lang w:eastAsia="tr-TR"/>
        </w:rPr>
      </w:pPr>
    </w:p>
    <w:p w14:paraId="12D14F40" w14:textId="77777777" w:rsidR="005F5C3A" w:rsidRPr="009E1B38" w:rsidRDefault="005F5C3A" w:rsidP="005F5C3A">
      <w:pPr>
        <w:rPr>
          <w:rFonts w:ascii="Times New Roman" w:hAnsi="Times New Roman"/>
          <w:sz w:val="24"/>
          <w:szCs w:val="24"/>
          <w:lang w:eastAsia="tr-TR"/>
        </w:rPr>
      </w:pPr>
    </w:p>
    <w:p w14:paraId="0373FCE1" w14:textId="77777777" w:rsidR="005F5C3A" w:rsidRPr="009E1B38" w:rsidRDefault="005F5C3A" w:rsidP="005F5C3A">
      <w:pPr>
        <w:rPr>
          <w:rFonts w:ascii="Times New Roman" w:hAnsi="Times New Roman"/>
          <w:sz w:val="24"/>
          <w:szCs w:val="24"/>
          <w:lang w:eastAsia="tr-TR"/>
        </w:rPr>
      </w:pPr>
    </w:p>
    <w:p w14:paraId="3C621585" w14:textId="77777777" w:rsidR="005F5C3A" w:rsidRPr="009E1B38" w:rsidRDefault="005F5C3A" w:rsidP="005F5C3A">
      <w:pPr>
        <w:rPr>
          <w:rFonts w:ascii="Times New Roman" w:hAnsi="Times New Roman"/>
          <w:sz w:val="24"/>
          <w:szCs w:val="24"/>
          <w:lang w:eastAsia="tr-TR"/>
        </w:rPr>
      </w:pPr>
    </w:p>
    <w:p w14:paraId="4E40B6F5" w14:textId="23B7AFD2" w:rsidR="005F5C3A" w:rsidRPr="009E1B38" w:rsidRDefault="005F5C3A" w:rsidP="005F5C3A">
      <w:pPr>
        <w:tabs>
          <w:tab w:val="left" w:pos="10560"/>
        </w:tabs>
        <w:rPr>
          <w:rFonts w:ascii="Times New Roman" w:hAnsi="Times New Roman"/>
          <w:sz w:val="24"/>
          <w:szCs w:val="24"/>
          <w:lang w:eastAsia="tr-TR"/>
        </w:rPr>
      </w:pPr>
      <w:r w:rsidRPr="009E1B38">
        <w:rPr>
          <w:rFonts w:ascii="Times New Roman" w:hAnsi="Times New Roman"/>
          <w:sz w:val="24"/>
          <w:szCs w:val="24"/>
          <w:lang w:eastAsia="tr-TR"/>
        </w:rPr>
        <w:tab/>
      </w:r>
    </w:p>
    <w:p w14:paraId="7D4A71EA" w14:textId="36283ADA" w:rsidR="003C56A2" w:rsidRPr="009E1B38" w:rsidRDefault="001116E8" w:rsidP="003C56A2">
      <w:pPr>
        <w:pStyle w:val="Balk5"/>
        <w:jc w:val="center"/>
        <w:rPr>
          <w:rStyle w:val="Gl"/>
          <w:rFonts w:ascii="Times New Roman" w:hAnsi="Times New Roman" w:cs="Times New Roman"/>
          <w:sz w:val="24"/>
          <w:szCs w:val="24"/>
        </w:rPr>
      </w:pPr>
      <w:bookmarkStart w:id="17" w:name="_Toc107499494"/>
      <w:r w:rsidRPr="009E1B38">
        <w:rPr>
          <w:rStyle w:val="Gl"/>
          <w:rFonts w:ascii="Times New Roman" w:hAnsi="Times New Roman" w:cs="Times New Roman"/>
          <w:sz w:val="24"/>
          <w:szCs w:val="24"/>
        </w:rPr>
        <w:lastRenderedPageBreak/>
        <w:t>Figure 1.1: Board Decisions Taken by Service Units in 2021</w:t>
      </w:r>
      <w:bookmarkEnd w:id="17"/>
    </w:p>
    <w:p w14:paraId="7D4A71EB" w14:textId="77777777" w:rsidR="00751D17" w:rsidRPr="009E1B38" w:rsidRDefault="00751D17" w:rsidP="000610A8">
      <w:pPr>
        <w:jc w:val="center"/>
        <w:rPr>
          <w:rStyle w:val="Gl"/>
          <w:rFonts w:ascii="Times New Roman" w:hAnsi="Times New Roman"/>
          <w:b w:val="0"/>
          <w:sz w:val="24"/>
          <w:szCs w:val="24"/>
        </w:rPr>
      </w:pPr>
      <w:bookmarkStart w:id="18" w:name="_Toc505346152"/>
      <w:r w:rsidRPr="009E1B38">
        <w:rPr>
          <w:rStyle w:val="Gl"/>
          <w:rFonts w:ascii="Times New Roman" w:hAnsi="Times New Roman"/>
          <w:b w:val="0"/>
          <w:noProof/>
          <w:sz w:val="24"/>
          <w:szCs w:val="24"/>
          <w:lang w:val="tr-TR" w:eastAsia="tr-TR"/>
        </w:rPr>
        <w:drawing>
          <wp:inline distT="0" distB="0" distL="0" distR="0" wp14:anchorId="7D4A99DD" wp14:editId="7D4A99DE">
            <wp:extent cx="5986780" cy="3968750"/>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6780" cy="3968750"/>
                    </a:xfrm>
                    <a:prstGeom prst="rect">
                      <a:avLst/>
                    </a:prstGeom>
                    <a:noFill/>
                  </pic:spPr>
                </pic:pic>
              </a:graphicData>
            </a:graphic>
          </wp:inline>
        </w:drawing>
      </w:r>
    </w:p>
    <w:p w14:paraId="4932C7E0" w14:textId="77777777" w:rsidR="008C3362" w:rsidRPr="009E1B38" w:rsidRDefault="008C3362" w:rsidP="000610A8">
      <w:pPr>
        <w:jc w:val="center"/>
        <w:rPr>
          <w:rStyle w:val="Gl"/>
          <w:rFonts w:ascii="Times New Roman" w:hAnsi="Times New Roman"/>
          <w:b w:val="0"/>
          <w:bCs w:val="0"/>
          <w:sz w:val="24"/>
          <w:szCs w:val="24"/>
        </w:rPr>
      </w:pPr>
    </w:p>
    <w:p w14:paraId="21190A38" w14:textId="77777777" w:rsidR="008C3362" w:rsidRPr="009E1B38" w:rsidRDefault="008C3362" w:rsidP="000610A8">
      <w:pPr>
        <w:jc w:val="center"/>
        <w:rPr>
          <w:rStyle w:val="Gl"/>
          <w:rFonts w:ascii="Times New Roman" w:hAnsi="Times New Roman"/>
          <w:b w:val="0"/>
          <w:bCs w:val="0"/>
          <w:sz w:val="24"/>
          <w:szCs w:val="24"/>
        </w:rPr>
      </w:pPr>
    </w:p>
    <w:p w14:paraId="6B4A8847" w14:textId="77777777" w:rsidR="008C3362" w:rsidRPr="009E1B38" w:rsidRDefault="008C3362" w:rsidP="000610A8">
      <w:pPr>
        <w:jc w:val="center"/>
        <w:rPr>
          <w:rStyle w:val="Gl"/>
          <w:rFonts w:ascii="Times New Roman" w:hAnsi="Times New Roman"/>
          <w:b w:val="0"/>
          <w:bCs w:val="0"/>
          <w:sz w:val="24"/>
          <w:szCs w:val="24"/>
        </w:rPr>
      </w:pPr>
    </w:p>
    <w:p w14:paraId="59CE8110" w14:textId="77777777" w:rsidR="008C3362" w:rsidRPr="009E1B38" w:rsidRDefault="008C3362" w:rsidP="000610A8">
      <w:pPr>
        <w:jc w:val="center"/>
        <w:rPr>
          <w:rStyle w:val="Gl"/>
          <w:rFonts w:ascii="Times New Roman" w:hAnsi="Times New Roman"/>
          <w:b w:val="0"/>
          <w:bCs w:val="0"/>
          <w:sz w:val="24"/>
          <w:szCs w:val="24"/>
        </w:rPr>
      </w:pPr>
    </w:p>
    <w:p w14:paraId="7D4A71EC" w14:textId="3E4CE063" w:rsidR="009F6B4A" w:rsidRPr="009E1B38" w:rsidRDefault="009F6B4A" w:rsidP="00CF408B">
      <w:pPr>
        <w:pStyle w:val="Balk5"/>
        <w:jc w:val="center"/>
        <w:rPr>
          <w:rStyle w:val="Gl"/>
          <w:rFonts w:ascii="Times New Roman" w:hAnsi="Times New Roman" w:cs="Times New Roman"/>
          <w:sz w:val="24"/>
          <w:szCs w:val="24"/>
        </w:rPr>
      </w:pPr>
      <w:bookmarkStart w:id="19" w:name="_Toc107499495"/>
      <w:bookmarkEnd w:id="15"/>
      <w:bookmarkEnd w:id="16"/>
      <w:bookmarkEnd w:id="18"/>
      <w:r w:rsidRPr="009E1B38">
        <w:rPr>
          <w:rStyle w:val="Gl"/>
          <w:rFonts w:ascii="Times New Roman" w:hAnsi="Times New Roman" w:cs="Times New Roman"/>
          <w:sz w:val="24"/>
          <w:szCs w:val="24"/>
        </w:rPr>
        <w:t>Tabl</w:t>
      </w:r>
      <w:r w:rsidR="00C47747" w:rsidRPr="009E1B38">
        <w:rPr>
          <w:rStyle w:val="Gl"/>
          <w:rFonts w:ascii="Times New Roman" w:hAnsi="Times New Roman" w:cs="Times New Roman"/>
          <w:sz w:val="24"/>
          <w:szCs w:val="24"/>
        </w:rPr>
        <w:t>e</w:t>
      </w:r>
      <w:r w:rsidRPr="009E1B38">
        <w:rPr>
          <w:rStyle w:val="Gl"/>
          <w:rFonts w:ascii="Times New Roman" w:hAnsi="Times New Roman" w:cs="Times New Roman"/>
          <w:sz w:val="24"/>
          <w:szCs w:val="24"/>
        </w:rPr>
        <w:t xml:space="preserve"> </w:t>
      </w:r>
      <w:r w:rsidR="00C47747" w:rsidRPr="009E1B38">
        <w:rPr>
          <w:rStyle w:val="Gl"/>
          <w:rFonts w:ascii="Times New Roman" w:hAnsi="Times New Roman" w:cs="Times New Roman"/>
          <w:sz w:val="24"/>
          <w:szCs w:val="24"/>
        </w:rPr>
        <w:t>1.2: Distribution of Board Decisions Taken Between 2017-2021 by Authority Service Units</w:t>
      </w:r>
      <w:bookmarkEnd w:id="19"/>
    </w:p>
    <w:tbl>
      <w:tblPr>
        <w:tblW w:w="5000" w:type="pct"/>
        <w:jc w:val="center"/>
        <w:tblCellMar>
          <w:left w:w="70" w:type="dxa"/>
          <w:right w:w="70" w:type="dxa"/>
        </w:tblCellMar>
        <w:tblLook w:val="04A0" w:firstRow="1" w:lastRow="0" w:firstColumn="1" w:lastColumn="0" w:noHBand="0" w:noVBand="1"/>
      </w:tblPr>
      <w:tblGrid>
        <w:gridCol w:w="980"/>
        <w:gridCol w:w="725"/>
        <w:gridCol w:w="740"/>
        <w:gridCol w:w="725"/>
        <w:gridCol w:w="740"/>
        <w:gridCol w:w="725"/>
        <w:gridCol w:w="740"/>
        <w:gridCol w:w="725"/>
        <w:gridCol w:w="740"/>
        <w:gridCol w:w="725"/>
        <w:gridCol w:w="740"/>
        <w:gridCol w:w="836"/>
        <w:gridCol w:w="921"/>
      </w:tblGrid>
      <w:tr w:rsidR="00D00D17" w:rsidRPr="009E1B38" w14:paraId="7D4A720A" w14:textId="77777777" w:rsidTr="007A279C">
        <w:trPr>
          <w:trHeight w:val="737"/>
          <w:jc w:val="center"/>
        </w:trPr>
        <w:tc>
          <w:tcPr>
            <w:tcW w:w="49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7D4A71ED" w14:textId="0B3B6F95" w:rsidR="00406F87" w:rsidRPr="009E1B38" w:rsidRDefault="007A279C" w:rsidP="001978FE">
            <w:pPr>
              <w:spacing w:after="0" w:line="240" w:lineRule="auto"/>
              <w:jc w:val="center"/>
              <w:rPr>
                <w:rFonts w:ascii="Times New Roman" w:eastAsia="Times New Roman" w:hAnsi="Times New Roman"/>
                <w:b/>
                <w:color w:val="FFFFFF"/>
                <w:sz w:val="24"/>
                <w:szCs w:val="24"/>
                <w:lang w:eastAsia="tr-TR"/>
              </w:rPr>
            </w:pPr>
            <w:bookmarkStart w:id="20" w:name="_Toc416447568"/>
            <w:bookmarkStart w:id="21" w:name="_Toc442441725"/>
            <w:bookmarkStart w:id="22" w:name="_Toc505346153"/>
            <w:r w:rsidRPr="009E1B38">
              <w:rPr>
                <w:rFonts w:ascii="Times New Roman" w:eastAsia="Times New Roman" w:hAnsi="Times New Roman"/>
                <w:b/>
                <w:color w:val="FFFFFF"/>
                <w:sz w:val="24"/>
                <w:szCs w:val="24"/>
                <w:lang w:eastAsia="tr-TR"/>
              </w:rPr>
              <w:t>Name of Service Unit</w:t>
            </w:r>
          </w:p>
        </w:tc>
        <w:tc>
          <w:tcPr>
            <w:tcW w:w="363" w:type="pct"/>
            <w:tcBorders>
              <w:top w:val="single" w:sz="8" w:space="0" w:color="D9D9D9"/>
              <w:left w:val="nil"/>
              <w:right w:val="single" w:sz="8" w:space="0" w:color="D9D9D9"/>
            </w:tcBorders>
            <w:shd w:val="clear" w:color="000000" w:fill="6E9ECA"/>
            <w:vAlign w:val="center"/>
            <w:hideMark/>
          </w:tcPr>
          <w:p w14:paraId="023452AB" w14:textId="77777777" w:rsidR="00F63C54" w:rsidRPr="009E1B38" w:rsidRDefault="00F63C54" w:rsidP="007A279C">
            <w:pPr>
              <w:spacing w:after="0" w:line="240" w:lineRule="auto"/>
              <w:rPr>
                <w:rFonts w:ascii="Times New Roman" w:eastAsia="Times New Roman" w:hAnsi="Times New Roman"/>
                <w:b/>
                <w:color w:val="FFFFFF"/>
                <w:sz w:val="24"/>
                <w:szCs w:val="24"/>
                <w:lang w:eastAsia="tr-TR"/>
              </w:rPr>
            </w:pPr>
          </w:p>
          <w:p w14:paraId="2C540BB1" w14:textId="77777777" w:rsidR="001B1AF6" w:rsidRPr="009E1B38" w:rsidRDefault="001B1AF6" w:rsidP="007A279C">
            <w:pPr>
              <w:spacing w:after="0" w:line="240" w:lineRule="auto"/>
              <w:rPr>
                <w:rFonts w:ascii="Times New Roman" w:eastAsia="Times New Roman" w:hAnsi="Times New Roman"/>
                <w:b/>
                <w:color w:val="FFFFFF"/>
                <w:sz w:val="24"/>
                <w:szCs w:val="24"/>
                <w:lang w:eastAsia="tr-TR"/>
              </w:rPr>
            </w:pPr>
          </w:p>
          <w:p w14:paraId="2F51472B" w14:textId="77777777" w:rsidR="00406F87" w:rsidRPr="009E1B38" w:rsidRDefault="00406F87" w:rsidP="007A279C">
            <w:pPr>
              <w:spacing w:after="0" w:line="240" w:lineRule="auto"/>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201</w:t>
            </w:r>
            <w:r w:rsidR="008A34A2" w:rsidRPr="009E1B38">
              <w:rPr>
                <w:rFonts w:ascii="Times New Roman" w:eastAsia="Times New Roman" w:hAnsi="Times New Roman"/>
                <w:b/>
                <w:color w:val="FFFFFF"/>
                <w:sz w:val="24"/>
                <w:szCs w:val="24"/>
                <w:lang w:eastAsia="tr-TR"/>
              </w:rPr>
              <w:t>7</w:t>
            </w:r>
          </w:p>
          <w:p w14:paraId="5C23FA23" w14:textId="77777777" w:rsidR="00406F87" w:rsidRPr="009E1B38" w:rsidRDefault="00406F87" w:rsidP="007A279C">
            <w:pPr>
              <w:spacing w:after="0" w:line="240" w:lineRule="auto"/>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 </w:t>
            </w:r>
          </w:p>
          <w:p w14:paraId="7D4A71F2" w14:textId="77777777" w:rsidR="00CB0C42" w:rsidRPr="009E1B38" w:rsidRDefault="00CB0C42" w:rsidP="001978FE">
            <w:pPr>
              <w:spacing w:after="0" w:line="240" w:lineRule="auto"/>
              <w:jc w:val="center"/>
              <w:rPr>
                <w:rFonts w:ascii="Times New Roman" w:eastAsia="Times New Roman" w:hAnsi="Times New Roman"/>
                <w:b/>
                <w:color w:val="FFFFFF"/>
                <w:sz w:val="24"/>
                <w:szCs w:val="24"/>
                <w:lang w:eastAsia="tr-TR"/>
              </w:rPr>
            </w:pPr>
          </w:p>
        </w:tc>
        <w:tc>
          <w:tcPr>
            <w:tcW w:w="363" w:type="pct"/>
            <w:tcBorders>
              <w:top w:val="single" w:sz="8" w:space="0" w:color="D9D9D9"/>
              <w:left w:val="nil"/>
              <w:right w:val="single" w:sz="8" w:space="0" w:color="D9D9D9"/>
            </w:tcBorders>
            <w:shd w:val="clear" w:color="000000" w:fill="6E9ECA"/>
            <w:vAlign w:val="center"/>
            <w:hideMark/>
          </w:tcPr>
          <w:p w14:paraId="0ED0F2DB" w14:textId="77777777" w:rsidR="00406F87" w:rsidRPr="009E1B38" w:rsidRDefault="00406F87" w:rsidP="007A279C">
            <w:pPr>
              <w:spacing w:after="0" w:line="240" w:lineRule="auto"/>
              <w:rPr>
                <w:rFonts w:ascii="Times New Roman" w:eastAsia="Times New Roman" w:hAnsi="Times New Roman"/>
                <w:b/>
                <w:color w:val="FFFFFF"/>
                <w:sz w:val="24"/>
                <w:szCs w:val="24"/>
                <w:lang w:eastAsia="tr-TR"/>
              </w:rPr>
            </w:pPr>
          </w:p>
          <w:p w14:paraId="01016F57" w14:textId="77777777" w:rsidR="007A279C" w:rsidRPr="009E1B38" w:rsidRDefault="007A279C" w:rsidP="007A279C">
            <w:pPr>
              <w:spacing w:after="0" w:line="240" w:lineRule="auto"/>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Share (%)</w:t>
            </w:r>
          </w:p>
          <w:p w14:paraId="7D4A71F5" w14:textId="2F18FD6D" w:rsidR="00406F87" w:rsidRPr="009E1B38" w:rsidRDefault="00406F87"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 </w:t>
            </w:r>
          </w:p>
        </w:tc>
        <w:tc>
          <w:tcPr>
            <w:tcW w:w="363" w:type="pct"/>
            <w:tcBorders>
              <w:top w:val="single" w:sz="8" w:space="0" w:color="D9D9D9"/>
              <w:left w:val="nil"/>
              <w:right w:val="single" w:sz="8" w:space="0" w:color="D9D9D9"/>
            </w:tcBorders>
            <w:shd w:val="clear" w:color="000000" w:fill="6E9ECA"/>
            <w:vAlign w:val="center"/>
            <w:hideMark/>
          </w:tcPr>
          <w:p w14:paraId="778FBB16" w14:textId="77777777" w:rsidR="00406F87" w:rsidRPr="009E1B38" w:rsidRDefault="00406F87" w:rsidP="007A279C">
            <w:pPr>
              <w:spacing w:after="0" w:line="240" w:lineRule="auto"/>
              <w:rPr>
                <w:rFonts w:ascii="Times New Roman" w:eastAsia="Times New Roman" w:hAnsi="Times New Roman"/>
                <w:b/>
                <w:color w:val="FFFFFF"/>
                <w:sz w:val="24"/>
                <w:szCs w:val="24"/>
                <w:lang w:eastAsia="tr-TR"/>
              </w:rPr>
            </w:pPr>
          </w:p>
          <w:p w14:paraId="60092DB5" w14:textId="77777777" w:rsidR="00406F87" w:rsidRPr="009E1B38" w:rsidRDefault="00406F87" w:rsidP="007A279C">
            <w:pPr>
              <w:spacing w:after="0" w:line="240" w:lineRule="auto"/>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201</w:t>
            </w:r>
            <w:r w:rsidR="008A34A2" w:rsidRPr="009E1B38">
              <w:rPr>
                <w:rFonts w:ascii="Times New Roman" w:eastAsia="Times New Roman" w:hAnsi="Times New Roman"/>
                <w:b/>
                <w:color w:val="FFFFFF"/>
                <w:sz w:val="24"/>
                <w:szCs w:val="24"/>
                <w:lang w:eastAsia="tr-TR"/>
              </w:rPr>
              <w:t>8</w:t>
            </w:r>
          </w:p>
          <w:p w14:paraId="7D4A71F8" w14:textId="5B2B5630" w:rsidR="00406F87" w:rsidRPr="009E1B38" w:rsidRDefault="00406F87"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 </w:t>
            </w:r>
          </w:p>
        </w:tc>
        <w:tc>
          <w:tcPr>
            <w:tcW w:w="363" w:type="pct"/>
            <w:tcBorders>
              <w:top w:val="single" w:sz="8" w:space="0" w:color="D9D9D9"/>
              <w:left w:val="nil"/>
              <w:right w:val="single" w:sz="8" w:space="0" w:color="D9D9D9"/>
            </w:tcBorders>
            <w:shd w:val="clear" w:color="000000" w:fill="6E9ECA"/>
            <w:vAlign w:val="center"/>
            <w:hideMark/>
          </w:tcPr>
          <w:p w14:paraId="2B6E78F9" w14:textId="77777777" w:rsidR="00406F87" w:rsidRPr="009E1B38" w:rsidRDefault="00406F87" w:rsidP="007A279C">
            <w:pPr>
              <w:spacing w:after="0" w:line="240" w:lineRule="auto"/>
              <w:rPr>
                <w:rFonts w:ascii="Times New Roman" w:eastAsia="Times New Roman" w:hAnsi="Times New Roman"/>
                <w:b/>
                <w:color w:val="FFFFFF"/>
                <w:sz w:val="24"/>
                <w:szCs w:val="24"/>
                <w:lang w:eastAsia="tr-TR"/>
              </w:rPr>
            </w:pPr>
          </w:p>
          <w:p w14:paraId="4823A24D" w14:textId="77777777" w:rsidR="007A279C" w:rsidRPr="009E1B38" w:rsidRDefault="007A279C" w:rsidP="007A279C">
            <w:pPr>
              <w:spacing w:after="0" w:line="240" w:lineRule="auto"/>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Share (%)</w:t>
            </w:r>
          </w:p>
          <w:p w14:paraId="7D4A71FB" w14:textId="1A164682" w:rsidR="00406F87" w:rsidRPr="009E1B38" w:rsidRDefault="00406F87"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 </w:t>
            </w:r>
          </w:p>
        </w:tc>
        <w:tc>
          <w:tcPr>
            <w:tcW w:w="363" w:type="pct"/>
            <w:tcBorders>
              <w:top w:val="single" w:sz="8" w:space="0" w:color="D9D9D9"/>
              <w:left w:val="nil"/>
              <w:right w:val="single" w:sz="8" w:space="0" w:color="D9D9D9"/>
            </w:tcBorders>
            <w:shd w:val="clear" w:color="000000" w:fill="6E9ECA"/>
            <w:noWrap/>
            <w:vAlign w:val="center"/>
            <w:hideMark/>
          </w:tcPr>
          <w:p w14:paraId="6305A080" w14:textId="77777777" w:rsidR="00406F87" w:rsidRPr="009E1B38" w:rsidRDefault="00406F87" w:rsidP="007A279C">
            <w:pPr>
              <w:spacing w:after="0" w:line="240" w:lineRule="auto"/>
              <w:rPr>
                <w:rFonts w:ascii="Times New Roman" w:eastAsia="Times New Roman" w:hAnsi="Times New Roman"/>
                <w:b/>
                <w:color w:val="FFFFFF"/>
                <w:sz w:val="24"/>
                <w:szCs w:val="24"/>
                <w:lang w:eastAsia="tr-TR"/>
              </w:rPr>
            </w:pPr>
          </w:p>
          <w:p w14:paraId="69EB482E" w14:textId="77777777" w:rsidR="00406F87" w:rsidRPr="009E1B38" w:rsidRDefault="00406F87" w:rsidP="007A279C">
            <w:pPr>
              <w:spacing w:after="0" w:line="240" w:lineRule="auto"/>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201</w:t>
            </w:r>
            <w:r w:rsidR="008A34A2" w:rsidRPr="009E1B38">
              <w:rPr>
                <w:rFonts w:ascii="Times New Roman" w:eastAsia="Times New Roman" w:hAnsi="Times New Roman"/>
                <w:b/>
                <w:color w:val="FFFFFF"/>
                <w:sz w:val="24"/>
                <w:szCs w:val="24"/>
                <w:lang w:eastAsia="tr-TR"/>
              </w:rPr>
              <w:t>9</w:t>
            </w:r>
          </w:p>
          <w:p w14:paraId="7D4A71FE" w14:textId="023D0C51" w:rsidR="00406F87" w:rsidRPr="009E1B38" w:rsidRDefault="00406F87"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 </w:t>
            </w:r>
          </w:p>
        </w:tc>
        <w:tc>
          <w:tcPr>
            <w:tcW w:w="363" w:type="pct"/>
            <w:tcBorders>
              <w:top w:val="single" w:sz="8" w:space="0" w:color="D9D9D9"/>
              <w:left w:val="nil"/>
              <w:right w:val="single" w:sz="8" w:space="0" w:color="D9D9D9"/>
            </w:tcBorders>
            <w:shd w:val="clear" w:color="000000" w:fill="6E9ECA"/>
            <w:vAlign w:val="center"/>
            <w:hideMark/>
          </w:tcPr>
          <w:p w14:paraId="6CAF237A" w14:textId="77777777" w:rsidR="00846BC1" w:rsidRPr="009E1B38" w:rsidRDefault="00846BC1" w:rsidP="007A279C">
            <w:pPr>
              <w:spacing w:after="0" w:line="240" w:lineRule="auto"/>
              <w:rPr>
                <w:rFonts w:ascii="Times New Roman" w:eastAsia="Times New Roman" w:hAnsi="Times New Roman"/>
                <w:b/>
                <w:color w:val="FFFFFF"/>
                <w:sz w:val="24"/>
                <w:szCs w:val="24"/>
                <w:lang w:eastAsia="tr-TR"/>
              </w:rPr>
            </w:pPr>
          </w:p>
          <w:p w14:paraId="15F0E18E" w14:textId="77777777" w:rsidR="007A279C" w:rsidRPr="009E1B38" w:rsidRDefault="007A279C" w:rsidP="007A279C">
            <w:pPr>
              <w:spacing w:after="0" w:line="240" w:lineRule="auto"/>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Share (%)</w:t>
            </w:r>
          </w:p>
          <w:p w14:paraId="7D4A7201" w14:textId="5509BD28" w:rsidR="00406F87" w:rsidRPr="009E1B38" w:rsidRDefault="00406F87"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 </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14:paraId="7D4A7202" w14:textId="35FE0201" w:rsidR="00406F87" w:rsidRPr="009E1B38" w:rsidRDefault="00406F87"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20</w:t>
            </w:r>
            <w:r w:rsidR="008A34A2" w:rsidRPr="009E1B38">
              <w:rPr>
                <w:rFonts w:ascii="Times New Roman" w:eastAsia="Times New Roman" w:hAnsi="Times New Roman"/>
                <w:b/>
                <w:color w:val="FFFFFF"/>
                <w:sz w:val="24"/>
                <w:szCs w:val="24"/>
                <w:lang w:eastAsia="tr-TR"/>
              </w:rPr>
              <w:t>20</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7D4A7204" w14:textId="430E18B9" w:rsidR="00406F87" w:rsidRPr="009E1B38" w:rsidRDefault="007A279C"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 xml:space="preserve">Share </w:t>
            </w:r>
            <w:r w:rsidR="00406F87" w:rsidRPr="009E1B38">
              <w:rPr>
                <w:rFonts w:ascii="Times New Roman" w:eastAsia="Times New Roman" w:hAnsi="Times New Roman"/>
                <w:b/>
                <w:color w:val="FFFFFF"/>
                <w:sz w:val="24"/>
                <w:szCs w:val="24"/>
                <w:lang w:eastAsia="tr-TR"/>
              </w:rPr>
              <w:t>(%)</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14:paraId="7D4A7205" w14:textId="74725C83" w:rsidR="00406F87" w:rsidRPr="009E1B38" w:rsidRDefault="00406F87"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202</w:t>
            </w:r>
            <w:r w:rsidR="008A34A2" w:rsidRPr="009E1B38">
              <w:rPr>
                <w:rFonts w:ascii="Times New Roman" w:eastAsia="Times New Roman" w:hAnsi="Times New Roman"/>
                <w:b/>
                <w:color w:val="FFFFFF"/>
                <w:sz w:val="24"/>
                <w:szCs w:val="24"/>
                <w:lang w:eastAsia="tr-TR"/>
              </w:rPr>
              <w:t>1</w:t>
            </w:r>
          </w:p>
        </w:tc>
        <w:tc>
          <w:tcPr>
            <w:tcW w:w="364"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7D4A7206" w14:textId="4B1853B8" w:rsidR="00406F87" w:rsidRPr="009E1B38" w:rsidRDefault="007A279C" w:rsidP="00846BC1">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Share</w:t>
            </w:r>
            <w:r w:rsidR="00406F87" w:rsidRPr="009E1B38">
              <w:rPr>
                <w:rFonts w:ascii="Times New Roman" w:eastAsia="Times New Roman" w:hAnsi="Times New Roman"/>
                <w:b/>
                <w:color w:val="FFFFFF"/>
                <w:sz w:val="24"/>
                <w:szCs w:val="24"/>
                <w:lang w:eastAsia="tr-TR"/>
              </w:rPr>
              <w:t xml:space="preserve"> (%)</w:t>
            </w:r>
          </w:p>
        </w:tc>
        <w:tc>
          <w:tcPr>
            <w:tcW w:w="418"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7D4A7207" w14:textId="53D0B4A1" w:rsidR="00406F87" w:rsidRPr="009E1B38" w:rsidRDefault="007A279C"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Total</w:t>
            </w:r>
          </w:p>
        </w:tc>
        <w:tc>
          <w:tcPr>
            <w:tcW w:w="46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7D4A7209" w14:textId="26A47453" w:rsidR="00406F87" w:rsidRPr="009E1B38" w:rsidRDefault="007A279C"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 xml:space="preserve">Share </w:t>
            </w:r>
            <w:r w:rsidR="00846BC1" w:rsidRPr="009E1B38">
              <w:rPr>
                <w:rFonts w:ascii="Times New Roman" w:eastAsia="Times New Roman" w:hAnsi="Times New Roman"/>
                <w:b/>
                <w:color w:val="FFFFFF"/>
                <w:sz w:val="24"/>
                <w:szCs w:val="24"/>
                <w:lang w:eastAsia="tr-TR"/>
              </w:rPr>
              <w:t>(</w:t>
            </w:r>
            <w:r w:rsidR="00406F87" w:rsidRPr="009E1B38">
              <w:rPr>
                <w:rFonts w:ascii="Times New Roman" w:eastAsia="Times New Roman" w:hAnsi="Times New Roman"/>
                <w:b/>
                <w:color w:val="FFFFFF"/>
                <w:sz w:val="24"/>
                <w:szCs w:val="24"/>
                <w:lang w:eastAsia="tr-TR"/>
              </w:rPr>
              <w:t>%</w:t>
            </w:r>
            <w:r w:rsidR="00846BC1" w:rsidRPr="009E1B38">
              <w:rPr>
                <w:rFonts w:ascii="Times New Roman" w:eastAsia="Times New Roman" w:hAnsi="Times New Roman"/>
                <w:b/>
                <w:color w:val="FFFFFF"/>
                <w:sz w:val="24"/>
                <w:szCs w:val="24"/>
                <w:lang w:eastAsia="tr-TR"/>
              </w:rPr>
              <w:t>)</w:t>
            </w:r>
          </w:p>
        </w:tc>
      </w:tr>
      <w:tr w:rsidR="002A1509" w:rsidRPr="009E1B38" w14:paraId="7D4A7218"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0B"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KDB</w:t>
            </w:r>
          </w:p>
        </w:tc>
        <w:tc>
          <w:tcPr>
            <w:tcW w:w="363" w:type="pct"/>
            <w:tcBorders>
              <w:top w:val="nil"/>
              <w:left w:val="nil"/>
              <w:bottom w:val="single" w:sz="8" w:space="0" w:color="D9D9D9"/>
              <w:right w:val="single" w:sz="8" w:space="0" w:color="D9D9D9"/>
            </w:tcBorders>
            <w:shd w:val="clear" w:color="auto" w:fill="auto"/>
            <w:vAlign w:val="center"/>
          </w:tcPr>
          <w:p w14:paraId="7D4A720C"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1010</w:t>
            </w:r>
          </w:p>
        </w:tc>
        <w:tc>
          <w:tcPr>
            <w:tcW w:w="363" w:type="pct"/>
            <w:tcBorders>
              <w:top w:val="nil"/>
              <w:left w:val="nil"/>
              <w:bottom w:val="single" w:sz="8" w:space="0" w:color="D9D9D9"/>
              <w:right w:val="single" w:sz="8" w:space="0" w:color="D9D9D9"/>
            </w:tcBorders>
            <w:shd w:val="clear" w:color="auto" w:fill="auto"/>
            <w:noWrap/>
            <w:vAlign w:val="center"/>
          </w:tcPr>
          <w:p w14:paraId="7D4A720D"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15,14</w:t>
            </w:r>
          </w:p>
        </w:tc>
        <w:tc>
          <w:tcPr>
            <w:tcW w:w="363" w:type="pct"/>
            <w:tcBorders>
              <w:top w:val="nil"/>
              <w:left w:val="nil"/>
              <w:bottom w:val="single" w:sz="8" w:space="0" w:color="D9D9D9"/>
              <w:right w:val="single" w:sz="8" w:space="0" w:color="D9D9D9"/>
            </w:tcBorders>
            <w:shd w:val="clear" w:color="auto" w:fill="auto"/>
            <w:vAlign w:val="center"/>
          </w:tcPr>
          <w:p w14:paraId="7D4A720E"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2.100</w:t>
            </w:r>
          </w:p>
        </w:tc>
        <w:tc>
          <w:tcPr>
            <w:tcW w:w="363" w:type="pct"/>
            <w:tcBorders>
              <w:top w:val="nil"/>
              <w:left w:val="nil"/>
              <w:bottom w:val="single" w:sz="8" w:space="0" w:color="D9D9D9"/>
              <w:right w:val="single" w:sz="8" w:space="0" w:color="D9D9D9"/>
            </w:tcBorders>
            <w:shd w:val="clear" w:color="auto" w:fill="auto"/>
            <w:noWrap/>
            <w:vAlign w:val="center"/>
          </w:tcPr>
          <w:p w14:paraId="7D4A720F"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25,10</w:t>
            </w:r>
          </w:p>
        </w:tc>
        <w:tc>
          <w:tcPr>
            <w:tcW w:w="363" w:type="pct"/>
            <w:tcBorders>
              <w:top w:val="nil"/>
              <w:left w:val="nil"/>
              <w:bottom w:val="single" w:sz="8" w:space="0" w:color="D9D9D9"/>
              <w:right w:val="single" w:sz="8" w:space="0" w:color="D9D9D9"/>
            </w:tcBorders>
            <w:shd w:val="clear" w:color="auto" w:fill="auto"/>
            <w:noWrap/>
            <w:vAlign w:val="center"/>
          </w:tcPr>
          <w:p w14:paraId="7D4A7210"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3.996</w:t>
            </w:r>
          </w:p>
        </w:tc>
        <w:tc>
          <w:tcPr>
            <w:tcW w:w="363" w:type="pct"/>
            <w:tcBorders>
              <w:top w:val="nil"/>
              <w:left w:val="nil"/>
              <w:bottom w:val="single" w:sz="8" w:space="0" w:color="D9D9D9"/>
              <w:right w:val="single" w:sz="8" w:space="0" w:color="D9D9D9"/>
            </w:tcBorders>
            <w:shd w:val="clear" w:color="auto" w:fill="auto"/>
            <w:noWrap/>
            <w:vAlign w:val="center"/>
          </w:tcPr>
          <w:p w14:paraId="7D4A7211"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42,52</w:t>
            </w:r>
          </w:p>
        </w:tc>
        <w:tc>
          <w:tcPr>
            <w:tcW w:w="363" w:type="pct"/>
            <w:tcBorders>
              <w:top w:val="nil"/>
              <w:left w:val="nil"/>
              <w:bottom w:val="single" w:sz="8" w:space="0" w:color="D9D9D9"/>
              <w:right w:val="single" w:sz="8" w:space="0" w:color="D9D9D9"/>
            </w:tcBorders>
            <w:shd w:val="clear" w:color="auto" w:fill="auto"/>
            <w:noWrap/>
            <w:vAlign w:val="center"/>
          </w:tcPr>
          <w:p w14:paraId="7D4A7212"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4.986</w:t>
            </w:r>
          </w:p>
        </w:tc>
        <w:tc>
          <w:tcPr>
            <w:tcW w:w="363" w:type="pct"/>
            <w:tcBorders>
              <w:top w:val="nil"/>
              <w:left w:val="nil"/>
              <w:bottom w:val="single" w:sz="8" w:space="0" w:color="D9D9D9"/>
              <w:right w:val="single" w:sz="8" w:space="0" w:color="D9D9D9"/>
            </w:tcBorders>
            <w:shd w:val="clear" w:color="auto" w:fill="auto"/>
            <w:noWrap/>
            <w:vAlign w:val="center"/>
          </w:tcPr>
          <w:p w14:paraId="7D4A7213"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51,85</w:t>
            </w:r>
          </w:p>
        </w:tc>
        <w:tc>
          <w:tcPr>
            <w:tcW w:w="363" w:type="pct"/>
            <w:tcBorders>
              <w:top w:val="nil"/>
              <w:left w:val="nil"/>
              <w:bottom w:val="single" w:sz="8" w:space="0" w:color="D9D9D9"/>
              <w:right w:val="single" w:sz="8" w:space="0" w:color="D9D9D9"/>
            </w:tcBorders>
            <w:shd w:val="clear" w:color="auto" w:fill="auto"/>
            <w:noWrap/>
            <w:vAlign w:val="center"/>
          </w:tcPr>
          <w:p w14:paraId="7D4A7214"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284</w:t>
            </w:r>
          </w:p>
        </w:tc>
        <w:tc>
          <w:tcPr>
            <w:tcW w:w="364" w:type="pct"/>
            <w:tcBorders>
              <w:top w:val="nil"/>
              <w:left w:val="nil"/>
              <w:bottom w:val="single" w:sz="8" w:space="0" w:color="D9D9D9"/>
              <w:right w:val="single" w:sz="8" w:space="0" w:color="D9D9D9"/>
            </w:tcBorders>
            <w:shd w:val="clear" w:color="auto" w:fill="auto"/>
            <w:noWrap/>
            <w:vAlign w:val="center"/>
          </w:tcPr>
          <w:p w14:paraId="7D4A7215"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5,45</w:t>
            </w:r>
          </w:p>
        </w:tc>
        <w:tc>
          <w:tcPr>
            <w:tcW w:w="418" w:type="pct"/>
            <w:tcBorders>
              <w:top w:val="nil"/>
              <w:left w:val="nil"/>
              <w:bottom w:val="single" w:sz="8" w:space="0" w:color="D9D9D9"/>
              <w:right w:val="single" w:sz="8" w:space="0" w:color="D9D9D9"/>
            </w:tcBorders>
            <w:shd w:val="clear" w:color="auto" w:fill="auto"/>
            <w:vAlign w:val="center"/>
          </w:tcPr>
          <w:p w14:paraId="7D4A7216"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12.376</w:t>
            </w:r>
          </w:p>
        </w:tc>
        <w:tc>
          <w:tcPr>
            <w:tcW w:w="460" w:type="pct"/>
            <w:tcBorders>
              <w:top w:val="nil"/>
              <w:left w:val="nil"/>
              <w:bottom w:val="single" w:sz="8" w:space="0" w:color="D9D9D9"/>
              <w:right w:val="single" w:sz="8" w:space="0" w:color="D9D9D9"/>
            </w:tcBorders>
            <w:shd w:val="clear" w:color="auto" w:fill="auto"/>
            <w:vAlign w:val="center"/>
          </w:tcPr>
          <w:p w14:paraId="7D4A7217"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31,52</w:t>
            </w:r>
          </w:p>
        </w:tc>
      </w:tr>
      <w:tr w:rsidR="002A1509" w:rsidRPr="009E1B38" w14:paraId="7D4A7226"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19"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DDB</w:t>
            </w:r>
          </w:p>
        </w:tc>
        <w:tc>
          <w:tcPr>
            <w:tcW w:w="363" w:type="pct"/>
            <w:tcBorders>
              <w:top w:val="nil"/>
              <w:left w:val="nil"/>
              <w:bottom w:val="single" w:sz="8" w:space="0" w:color="D9D9D9"/>
              <w:right w:val="single" w:sz="8" w:space="0" w:color="D9D9D9"/>
            </w:tcBorders>
            <w:shd w:val="clear" w:color="auto" w:fill="auto"/>
            <w:vAlign w:val="center"/>
          </w:tcPr>
          <w:p w14:paraId="7D4A721A"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2.382</w:t>
            </w:r>
          </w:p>
        </w:tc>
        <w:tc>
          <w:tcPr>
            <w:tcW w:w="363" w:type="pct"/>
            <w:tcBorders>
              <w:top w:val="nil"/>
              <w:left w:val="nil"/>
              <w:bottom w:val="single" w:sz="8" w:space="0" w:color="D9D9D9"/>
              <w:right w:val="single" w:sz="8" w:space="0" w:color="D9D9D9"/>
            </w:tcBorders>
            <w:shd w:val="clear" w:color="auto" w:fill="auto"/>
            <w:noWrap/>
            <w:vAlign w:val="center"/>
          </w:tcPr>
          <w:p w14:paraId="7D4A721B"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35,70</w:t>
            </w:r>
          </w:p>
        </w:tc>
        <w:tc>
          <w:tcPr>
            <w:tcW w:w="363" w:type="pct"/>
            <w:tcBorders>
              <w:top w:val="nil"/>
              <w:left w:val="nil"/>
              <w:bottom w:val="single" w:sz="8" w:space="0" w:color="D9D9D9"/>
              <w:right w:val="single" w:sz="8" w:space="0" w:color="D9D9D9"/>
            </w:tcBorders>
            <w:shd w:val="clear" w:color="auto" w:fill="auto"/>
            <w:vAlign w:val="center"/>
          </w:tcPr>
          <w:p w14:paraId="7D4A721C"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3.044</w:t>
            </w:r>
          </w:p>
        </w:tc>
        <w:tc>
          <w:tcPr>
            <w:tcW w:w="363" w:type="pct"/>
            <w:tcBorders>
              <w:top w:val="nil"/>
              <w:left w:val="nil"/>
              <w:bottom w:val="single" w:sz="8" w:space="0" w:color="D9D9D9"/>
              <w:right w:val="single" w:sz="8" w:space="0" w:color="D9D9D9"/>
            </w:tcBorders>
            <w:shd w:val="clear" w:color="auto" w:fill="auto"/>
            <w:noWrap/>
            <w:vAlign w:val="center"/>
          </w:tcPr>
          <w:p w14:paraId="7D4A721D"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36,39</w:t>
            </w:r>
          </w:p>
        </w:tc>
        <w:tc>
          <w:tcPr>
            <w:tcW w:w="363" w:type="pct"/>
            <w:tcBorders>
              <w:top w:val="nil"/>
              <w:left w:val="nil"/>
              <w:bottom w:val="single" w:sz="8" w:space="0" w:color="D9D9D9"/>
              <w:right w:val="single" w:sz="8" w:space="0" w:color="D9D9D9"/>
            </w:tcBorders>
            <w:shd w:val="clear" w:color="auto" w:fill="auto"/>
            <w:noWrap/>
            <w:vAlign w:val="center"/>
          </w:tcPr>
          <w:p w14:paraId="7D4A721E"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2.125</w:t>
            </w:r>
          </w:p>
        </w:tc>
        <w:tc>
          <w:tcPr>
            <w:tcW w:w="363" w:type="pct"/>
            <w:tcBorders>
              <w:top w:val="nil"/>
              <w:left w:val="nil"/>
              <w:bottom w:val="single" w:sz="8" w:space="0" w:color="D9D9D9"/>
              <w:right w:val="single" w:sz="8" w:space="0" w:color="D9D9D9"/>
            </w:tcBorders>
            <w:shd w:val="clear" w:color="auto" w:fill="auto"/>
            <w:noWrap/>
            <w:vAlign w:val="center"/>
          </w:tcPr>
          <w:p w14:paraId="7D4A721F"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22,61</w:t>
            </w:r>
          </w:p>
        </w:tc>
        <w:tc>
          <w:tcPr>
            <w:tcW w:w="363" w:type="pct"/>
            <w:tcBorders>
              <w:top w:val="nil"/>
              <w:left w:val="nil"/>
              <w:bottom w:val="single" w:sz="8" w:space="0" w:color="D9D9D9"/>
              <w:right w:val="single" w:sz="8" w:space="0" w:color="D9D9D9"/>
            </w:tcBorders>
            <w:shd w:val="clear" w:color="auto" w:fill="auto"/>
            <w:noWrap/>
            <w:vAlign w:val="center"/>
          </w:tcPr>
          <w:p w14:paraId="7D4A7220"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1.748</w:t>
            </w:r>
          </w:p>
        </w:tc>
        <w:tc>
          <w:tcPr>
            <w:tcW w:w="363" w:type="pct"/>
            <w:tcBorders>
              <w:top w:val="nil"/>
              <w:left w:val="nil"/>
              <w:bottom w:val="single" w:sz="8" w:space="0" w:color="D9D9D9"/>
              <w:right w:val="single" w:sz="8" w:space="0" w:color="D9D9D9"/>
            </w:tcBorders>
            <w:shd w:val="clear" w:color="auto" w:fill="auto"/>
            <w:noWrap/>
            <w:vAlign w:val="center"/>
          </w:tcPr>
          <w:p w14:paraId="7D4A7221"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18,18</w:t>
            </w:r>
          </w:p>
        </w:tc>
        <w:tc>
          <w:tcPr>
            <w:tcW w:w="363" w:type="pct"/>
            <w:tcBorders>
              <w:top w:val="nil"/>
              <w:left w:val="nil"/>
              <w:bottom w:val="single" w:sz="8" w:space="0" w:color="D9D9D9"/>
              <w:right w:val="single" w:sz="8" w:space="0" w:color="D9D9D9"/>
            </w:tcBorders>
            <w:shd w:val="clear" w:color="auto" w:fill="auto"/>
            <w:noWrap/>
            <w:vAlign w:val="center"/>
          </w:tcPr>
          <w:p w14:paraId="7D4A7222"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1.967</w:t>
            </w:r>
          </w:p>
        </w:tc>
        <w:tc>
          <w:tcPr>
            <w:tcW w:w="364" w:type="pct"/>
            <w:tcBorders>
              <w:top w:val="nil"/>
              <w:left w:val="nil"/>
              <w:bottom w:val="single" w:sz="8" w:space="0" w:color="D9D9D9"/>
              <w:right w:val="single" w:sz="8" w:space="0" w:color="D9D9D9"/>
            </w:tcBorders>
            <w:shd w:val="clear" w:color="auto" w:fill="auto"/>
            <w:noWrap/>
            <w:vAlign w:val="center"/>
          </w:tcPr>
          <w:p w14:paraId="7D4A7223"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37,74</w:t>
            </w:r>
          </w:p>
        </w:tc>
        <w:tc>
          <w:tcPr>
            <w:tcW w:w="418" w:type="pct"/>
            <w:tcBorders>
              <w:top w:val="nil"/>
              <w:left w:val="nil"/>
              <w:bottom w:val="single" w:sz="8" w:space="0" w:color="D9D9D9"/>
              <w:right w:val="single" w:sz="8" w:space="0" w:color="D9D9D9"/>
            </w:tcBorders>
            <w:shd w:val="clear" w:color="auto" w:fill="auto"/>
            <w:vAlign w:val="center"/>
          </w:tcPr>
          <w:p w14:paraId="7D4A7224"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11.266</w:t>
            </w:r>
          </w:p>
        </w:tc>
        <w:tc>
          <w:tcPr>
            <w:tcW w:w="460" w:type="pct"/>
            <w:tcBorders>
              <w:top w:val="nil"/>
              <w:left w:val="nil"/>
              <w:bottom w:val="single" w:sz="8" w:space="0" w:color="D9D9D9"/>
              <w:right w:val="single" w:sz="8" w:space="0" w:color="D9D9D9"/>
            </w:tcBorders>
            <w:shd w:val="clear" w:color="auto" w:fill="auto"/>
            <w:vAlign w:val="center"/>
          </w:tcPr>
          <w:p w14:paraId="7D4A7225"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28,69</w:t>
            </w:r>
          </w:p>
        </w:tc>
      </w:tr>
      <w:tr w:rsidR="002A1509" w:rsidRPr="009E1B38" w14:paraId="7D4A7234"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27"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EPD</w:t>
            </w:r>
          </w:p>
        </w:tc>
        <w:tc>
          <w:tcPr>
            <w:tcW w:w="363" w:type="pct"/>
            <w:tcBorders>
              <w:top w:val="nil"/>
              <w:left w:val="nil"/>
              <w:bottom w:val="single" w:sz="8" w:space="0" w:color="D9D9D9"/>
              <w:right w:val="single" w:sz="8" w:space="0" w:color="D9D9D9"/>
            </w:tcBorders>
            <w:shd w:val="clear" w:color="auto" w:fill="auto"/>
            <w:vAlign w:val="center"/>
          </w:tcPr>
          <w:p w14:paraId="7D4A7228"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1.878</w:t>
            </w:r>
          </w:p>
        </w:tc>
        <w:tc>
          <w:tcPr>
            <w:tcW w:w="363" w:type="pct"/>
            <w:tcBorders>
              <w:top w:val="nil"/>
              <w:left w:val="nil"/>
              <w:bottom w:val="single" w:sz="8" w:space="0" w:color="D9D9D9"/>
              <w:right w:val="single" w:sz="8" w:space="0" w:color="D9D9D9"/>
            </w:tcBorders>
            <w:shd w:val="clear" w:color="auto" w:fill="auto"/>
            <w:noWrap/>
            <w:vAlign w:val="center"/>
          </w:tcPr>
          <w:p w14:paraId="7D4A7229"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28,14</w:t>
            </w:r>
          </w:p>
        </w:tc>
        <w:tc>
          <w:tcPr>
            <w:tcW w:w="363" w:type="pct"/>
            <w:tcBorders>
              <w:top w:val="nil"/>
              <w:left w:val="nil"/>
              <w:bottom w:val="single" w:sz="8" w:space="0" w:color="D9D9D9"/>
              <w:right w:val="single" w:sz="8" w:space="0" w:color="D9D9D9"/>
            </w:tcBorders>
            <w:shd w:val="clear" w:color="auto" w:fill="auto"/>
            <w:vAlign w:val="center"/>
          </w:tcPr>
          <w:p w14:paraId="7D4A722A"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2.049</w:t>
            </w:r>
          </w:p>
        </w:tc>
        <w:tc>
          <w:tcPr>
            <w:tcW w:w="363" w:type="pct"/>
            <w:tcBorders>
              <w:top w:val="nil"/>
              <w:left w:val="nil"/>
              <w:bottom w:val="single" w:sz="8" w:space="0" w:color="D9D9D9"/>
              <w:right w:val="single" w:sz="8" w:space="0" w:color="D9D9D9"/>
            </w:tcBorders>
            <w:shd w:val="clear" w:color="auto" w:fill="auto"/>
            <w:noWrap/>
            <w:vAlign w:val="center"/>
          </w:tcPr>
          <w:p w14:paraId="7D4A722B"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24,49</w:t>
            </w:r>
          </w:p>
        </w:tc>
        <w:tc>
          <w:tcPr>
            <w:tcW w:w="363" w:type="pct"/>
            <w:tcBorders>
              <w:top w:val="nil"/>
              <w:left w:val="nil"/>
              <w:bottom w:val="single" w:sz="8" w:space="0" w:color="D9D9D9"/>
              <w:right w:val="single" w:sz="8" w:space="0" w:color="D9D9D9"/>
            </w:tcBorders>
            <w:shd w:val="clear" w:color="auto" w:fill="auto"/>
            <w:noWrap/>
            <w:vAlign w:val="center"/>
          </w:tcPr>
          <w:p w14:paraId="7D4A722C"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2.211</w:t>
            </w:r>
          </w:p>
        </w:tc>
        <w:tc>
          <w:tcPr>
            <w:tcW w:w="363" w:type="pct"/>
            <w:tcBorders>
              <w:top w:val="nil"/>
              <w:left w:val="nil"/>
              <w:bottom w:val="single" w:sz="8" w:space="0" w:color="D9D9D9"/>
              <w:right w:val="single" w:sz="8" w:space="0" w:color="D9D9D9"/>
            </w:tcBorders>
            <w:shd w:val="clear" w:color="auto" w:fill="auto"/>
            <w:noWrap/>
            <w:vAlign w:val="center"/>
          </w:tcPr>
          <w:p w14:paraId="7D4A722D"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23,53</w:t>
            </w:r>
          </w:p>
        </w:tc>
        <w:tc>
          <w:tcPr>
            <w:tcW w:w="363" w:type="pct"/>
            <w:tcBorders>
              <w:top w:val="nil"/>
              <w:left w:val="nil"/>
              <w:bottom w:val="single" w:sz="8" w:space="0" w:color="D9D9D9"/>
              <w:right w:val="single" w:sz="8" w:space="0" w:color="D9D9D9"/>
            </w:tcBorders>
            <w:shd w:val="clear" w:color="auto" w:fill="auto"/>
            <w:noWrap/>
            <w:vAlign w:val="center"/>
          </w:tcPr>
          <w:p w14:paraId="7D4A722E"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1.723</w:t>
            </w:r>
          </w:p>
        </w:tc>
        <w:tc>
          <w:tcPr>
            <w:tcW w:w="363" w:type="pct"/>
            <w:tcBorders>
              <w:top w:val="nil"/>
              <w:left w:val="nil"/>
              <w:bottom w:val="single" w:sz="8" w:space="0" w:color="D9D9D9"/>
              <w:right w:val="single" w:sz="8" w:space="0" w:color="D9D9D9"/>
            </w:tcBorders>
            <w:shd w:val="clear" w:color="auto" w:fill="auto"/>
            <w:noWrap/>
            <w:vAlign w:val="center"/>
          </w:tcPr>
          <w:p w14:paraId="7D4A722F"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17,91</w:t>
            </w:r>
          </w:p>
        </w:tc>
        <w:tc>
          <w:tcPr>
            <w:tcW w:w="363" w:type="pct"/>
            <w:tcBorders>
              <w:top w:val="nil"/>
              <w:left w:val="nil"/>
              <w:bottom w:val="single" w:sz="8" w:space="0" w:color="D9D9D9"/>
              <w:right w:val="single" w:sz="8" w:space="0" w:color="D9D9D9"/>
            </w:tcBorders>
            <w:shd w:val="clear" w:color="auto" w:fill="auto"/>
            <w:noWrap/>
            <w:vAlign w:val="center"/>
          </w:tcPr>
          <w:p w14:paraId="7D4A7230"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1.959</w:t>
            </w:r>
          </w:p>
        </w:tc>
        <w:tc>
          <w:tcPr>
            <w:tcW w:w="364" w:type="pct"/>
            <w:tcBorders>
              <w:top w:val="nil"/>
              <w:left w:val="nil"/>
              <w:bottom w:val="single" w:sz="8" w:space="0" w:color="D9D9D9"/>
              <w:right w:val="single" w:sz="8" w:space="0" w:color="D9D9D9"/>
            </w:tcBorders>
            <w:shd w:val="clear" w:color="auto" w:fill="auto"/>
            <w:noWrap/>
            <w:vAlign w:val="center"/>
          </w:tcPr>
          <w:p w14:paraId="7D4A7231"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37,59</w:t>
            </w:r>
          </w:p>
        </w:tc>
        <w:tc>
          <w:tcPr>
            <w:tcW w:w="418" w:type="pct"/>
            <w:tcBorders>
              <w:top w:val="nil"/>
              <w:left w:val="nil"/>
              <w:bottom w:val="single" w:sz="8" w:space="0" w:color="D9D9D9"/>
              <w:right w:val="single" w:sz="8" w:space="0" w:color="D9D9D9"/>
            </w:tcBorders>
            <w:shd w:val="clear" w:color="auto" w:fill="auto"/>
            <w:vAlign w:val="center"/>
          </w:tcPr>
          <w:p w14:paraId="7D4A7232"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9.820</w:t>
            </w:r>
          </w:p>
        </w:tc>
        <w:tc>
          <w:tcPr>
            <w:tcW w:w="460" w:type="pct"/>
            <w:tcBorders>
              <w:top w:val="nil"/>
              <w:left w:val="nil"/>
              <w:bottom w:val="single" w:sz="8" w:space="0" w:color="D9D9D9"/>
              <w:right w:val="single" w:sz="8" w:space="0" w:color="D9D9D9"/>
            </w:tcBorders>
            <w:shd w:val="clear" w:color="auto" w:fill="auto"/>
            <w:vAlign w:val="center"/>
          </w:tcPr>
          <w:p w14:paraId="7D4A7233"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25,00</w:t>
            </w:r>
          </w:p>
        </w:tc>
      </w:tr>
      <w:tr w:rsidR="002A1509" w:rsidRPr="009E1B38" w14:paraId="7D4A7242"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35"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TDB</w:t>
            </w:r>
          </w:p>
        </w:tc>
        <w:tc>
          <w:tcPr>
            <w:tcW w:w="363" w:type="pct"/>
            <w:tcBorders>
              <w:top w:val="nil"/>
              <w:left w:val="nil"/>
              <w:bottom w:val="single" w:sz="8" w:space="0" w:color="D9D9D9"/>
              <w:right w:val="single" w:sz="8" w:space="0" w:color="D9D9D9"/>
            </w:tcBorders>
            <w:shd w:val="clear" w:color="auto" w:fill="auto"/>
            <w:vAlign w:val="center"/>
          </w:tcPr>
          <w:p w14:paraId="7D4A7236"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525</w:t>
            </w:r>
          </w:p>
        </w:tc>
        <w:tc>
          <w:tcPr>
            <w:tcW w:w="363" w:type="pct"/>
            <w:tcBorders>
              <w:top w:val="nil"/>
              <w:left w:val="nil"/>
              <w:bottom w:val="single" w:sz="8" w:space="0" w:color="D9D9D9"/>
              <w:right w:val="single" w:sz="8" w:space="0" w:color="D9D9D9"/>
            </w:tcBorders>
            <w:shd w:val="clear" w:color="auto" w:fill="auto"/>
            <w:noWrap/>
            <w:vAlign w:val="center"/>
          </w:tcPr>
          <w:p w14:paraId="7D4A7237"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7,87</w:t>
            </w:r>
          </w:p>
        </w:tc>
        <w:tc>
          <w:tcPr>
            <w:tcW w:w="363" w:type="pct"/>
            <w:tcBorders>
              <w:top w:val="nil"/>
              <w:left w:val="nil"/>
              <w:bottom w:val="single" w:sz="8" w:space="0" w:color="D9D9D9"/>
              <w:right w:val="single" w:sz="8" w:space="0" w:color="D9D9D9"/>
            </w:tcBorders>
            <w:shd w:val="clear" w:color="auto" w:fill="auto"/>
            <w:vAlign w:val="center"/>
          </w:tcPr>
          <w:p w14:paraId="7D4A7238"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546</w:t>
            </w:r>
          </w:p>
        </w:tc>
        <w:tc>
          <w:tcPr>
            <w:tcW w:w="363" w:type="pct"/>
            <w:tcBorders>
              <w:top w:val="nil"/>
              <w:left w:val="nil"/>
              <w:bottom w:val="single" w:sz="8" w:space="0" w:color="D9D9D9"/>
              <w:right w:val="single" w:sz="8" w:space="0" w:color="D9D9D9"/>
            </w:tcBorders>
            <w:shd w:val="clear" w:color="auto" w:fill="auto"/>
            <w:noWrap/>
            <w:vAlign w:val="center"/>
          </w:tcPr>
          <w:p w14:paraId="7D4A7239"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6,52</w:t>
            </w:r>
          </w:p>
        </w:tc>
        <w:tc>
          <w:tcPr>
            <w:tcW w:w="363" w:type="pct"/>
            <w:tcBorders>
              <w:top w:val="nil"/>
              <w:left w:val="nil"/>
              <w:bottom w:val="single" w:sz="8" w:space="0" w:color="D9D9D9"/>
              <w:right w:val="single" w:sz="8" w:space="0" w:color="D9D9D9"/>
            </w:tcBorders>
            <w:shd w:val="clear" w:color="auto" w:fill="auto"/>
            <w:noWrap/>
            <w:vAlign w:val="center"/>
          </w:tcPr>
          <w:p w14:paraId="7D4A723A"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524</w:t>
            </w:r>
          </w:p>
        </w:tc>
        <w:tc>
          <w:tcPr>
            <w:tcW w:w="363" w:type="pct"/>
            <w:tcBorders>
              <w:top w:val="nil"/>
              <w:left w:val="nil"/>
              <w:bottom w:val="single" w:sz="8" w:space="0" w:color="D9D9D9"/>
              <w:right w:val="single" w:sz="8" w:space="0" w:color="D9D9D9"/>
            </w:tcBorders>
            <w:shd w:val="clear" w:color="auto" w:fill="auto"/>
            <w:noWrap/>
            <w:vAlign w:val="center"/>
          </w:tcPr>
          <w:p w14:paraId="7D4A723B"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5,58</w:t>
            </w:r>
          </w:p>
        </w:tc>
        <w:tc>
          <w:tcPr>
            <w:tcW w:w="363" w:type="pct"/>
            <w:tcBorders>
              <w:top w:val="nil"/>
              <w:left w:val="nil"/>
              <w:bottom w:val="single" w:sz="8" w:space="0" w:color="D9D9D9"/>
              <w:right w:val="single" w:sz="8" w:space="0" w:color="D9D9D9"/>
            </w:tcBorders>
            <w:shd w:val="clear" w:color="auto" w:fill="auto"/>
            <w:noWrap/>
            <w:vAlign w:val="center"/>
          </w:tcPr>
          <w:p w14:paraId="7D4A723C"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669</w:t>
            </w:r>
          </w:p>
        </w:tc>
        <w:tc>
          <w:tcPr>
            <w:tcW w:w="363" w:type="pct"/>
            <w:tcBorders>
              <w:top w:val="nil"/>
              <w:left w:val="nil"/>
              <w:bottom w:val="single" w:sz="8" w:space="0" w:color="D9D9D9"/>
              <w:right w:val="single" w:sz="8" w:space="0" w:color="D9D9D9"/>
            </w:tcBorders>
            <w:shd w:val="clear" w:color="auto" w:fill="auto"/>
            <w:noWrap/>
            <w:vAlign w:val="center"/>
          </w:tcPr>
          <w:p w14:paraId="7D4A723D"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6,96</w:t>
            </w:r>
          </w:p>
        </w:tc>
        <w:tc>
          <w:tcPr>
            <w:tcW w:w="363" w:type="pct"/>
            <w:tcBorders>
              <w:top w:val="nil"/>
              <w:left w:val="nil"/>
              <w:bottom w:val="single" w:sz="8" w:space="0" w:color="D9D9D9"/>
              <w:right w:val="single" w:sz="8" w:space="0" w:color="D9D9D9"/>
            </w:tcBorders>
            <w:shd w:val="clear" w:color="auto" w:fill="auto"/>
            <w:noWrap/>
            <w:vAlign w:val="center"/>
          </w:tcPr>
          <w:p w14:paraId="7D4A723E"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475</w:t>
            </w:r>
          </w:p>
        </w:tc>
        <w:tc>
          <w:tcPr>
            <w:tcW w:w="364" w:type="pct"/>
            <w:tcBorders>
              <w:top w:val="nil"/>
              <w:left w:val="nil"/>
              <w:bottom w:val="single" w:sz="8" w:space="0" w:color="D9D9D9"/>
              <w:right w:val="single" w:sz="8" w:space="0" w:color="D9D9D9"/>
            </w:tcBorders>
            <w:shd w:val="clear" w:color="auto" w:fill="auto"/>
            <w:noWrap/>
            <w:vAlign w:val="center"/>
          </w:tcPr>
          <w:p w14:paraId="7D4A723F"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9,11</w:t>
            </w:r>
          </w:p>
        </w:tc>
        <w:tc>
          <w:tcPr>
            <w:tcW w:w="418" w:type="pct"/>
            <w:tcBorders>
              <w:top w:val="nil"/>
              <w:left w:val="nil"/>
              <w:bottom w:val="single" w:sz="8" w:space="0" w:color="D9D9D9"/>
              <w:right w:val="single" w:sz="8" w:space="0" w:color="D9D9D9"/>
            </w:tcBorders>
            <w:shd w:val="clear" w:color="auto" w:fill="auto"/>
            <w:vAlign w:val="center"/>
          </w:tcPr>
          <w:p w14:paraId="7D4A7240"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2.739</w:t>
            </w:r>
          </w:p>
        </w:tc>
        <w:tc>
          <w:tcPr>
            <w:tcW w:w="460" w:type="pct"/>
            <w:tcBorders>
              <w:top w:val="nil"/>
              <w:left w:val="nil"/>
              <w:bottom w:val="single" w:sz="8" w:space="0" w:color="D9D9D9"/>
              <w:right w:val="single" w:sz="8" w:space="0" w:color="D9D9D9"/>
            </w:tcBorders>
            <w:shd w:val="clear" w:color="auto" w:fill="auto"/>
            <w:vAlign w:val="center"/>
          </w:tcPr>
          <w:p w14:paraId="7D4A7241"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6,97</w:t>
            </w:r>
          </w:p>
        </w:tc>
      </w:tr>
      <w:tr w:rsidR="002A1509" w:rsidRPr="009E1B38" w14:paraId="7D4A7250"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43"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PPD</w:t>
            </w:r>
          </w:p>
        </w:tc>
        <w:tc>
          <w:tcPr>
            <w:tcW w:w="363" w:type="pct"/>
            <w:tcBorders>
              <w:top w:val="nil"/>
              <w:left w:val="nil"/>
              <w:bottom w:val="single" w:sz="8" w:space="0" w:color="D9D9D9"/>
              <w:right w:val="single" w:sz="8" w:space="0" w:color="D9D9D9"/>
            </w:tcBorders>
            <w:shd w:val="clear" w:color="auto" w:fill="auto"/>
            <w:vAlign w:val="center"/>
          </w:tcPr>
          <w:p w14:paraId="7D4A7244"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334</w:t>
            </w:r>
          </w:p>
        </w:tc>
        <w:tc>
          <w:tcPr>
            <w:tcW w:w="363" w:type="pct"/>
            <w:tcBorders>
              <w:top w:val="nil"/>
              <w:left w:val="nil"/>
              <w:bottom w:val="single" w:sz="8" w:space="0" w:color="D9D9D9"/>
              <w:right w:val="single" w:sz="8" w:space="0" w:color="D9D9D9"/>
            </w:tcBorders>
            <w:shd w:val="clear" w:color="auto" w:fill="auto"/>
            <w:noWrap/>
            <w:vAlign w:val="center"/>
          </w:tcPr>
          <w:p w14:paraId="7D4A7245"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5,01</w:t>
            </w:r>
          </w:p>
        </w:tc>
        <w:tc>
          <w:tcPr>
            <w:tcW w:w="363" w:type="pct"/>
            <w:tcBorders>
              <w:top w:val="nil"/>
              <w:left w:val="nil"/>
              <w:bottom w:val="single" w:sz="8" w:space="0" w:color="D9D9D9"/>
              <w:right w:val="single" w:sz="8" w:space="0" w:color="D9D9D9"/>
            </w:tcBorders>
            <w:shd w:val="clear" w:color="auto" w:fill="auto"/>
            <w:vAlign w:val="center"/>
          </w:tcPr>
          <w:p w14:paraId="7D4A7246"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295</w:t>
            </w:r>
          </w:p>
        </w:tc>
        <w:tc>
          <w:tcPr>
            <w:tcW w:w="363" w:type="pct"/>
            <w:tcBorders>
              <w:top w:val="nil"/>
              <w:left w:val="nil"/>
              <w:bottom w:val="single" w:sz="8" w:space="0" w:color="D9D9D9"/>
              <w:right w:val="single" w:sz="8" w:space="0" w:color="D9D9D9"/>
            </w:tcBorders>
            <w:shd w:val="clear" w:color="auto" w:fill="auto"/>
            <w:noWrap/>
            <w:vAlign w:val="center"/>
          </w:tcPr>
          <w:p w14:paraId="7D4A7247"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3,53</w:t>
            </w:r>
          </w:p>
        </w:tc>
        <w:tc>
          <w:tcPr>
            <w:tcW w:w="363" w:type="pct"/>
            <w:tcBorders>
              <w:top w:val="nil"/>
              <w:left w:val="nil"/>
              <w:bottom w:val="single" w:sz="8" w:space="0" w:color="D9D9D9"/>
              <w:right w:val="single" w:sz="8" w:space="0" w:color="D9D9D9"/>
            </w:tcBorders>
            <w:shd w:val="clear" w:color="auto" w:fill="auto"/>
            <w:noWrap/>
            <w:vAlign w:val="center"/>
          </w:tcPr>
          <w:p w14:paraId="7D4A7248"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269</w:t>
            </w:r>
          </w:p>
        </w:tc>
        <w:tc>
          <w:tcPr>
            <w:tcW w:w="363" w:type="pct"/>
            <w:tcBorders>
              <w:top w:val="nil"/>
              <w:left w:val="nil"/>
              <w:bottom w:val="single" w:sz="8" w:space="0" w:color="D9D9D9"/>
              <w:right w:val="single" w:sz="8" w:space="0" w:color="D9D9D9"/>
            </w:tcBorders>
            <w:shd w:val="clear" w:color="auto" w:fill="auto"/>
            <w:noWrap/>
            <w:vAlign w:val="center"/>
          </w:tcPr>
          <w:p w14:paraId="7D4A7249"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2,86</w:t>
            </w:r>
          </w:p>
        </w:tc>
        <w:tc>
          <w:tcPr>
            <w:tcW w:w="363" w:type="pct"/>
            <w:tcBorders>
              <w:top w:val="nil"/>
              <w:left w:val="nil"/>
              <w:bottom w:val="single" w:sz="8" w:space="0" w:color="D9D9D9"/>
              <w:right w:val="single" w:sz="8" w:space="0" w:color="D9D9D9"/>
            </w:tcBorders>
            <w:shd w:val="clear" w:color="auto" w:fill="auto"/>
            <w:noWrap/>
            <w:vAlign w:val="center"/>
          </w:tcPr>
          <w:p w14:paraId="7D4A724A"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225</w:t>
            </w:r>
          </w:p>
        </w:tc>
        <w:tc>
          <w:tcPr>
            <w:tcW w:w="363" w:type="pct"/>
            <w:tcBorders>
              <w:top w:val="nil"/>
              <w:left w:val="nil"/>
              <w:bottom w:val="single" w:sz="8" w:space="0" w:color="D9D9D9"/>
              <w:right w:val="single" w:sz="8" w:space="0" w:color="D9D9D9"/>
            </w:tcBorders>
            <w:shd w:val="clear" w:color="auto" w:fill="auto"/>
            <w:noWrap/>
            <w:vAlign w:val="center"/>
          </w:tcPr>
          <w:p w14:paraId="7D4A724B"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2,34</w:t>
            </w:r>
          </w:p>
        </w:tc>
        <w:tc>
          <w:tcPr>
            <w:tcW w:w="363" w:type="pct"/>
            <w:tcBorders>
              <w:top w:val="nil"/>
              <w:left w:val="nil"/>
              <w:bottom w:val="single" w:sz="8" w:space="0" w:color="D9D9D9"/>
              <w:right w:val="single" w:sz="8" w:space="0" w:color="D9D9D9"/>
            </w:tcBorders>
            <w:shd w:val="clear" w:color="auto" w:fill="auto"/>
            <w:noWrap/>
            <w:vAlign w:val="center"/>
          </w:tcPr>
          <w:p w14:paraId="7D4A724C"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187</w:t>
            </w:r>
          </w:p>
        </w:tc>
        <w:tc>
          <w:tcPr>
            <w:tcW w:w="364" w:type="pct"/>
            <w:tcBorders>
              <w:top w:val="nil"/>
              <w:left w:val="nil"/>
              <w:bottom w:val="single" w:sz="8" w:space="0" w:color="D9D9D9"/>
              <w:right w:val="single" w:sz="8" w:space="0" w:color="D9D9D9"/>
            </w:tcBorders>
            <w:shd w:val="clear" w:color="auto" w:fill="auto"/>
            <w:noWrap/>
            <w:vAlign w:val="center"/>
          </w:tcPr>
          <w:p w14:paraId="7D4A724D"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3,59</w:t>
            </w:r>
          </w:p>
        </w:tc>
        <w:tc>
          <w:tcPr>
            <w:tcW w:w="418" w:type="pct"/>
            <w:tcBorders>
              <w:top w:val="nil"/>
              <w:left w:val="nil"/>
              <w:bottom w:val="single" w:sz="8" w:space="0" w:color="D9D9D9"/>
              <w:right w:val="single" w:sz="8" w:space="0" w:color="D9D9D9"/>
            </w:tcBorders>
            <w:shd w:val="clear" w:color="auto" w:fill="auto"/>
            <w:vAlign w:val="center"/>
          </w:tcPr>
          <w:p w14:paraId="7D4A724E"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1.310</w:t>
            </w:r>
          </w:p>
        </w:tc>
        <w:tc>
          <w:tcPr>
            <w:tcW w:w="460" w:type="pct"/>
            <w:tcBorders>
              <w:top w:val="nil"/>
              <w:left w:val="nil"/>
              <w:bottom w:val="single" w:sz="8" w:space="0" w:color="D9D9D9"/>
              <w:right w:val="single" w:sz="8" w:space="0" w:color="D9D9D9"/>
            </w:tcBorders>
            <w:shd w:val="clear" w:color="auto" w:fill="auto"/>
            <w:vAlign w:val="center"/>
          </w:tcPr>
          <w:p w14:paraId="7D4A724F"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3,34</w:t>
            </w:r>
          </w:p>
        </w:tc>
      </w:tr>
      <w:tr w:rsidR="002A1509" w:rsidRPr="009E1B38" w14:paraId="7D4A725E"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51"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DPD</w:t>
            </w:r>
          </w:p>
        </w:tc>
        <w:tc>
          <w:tcPr>
            <w:tcW w:w="363" w:type="pct"/>
            <w:tcBorders>
              <w:top w:val="nil"/>
              <w:left w:val="nil"/>
              <w:bottom w:val="single" w:sz="8" w:space="0" w:color="D9D9D9"/>
              <w:right w:val="single" w:sz="8" w:space="0" w:color="D9D9D9"/>
            </w:tcBorders>
            <w:shd w:val="clear" w:color="auto" w:fill="auto"/>
            <w:vAlign w:val="center"/>
          </w:tcPr>
          <w:p w14:paraId="7D4A7252"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364</w:t>
            </w:r>
          </w:p>
        </w:tc>
        <w:tc>
          <w:tcPr>
            <w:tcW w:w="363" w:type="pct"/>
            <w:tcBorders>
              <w:top w:val="nil"/>
              <w:left w:val="nil"/>
              <w:bottom w:val="single" w:sz="8" w:space="0" w:color="D9D9D9"/>
              <w:right w:val="single" w:sz="8" w:space="0" w:color="D9D9D9"/>
            </w:tcBorders>
            <w:shd w:val="clear" w:color="auto" w:fill="auto"/>
            <w:noWrap/>
            <w:vAlign w:val="center"/>
          </w:tcPr>
          <w:p w14:paraId="7D4A7253"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5,45</w:t>
            </w:r>
          </w:p>
        </w:tc>
        <w:tc>
          <w:tcPr>
            <w:tcW w:w="363" w:type="pct"/>
            <w:tcBorders>
              <w:top w:val="nil"/>
              <w:left w:val="nil"/>
              <w:bottom w:val="single" w:sz="8" w:space="0" w:color="D9D9D9"/>
              <w:right w:val="single" w:sz="8" w:space="0" w:color="D9D9D9"/>
            </w:tcBorders>
            <w:shd w:val="clear" w:color="auto" w:fill="auto"/>
            <w:vAlign w:val="center"/>
          </w:tcPr>
          <w:p w14:paraId="7D4A7254"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183</w:t>
            </w:r>
          </w:p>
        </w:tc>
        <w:tc>
          <w:tcPr>
            <w:tcW w:w="363" w:type="pct"/>
            <w:tcBorders>
              <w:top w:val="nil"/>
              <w:left w:val="nil"/>
              <w:bottom w:val="single" w:sz="8" w:space="0" w:color="D9D9D9"/>
              <w:right w:val="single" w:sz="8" w:space="0" w:color="D9D9D9"/>
            </w:tcBorders>
            <w:shd w:val="clear" w:color="auto" w:fill="auto"/>
            <w:noWrap/>
            <w:vAlign w:val="center"/>
          </w:tcPr>
          <w:p w14:paraId="7D4A7255"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2,19</w:t>
            </w:r>
          </w:p>
        </w:tc>
        <w:tc>
          <w:tcPr>
            <w:tcW w:w="363" w:type="pct"/>
            <w:tcBorders>
              <w:top w:val="nil"/>
              <w:left w:val="nil"/>
              <w:bottom w:val="single" w:sz="8" w:space="0" w:color="D9D9D9"/>
              <w:right w:val="single" w:sz="8" w:space="0" w:color="D9D9D9"/>
            </w:tcBorders>
            <w:shd w:val="clear" w:color="auto" w:fill="auto"/>
            <w:noWrap/>
            <w:vAlign w:val="center"/>
          </w:tcPr>
          <w:p w14:paraId="7D4A7256"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160</w:t>
            </w:r>
          </w:p>
        </w:tc>
        <w:tc>
          <w:tcPr>
            <w:tcW w:w="363" w:type="pct"/>
            <w:tcBorders>
              <w:top w:val="nil"/>
              <w:left w:val="nil"/>
              <w:bottom w:val="single" w:sz="8" w:space="0" w:color="D9D9D9"/>
              <w:right w:val="single" w:sz="8" w:space="0" w:color="D9D9D9"/>
            </w:tcBorders>
            <w:shd w:val="clear" w:color="auto" w:fill="auto"/>
            <w:noWrap/>
            <w:vAlign w:val="center"/>
          </w:tcPr>
          <w:p w14:paraId="7D4A7257"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1,70</w:t>
            </w:r>
          </w:p>
        </w:tc>
        <w:tc>
          <w:tcPr>
            <w:tcW w:w="363" w:type="pct"/>
            <w:tcBorders>
              <w:top w:val="nil"/>
              <w:left w:val="nil"/>
              <w:bottom w:val="single" w:sz="8" w:space="0" w:color="D9D9D9"/>
              <w:right w:val="single" w:sz="8" w:space="0" w:color="D9D9D9"/>
            </w:tcBorders>
            <w:shd w:val="clear" w:color="auto" w:fill="auto"/>
            <w:noWrap/>
            <w:vAlign w:val="center"/>
          </w:tcPr>
          <w:p w14:paraId="7D4A7258"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148</w:t>
            </w:r>
          </w:p>
        </w:tc>
        <w:tc>
          <w:tcPr>
            <w:tcW w:w="363" w:type="pct"/>
            <w:tcBorders>
              <w:top w:val="nil"/>
              <w:left w:val="nil"/>
              <w:bottom w:val="single" w:sz="8" w:space="0" w:color="D9D9D9"/>
              <w:right w:val="single" w:sz="8" w:space="0" w:color="D9D9D9"/>
            </w:tcBorders>
            <w:shd w:val="clear" w:color="auto" w:fill="auto"/>
            <w:noWrap/>
            <w:vAlign w:val="center"/>
          </w:tcPr>
          <w:p w14:paraId="7D4A7259"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1,54</w:t>
            </w:r>
          </w:p>
        </w:tc>
        <w:tc>
          <w:tcPr>
            <w:tcW w:w="363" w:type="pct"/>
            <w:tcBorders>
              <w:top w:val="nil"/>
              <w:left w:val="nil"/>
              <w:bottom w:val="single" w:sz="8" w:space="0" w:color="D9D9D9"/>
              <w:right w:val="single" w:sz="8" w:space="0" w:color="D9D9D9"/>
            </w:tcBorders>
            <w:shd w:val="clear" w:color="auto" w:fill="auto"/>
            <w:noWrap/>
            <w:vAlign w:val="center"/>
          </w:tcPr>
          <w:p w14:paraId="7D4A725A"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200</w:t>
            </w:r>
          </w:p>
        </w:tc>
        <w:tc>
          <w:tcPr>
            <w:tcW w:w="364" w:type="pct"/>
            <w:tcBorders>
              <w:top w:val="nil"/>
              <w:left w:val="nil"/>
              <w:bottom w:val="single" w:sz="8" w:space="0" w:color="D9D9D9"/>
              <w:right w:val="single" w:sz="8" w:space="0" w:color="D9D9D9"/>
            </w:tcBorders>
            <w:shd w:val="clear" w:color="auto" w:fill="auto"/>
            <w:noWrap/>
            <w:vAlign w:val="center"/>
          </w:tcPr>
          <w:p w14:paraId="7D4A725B"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3,84</w:t>
            </w:r>
          </w:p>
        </w:tc>
        <w:tc>
          <w:tcPr>
            <w:tcW w:w="418" w:type="pct"/>
            <w:tcBorders>
              <w:top w:val="nil"/>
              <w:left w:val="nil"/>
              <w:bottom w:val="single" w:sz="8" w:space="0" w:color="D9D9D9"/>
              <w:right w:val="single" w:sz="8" w:space="0" w:color="D9D9D9"/>
            </w:tcBorders>
            <w:shd w:val="clear" w:color="auto" w:fill="auto"/>
            <w:vAlign w:val="center"/>
          </w:tcPr>
          <w:p w14:paraId="7D4A725C"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1.055</w:t>
            </w:r>
          </w:p>
        </w:tc>
        <w:tc>
          <w:tcPr>
            <w:tcW w:w="460" w:type="pct"/>
            <w:tcBorders>
              <w:top w:val="nil"/>
              <w:left w:val="nil"/>
              <w:bottom w:val="single" w:sz="8" w:space="0" w:color="D9D9D9"/>
              <w:right w:val="single" w:sz="8" w:space="0" w:color="D9D9D9"/>
            </w:tcBorders>
            <w:shd w:val="clear" w:color="auto" w:fill="auto"/>
            <w:vAlign w:val="center"/>
          </w:tcPr>
          <w:p w14:paraId="7D4A725D"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2,69</w:t>
            </w:r>
          </w:p>
        </w:tc>
      </w:tr>
      <w:tr w:rsidR="002A1509" w:rsidRPr="009E1B38" w14:paraId="7D4A726C"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5F"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LPG</w:t>
            </w:r>
          </w:p>
        </w:tc>
        <w:tc>
          <w:tcPr>
            <w:tcW w:w="363" w:type="pct"/>
            <w:tcBorders>
              <w:top w:val="nil"/>
              <w:left w:val="nil"/>
              <w:bottom w:val="single" w:sz="8" w:space="0" w:color="D9D9D9"/>
              <w:right w:val="single" w:sz="8" w:space="0" w:color="D9D9D9"/>
            </w:tcBorders>
            <w:shd w:val="clear" w:color="auto" w:fill="auto"/>
            <w:vAlign w:val="center"/>
          </w:tcPr>
          <w:p w14:paraId="7D4A7260"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116</w:t>
            </w:r>
          </w:p>
        </w:tc>
        <w:tc>
          <w:tcPr>
            <w:tcW w:w="363" w:type="pct"/>
            <w:tcBorders>
              <w:top w:val="nil"/>
              <w:left w:val="nil"/>
              <w:bottom w:val="single" w:sz="8" w:space="0" w:color="D9D9D9"/>
              <w:right w:val="single" w:sz="8" w:space="0" w:color="D9D9D9"/>
            </w:tcBorders>
            <w:shd w:val="clear" w:color="auto" w:fill="auto"/>
            <w:noWrap/>
            <w:vAlign w:val="center"/>
          </w:tcPr>
          <w:p w14:paraId="7D4A7261"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1,74</w:t>
            </w:r>
          </w:p>
        </w:tc>
        <w:tc>
          <w:tcPr>
            <w:tcW w:w="363" w:type="pct"/>
            <w:tcBorders>
              <w:top w:val="nil"/>
              <w:left w:val="nil"/>
              <w:bottom w:val="single" w:sz="8" w:space="0" w:color="D9D9D9"/>
              <w:right w:val="single" w:sz="8" w:space="0" w:color="D9D9D9"/>
            </w:tcBorders>
            <w:shd w:val="clear" w:color="auto" w:fill="auto"/>
            <w:vAlign w:val="center"/>
          </w:tcPr>
          <w:p w14:paraId="7D4A7262"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86</w:t>
            </w:r>
          </w:p>
        </w:tc>
        <w:tc>
          <w:tcPr>
            <w:tcW w:w="363" w:type="pct"/>
            <w:tcBorders>
              <w:top w:val="nil"/>
              <w:left w:val="nil"/>
              <w:bottom w:val="single" w:sz="8" w:space="0" w:color="D9D9D9"/>
              <w:right w:val="single" w:sz="8" w:space="0" w:color="D9D9D9"/>
            </w:tcBorders>
            <w:shd w:val="clear" w:color="auto" w:fill="auto"/>
            <w:noWrap/>
            <w:vAlign w:val="center"/>
          </w:tcPr>
          <w:p w14:paraId="7D4A7263"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1,03</w:t>
            </w:r>
          </w:p>
        </w:tc>
        <w:tc>
          <w:tcPr>
            <w:tcW w:w="363" w:type="pct"/>
            <w:tcBorders>
              <w:top w:val="nil"/>
              <w:left w:val="nil"/>
              <w:bottom w:val="single" w:sz="8" w:space="0" w:color="D9D9D9"/>
              <w:right w:val="single" w:sz="8" w:space="0" w:color="D9D9D9"/>
            </w:tcBorders>
            <w:shd w:val="clear" w:color="auto" w:fill="auto"/>
            <w:noWrap/>
            <w:vAlign w:val="center"/>
          </w:tcPr>
          <w:p w14:paraId="7D4A7264"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50</w:t>
            </w:r>
          </w:p>
        </w:tc>
        <w:tc>
          <w:tcPr>
            <w:tcW w:w="363" w:type="pct"/>
            <w:tcBorders>
              <w:top w:val="nil"/>
              <w:left w:val="nil"/>
              <w:bottom w:val="single" w:sz="8" w:space="0" w:color="D9D9D9"/>
              <w:right w:val="single" w:sz="8" w:space="0" w:color="D9D9D9"/>
            </w:tcBorders>
            <w:shd w:val="clear" w:color="auto" w:fill="auto"/>
            <w:noWrap/>
            <w:vAlign w:val="center"/>
          </w:tcPr>
          <w:p w14:paraId="7D4A7265"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0,53</w:t>
            </w:r>
          </w:p>
        </w:tc>
        <w:tc>
          <w:tcPr>
            <w:tcW w:w="363" w:type="pct"/>
            <w:tcBorders>
              <w:top w:val="nil"/>
              <w:left w:val="nil"/>
              <w:bottom w:val="single" w:sz="8" w:space="0" w:color="D9D9D9"/>
              <w:right w:val="single" w:sz="8" w:space="0" w:color="D9D9D9"/>
            </w:tcBorders>
            <w:shd w:val="clear" w:color="auto" w:fill="auto"/>
            <w:noWrap/>
            <w:vAlign w:val="center"/>
          </w:tcPr>
          <w:p w14:paraId="7D4A7266"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79</w:t>
            </w:r>
          </w:p>
        </w:tc>
        <w:tc>
          <w:tcPr>
            <w:tcW w:w="363" w:type="pct"/>
            <w:tcBorders>
              <w:top w:val="nil"/>
              <w:left w:val="nil"/>
              <w:bottom w:val="single" w:sz="8" w:space="0" w:color="D9D9D9"/>
              <w:right w:val="single" w:sz="8" w:space="0" w:color="D9D9D9"/>
            </w:tcBorders>
            <w:shd w:val="clear" w:color="auto" w:fill="auto"/>
            <w:noWrap/>
            <w:vAlign w:val="center"/>
          </w:tcPr>
          <w:p w14:paraId="7D4A7267"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0,82</w:t>
            </w:r>
          </w:p>
        </w:tc>
        <w:tc>
          <w:tcPr>
            <w:tcW w:w="363" w:type="pct"/>
            <w:tcBorders>
              <w:top w:val="nil"/>
              <w:left w:val="nil"/>
              <w:bottom w:val="single" w:sz="8" w:space="0" w:color="D9D9D9"/>
              <w:right w:val="single" w:sz="8" w:space="0" w:color="D9D9D9"/>
            </w:tcBorders>
            <w:shd w:val="clear" w:color="auto" w:fill="auto"/>
            <w:noWrap/>
            <w:vAlign w:val="center"/>
          </w:tcPr>
          <w:p w14:paraId="7D4A7268"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77</w:t>
            </w:r>
          </w:p>
        </w:tc>
        <w:tc>
          <w:tcPr>
            <w:tcW w:w="364" w:type="pct"/>
            <w:tcBorders>
              <w:top w:val="nil"/>
              <w:left w:val="nil"/>
              <w:bottom w:val="single" w:sz="8" w:space="0" w:color="D9D9D9"/>
              <w:right w:val="single" w:sz="8" w:space="0" w:color="D9D9D9"/>
            </w:tcBorders>
            <w:shd w:val="clear" w:color="auto" w:fill="auto"/>
            <w:noWrap/>
            <w:vAlign w:val="center"/>
          </w:tcPr>
          <w:p w14:paraId="7D4A7269"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1,48</w:t>
            </w:r>
          </w:p>
        </w:tc>
        <w:tc>
          <w:tcPr>
            <w:tcW w:w="418" w:type="pct"/>
            <w:tcBorders>
              <w:top w:val="nil"/>
              <w:left w:val="nil"/>
              <w:bottom w:val="single" w:sz="8" w:space="0" w:color="D9D9D9"/>
              <w:right w:val="single" w:sz="8" w:space="0" w:color="D9D9D9"/>
            </w:tcBorders>
            <w:shd w:val="clear" w:color="auto" w:fill="auto"/>
            <w:vAlign w:val="center"/>
          </w:tcPr>
          <w:p w14:paraId="7D4A726A"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408</w:t>
            </w:r>
          </w:p>
        </w:tc>
        <w:tc>
          <w:tcPr>
            <w:tcW w:w="460" w:type="pct"/>
            <w:tcBorders>
              <w:top w:val="nil"/>
              <w:left w:val="nil"/>
              <w:bottom w:val="single" w:sz="8" w:space="0" w:color="D9D9D9"/>
              <w:right w:val="single" w:sz="8" w:space="0" w:color="D9D9D9"/>
            </w:tcBorders>
            <w:shd w:val="clear" w:color="auto" w:fill="auto"/>
            <w:vAlign w:val="center"/>
          </w:tcPr>
          <w:p w14:paraId="7D4A726B"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1,04</w:t>
            </w:r>
          </w:p>
        </w:tc>
      </w:tr>
      <w:tr w:rsidR="002A1509" w:rsidRPr="009E1B38" w14:paraId="7D4A727A"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6D"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İKD</w:t>
            </w:r>
          </w:p>
        </w:tc>
        <w:tc>
          <w:tcPr>
            <w:tcW w:w="363" w:type="pct"/>
            <w:tcBorders>
              <w:top w:val="nil"/>
              <w:left w:val="nil"/>
              <w:bottom w:val="single" w:sz="8" w:space="0" w:color="D9D9D9"/>
              <w:right w:val="single" w:sz="8" w:space="0" w:color="D9D9D9"/>
            </w:tcBorders>
            <w:shd w:val="clear" w:color="auto" w:fill="auto"/>
            <w:vAlign w:val="center"/>
          </w:tcPr>
          <w:p w14:paraId="7D4A726E"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35</w:t>
            </w:r>
          </w:p>
        </w:tc>
        <w:tc>
          <w:tcPr>
            <w:tcW w:w="363" w:type="pct"/>
            <w:tcBorders>
              <w:top w:val="nil"/>
              <w:left w:val="nil"/>
              <w:bottom w:val="single" w:sz="8" w:space="0" w:color="D9D9D9"/>
              <w:right w:val="single" w:sz="8" w:space="0" w:color="D9D9D9"/>
            </w:tcBorders>
            <w:shd w:val="clear" w:color="auto" w:fill="auto"/>
            <w:noWrap/>
            <w:vAlign w:val="center"/>
          </w:tcPr>
          <w:p w14:paraId="7D4A726F"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0,52</w:t>
            </w:r>
          </w:p>
        </w:tc>
        <w:tc>
          <w:tcPr>
            <w:tcW w:w="363" w:type="pct"/>
            <w:tcBorders>
              <w:top w:val="nil"/>
              <w:left w:val="nil"/>
              <w:bottom w:val="single" w:sz="8" w:space="0" w:color="D9D9D9"/>
              <w:right w:val="single" w:sz="8" w:space="0" w:color="D9D9D9"/>
            </w:tcBorders>
            <w:shd w:val="clear" w:color="auto" w:fill="auto"/>
            <w:vAlign w:val="center"/>
          </w:tcPr>
          <w:p w14:paraId="7D4A7270"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38</w:t>
            </w:r>
          </w:p>
        </w:tc>
        <w:tc>
          <w:tcPr>
            <w:tcW w:w="363" w:type="pct"/>
            <w:tcBorders>
              <w:top w:val="nil"/>
              <w:left w:val="nil"/>
              <w:bottom w:val="single" w:sz="8" w:space="0" w:color="D9D9D9"/>
              <w:right w:val="single" w:sz="8" w:space="0" w:color="D9D9D9"/>
            </w:tcBorders>
            <w:shd w:val="clear" w:color="auto" w:fill="auto"/>
            <w:noWrap/>
            <w:vAlign w:val="center"/>
          </w:tcPr>
          <w:p w14:paraId="7D4A7271"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0,45</w:t>
            </w:r>
          </w:p>
        </w:tc>
        <w:tc>
          <w:tcPr>
            <w:tcW w:w="363" w:type="pct"/>
            <w:tcBorders>
              <w:top w:val="nil"/>
              <w:left w:val="nil"/>
              <w:bottom w:val="single" w:sz="8" w:space="0" w:color="D9D9D9"/>
              <w:right w:val="single" w:sz="8" w:space="0" w:color="D9D9D9"/>
            </w:tcBorders>
            <w:shd w:val="clear" w:color="auto" w:fill="auto"/>
            <w:noWrap/>
            <w:vAlign w:val="center"/>
          </w:tcPr>
          <w:p w14:paraId="7D4A7272"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33</w:t>
            </w:r>
          </w:p>
        </w:tc>
        <w:tc>
          <w:tcPr>
            <w:tcW w:w="363" w:type="pct"/>
            <w:tcBorders>
              <w:top w:val="nil"/>
              <w:left w:val="nil"/>
              <w:bottom w:val="single" w:sz="8" w:space="0" w:color="D9D9D9"/>
              <w:right w:val="single" w:sz="8" w:space="0" w:color="D9D9D9"/>
            </w:tcBorders>
            <w:shd w:val="clear" w:color="auto" w:fill="auto"/>
            <w:noWrap/>
            <w:vAlign w:val="center"/>
          </w:tcPr>
          <w:p w14:paraId="7D4A7273"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0,35</w:t>
            </w:r>
          </w:p>
        </w:tc>
        <w:tc>
          <w:tcPr>
            <w:tcW w:w="363" w:type="pct"/>
            <w:tcBorders>
              <w:top w:val="nil"/>
              <w:left w:val="nil"/>
              <w:bottom w:val="single" w:sz="8" w:space="0" w:color="D9D9D9"/>
              <w:right w:val="single" w:sz="8" w:space="0" w:color="D9D9D9"/>
            </w:tcBorders>
            <w:shd w:val="clear" w:color="auto" w:fill="auto"/>
            <w:noWrap/>
            <w:vAlign w:val="center"/>
          </w:tcPr>
          <w:p w14:paraId="7D4A7274"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15</w:t>
            </w:r>
          </w:p>
        </w:tc>
        <w:tc>
          <w:tcPr>
            <w:tcW w:w="363" w:type="pct"/>
            <w:tcBorders>
              <w:top w:val="nil"/>
              <w:left w:val="nil"/>
              <w:bottom w:val="single" w:sz="8" w:space="0" w:color="D9D9D9"/>
              <w:right w:val="single" w:sz="8" w:space="0" w:color="D9D9D9"/>
            </w:tcBorders>
            <w:shd w:val="clear" w:color="auto" w:fill="auto"/>
            <w:noWrap/>
            <w:vAlign w:val="center"/>
          </w:tcPr>
          <w:p w14:paraId="7D4A7275"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0,15</w:t>
            </w:r>
          </w:p>
        </w:tc>
        <w:tc>
          <w:tcPr>
            <w:tcW w:w="363" w:type="pct"/>
            <w:tcBorders>
              <w:top w:val="nil"/>
              <w:left w:val="nil"/>
              <w:bottom w:val="single" w:sz="8" w:space="0" w:color="D9D9D9"/>
              <w:right w:val="single" w:sz="8" w:space="0" w:color="D9D9D9"/>
            </w:tcBorders>
            <w:shd w:val="clear" w:color="auto" w:fill="auto"/>
            <w:noWrap/>
            <w:vAlign w:val="center"/>
          </w:tcPr>
          <w:p w14:paraId="7D4A7276"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44</w:t>
            </w:r>
          </w:p>
        </w:tc>
        <w:tc>
          <w:tcPr>
            <w:tcW w:w="364" w:type="pct"/>
            <w:tcBorders>
              <w:top w:val="nil"/>
              <w:left w:val="nil"/>
              <w:bottom w:val="single" w:sz="8" w:space="0" w:color="D9D9D9"/>
              <w:right w:val="single" w:sz="8" w:space="0" w:color="D9D9D9"/>
            </w:tcBorders>
            <w:shd w:val="clear" w:color="auto" w:fill="auto"/>
            <w:noWrap/>
            <w:vAlign w:val="center"/>
          </w:tcPr>
          <w:p w14:paraId="7D4A7277"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0,84</w:t>
            </w:r>
          </w:p>
        </w:tc>
        <w:tc>
          <w:tcPr>
            <w:tcW w:w="418" w:type="pct"/>
            <w:tcBorders>
              <w:top w:val="nil"/>
              <w:left w:val="nil"/>
              <w:bottom w:val="single" w:sz="8" w:space="0" w:color="D9D9D9"/>
              <w:right w:val="single" w:sz="8" w:space="0" w:color="D9D9D9"/>
            </w:tcBorders>
            <w:shd w:val="clear" w:color="auto" w:fill="auto"/>
            <w:vAlign w:val="center"/>
          </w:tcPr>
          <w:p w14:paraId="7D4A7278"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165</w:t>
            </w:r>
          </w:p>
        </w:tc>
        <w:tc>
          <w:tcPr>
            <w:tcW w:w="460" w:type="pct"/>
            <w:tcBorders>
              <w:top w:val="nil"/>
              <w:left w:val="nil"/>
              <w:bottom w:val="single" w:sz="8" w:space="0" w:color="D9D9D9"/>
              <w:right w:val="single" w:sz="8" w:space="0" w:color="D9D9D9"/>
            </w:tcBorders>
            <w:shd w:val="clear" w:color="auto" w:fill="auto"/>
            <w:vAlign w:val="center"/>
          </w:tcPr>
          <w:p w14:paraId="7D4A7279"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0,42</w:t>
            </w:r>
          </w:p>
        </w:tc>
      </w:tr>
      <w:tr w:rsidR="002A1509" w:rsidRPr="009E1B38" w14:paraId="7D4A7288"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7B"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SGD</w:t>
            </w:r>
          </w:p>
        </w:tc>
        <w:tc>
          <w:tcPr>
            <w:tcW w:w="363" w:type="pct"/>
            <w:tcBorders>
              <w:top w:val="nil"/>
              <w:left w:val="nil"/>
              <w:bottom w:val="single" w:sz="8" w:space="0" w:color="D9D9D9"/>
              <w:right w:val="single" w:sz="8" w:space="0" w:color="D9D9D9"/>
            </w:tcBorders>
            <w:shd w:val="clear" w:color="auto" w:fill="auto"/>
            <w:vAlign w:val="center"/>
          </w:tcPr>
          <w:p w14:paraId="7D4A727C"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29</w:t>
            </w:r>
          </w:p>
        </w:tc>
        <w:tc>
          <w:tcPr>
            <w:tcW w:w="363" w:type="pct"/>
            <w:tcBorders>
              <w:top w:val="nil"/>
              <w:left w:val="nil"/>
              <w:bottom w:val="single" w:sz="8" w:space="0" w:color="D9D9D9"/>
              <w:right w:val="single" w:sz="8" w:space="0" w:color="D9D9D9"/>
            </w:tcBorders>
            <w:shd w:val="clear" w:color="auto" w:fill="auto"/>
            <w:noWrap/>
            <w:vAlign w:val="center"/>
          </w:tcPr>
          <w:p w14:paraId="7D4A727D"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0,43</w:t>
            </w:r>
          </w:p>
        </w:tc>
        <w:tc>
          <w:tcPr>
            <w:tcW w:w="363" w:type="pct"/>
            <w:tcBorders>
              <w:top w:val="nil"/>
              <w:left w:val="nil"/>
              <w:bottom w:val="single" w:sz="8" w:space="0" w:color="D9D9D9"/>
              <w:right w:val="single" w:sz="8" w:space="0" w:color="D9D9D9"/>
            </w:tcBorders>
            <w:shd w:val="clear" w:color="auto" w:fill="auto"/>
            <w:vAlign w:val="center"/>
          </w:tcPr>
          <w:p w14:paraId="7D4A727E"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24</w:t>
            </w:r>
          </w:p>
        </w:tc>
        <w:tc>
          <w:tcPr>
            <w:tcW w:w="363" w:type="pct"/>
            <w:tcBorders>
              <w:top w:val="nil"/>
              <w:left w:val="nil"/>
              <w:bottom w:val="single" w:sz="8" w:space="0" w:color="D9D9D9"/>
              <w:right w:val="single" w:sz="8" w:space="0" w:color="D9D9D9"/>
            </w:tcBorders>
            <w:shd w:val="clear" w:color="auto" w:fill="auto"/>
            <w:noWrap/>
            <w:vAlign w:val="center"/>
          </w:tcPr>
          <w:p w14:paraId="7D4A727F"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0,29</w:t>
            </w:r>
          </w:p>
        </w:tc>
        <w:tc>
          <w:tcPr>
            <w:tcW w:w="363" w:type="pct"/>
            <w:tcBorders>
              <w:top w:val="nil"/>
              <w:left w:val="nil"/>
              <w:bottom w:val="single" w:sz="8" w:space="0" w:color="D9D9D9"/>
              <w:right w:val="single" w:sz="8" w:space="0" w:color="D9D9D9"/>
            </w:tcBorders>
            <w:shd w:val="clear" w:color="auto" w:fill="auto"/>
            <w:noWrap/>
            <w:vAlign w:val="center"/>
          </w:tcPr>
          <w:p w14:paraId="7D4A7280"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26</w:t>
            </w:r>
          </w:p>
        </w:tc>
        <w:tc>
          <w:tcPr>
            <w:tcW w:w="363" w:type="pct"/>
            <w:tcBorders>
              <w:top w:val="nil"/>
              <w:left w:val="nil"/>
              <w:bottom w:val="single" w:sz="8" w:space="0" w:color="D9D9D9"/>
              <w:right w:val="single" w:sz="8" w:space="0" w:color="D9D9D9"/>
            </w:tcBorders>
            <w:shd w:val="clear" w:color="auto" w:fill="auto"/>
            <w:noWrap/>
            <w:vAlign w:val="center"/>
          </w:tcPr>
          <w:p w14:paraId="7D4A7281"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0,28</w:t>
            </w:r>
          </w:p>
        </w:tc>
        <w:tc>
          <w:tcPr>
            <w:tcW w:w="363" w:type="pct"/>
            <w:tcBorders>
              <w:top w:val="nil"/>
              <w:left w:val="nil"/>
              <w:bottom w:val="single" w:sz="8" w:space="0" w:color="D9D9D9"/>
              <w:right w:val="single" w:sz="8" w:space="0" w:color="D9D9D9"/>
            </w:tcBorders>
            <w:shd w:val="clear" w:color="auto" w:fill="auto"/>
            <w:noWrap/>
            <w:vAlign w:val="center"/>
          </w:tcPr>
          <w:p w14:paraId="7D4A7282"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24</w:t>
            </w:r>
          </w:p>
        </w:tc>
        <w:tc>
          <w:tcPr>
            <w:tcW w:w="363" w:type="pct"/>
            <w:tcBorders>
              <w:top w:val="nil"/>
              <w:left w:val="nil"/>
              <w:bottom w:val="single" w:sz="8" w:space="0" w:color="D9D9D9"/>
              <w:right w:val="single" w:sz="8" w:space="0" w:color="D9D9D9"/>
            </w:tcBorders>
            <w:shd w:val="clear" w:color="auto" w:fill="auto"/>
            <w:noWrap/>
            <w:vAlign w:val="center"/>
          </w:tcPr>
          <w:p w14:paraId="7D4A7283"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0,25</w:t>
            </w:r>
          </w:p>
        </w:tc>
        <w:tc>
          <w:tcPr>
            <w:tcW w:w="363" w:type="pct"/>
            <w:tcBorders>
              <w:top w:val="nil"/>
              <w:left w:val="nil"/>
              <w:bottom w:val="single" w:sz="8" w:space="0" w:color="D9D9D9"/>
              <w:right w:val="single" w:sz="8" w:space="0" w:color="D9D9D9"/>
            </w:tcBorders>
            <w:shd w:val="clear" w:color="auto" w:fill="auto"/>
            <w:noWrap/>
            <w:vAlign w:val="center"/>
          </w:tcPr>
          <w:p w14:paraId="7D4A7284"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18</w:t>
            </w:r>
          </w:p>
        </w:tc>
        <w:tc>
          <w:tcPr>
            <w:tcW w:w="364" w:type="pct"/>
            <w:tcBorders>
              <w:top w:val="nil"/>
              <w:left w:val="nil"/>
              <w:bottom w:val="single" w:sz="8" w:space="0" w:color="D9D9D9"/>
              <w:right w:val="single" w:sz="8" w:space="0" w:color="D9D9D9"/>
            </w:tcBorders>
            <w:shd w:val="clear" w:color="auto" w:fill="auto"/>
            <w:noWrap/>
            <w:vAlign w:val="center"/>
          </w:tcPr>
          <w:p w14:paraId="7D4A7285"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0,34</w:t>
            </w:r>
          </w:p>
        </w:tc>
        <w:tc>
          <w:tcPr>
            <w:tcW w:w="418" w:type="pct"/>
            <w:tcBorders>
              <w:top w:val="nil"/>
              <w:left w:val="nil"/>
              <w:bottom w:val="single" w:sz="8" w:space="0" w:color="D9D9D9"/>
              <w:right w:val="single" w:sz="8" w:space="0" w:color="D9D9D9"/>
            </w:tcBorders>
            <w:shd w:val="clear" w:color="auto" w:fill="auto"/>
            <w:vAlign w:val="center"/>
          </w:tcPr>
          <w:p w14:paraId="7D4A7286"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121</w:t>
            </w:r>
          </w:p>
        </w:tc>
        <w:tc>
          <w:tcPr>
            <w:tcW w:w="460" w:type="pct"/>
            <w:tcBorders>
              <w:top w:val="nil"/>
              <w:left w:val="nil"/>
              <w:bottom w:val="single" w:sz="8" w:space="0" w:color="D9D9D9"/>
              <w:right w:val="single" w:sz="8" w:space="0" w:color="D9D9D9"/>
            </w:tcBorders>
            <w:shd w:val="clear" w:color="auto" w:fill="auto"/>
            <w:vAlign w:val="center"/>
          </w:tcPr>
          <w:p w14:paraId="7D4A7287"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0,31</w:t>
            </w:r>
          </w:p>
        </w:tc>
      </w:tr>
      <w:tr w:rsidR="002A1509" w:rsidRPr="009E1B38" w14:paraId="7D4A7296"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89"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HDB</w:t>
            </w:r>
          </w:p>
        </w:tc>
        <w:tc>
          <w:tcPr>
            <w:tcW w:w="363" w:type="pct"/>
            <w:tcBorders>
              <w:top w:val="nil"/>
              <w:left w:val="nil"/>
              <w:bottom w:val="single" w:sz="8" w:space="0" w:color="D9D9D9"/>
              <w:right w:val="single" w:sz="8" w:space="0" w:color="D9D9D9"/>
            </w:tcBorders>
            <w:shd w:val="clear" w:color="auto" w:fill="auto"/>
            <w:vAlign w:val="center"/>
          </w:tcPr>
          <w:p w14:paraId="7D4A728A"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w:t>
            </w:r>
          </w:p>
        </w:tc>
        <w:tc>
          <w:tcPr>
            <w:tcW w:w="363" w:type="pct"/>
            <w:tcBorders>
              <w:top w:val="nil"/>
              <w:left w:val="nil"/>
              <w:bottom w:val="single" w:sz="8" w:space="0" w:color="D9D9D9"/>
              <w:right w:val="single" w:sz="8" w:space="0" w:color="D9D9D9"/>
            </w:tcBorders>
            <w:shd w:val="clear" w:color="auto" w:fill="auto"/>
            <w:noWrap/>
            <w:vAlign w:val="center"/>
          </w:tcPr>
          <w:p w14:paraId="7D4A728B"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0,00</w:t>
            </w:r>
          </w:p>
        </w:tc>
        <w:tc>
          <w:tcPr>
            <w:tcW w:w="363" w:type="pct"/>
            <w:tcBorders>
              <w:top w:val="nil"/>
              <w:left w:val="nil"/>
              <w:bottom w:val="single" w:sz="8" w:space="0" w:color="D9D9D9"/>
              <w:right w:val="single" w:sz="8" w:space="0" w:color="D9D9D9"/>
            </w:tcBorders>
            <w:shd w:val="clear" w:color="auto" w:fill="auto"/>
            <w:vAlign w:val="center"/>
          </w:tcPr>
          <w:p w14:paraId="7D4A728C"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w:t>
            </w:r>
          </w:p>
        </w:tc>
        <w:tc>
          <w:tcPr>
            <w:tcW w:w="363" w:type="pct"/>
            <w:tcBorders>
              <w:top w:val="nil"/>
              <w:left w:val="nil"/>
              <w:bottom w:val="single" w:sz="8" w:space="0" w:color="D9D9D9"/>
              <w:right w:val="single" w:sz="8" w:space="0" w:color="D9D9D9"/>
            </w:tcBorders>
            <w:shd w:val="clear" w:color="auto" w:fill="auto"/>
            <w:noWrap/>
            <w:vAlign w:val="center"/>
          </w:tcPr>
          <w:p w14:paraId="7D4A728D"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0,01</w:t>
            </w:r>
          </w:p>
        </w:tc>
        <w:tc>
          <w:tcPr>
            <w:tcW w:w="363" w:type="pct"/>
            <w:tcBorders>
              <w:top w:val="nil"/>
              <w:left w:val="nil"/>
              <w:bottom w:val="single" w:sz="8" w:space="0" w:color="D9D9D9"/>
              <w:right w:val="single" w:sz="8" w:space="0" w:color="D9D9D9"/>
            </w:tcBorders>
            <w:shd w:val="clear" w:color="auto" w:fill="auto"/>
            <w:noWrap/>
            <w:vAlign w:val="center"/>
          </w:tcPr>
          <w:p w14:paraId="7D4A728E"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2</w:t>
            </w:r>
          </w:p>
        </w:tc>
        <w:tc>
          <w:tcPr>
            <w:tcW w:w="363" w:type="pct"/>
            <w:tcBorders>
              <w:top w:val="nil"/>
              <w:left w:val="nil"/>
              <w:bottom w:val="single" w:sz="8" w:space="0" w:color="D9D9D9"/>
              <w:right w:val="single" w:sz="8" w:space="0" w:color="D9D9D9"/>
            </w:tcBorders>
            <w:shd w:val="clear" w:color="auto" w:fill="auto"/>
            <w:noWrap/>
            <w:vAlign w:val="center"/>
          </w:tcPr>
          <w:p w14:paraId="7D4A728F"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0,02</w:t>
            </w:r>
          </w:p>
        </w:tc>
        <w:tc>
          <w:tcPr>
            <w:tcW w:w="363" w:type="pct"/>
            <w:tcBorders>
              <w:top w:val="nil"/>
              <w:left w:val="nil"/>
              <w:bottom w:val="single" w:sz="8" w:space="0" w:color="D9D9D9"/>
              <w:right w:val="single" w:sz="8" w:space="0" w:color="D9D9D9"/>
            </w:tcBorders>
            <w:shd w:val="clear" w:color="auto" w:fill="auto"/>
            <w:noWrap/>
            <w:vAlign w:val="center"/>
          </w:tcPr>
          <w:p w14:paraId="7D4A7290"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w:t>
            </w:r>
          </w:p>
        </w:tc>
        <w:tc>
          <w:tcPr>
            <w:tcW w:w="363" w:type="pct"/>
            <w:tcBorders>
              <w:top w:val="nil"/>
              <w:left w:val="nil"/>
              <w:bottom w:val="single" w:sz="8" w:space="0" w:color="D9D9D9"/>
              <w:right w:val="single" w:sz="8" w:space="0" w:color="D9D9D9"/>
            </w:tcBorders>
            <w:shd w:val="clear" w:color="auto" w:fill="auto"/>
            <w:noWrap/>
            <w:vAlign w:val="center"/>
          </w:tcPr>
          <w:p w14:paraId="7D4A7291"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0,00</w:t>
            </w:r>
          </w:p>
        </w:tc>
        <w:tc>
          <w:tcPr>
            <w:tcW w:w="363" w:type="pct"/>
            <w:tcBorders>
              <w:top w:val="nil"/>
              <w:left w:val="nil"/>
              <w:bottom w:val="single" w:sz="8" w:space="0" w:color="D9D9D9"/>
              <w:right w:val="single" w:sz="8" w:space="0" w:color="D9D9D9"/>
            </w:tcBorders>
            <w:shd w:val="clear" w:color="auto" w:fill="auto"/>
            <w:noWrap/>
            <w:vAlign w:val="center"/>
          </w:tcPr>
          <w:p w14:paraId="7D4A7292"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w:t>
            </w:r>
          </w:p>
        </w:tc>
        <w:tc>
          <w:tcPr>
            <w:tcW w:w="364" w:type="pct"/>
            <w:tcBorders>
              <w:top w:val="nil"/>
              <w:left w:val="nil"/>
              <w:bottom w:val="single" w:sz="8" w:space="0" w:color="D9D9D9"/>
              <w:right w:val="single" w:sz="8" w:space="0" w:color="D9D9D9"/>
            </w:tcBorders>
            <w:shd w:val="clear" w:color="auto" w:fill="auto"/>
            <w:noWrap/>
            <w:vAlign w:val="center"/>
          </w:tcPr>
          <w:p w14:paraId="7D4A7293"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0,00</w:t>
            </w:r>
          </w:p>
        </w:tc>
        <w:tc>
          <w:tcPr>
            <w:tcW w:w="418" w:type="pct"/>
            <w:tcBorders>
              <w:top w:val="nil"/>
              <w:left w:val="nil"/>
              <w:bottom w:val="single" w:sz="8" w:space="0" w:color="D9D9D9"/>
              <w:right w:val="single" w:sz="8" w:space="0" w:color="D9D9D9"/>
            </w:tcBorders>
            <w:shd w:val="clear" w:color="auto" w:fill="auto"/>
            <w:vAlign w:val="center"/>
          </w:tcPr>
          <w:p w14:paraId="7D4A7294"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3</w:t>
            </w:r>
          </w:p>
        </w:tc>
        <w:tc>
          <w:tcPr>
            <w:tcW w:w="460" w:type="pct"/>
            <w:tcBorders>
              <w:top w:val="nil"/>
              <w:left w:val="nil"/>
              <w:bottom w:val="single" w:sz="8" w:space="0" w:color="D9D9D9"/>
              <w:right w:val="single" w:sz="8" w:space="0" w:color="D9D9D9"/>
            </w:tcBorders>
            <w:shd w:val="clear" w:color="auto" w:fill="auto"/>
            <w:vAlign w:val="center"/>
          </w:tcPr>
          <w:p w14:paraId="7D4A7295"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0,01</w:t>
            </w:r>
          </w:p>
        </w:tc>
      </w:tr>
      <w:tr w:rsidR="002A1509" w:rsidRPr="009E1B38" w14:paraId="7D4A72A4"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97"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BİD</w:t>
            </w:r>
          </w:p>
        </w:tc>
        <w:tc>
          <w:tcPr>
            <w:tcW w:w="363" w:type="pct"/>
            <w:tcBorders>
              <w:top w:val="nil"/>
              <w:left w:val="nil"/>
              <w:bottom w:val="single" w:sz="8" w:space="0" w:color="D9D9D9"/>
              <w:right w:val="single" w:sz="8" w:space="0" w:color="D9D9D9"/>
            </w:tcBorders>
            <w:shd w:val="clear" w:color="auto" w:fill="auto"/>
            <w:vAlign w:val="center"/>
          </w:tcPr>
          <w:p w14:paraId="7D4A7298"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w:t>
            </w:r>
          </w:p>
        </w:tc>
        <w:tc>
          <w:tcPr>
            <w:tcW w:w="363" w:type="pct"/>
            <w:tcBorders>
              <w:top w:val="nil"/>
              <w:left w:val="nil"/>
              <w:bottom w:val="single" w:sz="8" w:space="0" w:color="D9D9D9"/>
              <w:right w:val="single" w:sz="8" w:space="0" w:color="D9D9D9"/>
            </w:tcBorders>
            <w:shd w:val="clear" w:color="auto" w:fill="auto"/>
            <w:noWrap/>
            <w:vAlign w:val="center"/>
          </w:tcPr>
          <w:p w14:paraId="7D4A7299"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w:t>
            </w:r>
          </w:p>
        </w:tc>
        <w:tc>
          <w:tcPr>
            <w:tcW w:w="363" w:type="pct"/>
            <w:tcBorders>
              <w:top w:val="nil"/>
              <w:left w:val="nil"/>
              <w:bottom w:val="single" w:sz="8" w:space="0" w:color="D9D9D9"/>
              <w:right w:val="single" w:sz="8" w:space="0" w:color="D9D9D9"/>
            </w:tcBorders>
            <w:shd w:val="clear" w:color="auto" w:fill="auto"/>
            <w:vAlign w:val="center"/>
          </w:tcPr>
          <w:p w14:paraId="7D4A729A"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w:t>
            </w:r>
          </w:p>
        </w:tc>
        <w:tc>
          <w:tcPr>
            <w:tcW w:w="363" w:type="pct"/>
            <w:tcBorders>
              <w:top w:val="nil"/>
              <w:left w:val="nil"/>
              <w:bottom w:val="single" w:sz="8" w:space="0" w:color="D9D9D9"/>
              <w:right w:val="single" w:sz="8" w:space="0" w:color="D9D9D9"/>
            </w:tcBorders>
            <w:shd w:val="clear" w:color="auto" w:fill="auto"/>
            <w:noWrap/>
            <w:vAlign w:val="center"/>
          </w:tcPr>
          <w:p w14:paraId="7D4A729B"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w:t>
            </w:r>
          </w:p>
        </w:tc>
        <w:tc>
          <w:tcPr>
            <w:tcW w:w="363" w:type="pct"/>
            <w:tcBorders>
              <w:top w:val="nil"/>
              <w:left w:val="nil"/>
              <w:bottom w:val="single" w:sz="8" w:space="0" w:color="D9D9D9"/>
              <w:right w:val="single" w:sz="8" w:space="0" w:color="D9D9D9"/>
            </w:tcBorders>
            <w:shd w:val="clear" w:color="auto" w:fill="auto"/>
            <w:noWrap/>
            <w:vAlign w:val="center"/>
          </w:tcPr>
          <w:p w14:paraId="7D4A729C"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w:t>
            </w:r>
          </w:p>
        </w:tc>
        <w:tc>
          <w:tcPr>
            <w:tcW w:w="363" w:type="pct"/>
            <w:tcBorders>
              <w:top w:val="nil"/>
              <w:left w:val="nil"/>
              <w:bottom w:val="single" w:sz="8" w:space="0" w:color="D9D9D9"/>
              <w:right w:val="single" w:sz="8" w:space="0" w:color="D9D9D9"/>
            </w:tcBorders>
            <w:shd w:val="clear" w:color="auto" w:fill="auto"/>
            <w:noWrap/>
            <w:vAlign w:val="center"/>
          </w:tcPr>
          <w:p w14:paraId="7D4A729D"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0,01</w:t>
            </w:r>
          </w:p>
        </w:tc>
        <w:tc>
          <w:tcPr>
            <w:tcW w:w="363" w:type="pct"/>
            <w:tcBorders>
              <w:top w:val="nil"/>
              <w:left w:val="nil"/>
              <w:bottom w:val="single" w:sz="8" w:space="0" w:color="D9D9D9"/>
              <w:right w:val="single" w:sz="8" w:space="0" w:color="D9D9D9"/>
            </w:tcBorders>
            <w:shd w:val="clear" w:color="auto" w:fill="auto"/>
            <w:noWrap/>
            <w:vAlign w:val="center"/>
          </w:tcPr>
          <w:p w14:paraId="7D4A729E"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w:t>
            </w:r>
          </w:p>
        </w:tc>
        <w:tc>
          <w:tcPr>
            <w:tcW w:w="363" w:type="pct"/>
            <w:tcBorders>
              <w:top w:val="nil"/>
              <w:left w:val="nil"/>
              <w:bottom w:val="single" w:sz="8" w:space="0" w:color="D9D9D9"/>
              <w:right w:val="single" w:sz="8" w:space="0" w:color="D9D9D9"/>
            </w:tcBorders>
            <w:shd w:val="clear" w:color="auto" w:fill="auto"/>
            <w:noWrap/>
            <w:vAlign w:val="center"/>
          </w:tcPr>
          <w:p w14:paraId="7D4A729F"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0,00</w:t>
            </w:r>
          </w:p>
        </w:tc>
        <w:tc>
          <w:tcPr>
            <w:tcW w:w="363" w:type="pct"/>
            <w:tcBorders>
              <w:top w:val="nil"/>
              <w:left w:val="nil"/>
              <w:bottom w:val="single" w:sz="8" w:space="0" w:color="D9D9D9"/>
              <w:right w:val="single" w:sz="8" w:space="0" w:color="D9D9D9"/>
            </w:tcBorders>
            <w:shd w:val="clear" w:color="auto" w:fill="auto"/>
            <w:noWrap/>
            <w:vAlign w:val="center"/>
          </w:tcPr>
          <w:p w14:paraId="7D4A72A0"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w:t>
            </w:r>
          </w:p>
        </w:tc>
        <w:tc>
          <w:tcPr>
            <w:tcW w:w="364" w:type="pct"/>
            <w:tcBorders>
              <w:top w:val="nil"/>
              <w:left w:val="nil"/>
              <w:bottom w:val="single" w:sz="8" w:space="0" w:color="D9D9D9"/>
              <w:right w:val="single" w:sz="8" w:space="0" w:color="D9D9D9"/>
            </w:tcBorders>
            <w:shd w:val="clear" w:color="auto" w:fill="auto"/>
            <w:noWrap/>
            <w:vAlign w:val="center"/>
          </w:tcPr>
          <w:p w14:paraId="7D4A72A1"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0,02</w:t>
            </w:r>
          </w:p>
        </w:tc>
        <w:tc>
          <w:tcPr>
            <w:tcW w:w="418" w:type="pct"/>
            <w:tcBorders>
              <w:top w:val="nil"/>
              <w:left w:val="nil"/>
              <w:bottom w:val="single" w:sz="8" w:space="0" w:color="D9D9D9"/>
              <w:right w:val="single" w:sz="8" w:space="0" w:color="D9D9D9"/>
            </w:tcBorders>
            <w:shd w:val="clear" w:color="auto" w:fill="auto"/>
            <w:vAlign w:val="center"/>
          </w:tcPr>
          <w:p w14:paraId="7D4A72A2"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2</w:t>
            </w:r>
          </w:p>
        </w:tc>
        <w:tc>
          <w:tcPr>
            <w:tcW w:w="460" w:type="pct"/>
            <w:tcBorders>
              <w:top w:val="nil"/>
              <w:left w:val="nil"/>
              <w:bottom w:val="single" w:sz="8" w:space="0" w:color="D9D9D9"/>
              <w:right w:val="single" w:sz="8" w:space="0" w:color="D9D9D9"/>
            </w:tcBorders>
            <w:shd w:val="clear" w:color="auto" w:fill="auto"/>
            <w:vAlign w:val="center"/>
          </w:tcPr>
          <w:p w14:paraId="7D4A72A3"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0,01</w:t>
            </w:r>
          </w:p>
        </w:tc>
      </w:tr>
      <w:tr w:rsidR="002A1509" w:rsidRPr="009E1B38" w14:paraId="7D4A72B2"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vAlign w:val="center"/>
            <w:hideMark/>
          </w:tcPr>
          <w:p w14:paraId="7D4A72A5" w14:textId="77777777" w:rsidR="002A1509" w:rsidRPr="009E1B38" w:rsidRDefault="002A1509" w:rsidP="002A1509">
            <w:pPr>
              <w:spacing w:after="0" w:line="240" w:lineRule="auto"/>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lastRenderedPageBreak/>
              <w:t>KHM</w:t>
            </w:r>
          </w:p>
        </w:tc>
        <w:tc>
          <w:tcPr>
            <w:tcW w:w="363" w:type="pct"/>
            <w:tcBorders>
              <w:top w:val="nil"/>
              <w:left w:val="nil"/>
              <w:bottom w:val="single" w:sz="8" w:space="0" w:color="D9D9D9"/>
              <w:right w:val="single" w:sz="8" w:space="0" w:color="D9D9D9"/>
            </w:tcBorders>
            <w:shd w:val="clear" w:color="auto" w:fill="auto"/>
            <w:noWrap/>
            <w:vAlign w:val="center"/>
          </w:tcPr>
          <w:p w14:paraId="7D4A72A6"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w:t>
            </w:r>
          </w:p>
        </w:tc>
        <w:tc>
          <w:tcPr>
            <w:tcW w:w="363" w:type="pct"/>
            <w:tcBorders>
              <w:top w:val="nil"/>
              <w:left w:val="nil"/>
              <w:bottom w:val="single" w:sz="8" w:space="0" w:color="D9D9D9"/>
              <w:right w:val="single" w:sz="8" w:space="0" w:color="D9D9D9"/>
            </w:tcBorders>
            <w:shd w:val="clear" w:color="auto" w:fill="auto"/>
            <w:noWrap/>
            <w:vAlign w:val="center"/>
          </w:tcPr>
          <w:p w14:paraId="7D4A72A7"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0,00</w:t>
            </w:r>
          </w:p>
        </w:tc>
        <w:tc>
          <w:tcPr>
            <w:tcW w:w="363" w:type="pct"/>
            <w:tcBorders>
              <w:top w:val="nil"/>
              <w:left w:val="nil"/>
              <w:bottom w:val="single" w:sz="8" w:space="0" w:color="D9D9D9"/>
              <w:right w:val="single" w:sz="8" w:space="0" w:color="D9D9D9"/>
            </w:tcBorders>
            <w:shd w:val="clear" w:color="auto" w:fill="auto"/>
            <w:noWrap/>
            <w:vAlign w:val="center"/>
          </w:tcPr>
          <w:p w14:paraId="7D4A72A8"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w:t>
            </w:r>
          </w:p>
        </w:tc>
        <w:tc>
          <w:tcPr>
            <w:tcW w:w="363" w:type="pct"/>
            <w:tcBorders>
              <w:top w:val="nil"/>
              <w:left w:val="nil"/>
              <w:bottom w:val="single" w:sz="8" w:space="0" w:color="D9D9D9"/>
              <w:right w:val="single" w:sz="8" w:space="0" w:color="D9D9D9"/>
            </w:tcBorders>
            <w:shd w:val="clear" w:color="auto" w:fill="auto"/>
            <w:noWrap/>
            <w:vAlign w:val="center"/>
          </w:tcPr>
          <w:p w14:paraId="7D4A72A9"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0,00</w:t>
            </w:r>
          </w:p>
        </w:tc>
        <w:tc>
          <w:tcPr>
            <w:tcW w:w="363" w:type="pct"/>
            <w:tcBorders>
              <w:top w:val="nil"/>
              <w:left w:val="nil"/>
              <w:bottom w:val="single" w:sz="8" w:space="0" w:color="D9D9D9"/>
              <w:right w:val="single" w:sz="8" w:space="0" w:color="D9D9D9"/>
            </w:tcBorders>
            <w:shd w:val="clear" w:color="auto" w:fill="auto"/>
            <w:noWrap/>
            <w:vAlign w:val="center"/>
          </w:tcPr>
          <w:p w14:paraId="7D4A72AA"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1</w:t>
            </w:r>
          </w:p>
        </w:tc>
        <w:tc>
          <w:tcPr>
            <w:tcW w:w="363" w:type="pct"/>
            <w:tcBorders>
              <w:top w:val="nil"/>
              <w:left w:val="nil"/>
              <w:bottom w:val="single" w:sz="8" w:space="0" w:color="D9D9D9"/>
              <w:right w:val="single" w:sz="8" w:space="0" w:color="D9D9D9"/>
            </w:tcBorders>
            <w:shd w:val="clear" w:color="auto" w:fill="auto"/>
            <w:noWrap/>
            <w:vAlign w:val="center"/>
          </w:tcPr>
          <w:p w14:paraId="7D4A72AB"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0,01</w:t>
            </w:r>
          </w:p>
        </w:tc>
        <w:tc>
          <w:tcPr>
            <w:tcW w:w="363" w:type="pct"/>
            <w:tcBorders>
              <w:top w:val="nil"/>
              <w:left w:val="nil"/>
              <w:bottom w:val="single" w:sz="8" w:space="0" w:color="D9D9D9"/>
              <w:right w:val="single" w:sz="8" w:space="0" w:color="D9D9D9"/>
            </w:tcBorders>
            <w:shd w:val="clear" w:color="auto" w:fill="auto"/>
            <w:noWrap/>
            <w:vAlign w:val="center"/>
          </w:tcPr>
          <w:p w14:paraId="7D4A72AC"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w:t>
            </w:r>
          </w:p>
        </w:tc>
        <w:tc>
          <w:tcPr>
            <w:tcW w:w="363" w:type="pct"/>
            <w:tcBorders>
              <w:top w:val="nil"/>
              <w:left w:val="nil"/>
              <w:bottom w:val="single" w:sz="8" w:space="0" w:color="D9D9D9"/>
              <w:right w:val="single" w:sz="8" w:space="0" w:color="D9D9D9"/>
            </w:tcBorders>
            <w:shd w:val="clear" w:color="auto" w:fill="auto"/>
            <w:noWrap/>
            <w:vAlign w:val="center"/>
          </w:tcPr>
          <w:p w14:paraId="7D4A72AD"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0,00</w:t>
            </w:r>
          </w:p>
        </w:tc>
        <w:tc>
          <w:tcPr>
            <w:tcW w:w="363" w:type="pct"/>
            <w:tcBorders>
              <w:top w:val="nil"/>
              <w:left w:val="nil"/>
              <w:bottom w:val="single" w:sz="8" w:space="0" w:color="D9D9D9"/>
              <w:right w:val="single" w:sz="8" w:space="0" w:color="D9D9D9"/>
            </w:tcBorders>
            <w:shd w:val="clear" w:color="auto" w:fill="auto"/>
            <w:noWrap/>
            <w:vAlign w:val="center"/>
          </w:tcPr>
          <w:p w14:paraId="7D4A72AE"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w:t>
            </w:r>
          </w:p>
        </w:tc>
        <w:tc>
          <w:tcPr>
            <w:tcW w:w="364" w:type="pct"/>
            <w:tcBorders>
              <w:top w:val="nil"/>
              <w:left w:val="nil"/>
              <w:bottom w:val="single" w:sz="8" w:space="0" w:color="D9D9D9"/>
              <w:right w:val="single" w:sz="8" w:space="0" w:color="D9D9D9"/>
            </w:tcBorders>
            <w:shd w:val="clear" w:color="auto" w:fill="auto"/>
            <w:noWrap/>
            <w:vAlign w:val="center"/>
          </w:tcPr>
          <w:p w14:paraId="7D4A72AF" w14:textId="77777777" w:rsidR="002A1509" w:rsidRPr="009E1B38" w:rsidRDefault="002A1509" w:rsidP="002A1509">
            <w:pPr>
              <w:spacing w:after="0" w:line="240" w:lineRule="auto"/>
              <w:jc w:val="right"/>
              <w:rPr>
                <w:rFonts w:ascii="Times New Roman" w:eastAsia="Times New Roman" w:hAnsi="Times New Roman"/>
                <w:color w:val="000000"/>
                <w:sz w:val="24"/>
                <w:szCs w:val="24"/>
                <w:lang w:eastAsia="tr-TR"/>
              </w:rPr>
            </w:pPr>
            <w:r w:rsidRPr="009E1B38">
              <w:rPr>
                <w:rFonts w:ascii="Times New Roman" w:hAnsi="Times New Roman"/>
                <w:color w:val="000000"/>
                <w:sz w:val="24"/>
                <w:szCs w:val="24"/>
              </w:rPr>
              <w:t>0,00</w:t>
            </w:r>
          </w:p>
        </w:tc>
        <w:tc>
          <w:tcPr>
            <w:tcW w:w="418" w:type="pct"/>
            <w:tcBorders>
              <w:top w:val="nil"/>
              <w:left w:val="nil"/>
              <w:bottom w:val="single" w:sz="8" w:space="0" w:color="D9D9D9"/>
              <w:right w:val="single" w:sz="8" w:space="0" w:color="D9D9D9"/>
            </w:tcBorders>
            <w:shd w:val="clear" w:color="auto" w:fill="auto"/>
            <w:vAlign w:val="center"/>
          </w:tcPr>
          <w:p w14:paraId="7D4A72B0"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w:t>
            </w:r>
          </w:p>
        </w:tc>
        <w:tc>
          <w:tcPr>
            <w:tcW w:w="460" w:type="pct"/>
            <w:tcBorders>
              <w:top w:val="nil"/>
              <w:left w:val="nil"/>
              <w:bottom w:val="single" w:sz="8" w:space="0" w:color="D9D9D9"/>
              <w:right w:val="single" w:sz="8" w:space="0" w:color="D9D9D9"/>
            </w:tcBorders>
            <w:shd w:val="clear" w:color="auto" w:fill="auto"/>
            <w:vAlign w:val="center"/>
          </w:tcPr>
          <w:p w14:paraId="7D4A72B1"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0,00</w:t>
            </w:r>
          </w:p>
        </w:tc>
      </w:tr>
      <w:tr w:rsidR="002A1509" w:rsidRPr="009E1B38" w14:paraId="7D4A72C0" w14:textId="77777777" w:rsidTr="007A279C">
        <w:trPr>
          <w:trHeight w:val="20"/>
          <w:jc w:val="center"/>
        </w:trPr>
        <w:tc>
          <w:tcPr>
            <w:tcW w:w="490" w:type="pct"/>
            <w:tcBorders>
              <w:top w:val="nil"/>
              <w:left w:val="single" w:sz="8" w:space="0" w:color="D9D9D9"/>
              <w:bottom w:val="single" w:sz="8" w:space="0" w:color="D9D9D9"/>
              <w:right w:val="single" w:sz="8" w:space="0" w:color="D9D9D9"/>
            </w:tcBorders>
            <w:shd w:val="clear" w:color="auto" w:fill="auto"/>
            <w:noWrap/>
            <w:vAlign w:val="center"/>
            <w:hideMark/>
          </w:tcPr>
          <w:p w14:paraId="7D4A72B3" w14:textId="5EB49FE1" w:rsidR="002A1509" w:rsidRPr="009E1B38" w:rsidRDefault="002A1509" w:rsidP="002A1509">
            <w:pPr>
              <w:spacing w:after="0" w:line="240" w:lineRule="auto"/>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To</w:t>
            </w:r>
            <w:r w:rsidR="007A279C" w:rsidRPr="009E1B38">
              <w:rPr>
                <w:rFonts w:ascii="Times New Roman" w:hAnsi="Times New Roman"/>
                <w:b/>
                <w:color w:val="000000"/>
                <w:sz w:val="24"/>
                <w:szCs w:val="24"/>
              </w:rPr>
              <w:t>tal</w:t>
            </w:r>
          </w:p>
        </w:tc>
        <w:tc>
          <w:tcPr>
            <w:tcW w:w="363" w:type="pct"/>
            <w:tcBorders>
              <w:top w:val="nil"/>
              <w:left w:val="nil"/>
              <w:bottom w:val="single" w:sz="8" w:space="0" w:color="D9D9D9"/>
              <w:right w:val="single" w:sz="8" w:space="0" w:color="D9D9D9"/>
            </w:tcBorders>
            <w:shd w:val="clear" w:color="auto" w:fill="auto"/>
            <w:vAlign w:val="center"/>
          </w:tcPr>
          <w:p w14:paraId="7D4A72B4"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6.673</w:t>
            </w:r>
          </w:p>
        </w:tc>
        <w:tc>
          <w:tcPr>
            <w:tcW w:w="363" w:type="pct"/>
            <w:tcBorders>
              <w:top w:val="nil"/>
              <w:left w:val="nil"/>
              <w:bottom w:val="single" w:sz="8" w:space="0" w:color="D9D9D9"/>
              <w:right w:val="single" w:sz="8" w:space="0" w:color="D9D9D9"/>
            </w:tcBorders>
            <w:shd w:val="clear" w:color="auto" w:fill="auto"/>
            <w:noWrap/>
            <w:vAlign w:val="center"/>
          </w:tcPr>
          <w:p w14:paraId="7D4A72B5"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100</w:t>
            </w:r>
          </w:p>
        </w:tc>
        <w:tc>
          <w:tcPr>
            <w:tcW w:w="363" w:type="pct"/>
            <w:tcBorders>
              <w:top w:val="nil"/>
              <w:left w:val="nil"/>
              <w:bottom w:val="single" w:sz="8" w:space="0" w:color="D9D9D9"/>
              <w:right w:val="single" w:sz="8" w:space="0" w:color="D9D9D9"/>
            </w:tcBorders>
            <w:shd w:val="clear" w:color="auto" w:fill="auto"/>
            <w:vAlign w:val="center"/>
          </w:tcPr>
          <w:p w14:paraId="7D4A72B6"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8.366</w:t>
            </w:r>
          </w:p>
        </w:tc>
        <w:tc>
          <w:tcPr>
            <w:tcW w:w="363" w:type="pct"/>
            <w:tcBorders>
              <w:top w:val="nil"/>
              <w:left w:val="nil"/>
              <w:bottom w:val="single" w:sz="8" w:space="0" w:color="D9D9D9"/>
              <w:right w:val="single" w:sz="8" w:space="0" w:color="D9D9D9"/>
            </w:tcBorders>
            <w:shd w:val="clear" w:color="auto" w:fill="auto"/>
            <w:noWrap/>
            <w:vAlign w:val="center"/>
          </w:tcPr>
          <w:p w14:paraId="7D4A72B7"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100</w:t>
            </w:r>
          </w:p>
        </w:tc>
        <w:tc>
          <w:tcPr>
            <w:tcW w:w="363" w:type="pct"/>
            <w:tcBorders>
              <w:top w:val="nil"/>
              <w:left w:val="nil"/>
              <w:bottom w:val="single" w:sz="8" w:space="0" w:color="D9D9D9"/>
              <w:right w:val="single" w:sz="8" w:space="0" w:color="D9D9D9"/>
            </w:tcBorders>
            <w:shd w:val="clear" w:color="auto" w:fill="auto"/>
            <w:noWrap/>
            <w:vAlign w:val="center"/>
          </w:tcPr>
          <w:p w14:paraId="7D4A72B8"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9.398</w:t>
            </w:r>
          </w:p>
        </w:tc>
        <w:tc>
          <w:tcPr>
            <w:tcW w:w="363" w:type="pct"/>
            <w:tcBorders>
              <w:top w:val="nil"/>
              <w:left w:val="nil"/>
              <w:bottom w:val="single" w:sz="8" w:space="0" w:color="D9D9D9"/>
              <w:right w:val="single" w:sz="8" w:space="0" w:color="D9D9D9"/>
            </w:tcBorders>
            <w:shd w:val="clear" w:color="auto" w:fill="auto"/>
            <w:noWrap/>
            <w:vAlign w:val="center"/>
          </w:tcPr>
          <w:p w14:paraId="7D4A72B9"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100</w:t>
            </w:r>
          </w:p>
        </w:tc>
        <w:tc>
          <w:tcPr>
            <w:tcW w:w="363" w:type="pct"/>
            <w:tcBorders>
              <w:top w:val="nil"/>
              <w:left w:val="nil"/>
              <w:bottom w:val="single" w:sz="8" w:space="0" w:color="D9D9D9"/>
              <w:right w:val="single" w:sz="8" w:space="0" w:color="D9D9D9"/>
            </w:tcBorders>
            <w:shd w:val="clear" w:color="auto" w:fill="auto"/>
            <w:noWrap/>
            <w:vAlign w:val="center"/>
          </w:tcPr>
          <w:p w14:paraId="7D4A72BA"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9.617</w:t>
            </w:r>
          </w:p>
        </w:tc>
        <w:tc>
          <w:tcPr>
            <w:tcW w:w="363" w:type="pct"/>
            <w:tcBorders>
              <w:top w:val="nil"/>
              <w:left w:val="nil"/>
              <w:bottom w:val="single" w:sz="8" w:space="0" w:color="D9D9D9"/>
              <w:right w:val="single" w:sz="8" w:space="0" w:color="D9D9D9"/>
            </w:tcBorders>
            <w:shd w:val="clear" w:color="auto" w:fill="auto"/>
            <w:noWrap/>
            <w:vAlign w:val="center"/>
          </w:tcPr>
          <w:p w14:paraId="7D4A72BB"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100</w:t>
            </w:r>
          </w:p>
        </w:tc>
        <w:tc>
          <w:tcPr>
            <w:tcW w:w="363" w:type="pct"/>
            <w:tcBorders>
              <w:top w:val="nil"/>
              <w:left w:val="nil"/>
              <w:bottom w:val="single" w:sz="8" w:space="0" w:color="D9D9D9"/>
              <w:right w:val="single" w:sz="8" w:space="0" w:color="D9D9D9"/>
            </w:tcBorders>
            <w:shd w:val="clear" w:color="auto" w:fill="auto"/>
            <w:noWrap/>
            <w:vAlign w:val="center"/>
          </w:tcPr>
          <w:p w14:paraId="7D4A72BC"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5.212</w:t>
            </w:r>
          </w:p>
        </w:tc>
        <w:tc>
          <w:tcPr>
            <w:tcW w:w="364" w:type="pct"/>
            <w:tcBorders>
              <w:top w:val="nil"/>
              <w:left w:val="nil"/>
              <w:bottom w:val="single" w:sz="8" w:space="0" w:color="D9D9D9"/>
              <w:right w:val="single" w:sz="8" w:space="0" w:color="D9D9D9"/>
            </w:tcBorders>
            <w:shd w:val="clear" w:color="auto" w:fill="auto"/>
            <w:noWrap/>
            <w:vAlign w:val="center"/>
          </w:tcPr>
          <w:p w14:paraId="7D4A72BD"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100</w:t>
            </w:r>
          </w:p>
        </w:tc>
        <w:tc>
          <w:tcPr>
            <w:tcW w:w="418" w:type="pct"/>
            <w:tcBorders>
              <w:top w:val="nil"/>
              <w:left w:val="nil"/>
              <w:bottom w:val="single" w:sz="8" w:space="0" w:color="D9D9D9"/>
              <w:right w:val="single" w:sz="8" w:space="0" w:color="D9D9D9"/>
            </w:tcBorders>
            <w:shd w:val="clear" w:color="auto" w:fill="auto"/>
            <w:vAlign w:val="center"/>
          </w:tcPr>
          <w:p w14:paraId="7D4A72BE"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39.266</w:t>
            </w:r>
          </w:p>
        </w:tc>
        <w:tc>
          <w:tcPr>
            <w:tcW w:w="460" w:type="pct"/>
            <w:tcBorders>
              <w:top w:val="nil"/>
              <w:left w:val="nil"/>
              <w:bottom w:val="single" w:sz="8" w:space="0" w:color="D9D9D9"/>
              <w:right w:val="single" w:sz="8" w:space="0" w:color="D9D9D9"/>
            </w:tcBorders>
            <w:shd w:val="clear" w:color="auto" w:fill="auto"/>
            <w:vAlign w:val="center"/>
          </w:tcPr>
          <w:p w14:paraId="7D4A72BF" w14:textId="77777777" w:rsidR="002A1509" w:rsidRPr="009E1B38" w:rsidRDefault="002A1509" w:rsidP="002A1509">
            <w:pPr>
              <w:spacing w:after="0" w:line="240" w:lineRule="auto"/>
              <w:jc w:val="right"/>
              <w:rPr>
                <w:rFonts w:ascii="Times New Roman" w:eastAsia="Times New Roman" w:hAnsi="Times New Roman"/>
                <w:b/>
                <w:color w:val="000000"/>
                <w:sz w:val="24"/>
                <w:szCs w:val="24"/>
                <w:lang w:eastAsia="tr-TR"/>
              </w:rPr>
            </w:pPr>
            <w:r w:rsidRPr="009E1B38">
              <w:rPr>
                <w:rFonts w:ascii="Times New Roman" w:hAnsi="Times New Roman"/>
                <w:b/>
                <w:color w:val="000000"/>
                <w:sz w:val="24"/>
                <w:szCs w:val="24"/>
              </w:rPr>
              <w:t>100</w:t>
            </w:r>
          </w:p>
        </w:tc>
      </w:tr>
    </w:tbl>
    <w:p w14:paraId="7D4A72C2" w14:textId="77777777" w:rsidR="000F480C" w:rsidRPr="009E1B38" w:rsidRDefault="000F480C" w:rsidP="000F480C">
      <w:pPr>
        <w:rPr>
          <w:rFonts w:ascii="Times New Roman" w:hAnsi="Times New Roman"/>
          <w:sz w:val="24"/>
          <w:szCs w:val="24"/>
        </w:rPr>
      </w:pPr>
    </w:p>
    <w:p w14:paraId="7D4A72C3" w14:textId="77777777" w:rsidR="000F480C" w:rsidRPr="009E1B38" w:rsidRDefault="000F480C" w:rsidP="000F480C">
      <w:pPr>
        <w:rPr>
          <w:rFonts w:ascii="Times New Roman" w:hAnsi="Times New Roman"/>
          <w:sz w:val="24"/>
          <w:szCs w:val="24"/>
        </w:rPr>
      </w:pPr>
    </w:p>
    <w:p w14:paraId="7D4A72C4" w14:textId="1D133358" w:rsidR="00751D17" w:rsidRPr="009E1B38" w:rsidRDefault="0082470D" w:rsidP="00751D17">
      <w:pPr>
        <w:pStyle w:val="Balk5"/>
        <w:jc w:val="center"/>
        <w:rPr>
          <w:rFonts w:ascii="Times New Roman" w:hAnsi="Times New Roman" w:cs="Times New Roman"/>
          <w:b w:val="0"/>
          <w:sz w:val="24"/>
          <w:szCs w:val="24"/>
        </w:rPr>
      </w:pPr>
      <w:bookmarkStart w:id="23" w:name="_Toc107499496"/>
      <w:bookmarkEnd w:id="20"/>
      <w:bookmarkEnd w:id="21"/>
      <w:bookmarkEnd w:id="22"/>
      <w:r w:rsidRPr="009E1B38">
        <w:rPr>
          <w:rStyle w:val="Gl"/>
          <w:rFonts w:ascii="Times New Roman" w:hAnsi="Times New Roman" w:cs="Times New Roman"/>
          <w:sz w:val="24"/>
          <w:szCs w:val="24"/>
        </w:rPr>
        <w:t>Table</w:t>
      </w:r>
      <w:r w:rsidR="009F6B4A" w:rsidRPr="009E1B38">
        <w:rPr>
          <w:rStyle w:val="Gl"/>
          <w:rFonts w:ascii="Times New Roman" w:hAnsi="Times New Roman" w:cs="Times New Roman"/>
          <w:sz w:val="24"/>
          <w:szCs w:val="24"/>
        </w:rPr>
        <w:t xml:space="preserve"> </w:t>
      </w:r>
      <w:r w:rsidR="00A515E2" w:rsidRPr="009E1B38">
        <w:rPr>
          <w:rStyle w:val="Gl"/>
          <w:rFonts w:ascii="Times New Roman" w:hAnsi="Times New Roman" w:cs="Times New Roman"/>
          <w:sz w:val="24"/>
          <w:szCs w:val="24"/>
        </w:rPr>
        <w:t>1.3: General Distribution of Board Decisions Taken Between 2017-2021</w:t>
      </w:r>
      <w:bookmarkEnd w:id="23"/>
    </w:p>
    <w:tbl>
      <w:tblPr>
        <w:tblW w:w="5000" w:type="pct"/>
        <w:tblCellMar>
          <w:left w:w="70" w:type="dxa"/>
          <w:right w:w="70" w:type="dxa"/>
        </w:tblCellMar>
        <w:tblLook w:val="04A0" w:firstRow="1" w:lastRow="0" w:firstColumn="1" w:lastColumn="0" w:noHBand="0" w:noVBand="1"/>
      </w:tblPr>
      <w:tblGrid>
        <w:gridCol w:w="4506"/>
        <w:gridCol w:w="965"/>
        <w:gridCol w:w="944"/>
        <w:gridCol w:w="680"/>
        <w:gridCol w:w="680"/>
        <w:gridCol w:w="680"/>
        <w:gridCol w:w="1607"/>
      </w:tblGrid>
      <w:tr w:rsidR="001978FE" w:rsidRPr="009E1B38" w14:paraId="7D4A72CC" w14:textId="77777777" w:rsidTr="00B155FA">
        <w:trPr>
          <w:trHeight w:val="20"/>
        </w:trPr>
        <w:tc>
          <w:tcPr>
            <w:tcW w:w="1800" w:type="pct"/>
            <w:tcBorders>
              <w:top w:val="single" w:sz="8" w:space="0" w:color="D9D9D9"/>
              <w:left w:val="single" w:sz="8" w:space="0" w:color="D9D9D9"/>
              <w:bottom w:val="nil"/>
              <w:right w:val="single" w:sz="8" w:space="0" w:color="D9D9D9"/>
            </w:tcBorders>
            <w:shd w:val="clear" w:color="000000" w:fill="6E9ECA"/>
            <w:noWrap/>
            <w:hideMark/>
          </w:tcPr>
          <w:p w14:paraId="7D4A72C5" w14:textId="485777C1" w:rsidR="001978FE" w:rsidRPr="009E1B38" w:rsidRDefault="0031086E"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hAnsi="Times New Roman"/>
                <w:b/>
                <w:color w:val="FFFFFF" w:themeColor="background1"/>
                <w:sz w:val="24"/>
                <w:szCs w:val="24"/>
              </w:rPr>
              <w:t>Years</w:t>
            </w:r>
          </w:p>
        </w:tc>
        <w:tc>
          <w:tcPr>
            <w:tcW w:w="557" w:type="pct"/>
            <w:tcBorders>
              <w:top w:val="single" w:sz="8" w:space="0" w:color="D9D9D9"/>
              <w:left w:val="nil"/>
              <w:bottom w:val="nil"/>
              <w:right w:val="single" w:sz="8" w:space="0" w:color="D9D9D9"/>
            </w:tcBorders>
            <w:shd w:val="clear" w:color="000000" w:fill="6E9ECA"/>
            <w:noWrap/>
            <w:vAlign w:val="center"/>
            <w:hideMark/>
          </w:tcPr>
          <w:p w14:paraId="7D4A72C6" w14:textId="56B8B014" w:rsidR="001978FE" w:rsidRPr="009E1B38" w:rsidRDefault="0031086E"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2016</w:t>
            </w:r>
          </w:p>
        </w:tc>
        <w:tc>
          <w:tcPr>
            <w:tcW w:w="546" w:type="pct"/>
            <w:tcBorders>
              <w:top w:val="single" w:sz="8" w:space="0" w:color="D9D9D9"/>
              <w:left w:val="nil"/>
              <w:bottom w:val="nil"/>
              <w:right w:val="single" w:sz="8" w:space="0" w:color="D9D9D9"/>
            </w:tcBorders>
            <w:shd w:val="clear" w:color="000000" w:fill="6E9ECA"/>
            <w:vAlign w:val="center"/>
            <w:hideMark/>
          </w:tcPr>
          <w:p w14:paraId="7D4A72C7" w14:textId="0A120CF6" w:rsidR="001978FE" w:rsidRPr="009E1B38" w:rsidRDefault="0031086E"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2017</w:t>
            </w:r>
          </w:p>
        </w:tc>
        <w:tc>
          <w:tcPr>
            <w:tcW w:w="359" w:type="pct"/>
            <w:tcBorders>
              <w:top w:val="single" w:sz="8" w:space="0" w:color="D9D9D9"/>
              <w:left w:val="nil"/>
              <w:bottom w:val="nil"/>
              <w:right w:val="single" w:sz="8" w:space="0" w:color="D9D9D9"/>
            </w:tcBorders>
            <w:shd w:val="clear" w:color="000000" w:fill="6E9ECA"/>
            <w:noWrap/>
            <w:vAlign w:val="center"/>
            <w:hideMark/>
          </w:tcPr>
          <w:p w14:paraId="7D4A72C8" w14:textId="04CCE0B5" w:rsidR="001978FE" w:rsidRPr="009E1B38" w:rsidRDefault="0031086E"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2018</w:t>
            </w:r>
          </w:p>
        </w:tc>
        <w:tc>
          <w:tcPr>
            <w:tcW w:w="359" w:type="pct"/>
            <w:tcBorders>
              <w:top w:val="single" w:sz="8" w:space="0" w:color="D9D9D9"/>
              <w:left w:val="nil"/>
              <w:bottom w:val="nil"/>
              <w:right w:val="single" w:sz="8" w:space="0" w:color="D9D9D9"/>
            </w:tcBorders>
            <w:shd w:val="clear" w:color="000000" w:fill="6E9ECA"/>
            <w:vAlign w:val="center"/>
            <w:hideMark/>
          </w:tcPr>
          <w:p w14:paraId="7D4A72C9" w14:textId="0882AB74" w:rsidR="001978FE" w:rsidRPr="009E1B38" w:rsidRDefault="0031086E"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2019</w:t>
            </w:r>
          </w:p>
        </w:tc>
        <w:tc>
          <w:tcPr>
            <w:tcW w:w="454" w:type="pct"/>
            <w:tcBorders>
              <w:top w:val="single" w:sz="8" w:space="0" w:color="D9D9D9"/>
              <w:left w:val="nil"/>
              <w:bottom w:val="nil"/>
              <w:right w:val="single" w:sz="8" w:space="0" w:color="D9D9D9"/>
            </w:tcBorders>
            <w:shd w:val="clear" w:color="000000" w:fill="6E9ECA"/>
            <w:vAlign w:val="center"/>
            <w:hideMark/>
          </w:tcPr>
          <w:p w14:paraId="7D4A72CA" w14:textId="28B99B0E" w:rsidR="001978FE" w:rsidRPr="009E1B38" w:rsidRDefault="0031086E"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2020</w:t>
            </w:r>
          </w:p>
        </w:tc>
        <w:tc>
          <w:tcPr>
            <w:tcW w:w="925" w:type="pct"/>
            <w:tcBorders>
              <w:top w:val="single" w:sz="8" w:space="0" w:color="D9D9D9"/>
              <w:left w:val="nil"/>
              <w:bottom w:val="nil"/>
              <w:right w:val="single" w:sz="8" w:space="0" w:color="D9D9D9"/>
            </w:tcBorders>
            <w:shd w:val="clear" w:color="000000" w:fill="6E9ECA"/>
            <w:vAlign w:val="center"/>
            <w:hideMark/>
          </w:tcPr>
          <w:p w14:paraId="7D4A72CB" w14:textId="49D71F42" w:rsidR="001978FE" w:rsidRPr="009E1B38" w:rsidRDefault="0031086E" w:rsidP="001978FE">
            <w:pPr>
              <w:spacing w:after="0" w:line="240" w:lineRule="auto"/>
              <w:jc w:val="center"/>
              <w:rPr>
                <w:rFonts w:ascii="Times New Roman" w:eastAsia="Times New Roman" w:hAnsi="Times New Roman"/>
                <w:b/>
                <w:color w:val="FFFFFF"/>
                <w:sz w:val="24"/>
                <w:szCs w:val="24"/>
                <w:lang w:eastAsia="tr-TR"/>
              </w:rPr>
            </w:pPr>
            <w:r w:rsidRPr="009E1B38">
              <w:rPr>
                <w:rFonts w:ascii="Times New Roman" w:eastAsia="Times New Roman" w:hAnsi="Times New Roman"/>
                <w:b/>
                <w:color w:val="FFFFFF"/>
                <w:sz w:val="24"/>
                <w:szCs w:val="24"/>
                <w:lang w:eastAsia="tr-TR"/>
              </w:rPr>
              <w:t>Total/Average Values</w:t>
            </w:r>
          </w:p>
        </w:tc>
      </w:tr>
      <w:tr w:rsidR="005779F9" w:rsidRPr="009E1B38" w14:paraId="7D4A72D4" w14:textId="77777777" w:rsidTr="00EC3200">
        <w:trPr>
          <w:trHeight w:val="20"/>
        </w:trPr>
        <w:tc>
          <w:tcPr>
            <w:tcW w:w="1800" w:type="pct"/>
            <w:tcBorders>
              <w:top w:val="nil"/>
              <w:left w:val="single" w:sz="8" w:space="0" w:color="auto"/>
              <w:bottom w:val="single" w:sz="8" w:space="0" w:color="auto"/>
              <w:right w:val="single" w:sz="8" w:space="0" w:color="auto"/>
            </w:tcBorders>
            <w:shd w:val="clear" w:color="auto" w:fill="auto"/>
            <w:noWrap/>
            <w:hideMark/>
          </w:tcPr>
          <w:p w14:paraId="7D4A72CD" w14:textId="74F4C1AA" w:rsidR="005779F9" w:rsidRPr="009E1B38" w:rsidRDefault="004D29D2" w:rsidP="005779F9">
            <w:pPr>
              <w:spacing w:after="0" w:line="240" w:lineRule="auto"/>
              <w:rPr>
                <w:rFonts w:ascii="Times New Roman" w:eastAsia="Times New Roman" w:hAnsi="Times New Roman"/>
                <w:b/>
                <w:color w:val="000000"/>
                <w:sz w:val="24"/>
                <w:szCs w:val="24"/>
                <w:lang w:eastAsia="tr-TR"/>
              </w:rPr>
            </w:pPr>
            <w:r w:rsidRPr="009E1B38">
              <w:rPr>
                <w:rFonts w:ascii="Times New Roman" w:hAnsi="Times New Roman"/>
                <w:b/>
                <w:sz w:val="24"/>
                <w:szCs w:val="24"/>
              </w:rPr>
              <w:t>Total Number of Decisions</w:t>
            </w:r>
          </w:p>
        </w:tc>
        <w:tc>
          <w:tcPr>
            <w:tcW w:w="557" w:type="pct"/>
            <w:tcBorders>
              <w:top w:val="nil"/>
              <w:left w:val="nil"/>
              <w:bottom w:val="single" w:sz="8" w:space="0" w:color="auto"/>
              <w:right w:val="single" w:sz="8" w:space="0" w:color="auto"/>
            </w:tcBorders>
            <w:shd w:val="clear" w:color="auto" w:fill="auto"/>
            <w:vAlign w:val="center"/>
          </w:tcPr>
          <w:p w14:paraId="7D4A72CE"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6.673</w:t>
            </w:r>
          </w:p>
        </w:tc>
        <w:tc>
          <w:tcPr>
            <w:tcW w:w="546" w:type="pct"/>
            <w:tcBorders>
              <w:top w:val="nil"/>
              <w:left w:val="nil"/>
              <w:bottom w:val="single" w:sz="8" w:space="0" w:color="auto"/>
              <w:right w:val="single" w:sz="8" w:space="0" w:color="auto"/>
            </w:tcBorders>
            <w:shd w:val="clear" w:color="auto" w:fill="auto"/>
            <w:noWrap/>
            <w:vAlign w:val="center"/>
            <w:hideMark/>
          </w:tcPr>
          <w:p w14:paraId="7D4A72CF"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8.366</w:t>
            </w:r>
          </w:p>
        </w:tc>
        <w:tc>
          <w:tcPr>
            <w:tcW w:w="359" w:type="pct"/>
            <w:tcBorders>
              <w:top w:val="nil"/>
              <w:left w:val="nil"/>
              <w:bottom w:val="single" w:sz="8" w:space="0" w:color="auto"/>
              <w:right w:val="single" w:sz="8" w:space="0" w:color="auto"/>
            </w:tcBorders>
            <w:shd w:val="clear" w:color="auto" w:fill="auto"/>
            <w:noWrap/>
            <w:vAlign w:val="center"/>
            <w:hideMark/>
          </w:tcPr>
          <w:p w14:paraId="7D4A72D0"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9.398</w:t>
            </w:r>
          </w:p>
        </w:tc>
        <w:tc>
          <w:tcPr>
            <w:tcW w:w="359" w:type="pct"/>
            <w:tcBorders>
              <w:top w:val="nil"/>
              <w:left w:val="nil"/>
              <w:bottom w:val="single" w:sz="8" w:space="0" w:color="auto"/>
              <w:right w:val="single" w:sz="8" w:space="0" w:color="auto"/>
            </w:tcBorders>
            <w:shd w:val="clear" w:color="auto" w:fill="auto"/>
            <w:noWrap/>
            <w:vAlign w:val="center"/>
            <w:hideMark/>
          </w:tcPr>
          <w:p w14:paraId="7D4A72D1"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9.617</w:t>
            </w:r>
          </w:p>
        </w:tc>
        <w:tc>
          <w:tcPr>
            <w:tcW w:w="454" w:type="pct"/>
            <w:tcBorders>
              <w:top w:val="nil"/>
              <w:left w:val="nil"/>
              <w:bottom w:val="single" w:sz="8" w:space="0" w:color="auto"/>
              <w:right w:val="single" w:sz="8" w:space="0" w:color="auto"/>
            </w:tcBorders>
            <w:noWrap/>
            <w:vAlign w:val="center"/>
          </w:tcPr>
          <w:p w14:paraId="7D4A72D2"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5.212</w:t>
            </w:r>
          </w:p>
        </w:tc>
        <w:tc>
          <w:tcPr>
            <w:tcW w:w="925" w:type="pct"/>
            <w:tcBorders>
              <w:top w:val="nil"/>
              <w:left w:val="nil"/>
              <w:bottom w:val="single" w:sz="8" w:space="0" w:color="auto"/>
              <w:right w:val="single" w:sz="8" w:space="0" w:color="auto"/>
            </w:tcBorders>
            <w:vAlign w:val="center"/>
          </w:tcPr>
          <w:p w14:paraId="7D4A72D3"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7.853</w:t>
            </w:r>
          </w:p>
        </w:tc>
      </w:tr>
      <w:tr w:rsidR="005779F9" w:rsidRPr="009E1B38" w14:paraId="7D4A72DC" w14:textId="77777777" w:rsidTr="00EC3200">
        <w:trPr>
          <w:trHeight w:val="20"/>
        </w:trPr>
        <w:tc>
          <w:tcPr>
            <w:tcW w:w="1800" w:type="pct"/>
            <w:tcBorders>
              <w:top w:val="nil"/>
              <w:left w:val="single" w:sz="8" w:space="0" w:color="auto"/>
              <w:bottom w:val="single" w:sz="8" w:space="0" w:color="auto"/>
              <w:right w:val="single" w:sz="8" w:space="0" w:color="auto"/>
            </w:tcBorders>
            <w:shd w:val="clear" w:color="auto" w:fill="auto"/>
            <w:noWrap/>
            <w:hideMark/>
          </w:tcPr>
          <w:p w14:paraId="7D4A72D5" w14:textId="317727D0" w:rsidR="005779F9" w:rsidRPr="009E1B38" w:rsidRDefault="004D29D2" w:rsidP="005779F9">
            <w:pPr>
              <w:spacing w:after="0" w:line="240" w:lineRule="auto"/>
              <w:rPr>
                <w:rFonts w:ascii="Times New Roman" w:eastAsia="Times New Roman" w:hAnsi="Times New Roman"/>
                <w:b/>
                <w:color w:val="000000"/>
                <w:sz w:val="24"/>
                <w:szCs w:val="24"/>
                <w:lang w:eastAsia="tr-TR"/>
              </w:rPr>
            </w:pPr>
            <w:r w:rsidRPr="009E1B38">
              <w:rPr>
                <w:rFonts w:ascii="Times New Roman" w:hAnsi="Times New Roman"/>
                <w:b/>
                <w:sz w:val="24"/>
                <w:szCs w:val="24"/>
              </w:rPr>
              <w:t>Number of Meetings</w:t>
            </w:r>
          </w:p>
        </w:tc>
        <w:tc>
          <w:tcPr>
            <w:tcW w:w="557" w:type="pct"/>
            <w:tcBorders>
              <w:top w:val="nil"/>
              <w:left w:val="nil"/>
              <w:bottom w:val="single" w:sz="8" w:space="0" w:color="auto"/>
              <w:right w:val="single" w:sz="8" w:space="0" w:color="auto"/>
            </w:tcBorders>
            <w:shd w:val="clear" w:color="auto" w:fill="auto"/>
            <w:vAlign w:val="center"/>
          </w:tcPr>
          <w:p w14:paraId="7D4A72D6"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54</w:t>
            </w:r>
          </w:p>
        </w:tc>
        <w:tc>
          <w:tcPr>
            <w:tcW w:w="546" w:type="pct"/>
            <w:tcBorders>
              <w:top w:val="nil"/>
              <w:left w:val="nil"/>
              <w:bottom w:val="single" w:sz="8" w:space="0" w:color="auto"/>
              <w:right w:val="single" w:sz="8" w:space="0" w:color="auto"/>
            </w:tcBorders>
            <w:shd w:val="clear" w:color="auto" w:fill="auto"/>
            <w:noWrap/>
            <w:vAlign w:val="center"/>
            <w:hideMark/>
          </w:tcPr>
          <w:p w14:paraId="7D4A72D7"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58</w:t>
            </w:r>
          </w:p>
        </w:tc>
        <w:tc>
          <w:tcPr>
            <w:tcW w:w="359" w:type="pct"/>
            <w:tcBorders>
              <w:top w:val="nil"/>
              <w:left w:val="nil"/>
              <w:bottom w:val="single" w:sz="8" w:space="0" w:color="auto"/>
              <w:right w:val="single" w:sz="8" w:space="0" w:color="auto"/>
            </w:tcBorders>
            <w:shd w:val="clear" w:color="auto" w:fill="auto"/>
            <w:noWrap/>
            <w:vAlign w:val="center"/>
            <w:hideMark/>
          </w:tcPr>
          <w:p w14:paraId="7D4A72D8"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53</w:t>
            </w:r>
          </w:p>
        </w:tc>
        <w:tc>
          <w:tcPr>
            <w:tcW w:w="359" w:type="pct"/>
            <w:tcBorders>
              <w:top w:val="nil"/>
              <w:left w:val="nil"/>
              <w:bottom w:val="single" w:sz="8" w:space="0" w:color="auto"/>
              <w:right w:val="single" w:sz="8" w:space="0" w:color="auto"/>
            </w:tcBorders>
            <w:shd w:val="clear" w:color="auto" w:fill="auto"/>
            <w:noWrap/>
            <w:vAlign w:val="center"/>
            <w:hideMark/>
          </w:tcPr>
          <w:p w14:paraId="7D4A72D9"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59</w:t>
            </w:r>
          </w:p>
        </w:tc>
        <w:tc>
          <w:tcPr>
            <w:tcW w:w="454" w:type="pct"/>
            <w:tcBorders>
              <w:top w:val="nil"/>
              <w:left w:val="nil"/>
              <w:bottom w:val="single" w:sz="8" w:space="0" w:color="auto"/>
              <w:right w:val="single" w:sz="8" w:space="0" w:color="auto"/>
            </w:tcBorders>
            <w:noWrap/>
            <w:vAlign w:val="center"/>
          </w:tcPr>
          <w:p w14:paraId="7D4A72DA"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55</w:t>
            </w:r>
          </w:p>
        </w:tc>
        <w:tc>
          <w:tcPr>
            <w:tcW w:w="925" w:type="pct"/>
            <w:tcBorders>
              <w:top w:val="nil"/>
              <w:left w:val="nil"/>
              <w:bottom w:val="single" w:sz="8" w:space="0" w:color="auto"/>
              <w:right w:val="single" w:sz="8" w:space="0" w:color="auto"/>
            </w:tcBorders>
            <w:vAlign w:val="center"/>
          </w:tcPr>
          <w:p w14:paraId="7D4A72DB"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56</w:t>
            </w:r>
          </w:p>
        </w:tc>
      </w:tr>
      <w:tr w:rsidR="005779F9" w:rsidRPr="009E1B38" w14:paraId="7D4A72E4" w14:textId="77777777" w:rsidTr="00EC3200">
        <w:trPr>
          <w:trHeight w:val="20"/>
        </w:trPr>
        <w:tc>
          <w:tcPr>
            <w:tcW w:w="1800" w:type="pct"/>
            <w:tcBorders>
              <w:top w:val="nil"/>
              <w:left w:val="single" w:sz="8" w:space="0" w:color="auto"/>
              <w:bottom w:val="single" w:sz="8" w:space="0" w:color="auto"/>
              <w:right w:val="single" w:sz="8" w:space="0" w:color="auto"/>
            </w:tcBorders>
            <w:shd w:val="clear" w:color="auto" w:fill="auto"/>
            <w:noWrap/>
            <w:hideMark/>
          </w:tcPr>
          <w:p w14:paraId="7D4A72DD" w14:textId="65BE644D" w:rsidR="005779F9" w:rsidRPr="009E1B38" w:rsidRDefault="004D29D2" w:rsidP="005779F9">
            <w:pPr>
              <w:spacing w:after="0" w:line="240" w:lineRule="auto"/>
              <w:rPr>
                <w:rFonts w:ascii="Times New Roman" w:eastAsia="Times New Roman" w:hAnsi="Times New Roman"/>
                <w:b/>
                <w:color w:val="000000"/>
                <w:sz w:val="24"/>
                <w:szCs w:val="24"/>
                <w:lang w:eastAsia="tr-TR"/>
              </w:rPr>
            </w:pPr>
            <w:r w:rsidRPr="009E1B38">
              <w:rPr>
                <w:rFonts w:ascii="Times New Roman" w:hAnsi="Times New Roman"/>
                <w:b/>
                <w:sz w:val="24"/>
                <w:szCs w:val="24"/>
              </w:rPr>
              <w:t>Average Number of Decisions Per Meeting</w:t>
            </w:r>
          </w:p>
        </w:tc>
        <w:tc>
          <w:tcPr>
            <w:tcW w:w="557" w:type="pct"/>
            <w:tcBorders>
              <w:top w:val="nil"/>
              <w:left w:val="nil"/>
              <w:bottom w:val="single" w:sz="8" w:space="0" w:color="auto"/>
              <w:right w:val="single" w:sz="8" w:space="0" w:color="auto"/>
            </w:tcBorders>
            <w:shd w:val="clear" w:color="auto" w:fill="auto"/>
            <w:vAlign w:val="center"/>
          </w:tcPr>
          <w:p w14:paraId="7D4A72DE"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124</w:t>
            </w:r>
          </w:p>
        </w:tc>
        <w:tc>
          <w:tcPr>
            <w:tcW w:w="546" w:type="pct"/>
            <w:tcBorders>
              <w:top w:val="nil"/>
              <w:left w:val="nil"/>
              <w:bottom w:val="single" w:sz="8" w:space="0" w:color="auto"/>
              <w:right w:val="single" w:sz="8" w:space="0" w:color="auto"/>
            </w:tcBorders>
            <w:shd w:val="clear" w:color="auto" w:fill="auto"/>
            <w:noWrap/>
            <w:vAlign w:val="center"/>
            <w:hideMark/>
          </w:tcPr>
          <w:p w14:paraId="7D4A72DF"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144</w:t>
            </w:r>
          </w:p>
        </w:tc>
        <w:tc>
          <w:tcPr>
            <w:tcW w:w="359" w:type="pct"/>
            <w:tcBorders>
              <w:top w:val="nil"/>
              <w:left w:val="nil"/>
              <w:bottom w:val="single" w:sz="8" w:space="0" w:color="auto"/>
              <w:right w:val="single" w:sz="8" w:space="0" w:color="auto"/>
            </w:tcBorders>
            <w:shd w:val="clear" w:color="auto" w:fill="auto"/>
            <w:noWrap/>
            <w:vAlign w:val="center"/>
            <w:hideMark/>
          </w:tcPr>
          <w:p w14:paraId="7D4A72E0"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177</w:t>
            </w:r>
          </w:p>
        </w:tc>
        <w:tc>
          <w:tcPr>
            <w:tcW w:w="359" w:type="pct"/>
            <w:tcBorders>
              <w:top w:val="nil"/>
              <w:left w:val="nil"/>
              <w:bottom w:val="single" w:sz="8" w:space="0" w:color="auto"/>
              <w:right w:val="single" w:sz="8" w:space="0" w:color="auto"/>
            </w:tcBorders>
            <w:shd w:val="clear" w:color="auto" w:fill="auto"/>
            <w:noWrap/>
            <w:vAlign w:val="center"/>
            <w:hideMark/>
          </w:tcPr>
          <w:p w14:paraId="7D4A72E1"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163</w:t>
            </w:r>
          </w:p>
        </w:tc>
        <w:tc>
          <w:tcPr>
            <w:tcW w:w="454" w:type="pct"/>
            <w:tcBorders>
              <w:top w:val="nil"/>
              <w:left w:val="nil"/>
              <w:bottom w:val="single" w:sz="8" w:space="0" w:color="auto"/>
              <w:right w:val="single" w:sz="8" w:space="0" w:color="auto"/>
            </w:tcBorders>
            <w:noWrap/>
            <w:vAlign w:val="center"/>
          </w:tcPr>
          <w:p w14:paraId="7D4A72E2"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95</w:t>
            </w:r>
          </w:p>
        </w:tc>
        <w:tc>
          <w:tcPr>
            <w:tcW w:w="925" w:type="pct"/>
            <w:tcBorders>
              <w:top w:val="nil"/>
              <w:left w:val="nil"/>
              <w:bottom w:val="single" w:sz="8" w:space="0" w:color="auto"/>
              <w:right w:val="single" w:sz="8" w:space="0" w:color="auto"/>
            </w:tcBorders>
            <w:vAlign w:val="center"/>
          </w:tcPr>
          <w:p w14:paraId="7D4A72E3"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141</w:t>
            </w:r>
          </w:p>
        </w:tc>
      </w:tr>
      <w:tr w:rsidR="005779F9" w:rsidRPr="009E1B38" w14:paraId="7D4A72EC" w14:textId="77777777" w:rsidTr="00EC3200">
        <w:trPr>
          <w:trHeight w:val="20"/>
        </w:trPr>
        <w:tc>
          <w:tcPr>
            <w:tcW w:w="1800" w:type="pct"/>
            <w:tcBorders>
              <w:top w:val="nil"/>
              <w:left w:val="single" w:sz="8" w:space="0" w:color="auto"/>
              <w:bottom w:val="single" w:sz="8" w:space="0" w:color="auto"/>
              <w:right w:val="single" w:sz="8" w:space="0" w:color="auto"/>
            </w:tcBorders>
            <w:shd w:val="clear" w:color="auto" w:fill="auto"/>
            <w:noWrap/>
            <w:hideMark/>
          </w:tcPr>
          <w:p w14:paraId="7D4A72E5" w14:textId="23129552" w:rsidR="005779F9" w:rsidRPr="009E1B38" w:rsidRDefault="004D29D2" w:rsidP="005779F9">
            <w:pPr>
              <w:spacing w:after="0" w:line="240" w:lineRule="auto"/>
              <w:rPr>
                <w:rFonts w:ascii="Times New Roman" w:eastAsia="Times New Roman" w:hAnsi="Times New Roman"/>
                <w:b/>
                <w:color w:val="000000"/>
                <w:sz w:val="24"/>
                <w:szCs w:val="24"/>
                <w:lang w:eastAsia="tr-TR"/>
              </w:rPr>
            </w:pPr>
            <w:r w:rsidRPr="009E1B38">
              <w:rPr>
                <w:rFonts w:ascii="Times New Roman" w:hAnsi="Times New Roman"/>
                <w:b/>
                <w:sz w:val="24"/>
                <w:szCs w:val="24"/>
              </w:rPr>
              <w:t>Average Number of Decisions per Week</w:t>
            </w:r>
          </w:p>
        </w:tc>
        <w:tc>
          <w:tcPr>
            <w:tcW w:w="557" w:type="pct"/>
            <w:tcBorders>
              <w:top w:val="nil"/>
              <w:left w:val="nil"/>
              <w:bottom w:val="single" w:sz="8" w:space="0" w:color="auto"/>
              <w:right w:val="single" w:sz="8" w:space="0" w:color="auto"/>
            </w:tcBorders>
            <w:shd w:val="clear" w:color="auto" w:fill="auto"/>
            <w:vAlign w:val="center"/>
          </w:tcPr>
          <w:p w14:paraId="7D4A72E6"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128</w:t>
            </w:r>
          </w:p>
        </w:tc>
        <w:tc>
          <w:tcPr>
            <w:tcW w:w="546" w:type="pct"/>
            <w:tcBorders>
              <w:top w:val="nil"/>
              <w:left w:val="nil"/>
              <w:bottom w:val="single" w:sz="8" w:space="0" w:color="auto"/>
              <w:right w:val="single" w:sz="8" w:space="0" w:color="auto"/>
            </w:tcBorders>
            <w:shd w:val="clear" w:color="auto" w:fill="auto"/>
            <w:noWrap/>
            <w:vAlign w:val="center"/>
            <w:hideMark/>
          </w:tcPr>
          <w:p w14:paraId="7D4A72E7"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161</w:t>
            </w:r>
          </w:p>
        </w:tc>
        <w:tc>
          <w:tcPr>
            <w:tcW w:w="359" w:type="pct"/>
            <w:tcBorders>
              <w:top w:val="nil"/>
              <w:left w:val="nil"/>
              <w:bottom w:val="single" w:sz="8" w:space="0" w:color="auto"/>
              <w:right w:val="single" w:sz="8" w:space="0" w:color="auto"/>
            </w:tcBorders>
            <w:shd w:val="clear" w:color="auto" w:fill="auto"/>
            <w:noWrap/>
            <w:vAlign w:val="center"/>
            <w:hideMark/>
          </w:tcPr>
          <w:p w14:paraId="7D4A72E8"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181</w:t>
            </w:r>
          </w:p>
        </w:tc>
        <w:tc>
          <w:tcPr>
            <w:tcW w:w="359" w:type="pct"/>
            <w:tcBorders>
              <w:top w:val="nil"/>
              <w:left w:val="nil"/>
              <w:bottom w:val="single" w:sz="8" w:space="0" w:color="auto"/>
              <w:right w:val="single" w:sz="8" w:space="0" w:color="auto"/>
            </w:tcBorders>
            <w:shd w:val="clear" w:color="auto" w:fill="auto"/>
            <w:noWrap/>
            <w:vAlign w:val="center"/>
            <w:hideMark/>
          </w:tcPr>
          <w:p w14:paraId="7D4A72E9"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185</w:t>
            </w:r>
          </w:p>
        </w:tc>
        <w:tc>
          <w:tcPr>
            <w:tcW w:w="454" w:type="pct"/>
            <w:tcBorders>
              <w:top w:val="nil"/>
              <w:left w:val="nil"/>
              <w:bottom w:val="single" w:sz="8" w:space="0" w:color="auto"/>
              <w:right w:val="single" w:sz="8" w:space="0" w:color="auto"/>
            </w:tcBorders>
            <w:noWrap/>
            <w:vAlign w:val="center"/>
          </w:tcPr>
          <w:p w14:paraId="7D4A72EA"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100</w:t>
            </w:r>
          </w:p>
        </w:tc>
        <w:tc>
          <w:tcPr>
            <w:tcW w:w="925" w:type="pct"/>
            <w:tcBorders>
              <w:top w:val="nil"/>
              <w:left w:val="nil"/>
              <w:bottom w:val="single" w:sz="8" w:space="0" w:color="auto"/>
              <w:right w:val="single" w:sz="8" w:space="0" w:color="auto"/>
            </w:tcBorders>
            <w:vAlign w:val="center"/>
          </w:tcPr>
          <w:p w14:paraId="7D4A72EB" w14:textId="77777777" w:rsidR="005779F9" w:rsidRPr="009E1B38" w:rsidRDefault="005779F9" w:rsidP="005779F9">
            <w:pPr>
              <w:spacing w:after="0" w:line="240" w:lineRule="auto"/>
              <w:jc w:val="right"/>
              <w:rPr>
                <w:rFonts w:ascii="Times New Roman" w:eastAsia="Times New Roman" w:hAnsi="Times New Roman"/>
                <w:color w:val="000000"/>
                <w:sz w:val="24"/>
                <w:szCs w:val="24"/>
                <w:lang w:eastAsia="tr-TR"/>
              </w:rPr>
            </w:pPr>
            <w:r w:rsidRPr="009E1B38">
              <w:rPr>
                <w:rFonts w:ascii="Times New Roman" w:eastAsia="Times New Roman" w:hAnsi="Times New Roman"/>
                <w:color w:val="000000"/>
                <w:sz w:val="24"/>
                <w:szCs w:val="24"/>
                <w:lang w:eastAsia="tr-TR"/>
              </w:rPr>
              <w:t>151</w:t>
            </w:r>
          </w:p>
        </w:tc>
      </w:tr>
    </w:tbl>
    <w:p w14:paraId="7D4A72ED" w14:textId="77777777" w:rsidR="009F6B4A" w:rsidRPr="009E1B38" w:rsidRDefault="009F6B4A" w:rsidP="009F6B4A">
      <w:pPr>
        <w:spacing w:after="0"/>
        <w:rPr>
          <w:rFonts w:ascii="Times New Roman" w:hAnsi="Times New Roman"/>
          <w:color w:val="000000" w:themeColor="text1"/>
          <w:sz w:val="24"/>
          <w:szCs w:val="24"/>
        </w:rPr>
      </w:pPr>
    </w:p>
    <w:p w14:paraId="448517B1" w14:textId="16B4FB10" w:rsidR="00214349" w:rsidRPr="009E1B38" w:rsidRDefault="00214349" w:rsidP="005B2E4C">
      <w:pPr>
        <w:spacing w:after="120"/>
        <w:rPr>
          <w:rFonts w:ascii="Times New Roman" w:hAnsi="Times New Roman"/>
          <w:color w:val="000000" w:themeColor="text1"/>
        </w:rPr>
      </w:pPr>
      <w:r w:rsidRPr="009E1B38">
        <w:rPr>
          <w:rFonts w:ascii="Times New Roman" w:hAnsi="Times New Roman"/>
          <w:color w:val="000000" w:themeColor="text1"/>
        </w:rPr>
        <w:t>As seen in the tables above, the Board made an average of 7.853 decisions annually</w:t>
      </w:r>
      <w:r w:rsidR="000B4EE1" w:rsidRPr="009E1B38">
        <w:rPr>
          <w:rFonts w:ascii="Times New Roman" w:hAnsi="Times New Roman"/>
          <w:color w:val="000000" w:themeColor="text1"/>
        </w:rPr>
        <w:t xml:space="preserve"> between the years 2017-2021. In</w:t>
      </w:r>
      <w:r w:rsidRPr="009E1B38">
        <w:rPr>
          <w:rFonts w:ascii="Times New Roman" w:hAnsi="Times New Roman"/>
          <w:color w:val="000000" w:themeColor="text1"/>
        </w:rPr>
        <w:t xml:space="preserve"> the mentioned period, an average of 14</w:t>
      </w:r>
      <w:r w:rsidR="009E1B38" w:rsidRPr="009E1B38">
        <w:rPr>
          <w:rFonts w:ascii="Times New Roman" w:hAnsi="Times New Roman"/>
          <w:color w:val="000000" w:themeColor="text1"/>
        </w:rPr>
        <w:t>1 Board Decisions per meeting, and a</w:t>
      </w:r>
      <w:r w:rsidRPr="009E1B38">
        <w:rPr>
          <w:rFonts w:ascii="Times New Roman" w:hAnsi="Times New Roman"/>
          <w:color w:val="000000" w:themeColor="text1"/>
        </w:rPr>
        <w:t>n average of 151 Board Decisions were taken per week.</w:t>
      </w:r>
    </w:p>
    <w:p w14:paraId="0DF99DF6" w14:textId="77777777" w:rsidR="00282399" w:rsidRPr="009E1B38" w:rsidRDefault="00282399" w:rsidP="00BF74A6">
      <w:pPr>
        <w:spacing w:after="0"/>
        <w:jc w:val="center"/>
        <w:rPr>
          <w:rFonts w:ascii="Times New Roman" w:hAnsi="Times New Roman"/>
          <w:color w:val="000000" w:themeColor="text1"/>
          <w:sz w:val="24"/>
          <w:szCs w:val="24"/>
          <w:lang w:eastAsia="tr-TR"/>
        </w:rPr>
      </w:pPr>
      <w:r w:rsidRPr="009E1B38">
        <w:rPr>
          <w:rStyle w:val="Gl"/>
          <w:rFonts w:ascii="Times New Roman" w:eastAsiaTheme="majorEastAsia" w:hAnsi="Times New Roman"/>
          <w:sz w:val="24"/>
          <w:szCs w:val="24"/>
        </w:rPr>
        <w:t>Figure 1.2: Distribution of Board Decisions Taken Between 2017-2021</w:t>
      </w:r>
    </w:p>
    <w:p w14:paraId="7D4A72F1" w14:textId="6910CF53" w:rsidR="009F6B4A" w:rsidRPr="009E1B38" w:rsidRDefault="00102B0A" w:rsidP="008C40F5">
      <w:pPr>
        <w:spacing w:after="0"/>
        <w:jc w:val="center"/>
        <w:rPr>
          <w:rFonts w:ascii="Times New Roman" w:hAnsi="Times New Roman"/>
          <w:color w:val="000000" w:themeColor="text1"/>
          <w:sz w:val="24"/>
          <w:szCs w:val="24"/>
        </w:rPr>
      </w:pPr>
      <w:r w:rsidRPr="009E1B38">
        <w:rPr>
          <w:rFonts w:ascii="Times New Roman" w:hAnsi="Times New Roman"/>
          <w:noProof/>
          <w:color w:val="000000" w:themeColor="text1"/>
          <w:sz w:val="24"/>
          <w:szCs w:val="24"/>
          <w:lang w:val="tr-TR" w:eastAsia="tr-TR"/>
        </w:rPr>
        <w:drawing>
          <wp:inline distT="0" distB="0" distL="0" distR="0" wp14:anchorId="44EE8F33" wp14:editId="3CFA1DF7">
            <wp:extent cx="5534526" cy="2871840"/>
            <wp:effectExtent l="0" t="0" r="0" b="508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46141" cy="2877867"/>
                    </a:xfrm>
                    <a:prstGeom prst="rect">
                      <a:avLst/>
                    </a:prstGeom>
                  </pic:spPr>
                </pic:pic>
              </a:graphicData>
            </a:graphic>
          </wp:inline>
        </w:drawing>
      </w:r>
    </w:p>
    <w:p w14:paraId="7D4A72F2" w14:textId="77777777" w:rsidR="009824D9" w:rsidRPr="009E1B38" w:rsidRDefault="009824D9" w:rsidP="00495438">
      <w:pPr>
        <w:spacing w:after="120"/>
        <w:rPr>
          <w:rFonts w:ascii="Times New Roman" w:hAnsi="Times New Roman"/>
          <w:color w:val="000000" w:themeColor="text1"/>
          <w:sz w:val="24"/>
          <w:szCs w:val="24"/>
        </w:rPr>
      </w:pPr>
    </w:p>
    <w:p w14:paraId="279CB846" w14:textId="77777777" w:rsidR="00D74144" w:rsidRPr="009E1B38" w:rsidRDefault="00D74144" w:rsidP="00D74144">
      <w:pPr>
        <w:spacing w:after="120"/>
        <w:rPr>
          <w:rFonts w:ascii="Times New Roman" w:hAnsi="Times New Roman"/>
          <w:color w:val="000000" w:themeColor="text1"/>
        </w:rPr>
      </w:pPr>
      <w:r w:rsidRPr="009E1B38">
        <w:rPr>
          <w:rFonts w:ascii="Times New Roman" w:hAnsi="Times New Roman"/>
          <w:color w:val="000000" w:themeColor="text1"/>
        </w:rPr>
        <w:t>A lawsuit can be filed in the authorized administrative court against the administrative sanction decisions of the Board. All kinds of lawsuits filed against Board Decisions are considered as priority issues.</w:t>
      </w:r>
    </w:p>
    <w:p w14:paraId="42563018" w14:textId="77777777" w:rsidR="00D74144" w:rsidRPr="009E1B38" w:rsidRDefault="00D74144" w:rsidP="00D74144">
      <w:pPr>
        <w:spacing w:after="120"/>
        <w:rPr>
          <w:rFonts w:ascii="Times New Roman" w:hAnsi="Times New Roman"/>
          <w:color w:val="000000" w:themeColor="text1"/>
        </w:rPr>
      </w:pPr>
      <w:r w:rsidRPr="009E1B38">
        <w:rPr>
          <w:rFonts w:ascii="Times New Roman" w:hAnsi="Times New Roman"/>
          <w:color w:val="000000" w:themeColor="text1"/>
        </w:rPr>
        <w:t>The Board has been given various duties and powers in some articles of the Electricity Market Law No. 6446, Natural Gas Market Law No. 4646, Petroleum Market Law No. 5015, Liquefied Petroleum Gases (LPG) Market Law No. 5307, and Law on Amending the Electricity Market Law. In addition, the duties and authorities of the Board are included in Articles 5, 5/A, 5/B, and 5/C of Law No.</w:t>
      </w:r>
    </w:p>
    <w:p w14:paraId="7D4A72F5" w14:textId="35B82E10" w:rsidR="00C553AB" w:rsidRPr="009E1B38" w:rsidRDefault="00C7271D" w:rsidP="00703A75">
      <w:pPr>
        <w:pStyle w:val="Balk3"/>
        <w:spacing w:before="0" w:after="120"/>
        <w:ind w:left="720"/>
        <w:rPr>
          <w:rFonts w:ascii="Times New Roman" w:hAnsi="Times New Roman" w:cs="Times New Roman"/>
          <w:sz w:val="24"/>
          <w:szCs w:val="24"/>
        </w:rPr>
      </w:pPr>
      <w:bookmarkStart w:id="24" w:name="_Toc113615307"/>
      <w:r w:rsidRPr="009E1B38">
        <w:rPr>
          <w:rFonts w:ascii="Times New Roman" w:hAnsi="Times New Roman" w:cs="Times New Roman"/>
          <w:sz w:val="24"/>
          <w:szCs w:val="24"/>
        </w:rPr>
        <w:t>1.2.2 The Presidency</w:t>
      </w:r>
      <w:bookmarkEnd w:id="24"/>
    </w:p>
    <w:p w14:paraId="55A9521D" w14:textId="77777777" w:rsidR="00703A75" w:rsidRPr="009E1B38" w:rsidRDefault="00703A75" w:rsidP="00703A75">
      <w:pPr>
        <w:spacing w:after="120" w:line="240" w:lineRule="auto"/>
        <w:rPr>
          <w:rFonts w:ascii="Times New Roman" w:hAnsi="Times New Roman"/>
        </w:rPr>
      </w:pPr>
      <w:r w:rsidRPr="009E1B38">
        <w:rPr>
          <w:rFonts w:ascii="Times New Roman" w:hAnsi="Times New Roman"/>
        </w:rPr>
        <w:t xml:space="preserve">The Chairman of the Board is also the President of the Authority. The organization and coordination among the Board Members and the service units are performed by the President. The President is responsible for the enforcement and the execution of the Board decisions and representation of the Board. These responsibilities also include the communication to the public of the works of the Board. All the decisions of the Authority </w:t>
      </w:r>
      <w:r w:rsidRPr="009E1B38">
        <w:rPr>
          <w:rFonts w:ascii="Times New Roman" w:hAnsi="Times New Roman"/>
        </w:rPr>
        <w:lastRenderedPageBreak/>
        <w:t xml:space="preserve">except for the powers entrusted to the staff by the President are taken by the Board. The Board assigns tasks to or authorizes the President in subjects it deems appropriate. </w:t>
      </w:r>
    </w:p>
    <w:p w14:paraId="5BBFF81A" w14:textId="77777777" w:rsidR="00703A75" w:rsidRPr="009E1B38" w:rsidRDefault="00703A75" w:rsidP="00703A75">
      <w:pPr>
        <w:spacing w:after="120" w:line="240" w:lineRule="auto"/>
        <w:rPr>
          <w:rFonts w:ascii="Times New Roman" w:hAnsi="Times New Roman"/>
        </w:rPr>
      </w:pPr>
      <w:r w:rsidRPr="009E1B38">
        <w:rPr>
          <w:rFonts w:ascii="Times New Roman" w:hAnsi="Times New Roman"/>
        </w:rPr>
        <w:t xml:space="preserve">The Second President assumes all duties and powers of the President in the absence of the President. </w:t>
      </w:r>
    </w:p>
    <w:p w14:paraId="6E9DE7EA" w14:textId="77777777" w:rsidR="00703A75" w:rsidRPr="009E1B38" w:rsidRDefault="00703A75" w:rsidP="00703A75">
      <w:pPr>
        <w:spacing w:after="120" w:line="240" w:lineRule="auto"/>
        <w:rPr>
          <w:rFonts w:ascii="Times New Roman" w:hAnsi="Times New Roman"/>
        </w:rPr>
      </w:pPr>
      <w:r w:rsidRPr="009E1B38">
        <w:rPr>
          <w:rFonts w:ascii="Times New Roman" w:hAnsi="Times New Roman"/>
        </w:rPr>
        <w:t xml:space="preserve">With a Board Decision, two Vice Presidents may be assigned to help the President perform his/her duties related with the Presidency. Vice Presidents are responsible for the execution of the duties assigned by the President and for the coordination among the related service units. </w:t>
      </w:r>
    </w:p>
    <w:p w14:paraId="3AD7007B" w14:textId="77777777" w:rsidR="00703A75" w:rsidRPr="009E1B38" w:rsidRDefault="00703A75" w:rsidP="00703A75">
      <w:pPr>
        <w:spacing w:after="120" w:line="240" w:lineRule="auto"/>
        <w:rPr>
          <w:rFonts w:ascii="Times New Roman" w:hAnsi="Times New Roman"/>
        </w:rPr>
      </w:pPr>
      <w:r w:rsidRPr="009E1B38">
        <w:rPr>
          <w:rFonts w:ascii="Times New Roman" w:hAnsi="Times New Roman"/>
        </w:rPr>
        <w:t>The duties and powers of the Presidency are stated in the paragraph 10 of Article 5 of the Law Numbered 4628.</w:t>
      </w:r>
    </w:p>
    <w:p w14:paraId="7D4A72FA" w14:textId="77777777" w:rsidR="00C70CCD" w:rsidRPr="009E1B38" w:rsidRDefault="00C70CCD" w:rsidP="00A02EDE">
      <w:pPr>
        <w:spacing w:after="0"/>
        <w:rPr>
          <w:rFonts w:ascii="Times New Roman" w:hAnsi="Times New Roman"/>
          <w:sz w:val="24"/>
          <w:szCs w:val="24"/>
        </w:rPr>
      </w:pPr>
    </w:p>
    <w:p w14:paraId="7D4A72FB" w14:textId="6D5F4C77" w:rsidR="00C553AB" w:rsidRPr="009E1B38" w:rsidRDefault="00C7271D" w:rsidP="00C7271D">
      <w:pPr>
        <w:pStyle w:val="Balk3"/>
        <w:spacing w:before="0" w:after="120"/>
        <w:rPr>
          <w:rFonts w:ascii="Times New Roman" w:hAnsi="Times New Roman" w:cs="Times New Roman"/>
          <w:color w:val="auto"/>
          <w:sz w:val="24"/>
          <w:szCs w:val="24"/>
        </w:rPr>
      </w:pPr>
      <w:bookmarkStart w:id="25" w:name="_Toc113615308"/>
      <w:r w:rsidRPr="009E1B38">
        <w:rPr>
          <w:rFonts w:ascii="Times New Roman" w:hAnsi="Times New Roman" w:cs="Times New Roman"/>
          <w:color w:val="auto"/>
          <w:sz w:val="24"/>
          <w:szCs w:val="24"/>
        </w:rPr>
        <w:t>1.2.3. Service Units</w:t>
      </w:r>
      <w:bookmarkEnd w:id="25"/>
    </w:p>
    <w:p w14:paraId="40294F4B" w14:textId="77777777" w:rsidR="008D7284" w:rsidRPr="009E1B38" w:rsidRDefault="008D7284" w:rsidP="008D7284">
      <w:pPr>
        <w:spacing w:after="0"/>
        <w:rPr>
          <w:rFonts w:ascii="Times New Roman" w:hAnsi="Times New Roman"/>
        </w:rPr>
      </w:pPr>
      <w:r w:rsidRPr="009E1B38">
        <w:rPr>
          <w:rFonts w:ascii="Times New Roman" w:hAnsi="Times New Roman"/>
        </w:rPr>
        <w:t>The service units of the Authority and their duties and responsibilities, staff titles and numbers are regulated in the Law No. 4628 on the Organization and Duties of the Energy Market Regulatory Authority and the Regulation on the Organization of the Energy Market Regulatory Authority published in the Official Gazette dated 18.05.2014 and numbered 29004.</w:t>
      </w:r>
    </w:p>
    <w:p w14:paraId="0F4E1CD4" w14:textId="77777777" w:rsidR="002E5408" w:rsidRPr="009E1B38" w:rsidRDefault="002E5408" w:rsidP="002E5408">
      <w:pPr>
        <w:spacing w:after="0"/>
        <w:rPr>
          <w:rFonts w:ascii="Times New Roman" w:hAnsi="Times New Roman"/>
        </w:rPr>
      </w:pPr>
      <w:r w:rsidRPr="009E1B38">
        <w:rPr>
          <w:rFonts w:ascii="Times New Roman" w:hAnsi="Times New Roman"/>
        </w:rPr>
        <w:t>As defined in the Law No. 4628, the service units of the Authority are as follows:</w:t>
      </w:r>
    </w:p>
    <w:p w14:paraId="42B4A949" w14:textId="77777777" w:rsidR="002E5408" w:rsidRPr="009E1B38" w:rsidRDefault="002E5408" w:rsidP="002E5408">
      <w:pPr>
        <w:spacing w:after="0"/>
        <w:ind w:left="720"/>
        <w:rPr>
          <w:rFonts w:ascii="Times New Roman" w:hAnsi="Times New Roman"/>
        </w:rPr>
      </w:pPr>
      <w:r w:rsidRPr="009E1B38">
        <w:rPr>
          <w:rFonts w:ascii="Times New Roman" w:hAnsi="Times New Roman"/>
        </w:rPr>
        <w:t>a) Electricity Market Department</w:t>
      </w:r>
    </w:p>
    <w:p w14:paraId="27CF3F2C" w14:textId="77777777" w:rsidR="002E5408" w:rsidRPr="009E1B38" w:rsidRDefault="002E5408" w:rsidP="002E5408">
      <w:pPr>
        <w:spacing w:after="0"/>
        <w:ind w:left="720"/>
        <w:rPr>
          <w:rFonts w:ascii="Times New Roman" w:hAnsi="Times New Roman"/>
        </w:rPr>
      </w:pPr>
      <w:r w:rsidRPr="009E1B38">
        <w:rPr>
          <w:rFonts w:ascii="Times New Roman" w:hAnsi="Times New Roman"/>
        </w:rPr>
        <w:t>b) Natural Gas Market Department</w:t>
      </w:r>
    </w:p>
    <w:p w14:paraId="54B732CE" w14:textId="77777777" w:rsidR="002E5408" w:rsidRPr="009E1B38" w:rsidRDefault="002E5408" w:rsidP="002E5408">
      <w:pPr>
        <w:spacing w:after="0"/>
        <w:ind w:left="720"/>
        <w:rPr>
          <w:rFonts w:ascii="Times New Roman" w:hAnsi="Times New Roman"/>
        </w:rPr>
      </w:pPr>
      <w:r w:rsidRPr="009E1B38">
        <w:rPr>
          <w:rFonts w:ascii="Times New Roman" w:hAnsi="Times New Roman"/>
        </w:rPr>
        <w:t>c) Petroleum Market Department</w:t>
      </w:r>
    </w:p>
    <w:p w14:paraId="1324EF0B" w14:textId="77777777" w:rsidR="002E5408" w:rsidRPr="009E1B38" w:rsidRDefault="002E5408" w:rsidP="002E5408">
      <w:pPr>
        <w:spacing w:after="0"/>
        <w:ind w:left="720"/>
        <w:rPr>
          <w:rFonts w:ascii="Times New Roman" w:hAnsi="Times New Roman"/>
        </w:rPr>
      </w:pPr>
      <w:r w:rsidRPr="009E1B38">
        <w:rPr>
          <w:rFonts w:ascii="Times New Roman" w:hAnsi="Times New Roman"/>
        </w:rPr>
        <w:t>ç) Liquefied Petroleum Gas Market Department</w:t>
      </w:r>
    </w:p>
    <w:p w14:paraId="0AF3232F" w14:textId="77777777" w:rsidR="002E5408" w:rsidRPr="009E1B38" w:rsidRDefault="002E5408" w:rsidP="002E5408">
      <w:pPr>
        <w:spacing w:after="0"/>
        <w:ind w:left="720"/>
        <w:rPr>
          <w:rFonts w:ascii="Times New Roman" w:hAnsi="Times New Roman"/>
        </w:rPr>
      </w:pPr>
      <w:r w:rsidRPr="009E1B38">
        <w:rPr>
          <w:rFonts w:ascii="Times New Roman" w:hAnsi="Times New Roman"/>
        </w:rPr>
        <w:t>d) Department of Tariffs</w:t>
      </w:r>
    </w:p>
    <w:p w14:paraId="2C997FAB" w14:textId="77777777" w:rsidR="002E5408" w:rsidRPr="009E1B38" w:rsidRDefault="002E5408" w:rsidP="002E5408">
      <w:pPr>
        <w:spacing w:after="0"/>
        <w:ind w:left="720"/>
        <w:rPr>
          <w:rFonts w:ascii="Times New Roman" w:hAnsi="Times New Roman"/>
        </w:rPr>
      </w:pPr>
      <w:r w:rsidRPr="009E1B38">
        <w:rPr>
          <w:rFonts w:ascii="Times New Roman" w:hAnsi="Times New Roman"/>
        </w:rPr>
        <w:t>e) Audit Department</w:t>
      </w:r>
    </w:p>
    <w:p w14:paraId="17C38270" w14:textId="77777777" w:rsidR="002E5408" w:rsidRPr="009E1B38" w:rsidRDefault="002E5408" w:rsidP="002E5408">
      <w:pPr>
        <w:spacing w:after="0"/>
        <w:ind w:left="720"/>
        <w:rPr>
          <w:rFonts w:ascii="Times New Roman" w:hAnsi="Times New Roman"/>
        </w:rPr>
      </w:pPr>
      <w:r w:rsidRPr="009E1B38">
        <w:rPr>
          <w:rFonts w:ascii="Times New Roman" w:hAnsi="Times New Roman"/>
        </w:rPr>
        <w:t>f) Department of Expropriation</w:t>
      </w:r>
    </w:p>
    <w:p w14:paraId="426FC8D2" w14:textId="77777777" w:rsidR="002E5408" w:rsidRPr="009E1B38" w:rsidRDefault="002E5408" w:rsidP="002E5408">
      <w:pPr>
        <w:spacing w:after="0"/>
        <w:ind w:left="720"/>
        <w:rPr>
          <w:rFonts w:ascii="Times New Roman" w:hAnsi="Times New Roman"/>
        </w:rPr>
      </w:pPr>
      <w:r w:rsidRPr="009E1B38">
        <w:rPr>
          <w:rFonts w:ascii="Times New Roman" w:hAnsi="Times New Roman"/>
        </w:rPr>
        <w:t>g) Department of Law</w:t>
      </w:r>
    </w:p>
    <w:p w14:paraId="5577FABA" w14:textId="77777777" w:rsidR="002E5408" w:rsidRPr="009E1B38" w:rsidRDefault="002E5408" w:rsidP="002E5408">
      <w:pPr>
        <w:spacing w:after="0"/>
        <w:ind w:left="720"/>
        <w:rPr>
          <w:rFonts w:ascii="Times New Roman" w:hAnsi="Times New Roman"/>
        </w:rPr>
      </w:pPr>
      <w:r w:rsidRPr="009E1B38">
        <w:rPr>
          <w:rFonts w:ascii="Times New Roman" w:hAnsi="Times New Roman"/>
        </w:rPr>
        <w:t>ğ) Strategy Development Department</w:t>
      </w:r>
    </w:p>
    <w:p w14:paraId="76DA949F" w14:textId="77777777" w:rsidR="002E5408" w:rsidRPr="009E1B38" w:rsidRDefault="002E5408" w:rsidP="002E5408">
      <w:pPr>
        <w:spacing w:after="0"/>
        <w:ind w:left="720"/>
        <w:rPr>
          <w:rFonts w:ascii="Times New Roman" w:hAnsi="Times New Roman"/>
        </w:rPr>
      </w:pPr>
      <w:r w:rsidRPr="009E1B38">
        <w:rPr>
          <w:rFonts w:ascii="Times New Roman" w:hAnsi="Times New Roman"/>
        </w:rPr>
        <w:t>h) Department of Human Resources and Support Services</w:t>
      </w:r>
    </w:p>
    <w:p w14:paraId="3A849CE9" w14:textId="77777777" w:rsidR="002E5408" w:rsidRPr="009E1B38" w:rsidRDefault="002E5408" w:rsidP="002E5408">
      <w:pPr>
        <w:spacing w:after="0"/>
        <w:ind w:left="720"/>
        <w:rPr>
          <w:rFonts w:ascii="Times New Roman" w:hAnsi="Times New Roman"/>
        </w:rPr>
      </w:pPr>
      <w:r w:rsidRPr="009E1B38">
        <w:rPr>
          <w:rFonts w:ascii="Times New Roman" w:hAnsi="Times New Roman"/>
        </w:rPr>
        <w:t>İ) Department of Information Technology</w:t>
      </w:r>
    </w:p>
    <w:p w14:paraId="0C8467F2" w14:textId="77777777" w:rsidR="002E5408" w:rsidRPr="009E1B38" w:rsidRDefault="002E5408" w:rsidP="002E5408">
      <w:pPr>
        <w:spacing w:after="0"/>
        <w:ind w:left="720"/>
        <w:rPr>
          <w:rFonts w:ascii="Times New Roman" w:hAnsi="Times New Roman"/>
        </w:rPr>
      </w:pPr>
      <w:r w:rsidRPr="009E1B38">
        <w:rPr>
          <w:rFonts w:ascii="Times New Roman" w:hAnsi="Times New Roman"/>
        </w:rPr>
        <w:t>i) Press and Public Relations Consultancy</w:t>
      </w:r>
    </w:p>
    <w:p w14:paraId="4E946576" w14:textId="454138E2" w:rsidR="002E5408" w:rsidRPr="009E1B38" w:rsidRDefault="002E5408" w:rsidP="002E5408">
      <w:pPr>
        <w:spacing w:after="120" w:line="240" w:lineRule="auto"/>
        <w:rPr>
          <w:rFonts w:ascii="Times New Roman" w:hAnsi="Times New Roman"/>
        </w:rPr>
      </w:pPr>
      <w:r w:rsidRPr="009E1B38">
        <w:rPr>
          <w:rFonts w:ascii="Times New Roman" w:hAnsi="Times New Roman"/>
        </w:rPr>
        <w:t xml:space="preserve">             j) Special Bureau for the Board </w:t>
      </w:r>
    </w:p>
    <w:p w14:paraId="7D4A730D" w14:textId="42C826FE" w:rsidR="00C553AB" w:rsidRPr="009E1B38" w:rsidRDefault="002E5408" w:rsidP="002E5408">
      <w:pPr>
        <w:spacing w:after="0"/>
        <w:rPr>
          <w:rFonts w:ascii="Times New Roman" w:hAnsi="Times New Roman"/>
        </w:rPr>
      </w:pPr>
      <w:r w:rsidRPr="009E1B38">
        <w:rPr>
          <w:rFonts w:ascii="Times New Roman" w:hAnsi="Times New Roman"/>
        </w:rPr>
        <w:t xml:space="preserve">            </w:t>
      </w:r>
      <w:r w:rsidR="00C9655B" w:rsidRPr="009E1B38">
        <w:rPr>
          <w:rFonts w:ascii="Times New Roman" w:hAnsi="Times New Roman"/>
        </w:rPr>
        <w:t xml:space="preserve"> </w:t>
      </w:r>
      <w:r w:rsidRPr="009E1B38">
        <w:rPr>
          <w:rFonts w:ascii="Times New Roman" w:hAnsi="Times New Roman"/>
        </w:rPr>
        <w:t>k) Special Bureau for the President</w:t>
      </w:r>
    </w:p>
    <w:p w14:paraId="7D4A730E" w14:textId="77777777" w:rsidR="00C553AB" w:rsidRPr="009E1B38" w:rsidRDefault="00C553AB" w:rsidP="00A02EDE">
      <w:pPr>
        <w:spacing w:after="0"/>
        <w:rPr>
          <w:rFonts w:ascii="Times New Roman" w:hAnsi="Times New Roman"/>
          <w:sz w:val="24"/>
          <w:szCs w:val="24"/>
        </w:rPr>
      </w:pPr>
    </w:p>
    <w:p w14:paraId="7D4A730F" w14:textId="77777777" w:rsidR="00C553AB" w:rsidRPr="009E1B38" w:rsidRDefault="00C553AB" w:rsidP="00A02EDE">
      <w:pPr>
        <w:spacing w:after="0"/>
        <w:rPr>
          <w:rFonts w:ascii="Times New Roman" w:hAnsi="Times New Roman"/>
          <w:sz w:val="24"/>
          <w:szCs w:val="24"/>
        </w:rPr>
      </w:pPr>
    </w:p>
    <w:p w14:paraId="7D4A7310" w14:textId="77777777" w:rsidR="00C553AB" w:rsidRPr="009E1B38" w:rsidRDefault="00C553AB" w:rsidP="00A02EDE">
      <w:pPr>
        <w:spacing w:after="0"/>
        <w:rPr>
          <w:rFonts w:ascii="Times New Roman" w:hAnsi="Times New Roman"/>
          <w:sz w:val="24"/>
          <w:szCs w:val="24"/>
        </w:rPr>
      </w:pPr>
    </w:p>
    <w:p w14:paraId="7D4A7311" w14:textId="77777777" w:rsidR="00C553AB" w:rsidRPr="009E1B38" w:rsidRDefault="00C553AB" w:rsidP="00A02EDE">
      <w:pPr>
        <w:spacing w:after="0"/>
        <w:rPr>
          <w:rFonts w:ascii="Times New Roman" w:hAnsi="Times New Roman"/>
          <w:sz w:val="24"/>
          <w:szCs w:val="24"/>
        </w:rPr>
      </w:pPr>
    </w:p>
    <w:p w14:paraId="7D4A7316" w14:textId="77777777" w:rsidR="00090153" w:rsidRPr="009E1B38" w:rsidRDefault="00090153" w:rsidP="00A02EDE">
      <w:pPr>
        <w:rPr>
          <w:rFonts w:ascii="Times New Roman" w:hAnsi="Times New Roman"/>
          <w:sz w:val="24"/>
          <w:szCs w:val="24"/>
        </w:rPr>
      </w:pPr>
    </w:p>
    <w:p w14:paraId="7D4A7318" w14:textId="15CFBCB4" w:rsidR="00BF60F1" w:rsidRPr="009E1B38" w:rsidRDefault="004516E2" w:rsidP="00753513">
      <w:pPr>
        <w:spacing w:after="0"/>
        <w:rPr>
          <w:rFonts w:ascii="Times New Roman" w:hAnsi="Times New Roman"/>
        </w:rPr>
        <w:sectPr w:rsidR="00BF60F1" w:rsidRPr="009E1B38" w:rsidSect="00BB72B4">
          <w:footerReference w:type="default" r:id="rId14"/>
          <w:pgSz w:w="11906" w:h="16838"/>
          <w:pgMar w:top="1418" w:right="1418" w:bottom="1418" w:left="566" w:header="709" w:footer="459" w:gutter="0"/>
          <w:cols w:space="708"/>
          <w:docGrid w:linePitch="360"/>
        </w:sectPr>
      </w:pPr>
      <w:r w:rsidRPr="009E1B38">
        <w:rPr>
          <w:rFonts w:ascii="Times New Roman" w:hAnsi="Times New Roman"/>
          <w:noProof/>
          <w:lang w:val="tr-TR" w:eastAsia="tr-TR"/>
        </w:rPr>
        <w:lastRenderedPageBreak/>
        <w:drawing>
          <wp:inline distT="0" distB="0" distL="0" distR="0" wp14:anchorId="02E2296F" wp14:editId="6B52D7B9">
            <wp:extent cx="8891270" cy="5485130"/>
            <wp:effectExtent l="0" t="0" r="5080" b="127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891270" cy="5485130"/>
                    </a:xfrm>
                    <a:prstGeom prst="rect">
                      <a:avLst/>
                    </a:prstGeom>
                  </pic:spPr>
                </pic:pic>
              </a:graphicData>
            </a:graphic>
          </wp:inline>
        </w:drawing>
      </w:r>
    </w:p>
    <w:p w14:paraId="531BB66B" w14:textId="755C5C7C" w:rsidR="00D80C87" w:rsidRPr="009E1B38" w:rsidRDefault="00D80C87" w:rsidP="00D80C87">
      <w:pPr>
        <w:pStyle w:val="Balk2"/>
        <w:rPr>
          <w:rFonts w:cs="Times New Roman"/>
        </w:rPr>
      </w:pPr>
      <w:bookmarkStart w:id="26" w:name="_Toc113615309"/>
      <w:r w:rsidRPr="009E1B38">
        <w:rPr>
          <w:rFonts w:cs="Times New Roman"/>
        </w:rPr>
        <w:lastRenderedPageBreak/>
        <w:t>1.3. Supervision of the Activities of the Authority</w:t>
      </w:r>
      <w:bookmarkEnd w:id="26"/>
    </w:p>
    <w:p w14:paraId="347BE408" w14:textId="71363143" w:rsidR="00D75A39" w:rsidRPr="009E1B38" w:rsidRDefault="00D75A39" w:rsidP="00D75A39">
      <w:pPr>
        <w:spacing w:after="120" w:line="240" w:lineRule="auto"/>
        <w:rPr>
          <w:rFonts w:ascii="Times New Roman" w:hAnsi="Times New Roman"/>
        </w:rPr>
      </w:pPr>
      <w:r w:rsidRPr="009E1B38">
        <w:rPr>
          <w:rFonts w:ascii="Times New Roman" w:hAnsi="Times New Roman"/>
        </w:rPr>
        <w:t>The Authority is subject to only the Articles of 3, 7, 8, 12, 15, 17, 18, 19, 25, 43, 47, 48, 49, 50, 51, 52, 53, 54Au, 68 and 76 of the Public Finance Management and Control Law No:5018.  Within that scope, the external audits of the Authority are made by the Supreme Court of Accounts as per the Article 68 of the Law No:</w:t>
      </w:r>
      <w:r w:rsidR="000B4EE1" w:rsidRPr="009E1B38">
        <w:rPr>
          <w:rFonts w:ascii="Times New Roman" w:hAnsi="Times New Roman"/>
        </w:rPr>
        <w:t xml:space="preserve"> </w:t>
      </w:r>
      <w:r w:rsidRPr="009E1B38">
        <w:rPr>
          <w:rFonts w:ascii="Times New Roman" w:hAnsi="Times New Roman"/>
        </w:rPr>
        <w:t xml:space="preserve">5018. </w:t>
      </w:r>
    </w:p>
    <w:p w14:paraId="0FE7E578" w14:textId="1C98D3C9" w:rsidR="00D75A39" w:rsidRPr="009E1B38" w:rsidRDefault="00D75A39" w:rsidP="00D75A39">
      <w:pPr>
        <w:spacing w:after="120" w:line="240" w:lineRule="auto"/>
        <w:rPr>
          <w:rFonts w:ascii="Times New Roman" w:hAnsi="Times New Roman"/>
        </w:rPr>
      </w:pPr>
      <w:r w:rsidRPr="009E1B38">
        <w:rPr>
          <w:rFonts w:ascii="Times New Roman" w:hAnsi="Times New Roman"/>
        </w:rPr>
        <w:t>The aim of the ex-post external audit made by the Supreme Court of Accounts is, to examine the financial activities, decisions and transactions of the Authority with regard to their compliance with laws, Authority objectives and plans and reporting the results to the Grand National Assembly</w:t>
      </w:r>
      <w:r w:rsidR="000B4EE1" w:rsidRPr="009E1B38">
        <w:rPr>
          <w:rFonts w:ascii="Times New Roman" w:hAnsi="Times New Roman"/>
        </w:rPr>
        <w:t xml:space="preserve"> of Türkiye</w:t>
      </w:r>
      <w:r w:rsidRPr="009E1B38">
        <w:rPr>
          <w:rFonts w:ascii="Times New Roman" w:hAnsi="Times New Roman"/>
        </w:rPr>
        <w:t xml:space="preserve">. </w:t>
      </w:r>
    </w:p>
    <w:p w14:paraId="4E5AE8E9" w14:textId="77777777" w:rsidR="00D75A39" w:rsidRPr="009E1B38" w:rsidRDefault="00D75A39" w:rsidP="00D75A39">
      <w:pPr>
        <w:spacing w:after="120" w:line="240" w:lineRule="auto"/>
        <w:rPr>
          <w:rFonts w:ascii="Times New Roman" w:hAnsi="Times New Roman"/>
        </w:rPr>
      </w:pPr>
      <w:r w:rsidRPr="009E1B38">
        <w:rPr>
          <w:rFonts w:ascii="Times New Roman" w:hAnsi="Times New Roman"/>
        </w:rPr>
        <w:t xml:space="preserve">On the other hand, as per the Article 19/A of the Law No:2046 amended by the Article 45 of the Executive Order No:649 published in the Official Gazette dated 17/08/2011 and numbered 28028, The Minister is entitled to audit all activities and transactions of the Authority. </w:t>
      </w:r>
    </w:p>
    <w:p w14:paraId="10A614F4" w14:textId="77777777" w:rsidR="00D75A39" w:rsidRPr="009E1B38" w:rsidRDefault="00D75A39" w:rsidP="00D75A39">
      <w:pPr>
        <w:spacing w:after="120" w:line="240" w:lineRule="auto"/>
        <w:rPr>
          <w:rFonts w:ascii="Times New Roman" w:hAnsi="Times New Roman"/>
        </w:rPr>
      </w:pPr>
      <w:r w:rsidRPr="009E1B38">
        <w:rPr>
          <w:rFonts w:ascii="Times New Roman" w:hAnsi="Times New Roman"/>
        </w:rPr>
        <w:t xml:space="preserve">Besides, in case an application is filed, the Authority can be audited by the State Supervisory Council and Prime Ministry İnspection Board. </w:t>
      </w:r>
    </w:p>
    <w:p w14:paraId="7D4A7321" w14:textId="77777777" w:rsidR="001D4D93" w:rsidRPr="009E1B38" w:rsidRDefault="001D4D93" w:rsidP="00A02EDE">
      <w:pPr>
        <w:spacing w:after="0"/>
        <w:rPr>
          <w:rFonts w:ascii="Times New Roman" w:hAnsi="Times New Roman"/>
        </w:rPr>
      </w:pPr>
    </w:p>
    <w:p w14:paraId="7D4A733E" w14:textId="77777777" w:rsidR="00917E4C" w:rsidRPr="009E1B38" w:rsidRDefault="00917E4C" w:rsidP="00A02EDE">
      <w:pPr>
        <w:spacing w:after="0"/>
        <w:rPr>
          <w:rFonts w:ascii="Times New Roman" w:hAnsi="Times New Roman"/>
        </w:rPr>
      </w:pPr>
    </w:p>
    <w:p w14:paraId="3983C344" w14:textId="77777777" w:rsidR="00171C59" w:rsidRPr="009E1B38" w:rsidRDefault="00171C59" w:rsidP="00171C59">
      <w:pPr>
        <w:pStyle w:val="KonuBal"/>
        <w:rPr>
          <w:rStyle w:val="KitapBal"/>
          <w:rFonts w:ascii="Times New Roman" w:hAnsi="Times New Roman" w:cs="Times New Roman"/>
          <w:color w:val="auto"/>
          <w:sz w:val="22"/>
        </w:rPr>
      </w:pPr>
      <w:bookmarkStart w:id="27" w:name="_Toc442431254"/>
      <w:r w:rsidRPr="009E1B38">
        <w:rPr>
          <w:rStyle w:val="KitapBal"/>
          <w:rFonts w:ascii="Times New Roman" w:hAnsi="Times New Roman" w:cs="Times New Roman"/>
          <w:color w:val="auto"/>
          <w:sz w:val="22"/>
        </w:rPr>
        <w:t>INFORMATION ON ACTIVITIES</w:t>
      </w:r>
    </w:p>
    <w:p w14:paraId="0EE6D901" w14:textId="77777777" w:rsidR="00171C59" w:rsidRPr="009E1B38" w:rsidRDefault="00171C59" w:rsidP="003C5E4D">
      <w:pPr>
        <w:pStyle w:val="P68B1DB1-Balk11"/>
        <w:numPr>
          <w:ilvl w:val="0"/>
          <w:numId w:val="7"/>
        </w:numPr>
        <w:rPr>
          <w:lang w:val="en-US"/>
        </w:rPr>
      </w:pPr>
      <w:bookmarkStart w:id="28" w:name="_Toc442431231"/>
      <w:bookmarkStart w:id="29" w:name="_Toc6684426"/>
      <w:bookmarkStart w:id="30" w:name="_Toc107500781"/>
      <w:bookmarkStart w:id="31" w:name="_Toc113615310"/>
      <w:r w:rsidRPr="009E1B38">
        <w:rPr>
          <w:lang w:val="en-US"/>
        </w:rPr>
        <w:t>LEGISLATIVE ACTIVITIES</w:t>
      </w:r>
      <w:bookmarkEnd w:id="28"/>
      <w:bookmarkEnd w:id="29"/>
      <w:bookmarkEnd w:id="30"/>
      <w:bookmarkEnd w:id="31"/>
    </w:p>
    <w:p w14:paraId="491FB1E9" w14:textId="77777777" w:rsidR="00171C59" w:rsidRPr="009E1B38" w:rsidRDefault="00171C59" w:rsidP="00171C59">
      <w:pPr>
        <w:rPr>
          <w:rFonts w:ascii="Times New Roman" w:hAnsi="Times New Roman"/>
        </w:rPr>
      </w:pPr>
    </w:p>
    <w:p w14:paraId="5FF91A79" w14:textId="77777777" w:rsidR="00171C59" w:rsidRPr="009E1B38" w:rsidRDefault="00171C59" w:rsidP="00171C59">
      <w:pPr>
        <w:pStyle w:val="P68B1DB1-Normal2"/>
        <w:spacing w:after="0"/>
        <w:rPr>
          <w:lang w:val="en-US"/>
        </w:rPr>
      </w:pPr>
      <w:r w:rsidRPr="009E1B38">
        <w:rPr>
          <w:lang w:val="en-US"/>
        </w:rPr>
        <w:t xml:space="preserve">This section covers the activities carried out within the scope of legislative development for Electricity, Natural Gas, Oil and LPG markets in 2021. </w:t>
      </w:r>
    </w:p>
    <w:p w14:paraId="72798432" w14:textId="77777777" w:rsidR="00171C59" w:rsidRPr="009E1B38" w:rsidRDefault="00171C59" w:rsidP="00171C59">
      <w:pPr>
        <w:spacing w:after="0"/>
        <w:rPr>
          <w:rFonts w:ascii="Times New Roman" w:hAnsi="Times New Roman"/>
        </w:rPr>
      </w:pPr>
    </w:p>
    <w:p w14:paraId="3AD1761D" w14:textId="77777777" w:rsidR="00171C59" w:rsidRPr="009E1B38" w:rsidRDefault="00171C59" w:rsidP="003C5E4D">
      <w:pPr>
        <w:pStyle w:val="P68B1DB1-Balk23"/>
        <w:numPr>
          <w:ilvl w:val="1"/>
          <w:numId w:val="49"/>
        </w:numPr>
        <w:rPr>
          <w:lang w:val="en-US"/>
        </w:rPr>
      </w:pPr>
      <w:bookmarkStart w:id="32" w:name="_Toc442431232"/>
      <w:bookmarkStart w:id="33" w:name="_Toc6684427"/>
      <w:bookmarkStart w:id="34" w:name="_Toc107500782"/>
      <w:bookmarkStart w:id="35" w:name="_Toc113615311"/>
      <w:r w:rsidRPr="009E1B38">
        <w:rPr>
          <w:lang w:val="en-US"/>
        </w:rPr>
        <w:t>Electricity Market Legislation</w:t>
      </w:r>
      <w:bookmarkEnd w:id="32"/>
      <w:bookmarkEnd w:id="33"/>
      <w:bookmarkEnd w:id="34"/>
      <w:bookmarkEnd w:id="35"/>
    </w:p>
    <w:p w14:paraId="10AD0B6F" w14:textId="77777777" w:rsidR="00171C59" w:rsidRPr="009E1B38" w:rsidRDefault="00171C59" w:rsidP="003C5E4D">
      <w:pPr>
        <w:pStyle w:val="P68B1DB1-Balk34"/>
        <w:numPr>
          <w:ilvl w:val="2"/>
          <w:numId w:val="49"/>
        </w:numPr>
        <w:spacing w:before="0" w:after="240"/>
        <w:rPr>
          <w:lang w:val="en-US"/>
        </w:rPr>
      </w:pPr>
      <w:bookmarkStart w:id="36" w:name="_Toc442431233"/>
      <w:bookmarkStart w:id="37" w:name="_Toc6684428"/>
      <w:bookmarkStart w:id="38" w:name="_Toc107500783"/>
      <w:bookmarkStart w:id="39" w:name="_Toc113615312"/>
      <w:r w:rsidRPr="009E1B38">
        <w:rPr>
          <w:lang w:val="en-US"/>
        </w:rPr>
        <w:t>Law</w:t>
      </w:r>
      <w:bookmarkEnd w:id="36"/>
      <w:bookmarkEnd w:id="37"/>
      <w:bookmarkEnd w:id="38"/>
      <w:bookmarkEnd w:id="39"/>
    </w:p>
    <w:p w14:paraId="599C4D15" w14:textId="77777777" w:rsidR="00171C59" w:rsidRPr="009E1B38" w:rsidRDefault="00171C59" w:rsidP="00171C59">
      <w:pPr>
        <w:pStyle w:val="P68B1DB1-Normal2"/>
        <w:spacing w:after="240"/>
        <w:rPr>
          <w:lang w:val="en-US"/>
        </w:rPr>
      </w:pPr>
      <w:r w:rsidRPr="009E1B38">
        <w:rPr>
          <w:lang w:val="en-US"/>
        </w:rPr>
        <w:t>In 2021, the following Law studies were carried out in the electricity market;</w:t>
      </w:r>
    </w:p>
    <w:p w14:paraId="5C45FB77" w14:textId="77777777" w:rsidR="00171C59" w:rsidRPr="009E1B38" w:rsidRDefault="00171C59" w:rsidP="003C5E4D">
      <w:pPr>
        <w:pStyle w:val="P68B1DB1-Normal2"/>
        <w:numPr>
          <w:ilvl w:val="0"/>
          <w:numId w:val="13"/>
        </w:numPr>
        <w:spacing w:after="160" w:line="259" w:lineRule="auto"/>
        <w:rPr>
          <w:b/>
          <w:lang w:val="en-US"/>
        </w:rPr>
      </w:pPr>
      <w:r w:rsidRPr="009E1B38">
        <w:rPr>
          <w:lang w:val="en-US"/>
        </w:rPr>
        <w:t xml:space="preserve">The phrase </w:t>
      </w:r>
      <w:r w:rsidRPr="009E1B38">
        <w:rPr>
          <w:b/>
          <w:lang w:val="en-US"/>
        </w:rPr>
        <w:t xml:space="preserve">"the electrical energy they produce beyond their needs" </w:t>
      </w:r>
      <w:r w:rsidRPr="009E1B38">
        <w:rPr>
          <w:lang w:val="en-US"/>
        </w:rPr>
        <w:t>has been added to the first sentence of the first paragraph of Article 6/A titled</w:t>
      </w:r>
      <w:r w:rsidRPr="009E1B38">
        <w:rPr>
          <w:b/>
          <w:lang w:val="en-US"/>
        </w:rPr>
        <w:t xml:space="preserve"> "Unlicensed electricity generation activity" </w:t>
      </w:r>
      <w:r w:rsidRPr="009E1B38">
        <w:rPr>
          <w:lang w:val="en-US"/>
        </w:rPr>
        <w:t>and the phrase</w:t>
      </w:r>
      <w:r w:rsidRPr="009E1B38">
        <w:rPr>
          <w:b/>
          <w:lang w:val="en-US"/>
        </w:rPr>
        <w:t xml:space="preserve"> "transmission, or" </w:t>
      </w:r>
      <w:r w:rsidRPr="009E1B38">
        <w:rPr>
          <w:lang w:val="en-US"/>
        </w:rPr>
        <w:t>has been added to the second sentence to come after the phrase in this context.</w:t>
      </w:r>
    </w:p>
    <w:p w14:paraId="03CCE019" w14:textId="77777777" w:rsidR="00171C59" w:rsidRPr="009E1B38" w:rsidRDefault="00171C59" w:rsidP="003C5E4D">
      <w:pPr>
        <w:pStyle w:val="P68B1DB1-ListeParagraf5"/>
        <w:numPr>
          <w:ilvl w:val="0"/>
          <w:numId w:val="14"/>
        </w:numPr>
        <w:spacing w:after="160" w:line="259" w:lineRule="auto"/>
        <w:rPr>
          <w:lang w:val="en-US"/>
        </w:rPr>
      </w:pPr>
      <w:r w:rsidRPr="009E1B38">
        <w:rPr>
          <w:lang w:val="en-US"/>
        </w:rPr>
        <w:t xml:space="preserve">In the Law No. 7346, </w:t>
      </w:r>
      <w:r w:rsidRPr="009E1B38">
        <w:rPr>
          <w:i/>
          <w:lang w:val="en-US"/>
        </w:rPr>
        <w:t xml:space="preserve">amending </w:t>
      </w:r>
      <w:r w:rsidRPr="009E1B38">
        <w:rPr>
          <w:lang w:val="en-US"/>
        </w:rPr>
        <w:t>Certain Laws</w:t>
      </w:r>
      <w:r w:rsidRPr="009E1B38">
        <w:rPr>
          <w:i/>
          <w:lang w:val="en-US"/>
        </w:rPr>
        <w:t xml:space="preserve"> and the Law No. 5346 on the Use of Renewable</w:t>
      </w:r>
      <w:r w:rsidRPr="009E1B38">
        <w:rPr>
          <w:lang w:val="en-US"/>
        </w:rPr>
        <w:t xml:space="preserve"> Energy Resources for the Purpose of Generating Electrical Energy published in the Official</w:t>
      </w:r>
      <w:r w:rsidRPr="009E1B38">
        <w:rPr>
          <w:i/>
          <w:lang w:val="en-US"/>
        </w:rPr>
        <w:t xml:space="preserve"> Gazette, dated 25 December 2021 and numbered 31700,</w:t>
      </w:r>
      <w:r w:rsidRPr="009E1B38">
        <w:rPr>
          <w:lang w:val="en-US"/>
        </w:rPr>
        <w:t xml:space="preserve"> </w:t>
      </w:r>
    </w:p>
    <w:p w14:paraId="65BDC6B8" w14:textId="77777777" w:rsidR="00171C59" w:rsidRPr="009E1B38" w:rsidRDefault="00171C59" w:rsidP="00171C59">
      <w:pPr>
        <w:pStyle w:val="ListeParagraf"/>
        <w:ind w:left="1440"/>
        <w:rPr>
          <w:rFonts w:ascii="Times New Roman" w:hAnsi="Times New Roman"/>
        </w:rPr>
      </w:pPr>
    </w:p>
    <w:p w14:paraId="3C7D5E0E" w14:textId="77777777" w:rsidR="00171C59" w:rsidRPr="009E1B38" w:rsidRDefault="00171C59" w:rsidP="003C5E4D">
      <w:pPr>
        <w:pStyle w:val="P68B1DB1-ListeParagraf5"/>
        <w:numPr>
          <w:ilvl w:val="0"/>
          <w:numId w:val="14"/>
        </w:numPr>
        <w:spacing w:after="160" w:line="259" w:lineRule="auto"/>
        <w:rPr>
          <w:lang w:val="en-US"/>
        </w:rPr>
      </w:pPr>
      <w:r w:rsidRPr="009E1B38">
        <w:rPr>
          <w:lang w:val="en-US"/>
        </w:rPr>
        <w:t xml:space="preserve">In Article 10 titled </w:t>
      </w:r>
      <w:r w:rsidRPr="009E1B38">
        <w:rPr>
          <w:i/>
          <w:lang w:val="en-US"/>
        </w:rPr>
        <w:t>“Sanctions”</w:t>
      </w:r>
      <w:r w:rsidRPr="009E1B38">
        <w:rPr>
          <w:lang w:val="en-US"/>
        </w:rPr>
        <w:t xml:space="preserve"> the phrase </w:t>
      </w:r>
      <w:r w:rsidRPr="009E1B38">
        <w:rPr>
          <w:i/>
          <w:lang w:val="en-US"/>
        </w:rPr>
        <w:t>“4628”</w:t>
      </w:r>
      <w:r w:rsidRPr="009E1B38">
        <w:rPr>
          <w:lang w:val="en-US"/>
        </w:rPr>
        <w:t xml:space="preserve"> has been replaced with </w:t>
      </w:r>
      <w:r w:rsidRPr="009E1B38">
        <w:rPr>
          <w:i/>
          <w:lang w:val="en-US"/>
        </w:rPr>
        <w:t>“6446”</w:t>
      </w:r>
      <w:r w:rsidRPr="009E1B38">
        <w:rPr>
          <w:lang w:val="en-US"/>
        </w:rPr>
        <w:t xml:space="preserve"> </w:t>
      </w:r>
      <w:r w:rsidRPr="009E1B38">
        <w:rPr>
          <w:i/>
          <w:lang w:val="en-US"/>
        </w:rPr>
        <w:t>and the phrase “11th”</w:t>
      </w:r>
      <w:r w:rsidRPr="009E1B38">
        <w:rPr>
          <w:lang w:val="en-US"/>
        </w:rPr>
        <w:t xml:space="preserve"> has been replaced with </w:t>
      </w:r>
      <w:r w:rsidRPr="009E1B38">
        <w:rPr>
          <w:i/>
          <w:lang w:val="en-US"/>
        </w:rPr>
        <w:t>“16th”</w:t>
      </w:r>
      <w:r w:rsidRPr="009E1B38">
        <w:rPr>
          <w:lang w:val="en-US"/>
        </w:rPr>
        <w:t>.</w:t>
      </w:r>
    </w:p>
    <w:p w14:paraId="308E176D" w14:textId="77777777" w:rsidR="00171C59" w:rsidRPr="009E1B38" w:rsidRDefault="00171C59" w:rsidP="00171C59">
      <w:pPr>
        <w:pStyle w:val="ListeParagraf"/>
        <w:spacing w:after="0"/>
        <w:rPr>
          <w:rFonts w:ascii="Times New Roman" w:hAnsi="Times New Roman"/>
          <w:b/>
        </w:rPr>
      </w:pPr>
    </w:p>
    <w:p w14:paraId="5625905B" w14:textId="77777777" w:rsidR="00171C59" w:rsidRPr="009E1B38" w:rsidRDefault="00171C59" w:rsidP="003C5E4D">
      <w:pPr>
        <w:pStyle w:val="P68B1DB1-ListeParagraf5"/>
        <w:numPr>
          <w:ilvl w:val="0"/>
          <w:numId w:val="13"/>
        </w:numPr>
        <w:spacing w:after="160" w:line="259" w:lineRule="auto"/>
        <w:rPr>
          <w:b/>
          <w:lang w:val="en-US"/>
        </w:rPr>
      </w:pPr>
      <w:r w:rsidRPr="009E1B38">
        <w:rPr>
          <w:lang w:val="en-US"/>
        </w:rPr>
        <w:t>In the Law No. 7346 amending Certain Laws published in the Official Gazette dated 25.12.2021 and numbered 31700, and</w:t>
      </w:r>
      <w:r w:rsidRPr="009E1B38">
        <w:rPr>
          <w:b/>
          <w:lang w:val="en-US"/>
        </w:rPr>
        <w:t xml:space="preserve"> the Law No. 6446 on Electricity Market</w:t>
      </w:r>
      <w:r w:rsidRPr="009E1B38">
        <w:rPr>
          <w:lang w:val="en-US"/>
        </w:rPr>
        <w:t>,</w:t>
      </w:r>
    </w:p>
    <w:p w14:paraId="7A1FD224" w14:textId="77777777" w:rsidR="00171C59" w:rsidRPr="009E1B38" w:rsidRDefault="00171C59" w:rsidP="00171C59">
      <w:pPr>
        <w:pStyle w:val="ListeParagraf"/>
        <w:rPr>
          <w:rFonts w:ascii="Times New Roman" w:hAnsi="Times New Roman"/>
          <w:b/>
        </w:rPr>
      </w:pPr>
    </w:p>
    <w:p w14:paraId="31CD9C2D" w14:textId="77777777" w:rsidR="00171C59" w:rsidRPr="009E1B38" w:rsidRDefault="00171C59" w:rsidP="003C5E4D">
      <w:pPr>
        <w:pStyle w:val="P68B1DB1-ListeParagraf5"/>
        <w:numPr>
          <w:ilvl w:val="0"/>
          <w:numId w:val="15"/>
        </w:numPr>
        <w:spacing w:after="160" w:line="259" w:lineRule="auto"/>
        <w:ind w:left="709" w:firstLine="0"/>
        <w:jc w:val="left"/>
        <w:rPr>
          <w:i/>
          <w:lang w:val="en-US"/>
        </w:rPr>
      </w:pPr>
      <w:r w:rsidRPr="009E1B38">
        <w:rPr>
          <w:lang w:val="en-US"/>
        </w:rPr>
        <w:t xml:space="preserve">In order to encourage effective use without adversely affecting the convenience of using and charging electric vehicles, the definitions of the concepts related to electric vehicles and charging </w:t>
      </w:r>
      <w:r w:rsidRPr="009E1B38">
        <w:rPr>
          <w:lang w:val="en-US"/>
        </w:rPr>
        <w:lastRenderedPageBreak/>
        <w:t xml:space="preserve">stations related to the provision of charging service have been made with the amendment made in the first paragraph of Article 3 </w:t>
      </w:r>
      <w:r w:rsidRPr="009E1B38">
        <w:rPr>
          <w:i/>
          <w:lang w:val="en-US"/>
        </w:rPr>
        <w:t>"Definitions and Abbreviations"</w:t>
      </w:r>
      <w:r w:rsidRPr="009E1B38">
        <w:rPr>
          <w:lang w:val="en-US"/>
        </w:rPr>
        <w:t>.</w:t>
      </w:r>
    </w:p>
    <w:p w14:paraId="37ED2FCF" w14:textId="651AC01B" w:rsidR="00171C59" w:rsidRPr="009E1B38" w:rsidRDefault="00171C59" w:rsidP="00171C59">
      <w:pPr>
        <w:pStyle w:val="P68B1DB1-ListeParagraf6"/>
        <w:spacing w:after="160" w:line="259" w:lineRule="auto"/>
        <w:ind w:left="709"/>
        <w:jc w:val="left"/>
        <w:rPr>
          <w:lang w:val="en-US"/>
        </w:rPr>
      </w:pPr>
    </w:p>
    <w:p w14:paraId="214FDA4A" w14:textId="77777777" w:rsidR="00171C59" w:rsidRPr="009E1B38" w:rsidRDefault="00171C59" w:rsidP="003C5E4D">
      <w:pPr>
        <w:pStyle w:val="P68B1DB1-ListeParagraf5"/>
        <w:numPr>
          <w:ilvl w:val="0"/>
          <w:numId w:val="15"/>
        </w:numPr>
        <w:spacing w:after="160" w:line="259" w:lineRule="auto"/>
        <w:ind w:left="709" w:firstLine="0"/>
        <w:jc w:val="left"/>
        <w:rPr>
          <w:lang w:val="en-US"/>
        </w:rPr>
      </w:pPr>
      <w:r w:rsidRPr="009E1B38">
        <w:rPr>
          <w:lang w:val="en-US"/>
        </w:rPr>
        <w:t>In the third sentence of the fourth paragraph of Article 17</w:t>
      </w:r>
      <w:r w:rsidRPr="009E1B38">
        <w:rPr>
          <w:i/>
          <w:lang w:val="en-US"/>
        </w:rPr>
        <w:t xml:space="preserve"> "Tariffs and supporting the consumers</w:t>
      </w:r>
      <w:r w:rsidRPr="009E1B38">
        <w:rPr>
          <w:lang w:val="en-US"/>
        </w:rPr>
        <w:t xml:space="preserve"> ", the phrase </w:t>
      </w:r>
      <w:r w:rsidRPr="009E1B38">
        <w:rPr>
          <w:i/>
          <w:lang w:val="en-US"/>
        </w:rPr>
        <w:t>"the electrical energy for these subscriber groups is different according to the amount of consumption"</w:t>
      </w:r>
      <w:r w:rsidRPr="009E1B38">
        <w:rPr>
          <w:lang w:val="en-US"/>
        </w:rPr>
        <w:t xml:space="preserve"> has been added after the phrase</w:t>
      </w:r>
      <w:r w:rsidRPr="009E1B38">
        <w:rPr>
          <w:i/>
          <w:lang w:val="en-US"/>
        </w:rPr>
        <w:t xml:space="preserve"> "subscriber groups"</w:t>
      </w:r>
      <w:r w:rsidRPr="009E1B38">
        <w:rPr>
          <w:lang w:val="en-US"/>
        </w:rPr>
        <w:t>.</w:t>
      </w:r>
    </w:p>
    <w:p w14:paraId="0F76044E" w14:textId="77777777" w:rsidR="00171C59" w:rsidRPr="009E1B38" w:rsidRDefault="00171C59" w:rsidP="00171C59">
      <w:pPr>
        <w:pStyle w:val="ListeParagraf"/>
        <w:ind w:left="709"/>
        <w:jc w:val="left"/>
        <w:rPr>
          <w:rFonts w:ascii="Times New Roman" w:hAnsi="Times New Roman"/>
          <w:i/>
        </w:rPr>
      </w:pPr>
    </w:p>
    <w:p w14:paraId="3D8FD963" w14:textId="77777777" w:rsidR="00171C59" w:rsidRPr="009E1B38" w:rsidRDefault="00171C59" w:rsidP="003C5E4D">
      <w:pPr>
        <w:pStyle w:val="P68B1DB1-ListeParagraf5"/>
        <w:numPr>
          <w:ilvl w:val="0"/>
          <w:numId w:val="15"/>
        </w:numPr>
        <w:spacing w:after="160" w:line="259" w:lineRule="auto"/>
        <w:ind w:left="709" w:firstLine="0"/>
        <w:jc w:val="left"/>
        <w:rPr>
          <w:lang w:val="en-US"/>
        </w:rPr>
      </w:pPr>
      <w:r w:rsidRPr="009E1B38">
        <w:rPr>
          <w:lang w:val="en-US"/>
        </w:rPr>
        <w:t>In Article 20</w:t>
      </w:r>
      <w:r w:rsidRPr="009E1B38">
        <w:rPr>
          <w:i/>
          <w:lang w:val="en-US"/>
        </w:rPr>
        <w:t xml:space="preserve"> “Security of Supply</w:t>
      </w:r>
      <w:r w:rsidRPr="009E1B38">
        <w:rPr>
          <w:lang w:val="en-US"/>
        </w:rPr>
        <w:t>, the sentences hereinbelow have been added after the first sentence of the first paragraph, the second sentence of the paragraph as well as the clause (a), (b), and (c) have been repealed, the third paragraph has been amended as follows and the following paragraph has been added to the article.</w:t>
      </w:r>
    </w:p>
    <w:p w14:paraId="52937585" w14:textId="77777777" w:rsidR="00171C59" w:rsidRPr="009E1B38" w:rsidRDefault="00171C59" w:rsidP="00171C59">
      <w:pPr>
        <w:pStyle w:val="ListeParagraf"/>
        <w:ind w:left="709"/>
        <w:jc w:val="left"/>
        <w:rPr>
          <w:rFonts w:ascii="Times New Roman" w:hAnsi="Times New Roman"/>
        </w:rPr>
      </w:pPr>
    </w:p>
    <w:p w14:paraId="7E103EE3" w14:textId="77777777" w:rsidR="00171C59" w:rsidRPr="009E1B38" w:rsidRDefault="00171C59" w:rsidP="00171C59">
      <w:pPr>
        <w:pStyle w:val="P68B1DB1-ListeParagraf6"/>
        <w:ind w:left="709"/>
        <w:jc w:val="left"/>
        <w:rPr>
          <w:lang w:val="en-US"/>
        </w:rPr>
      </w:pPr>
      <w:r w:rsidRPr="009E1B38">
        <w:rPr>
          <w:lang w:val="en-US"/>
        </w:rPr>
        <w:t>"In this context, all legal entities operating in the market are obliged to comply with the measures specified by the Ministry for the security of supply, to contribute to the transactions to be established, and to submit the information and documents to be needed within the specified periods. The long-term Türkiye National Energy Plan is prepared and published every five years, within one year from the effective date of this article by the Ministry, by taking the opinions of the Presidency of Strategy and Budget, the Ministry of Treasury and Finance and the Authority. The Ministry may organize capacity allocation auctions in order to ensure the security of supply in the medium term by taking the Türkiye National Energy Plan into account. The lowest price offer over the ceiling price, which shall be determined in Turkish Lira by the Ministry, for the generation plants to be established within the scope of capacity allocation auctions, shall be applied for the period to be determined in the auction conditions within the scope of RES Support Mechanism. The procedures and principles regarding the auctions to be held, such as the procedures and principles for the update of the price to be formed as a result of the auction within the period to be determined by the auction conditions, recording the received guarantee as revenue in case of not fulfilling the conditions of use of domestic goods and obligations, and other penalties and sanctions to be applied are determined by the Ministry in the relevant auctions specifications. Pre-license and license granting conditions, issues regarding the cancellation and amendment for generation plants to be established within the scope of this article shall be regulated in accordance with the regulation issued by the Energy Market Regulatory Authority."</w:t>
      </w:r>
    </w:p>
    <w:p w14:paraId="504986EC" w14:textId="77777777" w:rsidR="00171C59" w:rsidRPr="009E1B38" w:rsidRDefault="00171C59" w:rsidP="00171C59">
      <w:pPr>
        <w:pStyle w:val="ListeParagraf"/>
        <w:ind w:left="709"/>
        <w:jc w:val="left"/>
        <w:rPr>
          <w:rFonts w:ascii="Times New Roman" w:hAnsi="Times New Roman"/>
        </w:rPr>
      </w:pPr>
    </w:p>
    <w:p w14:paraId="2FC9DA56" w14:textId="77777777" w:rsidR="00171C59" w:rsidRPr="009E1B38" w:rsidRDefault="00171C59" w:rsidP="00171C59">
      <w:pPr>
        <w:pStyle w:val="P68B1DB1-ListeParagraf6"/>
        <w:ind w:left="709"/>
        <w:jc w:val="left"/>
        <w:rPr>
          <w:lang w:val="en-US"/>
        </w:rPr>
      </w:pPr>
      <w:r w:rsidRPr="009E1B38">
        <w:rPr>
          <w:lang w:val="en-US"/>
        </w:rPr>
        <w:t>“(3) TEİAŞ may hold a tender for the construction of a new generation plant or leasing the capacities of existing generation plants within the scope of ancillary services agreements, in order to maintain the system reliability and to meet the regional system needs that may arise due to insufficient capacity. The capacity leasing price to be paid by TEİAŞ within the framework of the tenders shall be reflected in the system operating price, and the energy price shall be met by the market participants within the framework of the balancing and settlement regulation depending on the purpose of use, or by reflecting on the system operating price within the scope of commercial ancillary services agreements. The procedures and principles regarding the tender to be hold by TEİAŞ for capacity leasing within the scope of ancillary services agreements are regulated by the regulation issued by the Authority."</w:t>
      </w:r>
    </w:p>
    <w:p w14:paraId="6DC9DD78" w14:textId="77777777" w:rsidR="00171C59" w:rsidRPr="009E1B38" w:rsidRDefault="00171C59" w:rsidP="00171C59">
      <w:pPr>
        <w:pStyle w:val="ListeParagraf"/>
        <w:ind w:left="709"/>
        <w:jc w:val="left"/>
        <w:rPr>
          <w:rFonts w:ascii="Times New Roman" w:hAnsi="Times New Roman"/>
          <w:i/>
        </w:rPr>
      </w:pPr>
    </w:p>
    <w:p w14:paraId="744248B1" w14:textId="77777777" w:rsidR="00171C59" w:rsidRPr="009E1B38" w:rsidRDefault="00171C59" w:rsidP="00171C59">
      <w:pPr>
        <w:pStyle w:val="P68B1DB1-ListeParagraf6"/>
        <w:ind w:left="709"/>
        <w:jc w:val="left"/>
        <w:rPr>
          <w:lang w:val="en-US"/>
        </w:rPr>
      </w:pPr>
      <w:r w:rsidRPr="009E1B38">
        <w:rPr>
          <w:lang w:val="en-US"/>
        </w:rPr>
        <w:lastRenderedPageBreak/>
        <w:t>“(4) The Authority shall be responsible for monitoring the realization of the licensed generation plants, taking the necessary measures for the commissioning of these plants in the projected time within the scope of the relevant legislation, and notifying the Ministry at regular intervals of the new licensed generation capacity amounts to be put into operation within five years.”</w:t>
      </w:r>
    </w:p>
    <w:p w14:paraId="2DEB9122" w14:textId="77777777" w:rsidR="00171C59" w:rsidRPr="009E1B38" w:rsidRDefault="00171C59" w:rsidP="00171C59">
      <w:pPr>
        <w:pStyle w:val="ListeParagraf"/>
        <w:ind w:left="709"/>
        <w:jc w:val="left"/>
        <w:rPr>
          <w:rFonts w:ascii="Times New Roman" w:hAnsi="Times New Roman"/>
          <w:i/>
        </w:rPr>
      </w:pPr>
    </w:p>
    <w:p w14:paraId="412B8F4E" w14:textId="77777777" w:rsidR="00171C59" w:rsidRPr="009E1B38" w:rsidRDefault="00171C59" w:rsidP="003C5E4D">
      <w:pPr>
        <w:pStyle w:val="P68B1DB1-ListeParagraf5"/>
        <w:numPr>
          <w:ilvl w:val="0"/>
          <w:numId w:val="15"/>
        </w:numPr>
        <w:spacing w:after="160" w:line="259" w:lineRule="auto"/>
        <w:ind w:left="709" w:firstLine="0"/>
        <w:jc w:val="left"/>
        <w:rPr>
          <w:lang w:val="en-US"/>
        </w:rPr>
      </w:pPr>
      <w:r w:rsidRPr="009E1B38">
        <w:rPr>
          <w:lang w:val="en-US"/>
        </w:rPr>
        <w:t xml:space="preserve">The Annex 5 </w:t>
      </w:r>
      <w:r w:rsidRPr="009E1B38">
        <w:rPr>
          <w:i/>
          <w:lang w:val="en-US"/>
        </w:rPr>
        <w:t>"Charging Service"</w:t>
      </w:r>
      <w:r w:rsidRPr="009E1B38">
        <w:rPr>
          <w:lang w:val="en-US"/>
        </w:rPr>
        <w:t>, added to the Law, in line with the goal of reducing greenhouse gas emissions for the protection of the environment, aims to establish an electric vehicle ecosystem for the dissemination of electric vehicle use and a free market with sufficient and sustainable electric vehicle charging infrastructure based on this system, to ensure the rights of electric vehicle users by determining the principles and procedures of regulation and supervision in the execution of market activities, the basic principles of the operation of the market, and to determine the parties in the market, and the duties, powers, responsibilities and rights of the Authority. The Authority is entitled to make arrangements in the issues specified in the article. In this context, apart from the exceptions determined by the Authority for non-commercial purposes, the following issues are regulated: The charging service may be carried out by the charging network operators with the charging network license granted by the Authority; the charging network operators may establish and operate a charging station or they can enable third parties to set up and operate a charging station with the certificates they will issue; the charging network operator is obliged to provide continuous and quality charging service in the charging stations connected to its charging network and to determine, announce and apply the charging service price in accordance with the procedures and principles determined by the Authority; the Authority is entitled to take the necessary measures with respect to the charging service pricing, to determine the base and/or ceiling price, and to apply the minimum and maximum limit if necessary; and the principles regarding the application of the provisions added to the Law as well as the issues regarding the rights and obligations of the vehicle owners who benefit from the charging service are regulated by the Authority.</w:t>
      </w:r>
    </w:p>
    <w:p w14:paraId="3F2587E4" w14:textId="77777777" w:rsidR="00171C59" w:rsidRPr="009E1B38" w:rsidRDefault="00171C59" w:rsidP="00171C59">
      <w:pPr>
        <w:pStyle w:val="ListeParagraf"/>
        <w:ind w:left="709"/>
        <w:jc w:val="left"/>
        <w:rPr>
          <w:rFonts w:ascii="Times New Roman" w:hAnsi="Times New Roman"/>
          <w:i/>
        </w:rPr>
      </w:pPr>
    </w:p>
    <w:p w14:paraId="1DDB0687" w14:textId="77777777" w:rsidR="00171C59" w:rsidRPr="009E1B38" w:rsidRDefault="00171C59" w:rsidP="003C5E4D">
      <w:pPr>
        <w:pStyle w:val="P68B1DB1-ListeParagraf5"/>
        <w:numPr>
          <w:ilvl w:val="0"/>
          <w:numId w:val="15"/>
        </w:numPr>
        <w:spacing w:after="160" w:line="259" w:lineRule="auto"/>
        <w:ind w:left="709" w:firstLine="0"/>
        <w:jc w:val="left"/>
        <w:rPr>
          <w:lang w:val="en-US"/>
        </w:rPr>
      </w:pPr>
      <w:r w:rsidRPr="009E1B38">
        <w:rPr>
          <w:lang w:val="en-US"/>
        </w:rPr>
        <w:t>With the Provisional Article 30 added to the Law, an arrangement has been made regarding the provisions of the Annex 5 that the relevant legislations and regulations will be issued by the Authority within 3 months, and persons who are currently engaged in charging service activities will bring their status in compliance with the legislation within 4 months from the date of entry into force of the legislations and regulations to be issued by the Authority.</w:t>
      </w:r>
    </w:p>
    <w:p w14:paraId="76963491" w14:textId="77777777" w:rsidR="00171C59" w:rsidRPr="009E1B38" w:rsidRDefault="00171C59" w:rsidP="00171C59">
      <w:pPr>
        <w:pStyle w:val="ListeParagraf"/>
        <w:ind w:left="709"/>
        <w:jc w:val="left"/>
        <w:rPr>
          <w:rFonts w:ascii="Times New Roman" w:hAnsi="Times New Roman"/>
          <w:i/>
        </w:rPr>
      </w:pPr>
    </w:p>
    <w:p w14:paraId="7B6BA279" w14:textId="77777777" w:rsidR="00171C59" w:rsidRPr="009E1B38" w:rsidRDefault="00171C59" w:rsidP="003C5E4D">
      <w:pPr>
        <w:pStyle w:val="P68B1DB1-ListeParagraf5"/>
        <w:numPr>
          <w:ilvl w:val="0"/>
          <w:numId w:val="13"/>
        </w:numPr>
        <w:ind w:left="709" w:firstLine="0"/>
        <w:jc w:val="left"/>
        <w:rPr>
          <w:i/>
          <w:lang w:val="en-US"/>
        </w:rPr>
      </w:pPr>
      <w:r w:rsidRPr="009E1B38">
        <w:rPr>
          <w:lang w:val="en-US"/>
        </w:rPr>
        <w:t xml:space="preserve">In the Law no. 7346 amending Certain Laws, published in the Official Gazette dated 25.12.2021 and numbered 31700 and the Law on </w:t>
      </w:r>
      <w:r w:rsidRPr="009E1B38">
        <w:rPr>
          <w:b/>
          <w:lang w:val="en-US"/>
        </w:rPr>
        <w:t>Revenues of Turkish Radio and Television Corporation</w:t>
      </w:r>
      <w:r w:rsidRPr="009E1B38">
        <w:rPr>
          <w:lang w:val="en-US"/>
        </w:rPr>
        <w:t xml:space="preserve"> numbered 3093</w:t>
      </w:r>
    </w:p>
    <w:p w14:paraId="6B44E946" w14:textId="77777777" w:rsidR="00171C59" w:rsidRPr="009E1B38" w:rsidRDefault="00171C59" w:rsidP="00171C59">
      <w:pPr>
        <w:pStyle w:val="ListeParagraf"/>
        <w:ind w:left="709"/>
        <w:jc w:val="left"/>
        <w:rPr>
          <w:rFonts w:ascii="Times New Roman" w:hAnsi="Times New Roman"/>
          <w:i/>
        </w:rPr>
      </w:pPr>
    </w:p>
    <w:p w14:paraId="4DB6233B" w14:textId="7B8B9C23" w:rsidR="00171C59" w:rsidRPr="009E1B38" w:rsidRDefault="009E1B38" w:rsidP="003C5E4D">
      <w:pPr>
        <w:pStyle w:val="P68B1DB1-ListeParagraf5"/>
        <w:numPr>
          <w:ilvl w:val="0"/>
          <w:numId w:val="44"/>
        </w:numPr>
        <w:ind w:left="709" w:firstLine="0"/>
        <w:jc w:val="left"/>
        <w:rPr>
          <w:lang w:val="en-US"/>
        </w:rPr>
      </w:pPr>
      <w:r w:rsidRPr="009E1B38">
        <w:rPr>
          <w:lang w:val="en-US"/>
        </w:rPr>
        <w:t>The</w:t>
      </w:r>
      <w:r w:rsidR="00171C59" w:rsidRPr="009E1B38">
        <w:rPr>
          <w:lang w:val="en-US"/>
        </w:rPr>
        <w:t xml:space="preserve"> phrase "</w:t>
      </w:r>
      <w:r w:rsidR="00171C59" w:rsidRPr="009E1B38">
        <w:rPr>
          <w:i/>
          <w:lang w:val="en-US"/>
        </w:rPr>
        <w:t>shares to be allocated from electrical energy revenue</w:t>
      </w:r>
      <w:r w:rsidR="00171C59" w:rsidRPr="009E1B38">
        <w:rPr>
          <w:lang w:val="en-US"/>
        </w:rPr>
        <w:t>" in the article 1</w:t>
      </w:r>
      <w:r w:rsidR="00171C59" w:rsidRPr="009E1B38">
        <w:rPr>
          <w:i/>
          <w:lang w:val="en-US"/>
        </w:rPr>
        <w:t xml:space="preserve"> titled "Purpose and scope</w:t>
      </w:r>
      <w:r w:rsidR="00171C59" w:rsidRPr="009E1B38">
        <w:rPr>
          <w:lang w:val="en-US"/>
        </w:rPr>
        <w:t>" has been removed from the article text and the said amendment has entered into force as of 01.01.2022.</w:t>
      </w:r>
    </w:p>
    <w:p w14:paraId="5F727190" w14:textId="77777777" w:rsidR="00171C59" w:rsidRPr="009E1B38" w:rsidRDefault="00171C59" w:rsidP="00171C59">
      <w:pPr>
        <w:pStyle w:val="ListeParagraf"/>
        <w:ind w:left="709"/>
        <w:jc w:val="left"/>
        <w:rPr>
          <w:rFonts w:ascii="Times New Roman" w:hAnsi="Times New Roman"/>
        </w:rPr>
      </w:pPr>
    </w:p>
    <w:p w14:paraId="447B8711" w14:textId="77777777" w:rsidR="00171C59" w:rsidRPr="009E1B38" w:rsidRDefault="00171C59" w:rsidP="003C5E4D">
      <w:pPr>
        <w:pStyle w:val="P68B1DB1-ListeParagraf5"/>
        <w:numPr>
          <w:ilvl w:val="0"/>
          <w:numId w:val="44"/>
        </w:numPr>
        <w:ind w:left="709" w:firstLine="0"/>
        <w:jc w:val="left"/>
        <w:rPr>
          <w:lang w:val="en-US"/>
        </w:rPr>
      </w:pPr>
      <w:r w:rsidRPr="009E1B38">
        <w:rPr>
          <w:lang w:val="en-US"/>
        </w:rPr>
        <w:t>Clause (b) of the first paragraph of Article 2</w:t>
      </w:r>
      <w:r w:rsidRPr="009E1B38">
        <w:rPr>
          <w:i/>
          <w:lang w:val="en-US"/>
        </w:rPr>
        <w:t xml:space="preserve"> titled "Revenues"</w:t>
      </w:r>
      <w:r w:rsidRPr="009E1B38">
        <w:rPr>
          <w:lang w:val="en-US"/>
        </w:rPr>
        <w:t xml:space="preserve"> has been repealed.</w:t>
      </w:r>
    </w:p>
    <w:p w14:paraId="51F96447" w14:textId="77777777" w:rsidR="00171C59" w:rsidRPr="009E1B38" w:rsidRDefault="00171C59" w:rsidP="00171C59">
      <w:pPr>
        <w:pStyle w:val="ListeParagraf"/>
        <w:ind w:left="709"/>
        <w:jc w:val="left"/>
        <w:rPr>
          <w:rFonts w:ascii="Times New Roman" w:hAnsi="Times New Roman"/>
        </w:rPr>
      </w:pPr>
    </w:p>
    <w:p w14:paraId="6788CE1C" w14:textId="77777777" w:rsidR="00171C59" w:rsidRPr="009E1B38" w:rsidRDefault="00171C59" w:rsidP="003C5E4D">
      <w:pPr>
        <w:pStyle w:val="P68B1DB1-ListeParagraf5"/>
        <w:numPr>
          <w:ilvl w:val="0"/>
          <w:numId w:val="44"/>
        </w:numPr>
        <w:ind w:left="709" w:firstLine="0"/>
        <w:jc w:val="left"/>
        <w:rPr>
          <w:lang w:val="en-US"/>
        </w:rPr>
      </w:pPr>
      <w:r w:rsidRPr="009E1B38">
        <w:rPr>
          <w:lang w:val="en-US"/>
        </w:rPr>
        <w:lastRenderedPageBreak/>
        <w:t>Paragraph (c) of Article 4 is repealed.</w:t>
      </w:r>
    </w:p>
    <w:p w14:paraId="0657EB9B" w14:textId="77777777" w:rsidR="00171C59" w:rsidRPr="009E1B38" w:rsidRDefault="00171C59" w:rsidP="00171C59">
      <w:pPr>
        <w:pStyle w:val="ListeParagraf"/>
        <w:ind w:left="709"/>
        <w:jc w:val="left"/>
        <w:rPr>
          <w:rFonts w:ascii="Times New Roman" w:hAnsi="Times New Roman"/>
        </w:rPr>
      </w:pPr>
    </w:p>
    <w:p w14:paraId="75F64E34" w14:textId="77777777" w:rsidR="00171C59" w:rsidRPr="009E1B38" w:rsidRDefault="00171C59" w:rsidP="003C5E4D">
      <w:pPr>
        <w:pStyle w:val="P68B1DB1-ListeParagraf5"/>
        <w:numPr>
          <w:ilvl w:val="0"/>
          <w:numId w:val="44"/>
        </w:numPr>
        <w:ind w:left="709" w:firstLine="0"/>
        <w:jc w:val="left"/>
        <w:rPr>
          <w:lang w:val="en-US"/>
        </w:rPr>
      </w:pPr>
      <w:r w:rsidRPr="009E1B38">
        <w:rPr>
          <w:lang w:val="en-US"/>
        </w:rPr>
        <w:t>Clause (c) of the first paragraph of Article 5</w:t>
      </w:r>
      <w:r w:rsidRPr="009E1B38">
        <w:rPr>
          <w:i/>
          <w:lang w:val="en-US"/>
        </w:rPr>
        <w:t xml:space="preserve"> titled "Collection"</w:t>
      </w:r>
      <w:r w:rsidRPr="009E1B38">
        <w:rPr>
          <w:lang w:val="en-US"/>
        </w:rPr>
        <w:t xml:space="preserve"> has been repealed and the phrase </w:t>
      </w:r>
      <w:r w:rsidRPr="009E1B38">
        <w:rPr>
          <w:i/>
          <w:lang w:val="en-US"/>
        </w:rPr>
        <w:t>"and energy share"</w:t>
      </w:r>
      <w:r w:rsidRPr="009E1B38">
        <w:rPr>
          <w:lang w:val="en-US"/>
        </w:rPr>
        <w:t xml:space="preserve"> in clause (f) has been removed from the article.</w:t>
      </w:r>
    </w:p>
    <w:p w14:paraId="05232A3D" w14:textId="77777777" w:rsidR="00171C59" w:rsidRPr="009E1B38" w:rsidRDefault="00171C59" w:rsidP="00171C59">
      <w:pPr>
        <w:pStyle w:val="ListeParagraf"/>
        <w:ind w:left="709"/>
        <w:jc w:val="left"/>
        <w:rPr>
          <w:rFonts w:ascii="Times New Roman" w:hAnsi="Times New Roman"/>
        </w:rPr>
      </w:pPr>
    </w:p>
    <w:p w14:paraId="311817B0" w14:textId="77777777" w:rsidR="00171C59" w:rsidRPr="009E1B38" w:rsidRDefault="00171C59" w:rsidP="003C5E4D">
      <w:pPr>
        <w:pStyle w:val="P68B1DB1-ListeParagraf5"/>
        <w:numPr>
          <w:ilvl w:val="0"/>
          <w:numId w:val="44"/>
        </w:numPr>
        <w:ind w:left="709" w:firstLine="0"/>
        <w:jc w:val="left"/>
        <w:rPr>
          <w:lang w:val="en-US"/>
        </w:rPr>
      </w:pPr>
      <w:r w:rsidRPr="009E1B38">
        <w:rPr>
          <w:lang w:val="en-US"/>
        </w:rPr>
        <w:t>The following provisional article has been added:</w:t>
      </w:r>
    </w:p>
    <w:p w14:paraId="04519741" w14:textId="77777777" w:rsidR="00171C59" w:rsidRPr="009E1B38" w:rsidRDefault="00171C59" w:rsidP="00171C59">
      <w:pPr>
        <w:pStyle w:val="ListeParagraf"/>
        <w:ind w:left="709"/>
        <w:jc w:val="left"/>
        <w:rPr>
          <w:rFonts w:ascii="Times New Roman" w:hAnsi="Times New Roman"/>
        </w:rPr>
      </w:pPr>
    </w:p>
    <w:p w14:paraId="492443B2" w14:textId="77777777" w:rsidR="00171C59" w:rsidRPr="009E1B38" w:rsidRDefault="00171C59" w:rsidP="00171C59">
      <w:pPr>
        <w:pStyle w:val="P68B1DB1-ListeParagraf6"/>
        <w:ind w:left="709"/>
        <w:jc w:val="left"/>
        <w:rPr>
          <w:lang w:val="en-US"/>
        </w:rPr>
      </w:pPr>
      <w:r w:rsidRPr="009E1B38">
        <w:rPr>
          <w:lang w:val="en-US"/>
        </w:rPr>
        <w:t>PROVISIONAL ARTICLE 7</w:t>
      </w:r>
      <w:r w:rsidRPr="009E1B38">
        <w:rPr>
          <w:b/>
          <w:lang w:val="en-US"/>
        </w:rPr>
        <w:t xml:space="preserve"> –</w:t>
      </w:r>
      <w:r w:rsidRPr="009E1B38">
        <w:rPr>
          <w:lang w:val="en-US"/>
        </w:rPr>
        <w:t> As of 31/12/2021, the collection of accrued energy shares within the scope of the repealed paragraph (c) of Article 4 is conducted and followed up in accordance with the repealed clause (c) of first paragraph of article 5.”</w:t>
      </w:r>
    </w:p>
    <w:p w14:paraId="0F45EE84" w14:textId="77777777" w:rsidR="00171C59" w:rsidRPr="009E1B38" w:rsidRDefault="00171C59" w:rsidP="003C5E4D">
      <w:pPr>
        <w:pStyle w:val="P68B1DB1-Balk34"/>
        <w:numPr>
          <w:ilvl w:val="2"/>
          <w:numId w:val="49"/>
        </w:numPr>
        <w:spacing w:after="240"/>
        <w:ind w:left="709" w:firstLine="0"/>
        <w:jc w:val="left"/>
        <w:rPr>
          <w:lang w:val="en-US"/>
        </w:rPr>
      </w:pPr>
      <w:bookmarkStart w:id="40" w:name="_Toc66267334"/>
      <w:bookmarkStart w:id="41" w:name="_Toc107500784"/>
      <w:bookmarkStart w:id="42" w:name="_Toc113615313"/>
      <w:r w:rsidRPr="009E1B38">
        <w:rPr>
          <w:lang w:val="en-US"/>
        </w:rPr>
        <w:t>Regulations</w:t>
      </w:r>
      <w:bookmarkEnd w:id="40"/>
      <w:bookmarkEnd w:id="41"/>
      <w:bookmarkEnd w:id="42"/>
    </w:p>
    <w:p w14:paraId="08DBF22F" w14:textId="77777777" w:rsidR="00171C59" w:rsidRPr="009E1B38" w:rsidRDefault="00171C59" w:rsidP="00171C59">
      <w:pPr>
        <w:pStyle w:val="P68B1DB1-ListeParagraf5"/>
        <w:spacing w:after="0"/>
        <w:ind w:left="709"/>
        <w:jc w:val="left"/>
        <w:rPr>
          <w:lang w:val="en-US"/>
        </w:rPr>
      </w:pPr>
      <w:r w:rsidRPr="009E1B38">
        <w:rPr>
          <w:lang w:val="en-US"/>
        </w:rPr>
        <w:t>In 2021, the following Regulation studies were carried out in the electricity market:</w:t>
      </w:r>
    </w:p>
    <w:p w14:paraId="78E69956" w14:textId="77777777" w:rsidR="00171C59" w:rsidRPr="009E1B38" w:rsidRDefault="00171C59" w:rsidP="00171C59">
      <w:pPr>
        <w:spacing w:after="0"/>
        <w:ind w:left="709"/>
        <w:jc w:val="left"/>
        <w:rPr>
          <w:rFonts w:ascii="Times New Roman" w:hAnsi="Times New Roman"/>
        </w:rPr>
      </w:pPr>
    </w:p>
    <w:p w14:paraId="41957526" w14:textId="77777777" w:rsidR="00171C59" w:rsidRPr="009E1B38" w:rsidRDefault="00171C59" w:rsidP="003C5E4D">
      <w:pPr>
        <w:pStyle w:val="P68B1DB1-ListeParagraf5"/>
        <w:numPr>
          <w:ilvl w:val="0"/>
          <w:numId w:val="16"/>
        </w:numPr>
        <w:spacing w:after="160" w:line="259" w:lineRule="auto"/>
        <w:ind w:left="709" w:firstLine="0"/>
        <w:jc w:val="left"/>
        <w:rPr>
          <w:b/>
          <w:lang w:val="en-US"/>
        </w:rPr>
      </w:pPr>
      <w:r w:rsidRPr="009E1B38">
        <w:rPr>
          <w:lang w:val="en-US"/>
        </w:rPr>
        <w:t>The clauses (b), (c), (e), (h), (i), (l), (n), (o), (z), (ff), (gg), (ıı), (lll), (mmm), (nnn), (ppp) and (rrr) of the first paragraph of Article 4 titled "Definitions and abbreviations" of the Amending Regulation and</w:t>
      </w:r>
      <w:r w:rsidRPr="009E1B38">
        <w:rPr>
          <w:b/>
          <w:lang w:val="en-US"/>
        </w:rPr>
        <w:t xml:space="preserve"> Electricity Market Ancillary Services Regulation </w:t>
      </w:r>
      <w:r w:rsidRPr="009E1B38">
        <w:rPr>
          <w:lang w:val="en-US"/>
        </w:rPr>
        <w:t>published in the Official Gazette, dated 27.01.2021 and numbered 31377, have been amended as follows,</w:t>
      </w:r>
    </w:p>
    <w:p w14:paraId="1DBC04DB" w14:textId="77777777" w:rsidR="00171C59" w:rsidRPr="009E1B38" w:rsidRDefault="00171C59" w:rsidP="00171C59">
      <w:pPr>
        <w:pStyle w:val="ListeParagraf"/>
        <w:shd w:val="clear" w:color="auto" w:fill="FFFFFF"/>
        <w:spacing w:after="0" w:line="240" w:lineRule="auto"/>
        <w:ind w:left="709"/>
        <w:jc w:val="left"/>
        <w:rPr>
          <w:rFonts w:ascii="Times New Roman" w:hAnsi="Times New Roman"/>
          <w:i/>
        </w:rPr>
      </w:pPr>
    </w:p>
    <w:p w14:paraId="5112F510" w14:textId="6807FBE3" w:rsidR="00171C59" w:rsidRPr="009E1B38" w:rsidRDefault="009E1B38" w:rsidP="003C5E4D">
      <w:pPr>
        <w:pStyle w:val="P68B1DB1-ListeParagraf5"/>
        <w:numPr>
          <w:ilvl w:val="0"/>
          <w:numId w:val="17"/>
        </w:numPr>
        <w:spacing w:after="160" w:line="259" w:lineRule="auto"/>
        <w:ind w:left="709" w:firstLine="0"/>
        <w:jc w:val="left"/>
        <w:rPr>
          <w:b/>
          <w:lang w:val="en-US"/>
        </w:rPr>
      </w:pPr>
      <w:r w:rsidRPr="009E1B38">
        <w:rPr>
          <w:i/>
          <w:lang w:val="en-US"/>
        </w:rPr>
        <w:t>And</w:t>
      </w:r>
      <w:r w:rsidR="00171C59" w:rsidRPr="009E1B38">
        <w:rPr>
          <w:i/>
          <w:lang w:val="en-US"/>
        </w:rPr>
        <w:t xml:space="preserve"> clauses (bb), (kk) and (fff) of</w:t>
      </w:r>
      <w:r w:rsidR="00171C59" w:rsidRPr="009E1B38">
        <w:rPr>
          <w:lang w:val="en-US"/>
        </w:rPr>
        <w:t xml:space="preserve"> the same paragraph have been repealed and the following clauses have been added to the same paragraph.</w:t>
      </w:r>
    </w:p>
    <w:p w14:paraId="5F5046CB" w14:textId="77777777" w:rsidR="00171C59" w:rsidRPr="009E1B38" w:rsidRDefault="00171C59" w:rsidP="00171C59">
      <w:pPr>
        <w:pStyle w:val="P68B1DB1-Normal7"/>
        <w:spacing w:after="0"/>
        <w:ind w:left="709"/>
        <w:jc w:val="left"/>
        <w:rPr>
          <w:lang w:val="en-US"/>
        </w:rPr>
      </w:pPr>
      <w:r w:rsidRPr="009E1B38">
        <w:rPr>
          <w:lang w:val="en-US"/>
        </w:rPr>
        <w:t>b) Instant demand control reserve: The amount of load that can be automatically disconnect by means of instant demand control relays in order to prevent the system frequency from falling to critical level within the scope of emergency measures defined in the Electricity Network Regulation published in the Official Gazette dated 28/5/2014 and numbered 29013 repetition and offered by consumption plants,</w:t>
      </w:r>
    </w:p>
    <w:p w14:paraId="25B8CDBD" w14:textId="77777777" w:rsidR="00171C59" w:rsidRPr="009E1B38" w:rsidRDefault="00171C59" w:rsidP="00171C59">
      <w:pPr>
        <w:pStyle w:val="P68B1DB1-Normal7"/>
        <w:spacing w:after="0"/>
        <w:ind w:left="709"/>
        <w:jc w:val="left"/>
        <w:rPr>
          <w:lang w:val="en-US"/>
        </w:rPr>
      </w:pPr>
      <w:r w:rsidRPr="009E1B38">
        <w:rPr>
          <w:lang w:val="en-US"/>
        </w:rPr>
        <w:t>c) Over-excited operation: Increasing the excitation currents of synchronous condensers and/or generators in case the system voltage falls below the operating values determined in the Electricity Network Regulation or the voltage setting values determined by TEİAŞ,</w:t>
      </w:r>
    </w:p>
    <w:p w14:paraId="3DB98608" w14:textId="77777777" w:rsidR="00171C59" w:rsidRPr="009E1B38" w:rsidRDefault="00171C59" w:rsidP="00171C59">
      <w:pPr>
        <w:pStyle w:val="P68B1DB1-Normal7"/>
        <w:spacing w:after="0"/>
        <w:ind w:left="709"/>
        <w:jc w:val="left"/>
        <w:rPr>
          <w:lang w:val="en-US"/>
        </w:rPr>
      </w:pPr>
      <w:r w:rsidRPr="009E1B38">
        <w:rPr>
          <w:lang w:val="en-US"/>
        </w:rPr>
        <w:t>e) Regional capacity leasing: In order to maintain the reliability of the system and to meet the regional system needs that may arise due to insufficient capacity, leasing the capacities of the new generation plants and/or the capacities of the existing generation plants through tenders held by TEİAŞ,</w:t>
      </w:r>
    </w:p>
    <w:p w14:paraId="1157A77E" w14:textId="77777777" w:rsidR="00171C59" w:rsidRPr="009E1B38" w:rsidRDefault="00171C59" w:rsidP="00171C59">
      <w:pPr>
        <w:pStyle w:val="P68B1DB1-Normal2"/>
        <w:spacing w:after="0"/>
        <w:ind w:left="709"/>
        <w:jc w:val="left"/>
        <w:rPr>
          <w:i/>
          <w:lang w:val="en-US"/>
        </w:rPr>
      </w:pPr>
      <w:r w:rsidRPr="009E1B38">
        <w:rPr>
          <w:i/>
          <w:lang w:val="en-US"/>
        </w:rPr>
        <w:t>h)</w:t>
      </w:r>
      <w:r w:rsidRPr="009E1B38">
        <w:rPr>
          <w:lang w:val="en-US"/>
        </w:rPr>
        <w:t xml:space="preserve"> </w:t>
      </w:r>
      <w:r w:rsidRPr="009E1B38">
        <w:rPr>
          <w:i/>
          <w:lang w:val="en-US"/>
        </w:rPr>
        <w:t>Balancing unit: A generation or consumption plant or a part of the generation or consumption plant that can participate in the balancing, as defined in the Electricity Market Balancing and Settlement Regulation published in the Official Gazette dated 14/4/2009 and numbered 27200,</w:t>
      </w:r>
    </w:p>
    <w:p w14:paraId="6AC1444B" w14:textId="3D9CD34C" w:rsidR="00171C59" w:rsidRPr="009E1B38" w:rsidRDefault="00171C59" w:rsidP="00171C59">
      <w:pPr>
        <w:pStyle w:val="P68B1DB1-Normal7"/>
        <w:spacing w:after="0"/>
        <w:ind w:left="709"/>
        <w:jc w:val="left"/>
        <w:rPr>
          <w:lang w:val="en-US"/>
        </w:rPr>
      </w:pPr>
      <w:r w:rsidRPr="009E1B38">
        <w:rPr>
          <w:lang w:val="en-US"/>
        </w:rPr>
        <w:t>i) Balancing mechanism: Activities consisting of day-ahead market, intraday</w:t>
      </w:r>
      <w:r w:rsidR="009E1B38" w:rsidRPr="009E1B38">
        <w:rPr>
          <w:lang w:val="en-US"/>
        </w:rPr>
        <w:t> market</w:t>
      </w:r>
      <w:r w:rsidRPr="009E1B38">
        <w:rPr>
          <w:lang w:val="en-US"/>
        </w:rPr>
        <w:t xml:space="preserve"> and real-time balancing that are complementary to </w:t>
      </w:r>
      <w:r w:rsidR="009E1B38" w:rsidRPr="009E1B38">
        <w:rPr>
          <w:lang w:val="en-US"/>
        </w:rPr>
        <w:t>the electricity</w:t>
      </w:r>
      <w:r w:rsidRPr="009E1B38">
        <w:rPr>
          <w:lang w:val="en-US"/>
        </w:rPr>
        <w:t> futures market and bilateral agreements,</w:t>
      </w:r>
    </w:p>
    <w:p w14:paraId="1365E1F1" w14:textId="77777777" w:rsidR="00171C59" w:rsidRPr="009E1B38" w:rsidRDefault="00171C59" w:rsidP="00171C59">
      <w:pPr>
        <w:pStyle w:val="P68B1DB1-Normal7"/>
        <w:spacing w:after="0"/>
        <w:ind w:left="709"/>
        <w:jc w:val="left"/>
        <w:rPr>
          <w:lang w:val="en-US"/>
        </w:rPr>
      </w:pPr>
      <w:r w:rsidRPr="009E1B38">
        <w:rPr>
          <w:lang w:val="en-US"/>
        </w:rPr>
        <w:t>l) Energy deficit: The sum of the amount of electricity, which the market participants have made during the energy settlement within the scope of the futures  electricity market, day-ahead market, intraday market and bilateral agreements, deloading offers, imports and the electrical energy they have given to the system on the basis of energy settlement, is less than the sales made within the scope of futures  electricity market, day-ahead market, intraday market and bilateral agreements, loading offers, exports and the electrical energy they have drawn from the system on the basis of energy settlement,</w:t>
      </w:r>
    </w:p>
    <w:p w14:paraId="46999538" w14:textId="77777777" w:rsidR="00171C59" w:rsidRPr="009E1B38" w:rsidRDefault="00171C59" w:rsidP="00171C59">
      <w:pPr>
        <w:pStyle w:val="P68B1DB1-Normal7"/>
        <w:spacing w:after="0"/>
        <w:ind w:left="709"/>
        <w:jc w:val="left"/>
        <w:rPr>
          <w:lang w:val="en-US"/>
        </w:rPr>
      </w:pPr>
      <w:r w:rsidRPr="009E1B38">
        <w:rPr>
          <w:lang w:val="en-US"/>
        </w:rPr>
        <w:lastRenderedPageBreak/>
        <w:t>n) Electricity storage facility: The plant that can store electrical energy and provide the stored energy to the system,</w:t>
      </w:r>
    </w:p>
    <w:p w14:paraId="0CFE67CE" w14:textId="77777777" w:rsidR="00171C59" w:rsidRPr="009E1B38" w:rsidRDefault="00171C59" w:rsidP="00171C59">
      <w:pPr>
        <w:pStyle w:val="P68B1DB1-Normal7"/>
        <w:spacing w:after="0"/>
        <w:ind w:left="709"/>
        <w:jc w:val="left"/>
        <w:rPr>
          <w:lang w:val="en-US"/>
        </w:rPr>
      </w:pPr>
      <w:r w:rsidRPr="009E1B38">
        <w:rPr>
          <w:lang w:val="en-US"/>
        </w:rPr>
        <w:t>o) Energy surplus: The sum of the amount of electricity, which the market participants have made during the energy settlement within the scope of the futures  electricity market, day-ahead market, intraday market and bilateral agreements, deloading offers, imports and the electrical energy they have given to the system on the basis of energy settlement, exceeds the sales made within the scope of futures  electricity market, day-ahead market, intraday market and bilateral agreements, loading offers, exports and the electrical energy they have drawn from the system on the basis of energy settlement,</w:t>
      </w:r>
    </w:p>
    <w:p w14:paraId="16E0F0E0" w14:textId="77777777" w:rsidR="00171C59" w:rsidRPr="009E1B38" w:rsidRDefault="00171C59" w:rsidP="00171C59">
      <w:pPr>
        <w:pStyle w:val="P68B1DB1-Normal7"/>
        <w:spacing w:after="0"/>
        <w:ind w:left="709"/>
        <w:jc w:val="left"/>
        <w:rPr>
          <w:lang w:val="en-US"/>
        </w:rPr>
      </w:pPr>
      <w:r w:rsidRPr="009E1B38">
        <w:rPr>
          <w:lang w:val="en-US"/>
        </w:rPr>
        <w:t>z) Relevant legislation: Law on the electricity market, Presidential decree, Presidential decision, regulation, communiqué, circular and Board decisions,</w:t>
      </w:r>
    </w:p>
    <w:p w14:paraId="4E858D34" w14:textId="4EE267F3" w:rsidR="00171C59" w:rsidRPr="009E1B38" w:rsidRDefault="00171C59" w:rsidP="00171C59">
      <w:pPr>
        <w:pStyle w:val="P68B1DB1-Normal7"/>
        <w:spacing w:after="0"/>
        <w:ind w:left="709"/>
        <w:jc w:val="left"/>
        <w:rPr>
          <w:lang w:val="en-US"/>
        </w:rPr>
      </w:pPr>
      <w:r w:rsidRPr="009E1B38">
        <w:rPr>
          <w:lang w:val="en-US"/>
        </w:rPr>
        <w:t>ff) National Load Dispatch Center (NLDC): The central unit within TEİAŞ responsi</w:t>
      </w:r>
      <w:r w:rsidR="009E1B38">
        <w:rPr>
          <w:lang w:val="en-US"/>
        </w:rPr>
        <w:t xml:space="preserve">ble for real-time balancing of </w:t>
      </w:r>
      <w:r w:rsidRPr="009E1B38">
        <w:rPr>
          <w:lang w:val="en-US"/>
        </w:rPr>
        <w:t xml:space="preserve">electricity supply and demand and </w:t>
      </w:r>
      <w:r w:rsidR="009E1B38">
        <w:rPr>
          <w:lang w:val="en-US"/>
        </w:rPr>
        <w:t>operation of the interconnected</w:t>
      </w:r>
      <w:r w:rsidRPr="009E1B38">
        <w:rPr>
          <w:lang w:val="en-US"/>
        </w:rPr>
        <w:t> electricity transmission system,</w:t>
      </w:r>
    </w:p>
    <w:p w14:paraId="7486D6D5" w14:textId="77777777" w:rsidR="00171C59" w:rsidRPr="009E1B38" w:rsidRDefault="00171C59" w:rsidP="00171C59">
      <w:pPr>
        <w:pStyle w:val="P68B1DB1-Normal7"/>
        <w:spacing w:after="0"/>
        <w:ind w:left="709"/>
        <w:jc w:val="left"/>
        <w:rPr>
          <w:lang w:val="en-US"/>
        </w:rPr>
      </w:pPr>
      <w:r w:rsidRPr="009E1B38">
        <w:rPr>
          <w:lang w:val="en-US"/>
        </w:rPr>
        <w:t>gg) Organized wholesale electricity markets: Futures  electricity markets, where electricity energy, capacity or retail sales are made, organized and operated by a central intermediary legal entity which holds a market operating license, markets operated by Borsa İstanbul Anonim Şirketi, where standardized  electricity contracts with day-ahead  market, intraday  market and capital  market instruments, and derivatives with the basis of electricity  energy and/or capacity are traded, and  electricity  markets such as balancing  power  market and  ancillary  services  market  organized and operated by TEİAŞ,</w:t>
      </w:r>
    </w:p>
    <w:p w14:paraId="73ECAC80" w14:textId="77777777" w:rsidR="00171C59" w:rsidRPr="009E1B38" w:rsidRDefault="00171C59" w:rsidP="00171C59">
      <w:pPr>
        <w:pStyle w:val="P68B1DB1-Normal7"/>
        <w:spacing w:after="0"/>
        <w:ind w:left="709"/>
        <w:jc w:val="left"/>
        <w:rPr>
          <w:lang w:val="en-US"/>
        </w:rPr>
      </w:pPr>
      <w:r w:rsidRPr="009E1B38">
        <w:rPr>
          <w:lang w:val="en-US"/>
        </w:rPr>
        <w:t>ıı) Payment notifications: The notifications made to the relevant legal entities and constituting the basis for the invoices to be prepared within this scope and containing detailed information regarding the payments to be made and the non-fulfillment fees to be applied to the legal entities which provide ancillary services,</w:t>
      </w:r>
    </w:p>
    <w:p w14:paraId="59A2A5E8" w14:textId="73226BA5" w:rsidR="00171C59" w:rsidRPr="009E1B38" w:rsidRDefault="00171C59" w:rsidP="00171C59">
      <w:pPr>
        <w:pStyle w:val="P68B1DB1-Normal7"/>
        <w:spacing w:after="0"/>
        <w:ind w:left="709"/>
        <w:jc w:val="left"/>
        <w:rPr>
          <w:lang w:val="en-US"/>
        </w:rPr>
      </w:pPr>
      <w:r w:rsidRPr="009E1B38">
        <w:rPr>
          <w:lang w:val="en-US"/>
        </w:rPr>
        <w:t xml:space="preserve">lll) Ancillary services: As per this Regulation, the </w:t>
      </w:r>
      <w:r w:rsidR="009E1B38" w:rsidRPr="009E1B38">
        <w:rPr>
          <w:lang w:val="en-US"/>
        </w:rPr>
        <w:t>ancillary</w:t>
      </w:r>
      <w:r w:rsidRPr="009E1B38">
        <w:rPr>
          <w:lang w:val="en-US"/>
        </w:rPr>
        <w:t xml:space="preserve"> services, defined in detail in this Regulation hereby and  Electricity  Network Regulation, are provided by relevant legal entities which are connected to the transmission or distribution system in order to ensure the safe operation of the transmission or distribution system and providing the electricity under the required quality conditions,</w:t>
      </w:r>
    </w:p>
    <w:p w14:paraId="4FC3956A" w14:textId="77777777" w:rsidR="00171C59" w:rsidRPr="009E1B38" w:rsidRDefault="00171C59" w:rsidP="00171C59">
      <w:pPr>
        <w:pStyle w:val="P68B1DB1-Normal7"/>
        <w:spacing w:after="0"/>
        <w:ind w:left="709"/>
        <w:jc w:val="left"/>
        <w:rPr>
          <w:lang w:val="en-US"/>
        </w:rPr>
      </w:pPr>
      <w:r w:rsidRPr="009E1B38">
        <w:rPr>
          <w:lang w:val="en-US"/>
        </w:rPr>
        <w:t>mmm) Ancillary service agreements: Agreements that determine the ancillary services to be provided to TEİAŞ, ancillary service fees, conditions and provisions in accordance with the Electricity Network Regulation by generation companies, distribution companies, electricity storage facilities or consumers connected to the transmission and/or distribution system,</w:t>
      </w:r>
    </w:p>
    <w:p w14:paraId="1D47DF13" w14:textId="55E7B42B" w:rsidR="00171C59" w:rsidRPr="009E1B38" w:rsidRDefault="00171C59" w:rsidP="00171C59">
      <w:pPr>
        <w:pStyle w:val="P68B1DB1-Normal7"/>
        <w:spacing w:after="0"/>
        <w:ind w:left="709"/>
        <w:jc w:val="left"/>
        <w:rPr>
          <w:lang w:val="en-US"/>
        </w:rPr>
      </w:pPr>
      <w:r w:rsidRPr="009E1B38">
        <w:rPr>
          <w:lang w:val="en-US"/>
        </w:rPr>
        <w:t xml:space="preserve">nnn) Ancillary service unit: A generation, consumption or electricity storage </w:t>
      </w:r>
      <w:r w:rsidR="009E1B38" w:rsidRPr="009E1B38">
        <w:rPr>
          <w:lang w:val="en-US"/>
        </w:rPr>
        <w:t>facility</w:t>
      </w:r>
      <w:r w:rsidRPr="009E1B38">
        <w:rPr>
          <w:lang w:val="en-US"/>
        </w:rPr>
        <w:t xml:space="preserve"> or a part of the generation, consumption or electricity storage facility to be registered in Ancillary Service Market Management System to provide ancillary services,</w:t>
      </w:r>
    </w:p>
    <w:p w14:paraId="69458E07" w14:textId="77777777" w:rsidR="00171C59" w:rsidRPr="009E1B38" w:rsidRDefault="00171C59" w:rsidP="00171C59">
      <w:pPr>
        <w:pStyle w:val="P68B1DB1-Normal7"/>
        <w:spacing w:after="0"/>
        <w:ind w:left="709"/>
        <w:jc w:val="left"/>
        <w:rPr>
          <w:lang w:val="en-US"/>
        </w:rPr>
      </w:pPr>
      <w:r w:rsidRPr="009E1B38">
        <w:rPr>
          <w:lang w:val="en-US"/>
        </w:rPr>
        <w:t>ppp) Ancillary services market participant: Legal entities holding generation or OIZ generation licenses that have completed their legal entity registration procedures to participate in the balancing power market and legal entities that own or operate electricity storage facilities and legal entities that own consumption plants, by applying to the system operator to take part in the supply process of the ancillary services defined within the scope of this Regulation.</w:t>
      </w:r>
    </w:p>
    <w:p w14:paraId="2C66903D" w14:textId="77777777" w:rsidR="00171C59" w:rsidRPr="009E1B38" w:rsidRDefault="00171C59" w:rsidP="00171C59">
      <w:pPr>
        <w:pStyle w:val="P68B1DB1-Normal7"/>
        <w:spacing w:after="0"/>
        <w:ind w:left="709"/>
        <w:jc w:val="left"/>
        <w:rPr>
          <w:lang w:val="en-US"/>
        </w:rPr>
      </w:pPr>
      <w:r w:rsidRPr="009E1B38">
        <w:rPr>
          <w:lang w:val="en-US"/>
        </w:rPr>
        <w:t>rrr) Ancillary Service Market Management System (ASMMS): Internet-based applications used to carry out transactions related to ancillary services market,</w:t>
      </w:r>
    </w:p>
    <w:p w14:paraId="75B84B00" w14:textId="77777777" w:rsidR="00171C59" w:rsidRPr="009E1B38" w:rsidRDefault="00171C59" w:rsidP="00171C59">
      <w:pPr>
        <w:pStyle w:val="P68B1DB1-Normal7"/>
        <w:spacing w:after="0"/>
        <w:ind w:left="709"/>
        <w:jc w:val="left"/>
        <w:rPr>
          <w:lang w:val="en-US"/>
        </w:rPr>
      </w:pPr>
      <w:r w:rsidRPr="009E1B38">
        <w:rPr>
          <w:lang w:val="en-US"/>
        </w:rPr>
        <w:t>dddd) Emergency: Situations that pose a danger for system stability and safety within the framework of the Electricity Network Regulation and other provisions of the relevant legislation,</w:t>
      </w:r>
    </w:p>
    <w:p w14:paraId="3A222CD8" w14:textId="77777777" w:rsidR="00171C59" w:rsidRPr="009E1B38" w:rsidRDefault="00171C59" w:rsidP="00171C59">
      <w:pPr>
        <w:pStyle w:val="P68B1DB1-Normal7"/>
        <w:spacing w:after="0"/>
        <w:ind w:left="709"/>
        <w:jc w:val="left"/>
        <w:rPr>
          <w:lang w:val="en-US"/>
        </w:rPr>
      </w:pPr>
      <w:r w:rsidRPr="009E1B38">
        <w:rPr>
          <w:lang w:val="en-US"/>
        </w:rPr>
        <w:t>eeee) Minimum discharge unit: The unit, which is specific to hydraulic power plants with reservoirs and regulators, established to obtain electrical energy from the minimum discharge that should be left in the stream bed, which has to work at a certain flow rate due to the installation purpose and which cannot change its output power due to its function,</w:t>
      </w:r>
    </w:p>
    <w:p w14:paraId="4C1F3F66" w14:textId="77777777" w:rsidR="00171C59" w:rsidRPr="009E1B38" w:rsidRDefault="00171C59" w:rsidP="00171C59">
      <w:pPr>
        <w:pStyle w:val="P68B1DB1-Normal7"/>
        <w:spacing w:after="0"/>
        <w:ind w:left="709"/>
        <w:jc w:val="left"/>
        <w:rPr>
          <w:lang w:val="en-US"/>
        </w:rPr>
      </w:pPr>
      <w:r w:rsidRPr="009E1B38">
        <w:rPr>
          <w:lang w:val="en-US"/>
        </w:rPr>
        <w:lastRenderedPageBreak/>
        <w:t>ffff) Available capacity: The maximum amount of power that a settlement supply/draw unit can technically give to the system, including emergencies, under its current conditions,</w:t>
      </w:r>
    </w:p>
    <w:p w14:paraId="65CFF93B" w14:textId="77777777" w:rsidR="00171C59" w:rsidRPr="009E1B38" w:rsidRDefault="00171C59" w:rsidP="00171C59">
      <w:pPr>
        <w:pStyle w:val="P68B1DB1-Normal7"/>
        <w:spacing w:after="0"/>
        <w:ind w:left="709"/>
        <w:jc w:val="left"/>
        <w:rPr>
          <w:lang w:val="en-US"/>
        </w:rPr>
      </w:pPr>
      <w:r w:rsidRPr="009E1B38">
        <w:rPr>
          <w:lang w:val="en-US"/>
        </w:rPr>
        <w:t>gggg) EÜAŞ: Electricity Generation Corporation,</w:t>
      </w:r>
    </w:p>
    <w:p w14:paraId="769929B7" w14:textId="77777777" w:rsidR="00171C59" w:rsidRPr="009E1B38" w:rsidRDefault="00171C59" w:rsidP="00171C59">
      <w:pPr>
        <w:pStyle w:val="P68B1DB1-Normal7"/>
        <w:spacing w:after="0"/>
        <w:ind w:left="709"/>
        <w:jc w:val="left"/>
        <w:rPr>
          <w:lang w:val="en-US"/>
        </w:rPr>
      </w:pPr>
      <w:r w:rsidRPr="009E1B38">
        <w:rPr>
          <w:lang w:val="en-US"/>
        </w:rPr>
        <w:t>ğğğğ) MAXC: The upper limit value of the ancillary service units participating in the secondary frequency control service in the automatic generation control program,</w:t>
      </w:r>
    </w:p>
    <w:p w14:paraId="6CE25726" w14:textId="77777777" w:rsidR="00171C59" w:rsidRPr="009E1B38" w:rsidRDefault="00171C59" w:rsidP="00171C59">
      <w:pPr>
        <w:pStyle w:val="P68B1DB1-Normal7"/>
        <w:spacing w:after="0"/>
        <w:ind w:left="709"/>
        <w:jc w:val="left"/>
        <w:rPr>
          <w:lang w:val="en-US"/>
        </w:rPr>
      </w:pPr>
      <w:r w:rsidRPr="009E1B38">
        <w:rPr>
          <w:lang w:val="en-US"/>
        </w:rPr>
        <w:t>hhhh) MINC: The lower limit value of the ancillary service units participating in the secondary frequency control service in the automatic generation control program,</w:t>
      </w:r>
    </w:p>
    <w:p w14:paraId="42364ECE" w14:textId="77777777" w:rsidR="00171C59" w:rsidRPr="009E1B38" w:rsidRDefault="00171C59" w:rsidP="00171C59">
      <w:pPr>
        <w:pStyle w:val="P68B1DB1-Normal7"/>
        <w:spacing w:after="0"/>
        <w:ind w:left="709"/>
        <w:jc w:val="left"/>
        <w:rPr>
          <w:lang w:val="en-US"/>
        </w:rPr>
      </w:pPr>
      <w:r w:rsidRPr="009E1B38">
        <w:rPr>
          <w:lang w:val="en-US"/>
        </w:rPr>
        <w:t>ıııı) Minimum stable generation level (MSGL): The minimum active power level at which a settlement supply/draw unit can operate continuously,</w:t>
      </w:r>
    </w:p>
    <w:p w14:paraId="387A145F" w14:textId="62D5B4C7" w:rsidR="00171C59" w:rsidRPr="009E1B38" w:rsidRDefault="00171C59" w:rsidP="00171C59">
      <w:pPr>
        <w:pStyle w:val="P68B1DB1-Normal7"/>
        <w:spacing w:after="0"/>
        <w:ind w:left="709"/>
        <w:jc w:val="left"/>
        <w:rPr>
          <w:lang w:val="en-US"/>
        </w:rPr>
      </w:pPr>
      <w:r w:rsidRPr="009E1B38">
        <w:rPr>
          <w:lang w:val="en-US"/>
        </w:rPr>
        <w:t xml:space="preserve">iiii) Bid period: The period specified in the tender, announced by the system operator in the procurement processes </w:t>
      </w:r>
      <w:r w:rsidR="009E1B38" w:rsidRPr="009E1B38">
        <w:rPr>
          <w:lang w:val="en-US"/>
        </w:rPr>
        <w:t>of ancillary</w:t>
      </w:r>
      <w:r w:rsidRPr="009E1B38">
        <w:rPr>
          <w:lang w:val="en-US"/>
        </w:rPr>
        <w:t> services,</w:t>
      </w:r>
    </w:p>
    <w:p w14:paraId="3E6C4AB1" w14:textId="77777777" w:rsidR="00171C59" w:rsidRPr="009E1B38" w:rsidRDefault="00171C59" w:rsidP="00171C59">
      <w:pPr>
        <w:pStyle w:val="P68B1DB1-Normal7"/>
        <w:spacing w:after="0"/>
        <w:ind w:left="709"/>
        <w:jc w:val="left"/>
        <w:rPr>
          <w:lang w:val="en-US"/>
        </w:rPr>
      </w:pPr>
      <w:r w:rsidRPr="009E1B38">
        <w:rPr>
          <w:lang w:val="en-US"/>
        </w:rPr>
        <w:t>jjj) Demand side reserve: The amount of consumption that is supplied within the scope of demand side reserve service and can be changed in accordance with the instructions of the system operator,</w:t>
      </w:r>
    </w:p>
    <w:p w14:paraId="5B7A3B65" w14:textId="77777777" w:rsidR="00171C59" w:rsidRPr="009E1B38" w:rsidRDefault="00171C59" w:rsidP="00171C59">
      <w:pPr>
        <w:pStyle w:val="P68B1DB1-Normal7"/>
        <w:spacing w:after="0"/>
        <w:ind w:left="709"/>
        <w:jc w:val="left"/>
        <w:rPr>
          <w:lang w:val="en-US"/>
        </w:rPr>
      </w:pPr>
      <w:r w:rsidRPr="009E1B38">
        <w:rPr>
          <w:lang w:val="en-US"/>
        </w:rPr>
        <w:t>kkkk) Demand side reserve service: The services that are supplied by changing the consumption amount for the consumption plants participating in the service in accordance with the instructions of the System Operator,</w:t>
      </w:r>
    </w:p>
    <w:p w14:paraId="7B457C63" w14:textId="77777777" w:rsidR="00171C59" w:rsidRPr="009E1B38" w:rsidRDefault="00171C59" w:rsidP="00171C59">
      <w:pPr>
        <w:pStyle w:val="P68B1DB1-Normal7"/>
        <w:spacing w:after="0"/>
        <w:ind w:left="709"/>
        <w:jc w:val="left"/>
        <w:rPr>
          <w:lang w:val="en-US"/>
        </w:rPr>
      </w:pPr>
      <w:r w:rsidRPr="009E1B38">
        <w:rPr>
          <w:lang w:val="en-US"/>
        </w:rPr>
        <w:t>llll) Demand side backup service compliance certificate: The document issued by TEİAŞ for the consumption plants that want to participate in the supply process related to demand side reserve service by registering to ASMMS as an ancillary service unit, in case that the relevant plant is within the framework of the procedures to be determined by TEİAŞ that it has the necessary communication infrastructures to provide the required control, measurement, monitoring, verification and service providing,</w:t>
      </w:r>
    </w:p>
    <w:p w14:paraId="33C1D4FB" w14:textId="77777777" w:rsidR="00171C59" w:rsidRPr="009E1B38" w:rsidRDefault="00171C59" w:rsidP="00171C59">
      <w:pPr>
        <w:pStyle w:val="P68B1DB1-Normal7"/>
        <w:spacing w:after="0"/>
        <w:ind w:left="709"/>
        <w:jc w:val="left"/>
        <w:rPr>
          <w:lang w:val="en-US"/>
        </w:rPr>
      </w:pPr>
      <w:r w:rsidRPr="009E1B38">
        <w:rPr>
          <w:lang w:val="en-US"/>
        </w:rPr>
        <w:t>mmmm) Ancillary services market: It refers to the organized electricity market in which the ancillary services, defined in this Regulation, are supplied and operated by the system operator,</w:t>
      </w:r>
    </w:p>
    <w:p w14:paraId="2E147421" w14:textId="77777777" w:rsidR="00171C59" w:rsidRPr="009E1B38" w:rsidRDefault="00171C59" w:rsidP="00171C59">
      <w:pPr>
        <w:pStyle w:val="P68B1DB1-Normal7"/>
        <w:spacing w:after="0"/>
        <w:ind w:left="709"/>
        <w:jc w:val="left"/>
        <w:rPr>
          <w:lang w:val="en-US"/>
        </w:rPr>
      </w:pPr>
      <w:r w:rsidRPr="009E1B38">
        <w:rPr>
          <w:lang w:val="en-US"/>
        </w:rPr>
        <w:t>nnnn</w:t>
      </w:r>
      <w:bookmarkStart w:id="43" w:name="_Hlk94515822"/>
      <w:r w:rsidRPr="009E1B38">
        <w:rPr>
          <w:lang w:val="en-US"/>
        </w:rPr>
        <w:t>) Transfer of the obligation by means of special order: Transfer of the reserve obligations undertaken by the ancillary service market participants, which are selected as a result of the procurement process of the frequency control services, defined within the scope of this Regulation, through a special agreement in the transfer platform between the parties of the transferor and the transferee,</w:t>
      </w:r>
    </w:p>
    <w:bookmarkEnd w:id="43"/>
    <w:p w14:paraId="61B7F2BF" w14:textId="776DF66E" w:rsidR="00171C59" w:rsidRPr="009E1B38" w:rsidRDefault="00171C59" w:rsidP="00171C59">
      <w:pPr>
        <w:pStyle w:val="P68B1DB1-Normal7"/>
        <w:spacing w:after="0"/>
        <w:ind w:left="709"/>
        <w:jc w:val="left"/>
        <w:rPr>
          <w:lang w:val="en-US"/>
        </w:rPr>
      </w:pPr>
      <w:r w:rsidRPr="009E1B38">
        <w:rPr>
          <w:lang w:val="en-US"/>
        </w:rPr>
        <w:t xml:space="preserve">oooo) </w:t>
      </w:r>
      <w:r w:rsidR="0082470D" w:rsidRPr="009E1B38">
        <w:rPr>
          <w:lang w:val="en-US"/>
        </w:rPr>
        <w:t>Liability transfer platform</w:t>
      </w:r>
      <w:r w:rsidRPr="009E1B38">
        <w:rPr>
          <w:lang w:val="en-US"/>
        </w:rPr>
        <w:t xml:space="preserve">: Internet-based interface operated by the system operator within the scope of ASMMS and enabling market participants, that participate in the frequency control service, to transfer their </w:t>
      </w:r>
      <w:r w:rsidR="0082470D" w:rsidRPr="009E1B38">
        <w:rPr>
          <w:lang w:val="en-US"/>
        </w:rPr>
        <w:t>liabilities</w:t>
      </w:r>
      <w:r w:rsidRPr="009E1B38">
        <w:rPr>
          <w:lang w:val="en-US"/>
        </w:rPr>
        <w:t xml:space="preserve"> within the limits specified in this Regulation,</w:t>
      </w:r>
    </w:p>
    <w:p w14:paraId="68E884A4" w14:textId="77777777" w:rsidR="00171C59" w:rsidRPr="009E1B38" w:rsidRDefault="00171C59" w:rsidP="00171C59">
      <w:pPr>
        <w:spacing w:after="0"/>
        <w:ind w:left="709"/>
        <w:jc w:val="left"/>
        <w:rPr>
          <w:rFonts w:ascii="Times New Roman" w:hAnsi="Times New Roman"/>
          <w:i/>
        </w:rPr>
      </w:pPr>
    </w:p>
    <w:p w14:paraId="3B358010"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second paragraph of Article 5 titled "Ancillary services and the procurement of ancillary services" has been amended as follows.</w:t>
      </w:r>
    </w:p>
    <w:p w14:paraId="0E7EC2A7" w14:textId="77777777" w:rsidR="00171C59" w:rsidRPr="009E1B38" w:rsidRDefault="00171C59" w:rsidP="00171C59">
      <w:pPr>
        <w:pStyle w:val="ListeParagraf"/>
        <w:ind w:left="709"/>
        <w:jc w:val="left"/>
        <w:rPr>
          <w:rFonts w:ascii="Times New Roman" w:hAnsi="Times New Roman"/>
          <w:i/>
        </w:rPr>
      </w:pPr>
    </w:p>
    <w:p w14:paraId="2FFE362B" w14:textId="77777777" w:rsidR="00171C59" w:rsidRPr="009E1B38" w:rsidRDefault="00171C59" w:rsidP="00171C59">
      <w:pPr>
        <w:pStyle w:val="P68B1DB1-ListeParagraf6"/>
        <w:ind w:left="709"/>
        <w:jc w:val="left"/>
        <w:rPr>
          <w:lang w:val="en-US"/>
        </w:rPr>
      </w:pPr>
      <w:r w:rsidRPr="009E1B38">
        <w:rPr>
          <w:lang w:val="en-US"/>
        </w:rPr>
        <w:t>“(2) Procurement of ancillary services includes the submission of services needed by the system operator to TEİAŞ by legal entities that are capable of providing the service and having the qualifications of market participants, identification of the plant and/or legal entities, from which the service will be received, by TEİAŞ, the activities carried out by TEİAŞ regarding the signing of additional service agreements when necessary and the execution of receivables and debts arising from these transactions, and the necessary administrative proceedings for these activities.”</w:t>
      </w:r>
    </w:p>
    <w:p w14:paraId="4670DD9F" w14:textId="77777777" w:rsidR="00171C59" w:rsidRPr="009E1B38" w:rsidRDefault="00171C59" w:rsidP="00171C59">
      <w:pPr>
        <w:pStyle w:val="ListeParagraf"/>
        <w:ind w:left="709"/>
        <w:jc w:val="left"/>
        <w:rPr>
          <w:rFonts w:ascii="Times New Roman" w:hAnsi="Times New Roman"/>
          <w:i/>
        </w:rPr>
      </w:pPr>
    </w:p>
    <w:p w14:paraId="72F2F9F8"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Article 6 titled</w:t>
      </w:r>
      <w:r w:rsidRPr="009E1B38">
        <w:rPr>
          <w:i/>
          <w:lang w:val="en-US"/>
        </w:rPr>
        <w:t xml:space="preserve"> "General principles for the procurement of ancillary services" </w:t>
      </w:r>
      <w:r w:rsidRPr="009E1B38">
        <w:rPr>
          <w:lang w:val="en-US"/>
        </w:rPr>
        <w:t>has been amended as follows.</w:t>
      </w:r>
    </w:p>
    <w:p w14:paraId="6E6C9DCC" w14:textId="77777777" w:rsidR="00171C59" w:rsidRPr="009E1B38" w:rsidRDefault="00171C59" w:rsidP="00171C59">
      <w:pPr>
        <w:pStyle w:val="P68B1DB1-Normal8"/>
        <w:ind w:left="709"/>
        <w:jc w:val="left"/>
        <w:rPr>
          <w:lang w:val="en-US"/>
        </w:rPr>
      </w:pPr>
      <w:r w:rsidRPr="009E1B38">
        <w:rPr>
          <w:lang w:val="en-US"/>
        </w:rPr>
        <w:lastRenderedPageBreak/>
        <w:t>"ARTICLE 6</w:t>
      </w:r>
    </w:p>
    <w:p w14:paraId="57EE7AF1" w14:textId="77777777" w:rsidR="00171C59" w:rsidRPr="009E1B38" w:rsidRDefault="00171C59" w:rsidP="00171C59">
      <w:pPr>
        <w:pStyle w:val="P68B1DB1-Normal7"/>
        <w:ind w:left="709"/>
        <w:jc w:val="left"/>
        <w:rPr>
          <w:lang w:val="en-US"/>
        </w:rPr>
      </w:pPr>
      <w:r w:rsidRPr="009E1B38">
        <w:rPr>
          <w:lang w:val="en-US"/>
        </w:rPr>
        <w:t>(1) TEİAŞ shall provide ancillary services that shall ensure the operation of the transmission system in line with the criteria of the supply quality and operating conditions in the Electricity Network Regulation, taking the technical requirements, transmission system constraints and regional requirements into account, ensuring the operational safety and integrity of the system, minimizing the costs related to the provision of ancillary services and not discriminating between equal parties. "</w:t>
      </w:r>
    </w:p>
    <w:p w14:paraId="72EF55AD"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Article 7</w:t>
      </w:r>
      <w:r w:rsidRPr="009E1B38">
        <w:rPr>
          <w:i/>
          <w:lang w:val="en-US"/>
        </w:rPr>
        <w:t xml:space="preserve"> titled "Duties, authorities and responsibilities of the parties</w:t>
      </w:r>
      <w:r w:rsidRPr="009E1B38">
        <w:rPr>
          <w:lang w:val="en-US"/>
        </w:rPr>
        <w:t>" has been amended as follows.</w:t>
      </w:r>
    </w:p>
    <w:p w14:paraId="62B6BDCA" w14:textId="77777777" w:rsidR="00171C59" w:rsidRPr="009E1B38" w:rsidRDefault="00171C59" w:rsidP="00171C59">
      <w:pPr>
        <w:pStyle w:val="P68B1DB1-Normal8"/>
        <w:ind w:left="709"/>
        <w:jc w:val="left"/>
        <w:rPr>
          <w:lang w:val="en-US"/>
        </w:rPr>
      </w:pPr>
      <w:r w:rsidRPr="009E1B38">
        <w:rPr>
          <w:lang w:val="en-US"/>
        </w:rPr>
        <w:t>"ARTICLE 7</w:t>
      </w:r>
    </w:p>
    <w:p w14:paraId="179BD69C" w14:textId="77777777" w:rsidR="00171C59" w:rsidRPr="009E1B38" w:rsidRDefault="00171C59" w:rsidP="00171C59">
      <w:pPr>
        <w:pStyle w:val="P68B1DB1-Normal7"/>
        <w:spacing w:after="0"/>
        <w:ind w:left="709"/>
        <w:jc w:val="left"/>
        <w:rPr>
          <w:lang w:val="en-US"/>
        </w:rPr>
      </w:pPr>
      <w:r w:rsidRPr="009E1B38">
        <w:rPr>
          <w:lang w:val="en-US"/>
        </w:rPr>
        <w:t>ARTICLE 7- (1) TEİAŞ shall carry out the following duties regarding the procurement of ancillary services, within the framework of its powers and responsibilities:</w:t>
      </w:r>
    </w:p>
    <w:p w14:paraId="5084EB8C" w14:textId="77777777" w:rsidR="00171C59" w:rsidRPr="009E1B38" w:rsidRDefault="00171C59" w:rsidP="00171C59">
      <w:pPr>
        <w:pStyle w:val="P68B1DB1-Normal7"/>
        <w:spacing w:after="0"/>
        <w:ind w:left="709"/>
        <w:jc w:val="left"/>
        <w:rPr>
          <w:lang w:val="en-US"/>
        </w:rPr>
      </w:pPr>
      <w:r w:rsidRPr="009E1B38">
        <w:rPr>
          <w:lang w:val="en-US"/>
        </w:rPr>
        <w:t>a) Determining the  ancillary  service needs that will ensure the operation of the system is in line with the supply quality and operating conditions in the  Electricity  Network Regulation, while maintaining the operational safety and integrity of the system,</w:t>
      </w:r>
    </w:p>
    <w:p w14:paraId="164D41A3" w14:textId="559145A4" w:rsidR="00171C59" w:rsidRPr="009E1B38" w:rsidRDefault="00171C59" w:rsidP="00171C59">
      <w:pPr>
        <w:pStyle w:val="P68B1DB1-Normal7"/>
        <w:spacing w:after="0"/>
        <w:ind w:left="709"/>
        <w:jc w:val="left"/>
        <w:rPr>
          <w:lang w:val="en-US"/>
        </w:rPr>
      </w:pPr>
      <w:r w:rsidRPr="009E1B38">
        <w:rPr>
          <w:lang w:val="en-US"/>
        </w:rPr>
        <w:t xml:space="preserve">b) Fulfilling the duties required to provide </w:t>
      </w:r>
      <w:r w:rsidR="009E1B38" w:rsidRPr="009E1B38">
        <w:rPr>
          <w:lang w:val="en-US"/>
        </w:rPr>
        <w:t>the ancillary services</w:t>
      </w:r>
      <w:r w:rsidRPr="009E1B38">
        <w:rPr>
          <w:lang w:val="en-US"/>
        </w:rPr>
        <w:t xml:space="preserve"> whose need is determined in accordance with the provisions of this Regulation,</w:t>
      </w:r>
    </w:p>
    <w:p w14:paraId="2CDBD3A5" w14:textId="6A804D8F" w:rsidR="00171C59" w:rsidRPr="009E1B38" w:rsidRDefault="00171C59" w:rsidP="00171C59">
      <w:pPr>
        <w:pStyle w:val="P68B1DB1-Normal7"/>
        <w:spacing w:after="0"/>
        <w:ind w:left="709"/>
        <w:jc w:val="left"/>
        <w:rPr>
          <w:lang w:val="en-US"/>
        </w:rPr>
      </w:pPr>
      <w:r w:rsidRPr="009E1B38">
        <w:rPr>
          <w:lang w:val="en-US"/>
        </w:rPr>
        <w:t xml:space="preserve">c) Participating in the performance tests of the plants, that will </w:t>
      </w:r>
      <w:r w:rsidR="009E1B38" w:rsidRPr="009E1B38">
        <w:rPr>
          <w:lang w:val="en-US"/>
        </w:rPr>
        <w:t>provide ancillary services</w:t>
      </w:r>
      <w:r w:rsidRPr="009E1B38">
        <w:rPr>
          <w:lang w:val="en-US"/>
        </w:rPr>
        <w:t>, for the purpose of surveillance and supervision,</w:t>
      </w:r>
    </w:p>
    <w:p w14:paraId="08533B15" w14:textId="04C6765D" w:rsidR="00171C59" w:rsidRPr="009E1B38" w:rsidRDefault="00171C59" w:rsidP="00171C59">
      <w:pPr>
        <w:pStyle w:val="P68B1DB1-Normal7"/>
        <w:spacing w:after="0"/>
        <w:ind w:left="709"/>
        <w:jc w:val="left"/>
        <w:rPr>
          <w:lang w:val="en-US"/>
        </w:rPr>
      </w:pPr>
      <w:r w:rsidRPr="009E1B38">
        <w:rPr>
          <w:lang w:val="en-US"/>
        </w:rPr>
        <w:t xml:space="preserve">ç) Monitoring </w:t>
      </w:r>
      <w:r w:rsidR="009E1B38" w:rsidRPr="009E1B38">
        <w:rPr>
          <w:lang w:val="en-US"/>
        </w:rPr>
        <w:t>of ancillary</w:t>
      </w:r>
      <w:r w:rsidRPr="009E1B38">
        <w:rPr>
          <w:lang w:val="en-US"/>
        </w:rPr>
        <w:t> services provided by legal entities in accordance with the provisions of this Regulation.</w:t>
      </w:r>
    </w:p>
    <w:p w14:paraId="7C0E5BCF" w14:textId="77777777" w:rsidR="00171C59" w:rsidRPr="009E1B38" w:rsidRDefault="00171C59" w:rsidP="00171C59">
      <w:pPr>
        <w:pStyle w:val="P68B1DB1-Normal7"/>
        <w:spacing w:after="0"/>
        <w:ind w:left="709"/>
        <w:jc w:val="left"/>
        <w:rPr>
          <w:lang w:val="en-US"/>
        </w:rPr>
      </w:pPr>
      <w:r w:rsidRPr="009E1B38">
        <w:rPr>
          <w:lang w:val="en-US"/>
        </w:rPr>
        <w:t>d) Calculation and payment of debt amounts related to ancillary services provided by legal entities.</w:t>
      </w:r>
    </w:p>
    <w:p w14:paraId="4DE50378" w14:textId="77777777" w:rsidR="00171C59" w:rsidRPr="009E1B38" w:rsidRDefault="00171C59" w:rsidP="00171C59">
      <w:pPr>
        <w:pStyle w:val="P68B1DB1-Normal7"/>
        <w:spacing w:after="0"/>
        <w:ind w:left="709"/>
        <w:jc w:val="left"/>
        <w:rPr>
          <w:lang w:val="en-US"/>
        </w:rPr>
      </w:pPr>
      <w:r w:rsidRPr="009E1B38">
        <w:rPr>
          <w:lang w:val="en-US"/>
        </w:rPr>
        <w:t>e) Applying the necessary sanctions to legal entities who have the obligation to provide ancillary service but do not fulfill this obligation within the framework of the provisions of this Regulation, and to ensure that the issue is reported to the Authority,</w:t>
      </w:r>
    </w:p>
    <w:p w14:paraId="65C2E264" w14:textId="77777777" w:rsidR="00171C59" w:rsidRPr="009E1B38" w:rsidRDefault="00171C59" w:rsidP="00171C59">
      <w:pPr>
        <w:pStyle w:val="P68B1DB1-Normal7"/>
        <w:spacing w:after="0"/>
        <w:ind w:left="709"/>
        <w:jc w:val="left"/>
        <w:rPr>
          <w:lang w:val="en-US"/>
        </w:rPr>
      </w:pPr>
      <w:r w:rsidRPr="009E1B38">
        <w:rPr>
          <w:lang w:val="en-US"/>
        </w:rPr>
        <w:t>f) Preparing and publishing reports that the Authority requests regarding the procured ancillary services,</w:t>
      </w:r>
    </w:p>
    <w:p w14:paraId="00740154" w14:textId="77777777" w:rsidR="00171C59" w:rsidRPr="009E1B38" w:rsidRDefault="00171C59" w:rsidP="00171C59">
      <w:pPr>
        <w:spacing w:after="0"/>
        <w:ind w:left="709"/>
        <w:jc w:val="left"/>
        <w:rPr>
          <w:rFonts w:ascii="Times New Roman" w:hAnsi="Times New Roman"/>
          <w:i/>
        </w:rPr>
      </w:pPr>
    </w:p>
    <w:p w14:paraId="7D63B5AD" w14:textId="007E68C3" w:rsidR="00171C59" w:rsidRPr="009E1B38" w:rsidRDefault="00171C59" w:rsidP="00171C59">
      <w:pPr>
        <w:pStyle w:val="P68B1DB1-Normal7"/>
        <w:spacing w:after="0"/>
        <w:ind w:left="709"/>
        <w:jc w:val="left"/>
        <w:rPr>
          <w:lang w:val="en-US"/>
        </w:rPr>
      </w:pPr>
      <w:r w:rsidRPr="009E1B38">
        <w:rPr>
          <w:lang w:val="en-US"/>
        </w:rPr>
        <w:t xml:space="preserve">(2) Legal </w:t>
      </w:r>
      <w:r w:rsidR="009E1B38" w:rsidRPr="009E1B38">
        <w:rPr>
          <w:lang w:val="en-US"/>
        </w:rPr>
        <w:t>entities</w:t>
      </w:r>
      <w:r w:rsidRPr="009E1B38">
        <w:rPr>
          <w:lang w:val="en-US"/>
        </w:rPr>
        <w:t>, who have the obligation to provide ancillary services in accordance with the relevant legislation and/</w:t>
      </w:r>
      <w:r w:rsidR="009E1B38" w:rsidRPr="009E1B38">
        <w:rPr>
          <w:lang w:val="en-US"/>
        </w:rPr>
        <w:t>or ancillary</w:t>
      </w:r>
      <w:r w:rsidRPr="009E1B38">
        <w:rPr>
          <w:lang w:val="en-US"/>
        </w:rPr>
        <w:t xml:space="preserve"> service agreement with TEİAŞ, shall carry out the following duties related to the provision </w:t>
      </w:r>
      <w:r w:rsidR="009E1B38" w:rsidRPr="009E1B38">
        <w:rPr>
          <w:lang w:val="en-US"/>
        </w:rPr>
        <w:t>of ancillary</w:t>
      </w:r>
      <w:r w:rsidRPr="009E1B38">
        <w:rPr>
          <w:lang w:val="en-US"/>
        </w:rPr>
        <w:t> services:</w:t>
      </w:r>
    </w:p>
    <w:p w14:paraId="753D9698" w14:textId="77777777" w:rsidR="00171C59" w:rsidRPr="009E1B38" w:rsidRDefault="00171C59" w:rsidP="00171C59">
      <w:pPr>
        <w:pStyle w:val="P68B1DB1-Normal7"/>
        <w:spacing w:after="0"/>
        <w:ind w:left="709"/>
        <w:jc w:val="left"/>
        <w:rPr>
          <w:lang w:val="en-US"/>
        </w:rPr>
      </w:pPr>
      <w:r w:rsidRPr="009E1B38">
        <w:rPr>
          <w:lang w:val="en-US"/>
        </w:rPr>
        <w:t>a) Providing ancillary services in accordance with the relevant legislation provisions and ancillary service agreements.</w:t>
      </w:r>
    </w:p>
    <w:p w14:paraId="56C74E69" w14:textId="77777777" w:rsidR="00171C59" w:rsidRPr="009E1B38" w:rsidRDefault="00171C59" w:rsidP="00171C59">
      <w:pPr>
        <w:pStyle w:val="P68B1DB1-Normal7"/>
        <w:spacing w:after="0"/>
        <w:ind w:left="709"/>
        <w:jc w:val="left"/>
        <w:rPr>
          <w:lang w:val="en-US"/>
        </w:rPr>
      </w:pPr>
      <w:r w:rsidRPr="009E1B38">
        <w:rPr>
          <w:lang w:val="en-US"/>
        </w:rPr>
        <w:t>b) Ensuring that performance tests of ancillary service to be provided, with the exception secondary frequency control service, are carried out by authorized independent firms, and ensure that secondary frequency control performance tests are carried out by the relevant unit of TEİAŞ.</w:t>
      </w:r>
    </w:p>
    <w:p w14:paraId="37180277" w14:textId="65419AA8" w:rsidR="00171C59" w:rsidRPr="009E1B38" w:rsidRDefault="00171C59" w:rsidP="00171C59">
      <w:pPr>
        <w:pStyle w:val="P68B1DB1-Normal7"/>
        <w:spacing w:after="0"/>
        <w:ind w:left="709"/>
        <w:jc w:val="left"/>
        <w:rPr>
          <w:lang w:val="en-US"/>
        </w:rPr>
      </w:pPr>
      <w:r w:rsidRPr="009E1B38">
        <w:rPr>
          <w:lang w:val="en-US"/>
        </w:rPr>
        <w:t xml:space="preserve">c) Providing necessary equipment for </w:t>
      </w:r>
      <w:r w:rsidR="009E1B38" w:rsidRPr="009E1B38">
        <w:rPr>
          <w:lang w:val="en-US"/>
        </w:rPr>
        <w:t>monitoring ancillary services</w:t>
      </w:r>
      <w:r w:rsidRPr="009E1B38">
        <w:rPr>
          <w:lang w:val="en-US"/>
        </w:rPr>
        <w:t xml:space="preserve"> and making them operational.</w:t>
      </w:r>
    </w:p>
    <w:p w14:paraId="2F234D6C" w14:textId="77777777" w:rsidR="00171C59" w:rsidRPr="009E1B38" w:rsidRDefault="00171C59" w:rsidP="00171C59">
      <w:pPr>
        <w:pStyle w:val="P68B1DB1-Normal7"/>
        <w:spacing w:after="0"/>
        <w:ind w:left="709"/>
        <w:jc w:val="left"/>
        <w:rPr>
          <w:lang w:val="en-US"/>
        </w:rPr>
      </w:pPr>
      <w:r w:rsidRPr="009E1B38">
        <w:rPr>
          <w:lang w:val="en-US"/>
        </w:rPr>
        <w:t>ç) Providing data, information and documents to be requested by TEİAŞ regarding the provision of ancillary services.</w:t>
      </w:r>
    </w:p>
    <w:p w14:paraId="785DF8EE" w14:textId="609D470D" w:rsidR="00171C59" w:rsidRPr="009E1B38" w:rsidRDefault="00171C59" w:rsidP="00171C59">
      <w:pPr>
        <w:pStyle w:val="P68B1DB1-Normal7"/>
        <w:spacing w:after="0"/>
        <w:ind w:left="709"/>
        <w:jc w:val="left"/>
        <w:rPr>
          <w:lang w:val="en-US"/>
        </w:rPr>
      </w:pPr>
      <w:r w:rsidRPr="009E1B38">
        <w:rPr>
          <w:lang w:val="en-US"/>
        </w:rPr>
        <w:t xml:space="preserve">d) In case the obligations, related to </w:t>
      </w:r>
      <w:r w:rsidR="009E1B38" w:rsidRPr="009E1B38">
        <w:rPr>
          <w:lang w:val="en-US"/>
        </w:rPr>
        <w:t>providing ancillary service</w:t>
      </w:r>
      <w:r w:rsidRPr="009E1B38">
        <w:rPr>
          <w:lang w:val="en-US"/>
        </w:rPr>
        <w:t>, are not fulfilled, timely and complete payment of the non-fulfillment fees."</w:t>
      </w:r>
    </w:p>
    <w:p w14:paraId="4823B45A" w14:textId="77777777" w:rsidR="00171C59" w:rsidRPr="009E1B38" w:rsidRDefault="00171C59" w:rsidP="00171C59">
      <w:pPr>
        <w:spacing w:after="0"/>
        <w:ind w:left="709"/>
        <w:jc w:val="left"/>
        <w:rPr>
          <w:rFonts w:ascii="Times New Roman" w:hAnsi="Times New Roman"/>
          <w:i/>
        </w:rPr>
      </w:pPr>
    </w:p>
    <w:p w14:paraId="1CCABE22"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Article 8</w:t>
      </w:r>
      <w:r w:rsidRPr="009E1B38">
        <w:rPr>
          <w:i/>
          <w:lang w:val="en-US"/>
        </w:rPr>
        <w:t xml:space="preserve"> titled "Ancillary services certification principles" </w:t>
      </w:r>
      <w:r w:rsidRPr="009E1B38">
        <w:rPr>
          <w:lang w:val="en-US"/>
        </w:rPr>
        <w:t>has been amended as follows.</w:t>
      </w:r>
    </w:p>
    <w:p w14:paraId="28ECE53C" w14:textId="77777777" w:rsidR="00171C59" w:rsidRPr="009E1B38" w:rsidRDefault="00171C59" w:rsidP="00171C59">
      <w:pPr>
        <w:pStyle w:val="P68B1DB1-Normal8"/>
        <w:ind w:left="709"/>
        <w:jc w:val="left"/>
        <w:rPr>
          <w:lang w:val="en-US"/>
        </w:rPr>
      </w:pPr>
      <w:r w:rsidRPr="009E1B38">
        <w:rPr>
          <w:lang w:val="en-US"/>
        </w:rPr>
        <w:t>"ARTICLE 8</w:t>
      </w:r>
    </w:p>
    <w:p w14:paraId="23230232" w14:textId="77777777" w:rsidR="00171C59" w:rsidRPr="009E1B38" w:rsidRDefault="00171C59" w:rsidP="00171C59">
      <w:pPr>
        <w:pStyle w:val="P68B1DB1-Normal7"/>
        <w:ind w:left="709"/>
        <w:jc w:val="left"/>
        <w:rPr>
          <w:lang w:val="en-US"/>
        </w:rPr>
      </w:pPr>
      <w:r w:rsidRPr="009E1B38">
        <w:rPr>
          <w:lang w:val="en-US"/>
        </w:rPr>
        <w:lastRenderedPageBreak/>
        <w:t>(1) Legal entities who undertake obligations to provide ancillary services within the scope of ancillary service agreements or as a result of the procurement process, or who take over this service through transfer from the obliged legal entity, or who want to provide this service, shall demonstrate that their plants where they provide other ancillary services, excluding secondary frequency control service and regional capacity leasing service, have the quality of providing the relevant ancillary service by submitting a certificate to TEİAŞ. Legal entities shall certify that the plants, where they will provide secondary frequency control service, have the quality of providing this service with the standard secondary frequency control performance test report approved by TEİAŞ as a result of performance tests to be carried out by the relevant unit of TEİAŞ.</w:t>
      </w:r>
    </w:p>
    <w:p w14:paraId="1117F203" w14:textId="3B0E1882" w:rsidR="00171C59" w:rsidRPr="009E1B38" w:rsidRDefault="00171C59" w:rsidP="00171C59">
      <w:pPr>
        <w:pStyle w:val="P68B1DB1-Normal7"/>
        <w:ind w:left="709"/>
        <w:jc w:val="left"/>
        <w:rPr>
          <w:lang w:val="en-US"/>
        </w:rPr>
      </w:pPr>
      <w:r w:rsidRPr="009E1B38">
        <w:rPr>
          <w:lang w:val="en-US"/>
        </w:rPr>
        <w:t xml:space="preserve">(2) Ancillary service market participant legal entities shall submit the ancillary service certificates, and secondary frequency control performance test report prepared for the ancillary service units in operation to TEİAŞ before commencing to provide the relevant ancillary service, at the stage specified in the procurement process regulated in this Regulation for the </w:t>
      </w:r>
      <w:r w:rsidR="009E1B38" w:rsidRPr="009E1B38">
        <w:rPr>
          <w:lang w:val="en-US"/>
        </w:rPr>
        <w:t>relevant ancillary</w:t>
      </w:r>
      <w:r w:rsidRPr="009E1B38">
        <w:rPr>
          <w:lang w:val="en-US"/>
        </w:rPr>
        <w:t> service or within the conditions specified in the ancillary service agreement.</w:t>
      </w:r>
    </w:p>
    <w:p w14:paraId="5EAC1941" w14:textId="7EDCD02C" w:rsidR="00171C59" w:rsidRPr="009E1B38" w:rsidRDefault="00171C59" w:rsidP="00171C59">
      <w:pPr>
        <w:pStyle w:val="P68B1DB1-Normal7"/>
        <w:ind w:left="709"/>
        <w:jc w:val="left"/>
        <w:rPr>
          <w:lang w:val="en-US"/>
        </w:rPr>
      </w:pPr>
      <w:r w:rsidRPr="009E1B38">
        <w:rPr>
          <w:lang w:val="en-US"/>
        </w:rPr>
        <w:t xml:space="preserve">(3) If it is determined as a result of the monitoring or controls performed by TEİAŞ that a plant providing ancillary services does not provide the relevant service within the framework of the principles specified in the ancillary services agreement, TEİAŞ may request the renewal of </w:t>
      </w:r>
      <w:r w:rsidR="009E1B38" w:rsidRPr="009E1B38">
        <w:rPr>
          <w:lang w:val="en-US"/>
        </w:rPr>
        <w:t>the ancillary</w:t>
      </w:r>
      <w:r w:rsidRPr="009E1B38">
        <w:rPr>
          <w:lang w:val="en-US"/>
        </w:rPr>
        <w:t> service certificate and/or secondary frequency control performance test report of the relevant plant together with the non-fulfillment fee. In case of a request from TEİAŞ, the legal entity must renew his certificate and/or secondary frequency control performance test report within 2 (two) months. From the date of the request of TEİAŞ for the renewal of the secondary frequency control performance test report and/or ancillary service certificate, the existing ancillary service certificate and/or secondary frequency control performance test report shall be considered invalid, and the relevant ancillary service shall not be received from the said plant, until the ancillary service market participant legal entity submits the renewed secondary frequency control performance test report and/or ancillary service certificate to TEİAŞ.</w:t>
      </w:r>
    </w:p>
    <w:p w14:paraId="0B51CD59" w14:textId="77777777" w:rsidR="00171C59" w:rsidRPr="009E1B38" w:rsidRDefault="00171C59" w:rsidP="00171C59">
      <w:pPr>
        <w:pStyle w:val="P68B1DB1-Normal7"/>
        <w:ind w:left="709"/>
        <w:jc w:val="left"/>
        <w:rPr>
          <w:lang w:val="en-US"/>
        </w:rPr>
      </w:pPr>
      <w:r w:rsidRPr="009E1B38">
        <w:rPr>
          <w:lang w:val="en-US"/>
        </w:rPr>
        <w:t>(4) Legal entities that provide ancillary services may request an update of ancillary service performance tests before the validity period of ancillary service certificate and/or secondary frequency control performance test report expires. In this case, the unit parameters obtained as a result of updated performance tests and the unit parameters obtained as a result of other ancillary service tests is obligated to be compatible. Otherwise, TEİAŞ may request the renewal of the certificates and/or secondary frequency control performance test report of the related plant for other ancillary services.</w:t>
      </w:r>
    </w:p>
    <w:p w14:paraId="5C3F9709" w14:textId="0BB5BE99" w:rsidR="00171C59" w:rsidRPr="009E1B38" w:rsidRDefault="00171C59" w:rsidP="00171C59">
      <w:pPr>
        <w:pStyle w:val="P68B1DB1-Normal7"/>
        <w:ind w:left="709"/>
        <w:jc w:val="left"/>
        <w:rPr>
          <w:lang w:val="en-US"/>
        </w:rPr>
      </w:pPr>
      <w:r w:rsidRPr="009E1B38">
        <w:rPr>
          <w:lang w:val="en-US"/>
        </w:rPr>
        <w:t xml:space="preserve">(5) Ancillary service certificates and secondary frequency control performance test report are based on the performance tests in </w:t>
      </w:r>
      <w:r w:rsidR="009E1B38" w:rsidRPr="009E1B38">
        <w:rPr>
          <w:lang w:val="en-US"/>
        </w:rPr>
        <w:t>the Electricity</w:t>
      </w:r>
      <w:r w:rsidRPr="009E1B38">
        <w:rPr>
          <w:lang w:val="en-US"/>
        </w:rPr>
        <w:t> Network Regulation. The service parameters determined as a result of the performance tests of the said ancillary service unit, that will provide ancillary service, shall be specified in the relevant ancillary service certificate or secondary frequency control performance test report.</w:t>
      </w:r>
    </w:p>
    <w:p w14:paraId="0E922DF5" w14:textId="77777777" w:rsidR="00171C59" w:rsidRPr="009E1B38" w:rsidRDefault="00171C59" w:rsidP="00171C59">
      <w:pPr>
        <w:pStyle w:val="P68B1DB1-Normal7"/>
        <w:ind w:left="709"/>
        <w:jc w:val="left"/>
        <w:rPr>
          <w:lang w:val="en-US"/>
        </w:rPr>
      </w:pPr>
      <w:r w:rsidRPr="009E1B38">
        <w:rPr>
          <w:lang w:val="en-US"/>
        </w:rPr>
        <w:t>(6) Ancillary service certificates shall be issued by TURKAK or firms that have obtained a certificate of conformity to perform performance tests of subsidiary services by accreditation bodies that have mutual recognition agreements with TURKAK, and are accredited as Type A inspection bodies in accordance with the TS EN ISO IEC 17020 standard. Information including the electricity generation or energy storage facilities which are certified by the inspection institutions and the technical specifications included in the certificate of these plants shall be also notified to TEİAŞ within 30 days following the certificate is issued by the said inspection institution.</w:t>
      </w:r>
    </w:p>
    <w:p w14:paraId="18F9C2E2" w14:textId="052FC4A5" w:rsidR="00171C59" w:rsidRPr="009E1B38" w:rsidRDefault="00171C59" w:rsidP="00171C59">
      <w:pPr>
        <w:pStyle w:val="P68B1DB1-Normal7"/>
        <w:ind w:left="709"/>
        <w:jc w:val="left"/>
        <w:rPr>
          <w:lang w:val="en-US"/>
        </w:rPr>
      </w:pPr>
      <w:r w:rsidRPr="009E1B38">
        <w:rPr>
          <w:lang w:val="en-US"/>
        </w:rPr>
        <w:lastRenderedPageBreak/>
        <w:t xml:space="preserve">(7) The legal entity which provides the </w:t>
      </w:r>
      <w:r w:rsidR="009E1B38" w:rsidRPr="009E1B38">
        <w:rPr>
          <w:lang w:val="en-US"/>
        </w:rPr>
        <w:t>ancillary service</w:t>
      </w:r>
      <w:r w:rsidRPr="009E1B38">
        <w:rPr>
          <w:lang w:val="en-US"/>
        </w:rPr>
        <w:t xml:space="preserve"> shall be responsible for conducting the performance tests of the </w:t>
      </w:r>
      <w:r w:rsidR="009E1B38" w:rsidRPr="009E1B38">
        <w:rPr>
          <w:lang w:val="en-US"/>
        </w:rPr>
        <w:t>relevant ancillary</w:t>
      </w:r>
      <w:r w:rsidRPr="009E1B38">
        <w:rPr>
          <w:lang w:val="en-US"/>
        </w:rPr>
        <w:t xml:space="preserve"> service with the accredited firms, and the secondary </w:t>
      </w:r>
      <w:r w:rsidR="009E1B38" w:rsidRPr="009E1B38">
        <w:rPr>
          <w:lang w:val="en-US"/>
        </w:rPr>
        <w:t>frequency</w:t>
      </w:r>
      <w:r w:rsidRPr="009E1B38">
        <w:rPr>
          <w:lang w:val="en-US"/>
        </w:rPr>
        <w:t xml:space="preserve"> control performance test with the relevant unit of TEİAŞ, and for the submission of the </w:t>
      </w:r>
      <w:r w:rsidR="009E1B38" w:rsidRPr="009E1B38">
        <w:rPr>
          <w:lang w:val="en-US"/>
        </w:rPr>
        <w:t>relevant ancillary</w:t>
      </w:r>
      <w:r w:rsidRPr="009E1B38">
        <w:rPr>
          <w:lang w:val="en-US"/>
        </w:rPr>
        <w:t xml:space="preserve"> service certificate and/or the secondary </w:t>
      </w:r>
      <w:r w:rsidR="009E1B38" w:rsidRPr="009E1B38">
        <w:rPr>
          <w:lang w:val="en-US"/>
        </w:rPr>
        <w:t>frequency</w:t>
      </w:r>
      <w:r w:rsidRPr="009E1B38">
        <w:rPr>
          <w:lang w:val="en-US"/>
        </w:rPr>
        <w:t xml:space="preserve"> </w:t>
      </w:r>
      <w:r w:rsidR="009E1B38" w:rsidRPr="009E1B38">
        <w:rPr>
          <w:lang w:val="en-US"/>
        </w:rPr>
        <w:t>control</w:t>
      </w:r>
      <w:r w:rsidRPr="009E1B38">
        <w:rPr>
          <w:lang w:val="en-US"/>
        </w:rPr>
        <w:t xml:space="preserve"> performance test report to TEİAŞ. Performance tests regarding the </w:t>
      </w:r>
      <w:r w:rsidR="009E1B38" w:rsidRPr="009E1B38">
        <w:rPr>
          <w:lang w:val="en-US"/>
        </w:rPr>
        <w:t>related ancillary service</w:t>
      </w:r>
      <w:r w:rsidRPr="009E1B38">
        <w:rPr>
          <w:lang w:val="en-US"/>
        </w:rPr>
        <w:t xml:space="preserve"> shall be carried out under the supervision of TEİAŞ."</w:t>
      </w:r>
    </w:p>
    <w:p w14:paraId="40B61864"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Article 9 titled</w:t>
      </w:r>
      <w:r w:rsidRPr="009E1B38">
        <w:rPr>
          <w:i/>
          <w:lang w:val="en-US"/>
        </w:rPr>
        <w:t xml:space="preserve"> "Monitoring, control and examination of ancillary services"</w:t>
      </w:r>
      <w:r w:rsidRPr="009E1B38">
        <w:rPr>
          <w:lang w:val="en-US"/>
        </w:rPr>
        <w:t xml:space="preserve"> has been amended as follows.</w:t>
      </w:r>
    </w:p>
    <w:p w14:paraId="24D28853" w14:textId="77777777" w:rsidR="00171C59" w:rsidRPr="009E1B38" w:rsidRDefault="00171C59" w:rsidP="00171C59">
      <w:pPr>
        <w:pStyle w:val="P68B1DB1-Normal8"/>
        <w:ind w:left="709"/>
        <w:jc w:val="left"/>
        <w:rPr>
          <w:lang w:val="en-US"/>
        </w:rPr>
      </w:pPr>
      <w:r w:rsidRPr="009E1B38">
        <w:rPr>
          <w:lang w:val="en-US"/>
        </w:rPr>
        <w:t>"ARTICLE 9</w:t>
      </w:r>
    </w:p>
    <w:p w14:paraId="3BC4A362" w14:textId="77777777" w:rsidR="00171C59" w:rsidRPr="009E1B38" w:rsidRDefault="00171C59" w:rsidP="00171C59">
      <w:pPr>
        <w:pStyle w:val="P68B1DB1-Normal7"/>
        <w:ind w:left="709"/>
        <w:jc w:val="left"/>
        <w:rPr>
          <w:lang w:val="en-US"/>
        </w:rPr>
      </w:pPr>
      <w:r w:rsidRPr="009E1B38">
        <w:rPr>
          <w:lang w:val="en-US"/>
        </w:rPr>
        <w:t>(1) TEİAŞ is obliged to monitor and control the provided ancillary services in accordance with the Electricity Network Regulation. Monitoring and control of ancillary services provided by legal entities are carried out by TEİAŞ in accordance with the technical requirements specified in the Electricity Network Regulation and within the framework of the procedures and principles determined by this Regulation.</w:t>
      </w:r>
    </w:p>
    <w:p w14:paraId="01BCA82B" w14:textId="1999E2A6" w:rsidR="00171C59" w:rsidRPr="009E1B38" w:rsidRDefault="00171C59" w:rsidP="00171C59">
      <w:pPr>
        <w:pStyle w:val="P68B1DB1-Normal7"/>
        <w:ind w:left="709"/>
        <w:jc w:val="left"/>
        <w:rPr>
          <w:lang w:val="en-US"/>
        </w:rPr>
      </w:pPr>
      <w:r w:rsidRPr="009E1B38">
        <w:rPr>
          <w:lang w:val="en-US"/>
        </w:rPr>
        <w:t xml:space="preserve">(2) </w:t>
      </w:r>
      <w:r w:rsidR="009E1B38" w:rsidRPr="009E1B38">
        <w:rPr>
          <w:lang w:val="en-US"/>
        </w:rPr>
        <w:t>Plants</w:t>
      </w:r>
      <w:r w:rsidRPr="009E1B38">
        <w:rPr>
          <w:lang w:val="en-US"/>
        </w:rPr>
        <w:t xml:space="preserve"> </w:t>
      </w:r>
      <w:r w:rsidR="009E1B38" w:rsidRPr="009E1B38">
        <w:rPr>
          <w:lang w:val="en-US"/>
        </w:rPr>
        <w:t>providing ancillary service</w:t>
      </w:r>
      <w:r w:rsidRPr="009E1B38">
        <w:rPr>
          <w:lang w:val="en-US"/>
        </w:rPr>
        <w:t xml:space="preserve"> must be monitorable for the relevant service to provide the features which are defined in the Electricity Network Regulation. Legal entities providing ancillary service are obliged to provide the necessary software and hardware to establish a connection to exchange data with TEİAŞ's monitoring system."</w:t>
      </w:r>
    </w:p>
    <w:p w14:paraId="3D8C2AA0"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second paragraph of Article 10 is amended as follows.</w:t>
      </w:r>
    </w:p>
    <w:p w14:paraId="454C0E06" w14:textId="62AC2C4B" w:rsidR="00171C59" w:rsidRPr="009E1B38" w:rsidRDefault="00171C59" w:rsidP="00171C59">
      <w:pPr>
        <w:pStyle w:val="P68B1DB1-Normal7"/>
        <w:ind w:left="709"/>
        <w:jc w:val="left"/>
        <w:rPr>
          <w:lang w:val="en-US"/>
        </w:rPr>
      </w:pPr>
      <w:r w:rsidRPr="009E1B38">
        <w:rPr>
          <w:lang w:val="en-US"/>
        </w:rPr>
        <w:t xml:space="preserve">"(2) Legal entities that owns and/or operates electricity storage facilities and legal </w:t>
      </w:r>
      <w:r w:rsidR="009E1B38" w:rsidRPr="009E1B38">
        <w:rPr>
          <w:lang w:val="en-US"/>
        </w:rPr>
        <w:t>entities</w:t>
      </w:r>
      <w:r w:rsidRPr="009E1B38">
        <w:rPr>
          <w:lang w:val="en-US"/>
        </w:rPr>
        <w:t xml:space="preserve"> that own consumption plants may register as an ancillary service market participant by applying to the system operator with the documents listed in the third paragraph."</w:t>
      </w:r>
    </w:p>
    <w:p w14:paraId="11C2DB1E"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first and second paragraphs of Article 11 are amended as follows.</w:t>
      </w:r>
    </w:p>
    <w:p w14:paraId="7B5CC6B1" w14:textId="77777777" w:rsidR="00171C59" w:rsidRPr="009E1B38" w:rsidRDefault="00171C59" w:rsidP="00171C59">
      <w:pPr>
        <w:pStyle w:val="P68B1DB1-Normal7"/>
        <w:ind w:left="709"/>
        <w:jc w:val="left"/>
        <w:rPr>
          <w:lang w:val="en-US"/>
        </w:rPr>
      </w:pPr>
      <w:r w:rsidRPr="009E1B38">
        <w:rPr>
          <w:lang w:val="en-US"/>
        </w:rPr>
        <w:t>"(1) Ancillary services market participants who will participate in the provision of ancillary services are obliged to identify and register the ancillary service units that they will use for this purpose following the legal entity registration.</w:t>
      </w:r>
    </w:p>
    <w:p w14:paraId="313F685E" w14:textId="77777777" w:rsidR="00171C59" w:rsidRPr="009E1B38" w:rsidRDefault="00171C59" w:rsidP="00171C59">
      <w:pPr>
        <w:pStyle w:val="P68B1DB1-Normal7"/>
        <w:spacing w:after="0"/>
        <w:ind w:left="709"/>
        <w:jc w:val="left"/>
        <w:rPr>
          <w:lang w:val="en-US"/>
        </w:rPr>
      </w:pPr>
      <w:r w:rsidRPr="009E1B38">
        <w:rPr>
          <w:lang w:val="en-US"/>
        </w:rPr>
        <w:t>(2) Each of the followings, which can be measured independently on a settlement period basis by the meters established in accordance with the provisions of the relevant legislation or by other means approved by TEİAŞ, has the right to register as an ancillary service unit:</w:t>
      </w:r>
    </w:p>
    <w:p w14:paraId="68939F8F" w14:textId="77777777" w:rsidR="00171C59" w:rsidRPr="009E1B38" w:rsidRDefault="00171C59" w:rsidP="00171C59">
      <w:pPr>
        <w:pStyle w:val="P68B1DB1-Normal7"/>
        <w:spacing w:after="0"/>
        <w:ind w:left="709"/>
        <w:jc w:val="left"/>
        <w:rPr>
          <w:lang w:val="en-US"/>
        </w:rPr>
      </w:pPr>
      <w:r w:rsidRPr="009E1B38">
        <w:rPr>
          <w:lang w:val="en-US"/>
        </w:rPr>
        <w:t>a) Generation plants registered as balancing entity in accordance with the Electricity Market Balancing and Settlement Regulation, with a total licensed installed power of 30 MW or more and connected to the transmission system or units belonging to these generation plants.</w:t>
      </w:r>
    </w:p>
    <w:p w14:paraId="025D20BF" w14:textId="77777777" w:rsidR="00171C59" w:rsidRPr="009E1B38" w:rsidRDefault="00171C59" w:rsidP="00171C59">
      <w:pPr>
        <w:pStyle w:val="P68B1DB1-Normal7"/>
        <w:spacing w:after="0"/>
        <w:ind w:left="709"/>
        <w:jc w:val="left"/>
        <w:rPr>
          <w:lang w:val="en-US"/>
        </w:rPr>
      </w:pPr>
      <w:r w:rsidRPr="009E1B38">
        <w:rPr>
          <w:lang w:val="en-US"/>
        </w:rPr>
        <w:t>b) Consumption plants whose electricity consumption is above the level specified in the tender and which can be automatically deactivated through instant demand control relays and whose participation is approved by the system operator, and consumption plants whose electricity consumption is above the minimum limit specified by the Board decision and which have the certificate of conformity issued by TEİAŞ within the scope of demand side reserve service.</w:t>
      </w:r>
    </w:p>
    <w:p w14:paraId="49BDF329" w14:textId="77777777" w:rsidR="00171C59" w:rsidRPr="009E1B38" w:rsidRDefault="00171C59" w:rsidP="00171C59">
      <w:pPr>
        <w:pStyle w:val="P68B1DB1-Normal7"/>
        <w:ind w:left="709"/>
        <w:jc w:val="left"/>
        <w:rPr>
          <w:lang w:val="en-US"/>
        </w:rPr>
      </w:pPr>
      <w:r w:rsidRPr="009E1B38">
        <w:rPr>
          <w:lang w:val="en-US"/>
        </w:rPr>
        <w:t>c) Electricity storage facilities."</w:t>
      </w:r>
    </w:p>
    <w:p w14:paraId="17265972"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Article 12</w:t>
      </w:r>
      <w:r w:rsidRPr="009E1B38">
        <w:rPr>
          <w:i/>
          <w:lang w:val="en-US"/>
        </w:rPr>
        <w:t xml:space="preserve"> titled "Principles of primary frequency control service procurement</w:t>
      </w:r>
      <w:r w:rsidRPr="009E1B38">
        <w:rPr>
          <w:lang w:val="en-US"/>
        </w:rPr>
        <w:t>" has been amended as follows.</w:t>
      </w:r>
    </w:p>
    <w:p w14:paraId="354223F6" w14:textId="77777777" w:rsidR="00171C59" w:rsidRPr="009E1B38" w:rsidRDefault="00171C59" w:rsidP="00171C59">
      <w:pPr>
        <w:pStyle w:val="P68B1DB1-Normal8"/>
        <w:ind w:left="709"/>
        <w:jc w:val="left"/>
        <w:rPr>
          <w:lang w:val="en-US"/>
        </w:rPr>
      </w:pPr>
      <w:r w:rsidRPr="009E1B38">
        <w:rPr>
          <w:lang w:val="en-US"/>
        </w:rPr>
        <w:t>"ARTICLE 12</w:t>
      </w:r>
    </w:p>
    <w:p w14:paraId="456A5B06" w14:textId="525F702A" w:rsidR="00171C59" w:rsidRPr="009E1B38" w:rsidRDefault="00171C59" w:rsidP="00171C59">
      <w:pPr>
        <w:pStyle w:val="P68B1DB1-Normal7"/>
        <w:ind w:left="709"/>
        <w:jc w:val="left"/>
        <w:rPr>
          <w:lang w:val="en-US"/>
        </w:rPr>
      </w:pPr>
      <w:r w:rsidRPr="009E1B38">
        <w:rPr>
          <w:lang w:val="en-US"/>
        </w:rPr>
        <w:lastRenderedPageBreak/>
        <w:t xml:space="preserve">(1) The primary </w:t>
      </w:r>
      <w:r w:rsidR="009E1B38" w:rsidRPr="009E1B38">
        <w:rPr>
          <w:lang w:val="en-US"/>
        </w:rPr>
        <w:t>frequency</w:t>
      </w:r>
      <w:r w:rsidRPr="009E1B38">
        <w:rPr>
          <w:lang w:val="en-US"/>
        </w:rPr>
        <w:t xml:space="preserve"> control reserve, which must be provided by certified ancillary service units in accordance with Article 8, shall be provided by relevant ancillary service units, either directly at the end of the procurement process carried out by TEİAŞ and regulated in this Regulation, or following the transfer of obligations.</w:t>
      </w:r>
    </w:p>
    <w:p w14:paraId="1C32DA09" w14:textId="7FF974CC" w:rsidR="00171C59" w:rsidRPr="009E1B38" w:rsidRDefault="00171C59" w:rsidP="00171C59">
      <w:pPr>
        <w:pStyle w:val="P68B1DB1-Normal7"/>
        <w:ind w:left="709"/>
        <w:jc w:val="left"/>
        <w:rPr>
          <w:lang w:val="en-US"/>
        </w:rPr>
      </w:pPr>
      <w:r w:rsidRPr="009E1B38">
        <w:rPr>
          <w:lang w:val="en-US"/>
        </w:rPr>
        <w:t xml:space="preserve">(2) Ancillary service market participants must not offer the reserves they allocate for primary frequency control, specified in the first paragraph, to another market or sell them through bilateral agreements. In case it is detected that an ancillary service market participant, which has the obligation within the scope of primary </w:t>
      </w:r>
      <w:r w:rsidR="009E1B38" w:rsidRPr="009E1B38">
        <w:rPr>
          <w:lang w:val="en-US"/>
        </w:rPr>
        <w:t>frequency</w:t>
      </w:r>
      <w:r w:rsidRPr="009E1B38">
        <w:rPr>
          <w:lang w:val="en-US"/>
        </w:rPr>
        <w:t xml:space="preserve"> control service, has offered the primary </w:t>
      </w:r>
      <w:r w:rsidR="009E1B38" w:rsidRPr="009E1B38">
        <w:rPr>
          <w:lang w:val="en-US"/>
        </w:rPr>
        <w:t>frequency</w:t>
      </w:r>
      <w:r w:rsidRPr="009E1B38">
        <w:rPr>
          <w:lang w:val="en-US"/>
        </w:rPr>
        <w:t xml:space="preserve"> control reserve, which it is obliged to reserve from its power supply and draw unit, based on a settlement notified to TEİAŞ to provide services, the obligation shall be considered unfulfilled and the relevant ancillary services market participant shall be fined a non-performance fee in accordance with Article 30.</w:t>
      </w:r>
    </w:p>
    <w:p w14:paraId="65E3517A" w14:textId="77777777" w:rsidR="00171C59" w:rsidRPr="009E1B38" w:rsidRDefault="00171C59" w:rsidP="00171C59">
      <w:pPr>
        <w:pStyle w:val="P68B1DB1-Normal7"/>
        <w:ind w:left="709"/>
        <w:jc w:val="left"/>
        <w:rPr>
          <w:lang w:val="en-US"/>
        </w:rPr>
      </w:pPr>
      <w:r w:rsidRPr="009E1B38">
        <w:rPr>
          <w:lang w:val="en-US"/>
        </w:rPr>
        <w:t>(3) Ancillary service market participants providing primary frequency control service shall be paid the capacity fee determined in accordance with the provisions of the Regulation. The energy deficit or surplus that may arise due to the provision of primary frequency control service is considered as an energy unbalance in accordance with the provisions of the Electricity Market Balancing and Settlement Regulation."</w:t>
      </w:r>
    </w:p>
    <w:p w14:paraId="5CB996BA"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Clauses (e), (f), (ğ) and (h) of the first paragraph of Article 13 have been amended as follows and the following paragraph has been added to the same article.</w:t>
      </w:r>
    </w:p>
    <w:p w14:paraId="56D83C81" w14:textId="77777777" w:rsidR="00171C59" w:rsidRPr="009E1B38" w:rsidRDefault="00171C59" w:rsidP="00171C59">
      <w:pPr>
        <w:pStyle w:val="P68B1DB1-Normal7"/>
        <w:spacing w:after="0"/>
        <w:ind w:left="709"/>
        <w:jc w:val="left"/>
        <w:rPr>
          <w:lang w:val="en-US"/>
        </w:rPr>
      </w:pPr>
      <w:r w:rsidRPr="009E1B38">
        <w:rPr>
          <w:lang w:val="en-US"/>
        </w:rPr>
        <w:t>"e) Ancillary service market participant legal entities that have been selected as a result of the procurement process and have signed a primary frequency control reserve procurement process participation agreement, must inform the system operator at least 1 (one) hour earlier than the reserve procurement time via ASMMS on an hourly basis that from which ancillary service units, which are registered in their name, they will obtain the reserve they are obliged, and the amount of primary frequency control reserve they will provide on the basis of ancillary service units.</w:t>
      </w:r>
    </w:p>
    <w:p w14:paraId="40960006" w14:textId="77777777" w:rsidR="00171C59" w:rsidRPr="009E1B38" w:rsidRDefault="00171C59" w:rsidP="00171C59">
      <w:pPr>
        <w:pStyle w:val="P68B1DB1-Normal7"/>
        <w:spacing w:after="0"/>
        <w:ind w:left="709"/>
        <w:jc w:val="left"/>
        <w:rPr>
          <w:lang w:val="en-US"/>
        </w:rPr>
      </w:pPr>
      <w:r w:rsidRPr="009E1B38">
        <w:rPr>
          <w:lang w:val="en-US"/>
        </w:rPr>
        <w:t>f) Legal entities that are selected as a result of the procurement process, shall provide primary frequency control service within the framework of the Electricity Network Regulation by keeping the primary frequency control reserve volume that they are obliged in the relevant procurement period. The selected legal entities are responsible for maintaining the required level of operation of the ancillary service unites that they have notified in order to provide the primary frequency control reserve amount they are obliged to provide, except for the loading and deloading instructions they receive during for the relevant settlement period, or the changes of the defined daily generation programs (DDGP)."</w:t>
      </w:r>
    </w:p>
    <w:p w14:paraId="558BB3E1" w14:textId="77777777" w:rsidR="00171C59" w:rsidRPr="009E1B38" w:rsidRDefault="00171C59" w:rsidP="00171C59">
      <w:pPr>
        <w:pStyle w:val="P68B1DB1-Normal7"/>
        <w:spacing w:after="0"/>
        <w:ind w:left="709"/>
        <w:jc w:val="left"/>
        <w:rPr>
          <w:lang w:val="en-US"/>
        </w:rPr>
      </w:pPr>
      <w:r w:rsidRPr="009E1B38">
        <w:rPr>
          <w:lang w:val="en-US"/>
        </w:rPr>
        <w:t>"ğ) In any settlement period of the relevant procurement period in which the primary frequency control service will be provided, in the need for additional primary frequency control reserve other than the primary frequency control reserves to be provided from the legal entities determined by the procurement process, in accordance with clause (g), the following steps shall be executed for primary frequency control reserve procurement from ancillary service market participant legal entities:</w:t>
      </w:r>
    </w:p>
    <w:p w14:paraId="6B80A670" w14:textId="5B35A9CD" w:rsidR="00171C59" w:rsidRPr="009E1B38" w:rsidRDefault="00171C59" w:rsidP="00171C59">
      <w:pPr>
        <w:pStyle w:val="P68B1DB1-Normal7"/>
        <w:spacing w:after="0"/>
        <w:ind w:left="709"/>
        <w:jc w:val="left"/>
        <w:rPr>
          <w:lang w:val="en-US"/>
        </w:rPr>
      </w:pPr>
      <w:r w:rsidRPr="009E1B38">
        <w:rPr>
          <w:lang w:val="en-US"/>
        </w:rPr>
        <w:t xml:space="preserve">1) During the procurement process of primary frequency control capacity executed for the relevant procurement period, TEİAŞ shall select all or part of the additional primary frequency control reserve amount from the ancillary service units that are suitable for providing primary frequency control reserve of the bidders, whose bids are listed in price order and valid in accordance with clause (g), taking the transmission system limits and the lowest possible cost into account, and shall notify the relevant bidders. It is under responsibility of legal entities, to which the relevant ancillary service unit is registered under the ancillary service settlement account, that ancillary service units to maintain the required working level, and give primary </w:t>
      </w:r>
      <w:r w:rsidR="009E1B38" w:rsidRPr="009E1B38">
        <w:rPr>
          <w:lang w:val="en-US"/>
        </w:rPr>
        <w:t>frequency</w:t>
      </w:r>
      <w:r w:rsidRPr="009E1B38">
        <w:rPr>
          <w:lang w:val="en-US"/>
        </w:rPr>
        <w:t xml:space="preserve"> control response, in order to provide the primary frequency control reserve that they have been notified for relevant settlement period.</w:t>
      </w:r>
    </w:p>
    <w:p w14:paraId="417DFF83" w14:textId="77777777" w:rsidR="00171C59" w:rsidRPr="009E1B38" w:rsidRDefault="00171C59" w:rsidP="00171C59">
      <w:pPr>
        <w:pStyle w:val="P68B1DB1-Normal7"/>
        <w:spacing w:after="0"/>
        <w:ind w:left="709"/>
        <w:jc w:val="left"/>
        <w:rPr>
          <w:lang w:val="en-US"/>
        </w:rPr>
      </w:pPr>
      <w:r w:rsidRPr="009E1B38">
        <w:rPr>
          <w:lang w:val="en-US"/>
        </w:rPr>
        <w:lastRenderedPageBreak/>
        <w:t>2) Bidders who are listed in price order during the primary frequency control capacity procurement process for the relevant procurement period and whose bids are valid in accordance with clause (g), can update the reserve amount in case they want to increase or decrease the proposed primary frequency control reserve according to the status of the operating level, 2 (two) hours before the delivery time at the latest. If the amount is increased, the reserve capacity is increased over the lowest of the participant's current primary reserve bid at the level of increased amount. If the amount is reduced, the reserve amount is reduced from the highest bid of the primary reserve capacity. In case that an ancillary services market participant, who has neither updated nor withdrawn its additional reserve offer and has a valid offer for the additional reserve procurement process, cannot provide the additional reserves from the ancillary service units registered in their name due to the fact that the working level is not suitable and / or the ancillary service units are out of order due to malfunctions and similar reasons, although it is their turn to be selected by TEİAŞ in the additional reserve procurement process within the relevant hour, shall be considered that they did not perform the service for the hour and a sanction is imposed in accordance with Article 30.</w:t>
      </w:r>
    </w:p>
    <w:p w14:paraId="19C022ED" w14:textId="7B4D959B" w:rsidR="00171C59" w:rsidRPr="009E1B38" w:rsidRDefault="00171C59" w:rsidP="00171C59">
      <w:pPr>
        <w:pStyle w:val="P68B1DB1-Normal7"/>
        <w:ind w:left="709"/>
        <w:jc w:val="left"/>
        <w:rPr>
          <w:lang w:val="en-US"/>
        </w:rPr>
      </w:pPr>
      <w:r w:rsidRPr="009E1B38">
        <w:rPr>
          <w:lang w:val="en-US"/>
        </w:rPr>
        <w:t xml:space="preserve">h) In the event that the ancillary service market participant legal </w:t>
      </w:r>
      <w:r w:rsidR="009E1B38" w:rsidRPr="009E1B38">
        <w:rPr>
          <w:lang w:val="en-US"/>
        </w:rPr>
        <w:t>entities</w:t>
      </w:r>
      <w:r w:rsidRPr="009E1B38">
        <w:rPr>
          <w:lang w:val="en-US"/>
        </w:rPr>
        <w:t xml:space="preserve"> selected as a result of the procurement process cannot or prefer not to meet the primary frequency control reserve amount they are obliged to provide from the ancillary service units registered in their name, the relevant legal entities may transfer their obligations within the framework of the provisions of Article 17. In accordance with the provisions of this Regulation, additional provided primary frequency control reserve obligations shall not be transferred."</w:t>
      </w:r>
    </w:p>
    <w:p w14:paraId="7B08ABDF" w14:textId="2A2204AF" w:rsidR="00171C59" w:rsidRPr="009E1B38" w:rsidRDefault="00171C59" w:rsidP="00171C59">
      <w:pPr>
        <w:pStyle w:val="P68B1DB1-Normal7"/>
        <w:ind w:left="709"/>
        <w:jc w:val="left"/>
        <w:rPr>
          <w:lang w:val="en-US"/>
        </w:rPr>
      </w:pPr>
      <w:r w:rsidRPr="009E1B38">
        <w:rPr>
          <w:lang w:val="en-US"/>
        </w:rPr>
        <w:t xml:space="preserve">“(3) Following the additional reserve procurement process carried out by TEİAŞ in accordance with sub-clause (2) of clause (ğ) of the first paragraph, in the event that all or part of the additional primary frequency control reserve requirement cannot be procured, TEİAŞ may announce the additional reserve amount needed on the </w:t>
      </w:r>
      <w:r w:rsidR="0082470D" w:rsidRPr="009E1B38">
        <w:rPr>
          <w:lang w:val="en-US"/>
        </w:rPr>
        <w:t>Liability transfer platform</w:t>
      </w:r>
      <w:r w:rsidRPr="009E1B38">
        <w:rPr>
          <w:lang w:val="en-US"/>
        </w:rPr>
        <w:t xml:space="preserve"> and procure it on the platform in accordance with the Procedures and Principles for the Operation of the </w:t>
      </w:r>
      <w:r w:rsidR="0082470D" w:rsidRPr="009E1B38">
        <w:rPr>
          <w:lang w:val="en-US"/>
        </w:rPr>
        <w:t>Liability transfer platform</w:t>
      </w:r>
      <w:r w:rsidRPr="009E1B38">
        <w:rPr>
          <w:lang w:val="en-US"/>
        </w:rPr>
        <w:t>, 2 (two) hours before the time the reserve is to be provided at the earliest.”</w:t>
      </w:r>
    </w:p>
    <w:p w14:paraId="16B678AF"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third paragraph of Article 16</w:t>
      </w:r>
      <w:r w:rsidRPr="009E1B38">
        <w:rPr>
          <w:i/>
          <w:lang w:val="en-US"/>
        </w:rPr>
        <w:t xml:space="preserve"> titled "Participation agreements of primary frequency control reserve procurement process</w:t>
      </w:r>
      <w:r w:rsidRPr="009E1B38">
        <w:rPr>
          <w:lang w:val="en-US"/>
        </w:rPr>
        <w:t>" has been amended as follows.</w:t>
      </w:r>
    </w:p>
    <w:p w14:paraId="71408FFD" w14:textId="77777777" w:rsidR="00171C59" w:rsidRPr="009E1B38" w:rsidRDefault="00171C59" w:rsidP="00171C59">
      <w:pPr>
        <w:pStyle w:val="P68B1DB1-Normal7"/>
        <w:ind w:left="709"/>
        <w:jc w:val="left"/>
        <w:rPr>
          <w:lang w:val="en-US"/>
        </w:rPr>
      </w:pPr>
      <w:r w:rsidRPr="009E1B38">
        <w:rPr>
          <w:lang w:val="en-US"/>
        </w:rPr>
        <w:t>"(3) The primary frequency control reserve capacities and technical characteristics of the ancillary service units registered in the settlement accounts of the ancillary service market participants, which are included in the primary frequency control ancillary service certificates and which can be provided in MW as a result of the primary frequency control performance tests, are included in the primary frequency control reserve procurement process participation agreements of the relevant ancillary service market participants with TEİAŞ."</w:t>
      </w:r>
    </w:p>
    <w:p w14:paraId="54E0C283"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 xml:space="preserve">The first and fourth paragraphs of Article 17 titled </w:t>
      </w:r>
      <w:r w:rsidRPr="009E1B38">
        <w:rPr>
          <w:i/>
          <w:lang w:val="en-US"/>
        </w:rPr>
        <w:t>"Transfer of primary frequency control reserve obligation"</w:t>
      </w:r>
      <w:r w:rsidRPr="009E1B38">
        <w:rPr>
          <w:lang w:val="en-US"/>
        </w:rPr>
        <w:t xml:space="preserve"> have been amended as follows, and the second and third paragraphs have been repealed and the following paragraphs have been added to the same article.</w:t>
      </w:r>
    </w:p>
    <w:p w14:paraId="4D93011E" w14:textId="362A904B" w:rsidR="00171C59" w:rsidRPr="009E1B38" w:rsidRDefault="00171C59" w:rsidP="00171C59">
      <w:pPr>
        <w:pStyle w:val="P68B1DB1-Normal7"/>
        <w:ind w:left="709"/>
        <w:jc w:val="left"/>
        <w:rPr>
          <w:lang w:val="en-US"/>
        </w:rPr>
      </w:pPr>
      <w:r w:rsidRPr="009E1B38">
        <w:rPr>
          <w:lang w:val="en-US"/>
        </w:rPr>
        <w:t xml:space="preserve">“(1) Ancillary service market participant legal entities, which are selected in the procurement process carried out by TEİAŞ, may provide all or part of the primary frequency control reserve amount they are obliged to provide from another ancillary service market participant legal entity, which has a valid primary frequency control ancillary service certificate </w:t>
      </w:r>
      <w:r w:rsidR="009E1B38" w:rsidRPr="009E1B38">
        <w:rPr>
          <w:lang w:val="en-US"/>
        </w:rPr>
        <w:t>and an</w:t>
      </w:r>
      <w:r w:rsidRPr="009E1B38">
        <w:rPr>
          <w:lang w:val="en-US"/>
        </w:rPr>
        <w:t xml:space="preserve"> ancillary service unit that complies with the technical parameters in its certificate. Obligation transfer is carried out through the </w:t>
      </w:r>
      <w:r w:rsidR="0082470D" w:rsidRPr="009E1B38">
        <w:rPr>
          <w:lang w:val="en-US"/>
        </w:rPr>
        <w:t>Liability transfer platform</w:t>
      </w:r>
      <w:r w:rsidRPr="009E1B38">
        <w:rPr>
          <w:lang w:val="en-US"/>
        </w:rPr>
        <w:t xml:space="preserve"> of ASMMS. Obligations of the ancillary service market participant legal entities, which transfer their obligation to TEİAŞ, shall be fulfilled by the legal entity that undertakes the obligation."</w:t>
      </w:r>
    </w:p>
    <w:p w14:paraId="1B9EBA76" w14:textId="77777777" w:rsidR="00171C59" w:rsidRPr="009E1B38" w:rsidRDefault="00171C59" w:rsidP="00171C59">
      <w:pPr>
        <w:pStyle w:val="P68B1DB1-Normal7"/>
        <w:ind w:left="709"/>
        <w:jc w:val="left"/>
        <w:rPr>
          <w:lang w:val="en-US"/>
        </w:rPr>
      </w:pPr>
      <w:r w:rsidRPr="009E1B38">
        <w:rPr>
          <w:lang w:val="en-US"/>
        </w:rPr>
        <w:lastRenderedPageBreak/>
        <w:t>"(4) As per the clause (g) of the first paragraph of Article 13, provided primary frequency control reserve obligations cannot be transferred."</w:t>
      </w:r>
    </w:p>
    <w:p w14:paraId="3363FD30" w14:textId="77777777" w:rsidR="00171C59" w:rsidRPr="009E1B38" w:rsidRDefault="00171C59" w:rsidP="00171C59">
      <w:pPr>
        <w:pStyle w:val="P68B1DB1-Normal7"/>
        <w:ind w:left="709"/>
        <w:jc w:val="left"/>
        <w:rPr>
          <w:lang w:val="en-US"/>
        </w:rPr>
      </w:pPr>
      <w:r w:rsidRPr="009E1B38">
        <w:rPr>
          <w:lang w:val="en-US"/>
        </w:rPr>
        <w:t>“(5) Obligation transfers must be completed no later than 90 (ninety) minutes before the time of provision of the reserve.</w:t>
      </w:r>
    </w:p>
    <w:p w14:paraId="1DF4D662" w14:textId="77777777" w:rsidR="00171C59" w:rsidRPr="009E1B38" w:rsidRDefault="00171C59" w:rsidP="00171C59">
      <w:pPr>
        <w:pStyle w:val="P68B1DB1-Normal7"/>
        <w:ind w:left="709"/>
        <w:jc w:val="left"/>
        <w:rPr>
          <w:lang w:val="en-US"/>
        </w:rPr>
      </w:pPr>
      <w:r w:rsidRPr="009E1B38">
        <w:rPr>
          <w:lang w:val="en-US"/>
        </w:rPr>
        <w:t>(6) The legal entity that undertakes the primary frequency control reserve obligation may reassign this primary frequency control reserve obligation.</w:t>
      </w:r>
    </w:p>
    <w:p w14:paraId="54D12D11" w14:textId="7EF846ED" w:rsidR="00171C59" w:rsidRPr="009E1B38" w:rsidRDefault="00171C59" w:rsidP="00171C59">
      <w:pPr>
        <w:pStyle w:val="P68B1DB1-Normal7"/>
        <w:ind w:left="709"/>
        <w:jc w:val="left"/>
        <w:rPr>
          <w:lang w:val="en-US"/>
        </w:rPr>
      </w:pPr>
      <w:r w:rsidRPr="009E1B38">
        <w:rPr>
          <w:lang w:val="en-US"/>
        </w:rPr>
        <w:t xml:space="preserve">(7) Legal entities involved in the </w:t>
      </w:r>
      <w:r w:rsidR="0082470D" w:rsidRPr="009E1B38">
        <w:rPr>
          <w:lang w:val="en-US"/>
        </w:rPr>
        <w:t>liability</w:t>
      </w:r>
      <w:r w:rsidRPr="009E1B38">
        <w:rPr>
          <w:lang w:val="en-US"/>
        </w:rPr>
        <w:t xml:space="preserve"> transfer transaction by participating in the </w:t>
      </w:r>
      <w:r w:rsidR="0082470D" w:rsidRPr="009E1B38">
        <w:rPr>
          <w:lang w:val="en-US"/>
        </w:rPr>
        <w:t>Liability transfer platform</w:t>
      </w:r>
      <w:r w:rsidRPr="009E1B38">
        <w:rPr>
          <w:lang w:val="en-US"/>
        </w:rPr>
        <w:t xml:space="preserve"> are deemed to have accepted the Procedures and Principles for the Operation of the </w:t>
      </w:r>
      <w:r w:rsidR="0082470D" w:rsidRPr="009E1B38">
        <w:rPr>
          <w:lang w:val="en-US"/>
        </w:rPr>
        <w:t>Liability transfer platform</w:t>
      </w:r>
      <w:r w:rsidRPr="009E1B38">
        <w:rPr>
          <w:lang w:val="en-US"/>
        </w:rPr>
        <w:t xml:space="preserve"> and are obliged to comply with these Procedures and Principles."</w:t>
      </w:r>
    </w:p>
    <w:p w14:paraId="77BAB93E"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first paragraph of Article 18</w:t>
      </w:r>
      <w:r w:rsidRPr="009E1B38">
        <w:rPr>
          <w:i/>
          <w:lang w:val="en-US"/>
        </w:rPr>
        <w:t xml:space="preserve"> titled "Determination of primary frequency control capacity price</w:t>
      </w:r>
      <w:r w:rsidRPr="009E1B38">
        <w:rPr>
          <w:lang w:val="en-US"/>
        </w:rPr>
        <w:t>" has been amended as follows.</w:t>
      </w:r>
    </w:p>
    <w:p w14:paraId="51617815" w14:textId="77777777" w:rsidR="00171C59" w:rsidRPr="009E1B38" w:rsidRDefault="00171C59" w:rsidP="00171C59">
      <w:pPr>
        <w:pStyle w:val="P68B1DB1-Normal7"/>
        <w:ind w:left="709"/>
        <w:jc w:val="left"/>
        <w:rPr>
          <w:lang w:val="en-US"/>
        </w:rPr>
      </w:pPr>
      <w:r w:rsidRPr="009E1B38">
        <w:rPr>
          <w:lang w:val="en-US"/>
        </w:rPr>
        <w:t>"(1) The highest bid, which is determined as a result of the procurement process, shall be the hourly capacity price (TL/MW) to be paid to all legal entities providing primary frequency control service which are selected and notified in accordance with clause (ç) of first paragraph of Article 13."</w:t>
      </w:r>
    </w:p>
    <w:p w14:paraId="2348A183"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second paragraph of Article 19</w:t>
      </w:r>
      <w:r w:rsidRPr="009E1B38">
        <w:rPr>
          <w:i/>
          <w:lang w:val="en-US"/>
        </w:rPr>
        <w:t xml:space="preserve"> titled "Pricing of primary frequency control service</w:t>
      </w:r>
      <w:r w:rsidRPr="009E1B38">
        <w:rPr>
          <w:lang w:val="en-US"/>
        </w:rPr>
        <w:t>" has been amended as follows.</w:t>
      </w:r>
    </w:p>
    <w:p w14:paraId="3468D6F0" w14:textId="77777777" w:rsidR="00171C59" w:rsidRPr="009E1B38" w:rsidRDefault="00171C59" w:rsidP="00171C59">
      <w:pPr>
        <w:pStyle w:val="P68B1DB1-Normal7"/>
        <w:spacing w:after="0"/>
        <w:ind w:left="709"/>
        <w:jc w:val="left"/>
        <w:rPr>
          <w:lang w:val="en-US"/>
        </w:rPr>
      </w:pPr>
      <w:r w:rsidRPr="009E1B38">
        <w:rPr>
          <w:lang w:val="en-US"/>
        </w:rPr>
        <w:t>"(2) In the formula in the first paragraph; the terms are defined as follows:</w:t>
      </w:r>
    </w:p>
    <w:p w14:paraId="350A7F71" w14:textId="77777777" w:rsidR="00171C59" w:rsidRPr="009E1B38" w:rsidRDefault="00171C59" w:rsidP="00171C59">
      <w:pPr>
        <w:pStyle w:val="P68B1DB1-Normal7"/>
        <w:spacing w:after="0"/>
        <w:ind w:left="709"/>
        <w:jc w:val="left"/>
        <w:rPr>
          <w:lang w:val="en-US"/>
        </w:rPr>
      </w:pPr>
      <w:r w:rsidRPr="009E1B38">
        <w:rPr>
          <w:lang w:val="en-US"/>
        </w:rPr>
        <w:t>a) PFKTf,p: the amount of receivable (TL) to be accrued due to the total primary frequency control reserve amount provided by the ancillary market participant “p” legal entity in the invoicing period “f” within the framework of the undertaken obligation in accordance with Article 13,</w:t>
      </w:r>
    </w:p>
    <w:p w14:paraId="6EC7EC1D" w14:textId="77777777" w:rsidR="00171C59" w:rsidRPr="009E1B38" w:rsidRDefault="00171C59" w:rsidP="00171C59">
      <w:pPr>
        <w:pStyle w:val="P68B1DB1-Normal7"/>
        <w:spacing w:after="0"/>
        <w:ind w:left="709"/>
        <w:jc w:val="left"/>
        <w:rPr>
          <w:lang w:val="en-US"/>
        </w:rPr>
      </w:pPr>
      <w:r w:rsidRPr="009E1B38">
        <w:rPr>
          <w:lang w:val="en-US"/>
        </w:rPr>
        <w:t>b) PRMf,p,y,s: Primary Frequency Control Reserve Amount (MW) provided by ancillary service unit "y" and obligated by ancillary service market participant "p" legal entity at hour "s" of invoicing period "f",</w:t>
      </w:r>
    </w:p>
    <w:p w14:paraId="06B9FB1E" w14:textId="77777777" w:rsidR="00171C59" w:rsidRPr="009E1B38" w:rsidRDefault="00171C59" w:rsidP="00171C59">
      <w:pPr>
        <w:pStyle w:val="P68B1DB1-Normal7"/>
        <w:spacing w:after="0"/>
        <w:ind w:left="709"/>
        <w:jc w:val="left"/>
        <w:rPr>
          <w:lang w:val="en-US"/>
        </w:rPr>
      </w:pPr>
      <w:r w:rsidRPr="009E1B38">
        <w:rPr>
          <w:lang w:val="en-US"/>
        </w:rPr>
        <w:t>c) PKBf,s: Within the framework of the undertaken obligation in accordance with clause (ç) of the first paragraph of Article 13, the hourly Primary Frequency Control Capacity Fee to be applied to the ancillary service market participant for the hour "s" of the  invoicing period "f", and determined in accordance with Article 18 or the hourly Primary Frequency Control Capacity Fee (TL/MW), which is offered by the relevant ancillary service market participant for the additional provided reserves within the scope of clause (g) of the first paragraph of Article 13,</w:t>
      </w:r>
    </w:p>
    <w:p w14:paraId="27E354A3" w14:textId="265E967D" w:rsidR="00171C59" w:rsidRPr="009E1B38" w:rsidRDefault="00171C59" w:rsidP="00171C59">
      <w:pPr>
        <w:pStyle w:val="P68B1DB1-Normal7"/>
        <w:spacing w:after="0"/>
        <w:ind w:left="709"/>
        <w:jc w:val="left"/>
        <w:rPr>
          <w:lang w:val="en-US"/>
        </w:rPr>
      </w:pPr>
      <w:r w:rsidRPr="009E1B38">
        <w:rPr>
          <w:lang w:val="en-US"/>
        </w:rPr>
        <w:t xml:space="preserve">ç) KSp,f,y: Participation Coefficient, that is provided by an ancillary service unit “y”, either registered under the name of ancillary service market participant “p” within the framework of undertaken obligation in accordance with Article 13, or registered under the name of another legal </w:t>
      </w:r>
      <w:r w:rsidR="00135D72" w:rsidRPr="009E1B38">
        <w:rPr>
          <w:lang w:val="en-US"/>
        </w:rPr>
        <w:t>entity</w:t>
      </w:r>
      <w:r w:rsidRPr="009E1B38">
        <w:rPr>
          <w:lang w:val="en-US"/>
        </w:rPr>
        <w:t xml:space="preserve"> by obligation transfer in the scope of Article 17, is determined as “1” in the case where it is obligation is fulfilled for hour “s” of invoice period “f” in accordance with Article 29, and it is determined as “0” in all other cases,</w:t>
      </w:r>
    </w:p>
    <w:p w14:paraId="5732C788" w14:textId="77777777" w:rsidR="00171C59" w:rsidRPr="009E1B38" w:rsidRDefault="00171C59" w:rsidP="00171C59">
      <w:pPr>
        <w:pStyle w:val="P68B1DB1-Normal7"/>
        <w:spacing w:after="0"/>
        <w:ind w:left="709"/>
        <w:jc w:val="left"/>
        <w:rPr>
          <w:lang w:val="en-US"/>
        </w:rPr>
      </w:pPr>
      <w:r w:rsidRPr="009E1B38">
        <w:rPr>
          <w:lang w:val="en-US"/>
        </w:rPr>
        <w:t>d) m: The number of hours in the invoicing period “f”,</w:t>
      </w:r>
    </w:p>
    <w:p w14:paraId="521D8FD6" w14:textId="77777777" w:rsidR="00171C59" w:rsidRPr="009E1B38" w:rsidRDefault="00171C59" w:rsidP="00171C59">
      <w:pPr>
        <w:pStyle w:val="P68B1DB1-Normal7"/>
        <w:spacing w:after="0"/>
        <w:ind w:left="709"/>
        <w:jc w:val="left"/>
        <w:rPr>
          <w:lang w:val="en-US"/>
        </w:rPr>
      </w:pPr>
      <w:r w:rsidRPr="009E1B38">
        <w:rPr>
          <w:lang w:val="en-US"/>
        </w:rPr>
        <w:t>e) k: Number of ancillary services provided by an ancillary service unit, which is registered under the name of the legal entity “p” in accordance with Article 17, or registered in the name of another legal entity by the obligation transfer from the legal entity “p”.</w:t>
      </w:r>
    </w:p>
    <w:p w14:paraId="5323E001" w14:textId="77777777" w:rsidR="00171C59" w:rsidRPr="009E1B38" w:rsidRDefault="00171C59" w:rsidP="00171C59">
      <w:pPr>
        <w:pStyle w:val="P68B1DB1-Normal7"/>
        <w:ind w:left="709"/>
        <w:jc w:val="left"/>
        <w:rPr>
          <w:lang w:val="en-US"/>
        </w:rPr>
      </w:pPr>
      <w:r w:rsidRPr="009E1B38">
        <w:rPr>
          <w:lang w:val="en-US"/>
        </w:rPr>
        <w:t>"</w:t>
      </w:r>
    </w:p>
    <w:p w14:paraId="22556958"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following paragraph has been added to Article 20</w:t>
      </w:r>
      <w:r w:rsidRPr="009E1B38">
        <w:rPr>
          <w:i/>
          <w:lang w:val="en-US"/>
        </w:rPr>
        <w:t xml:space="preserve"> titled "Secondary frequency control service procurement principles"</w:t>
      </w:r>
      <w:r w:rsidRPr="009E1B38">
        <w:rPr>
          <w:lang w:val="en-US"/>
        </w:rPr>
        <w:t>.</w:t>
      </w:r>
    </w:p>
    <w:p w14:paraId="41B72CC9" w14:textId="7FD13CF3" w:rsidR="00171C59" w:rsidRPr="009E1B38" w:rsidRDefault="00171C59" w:rsidP="00171C59">
      <w:pPr>
        <w:pStyle w:val="P68B1DB1-Normal7"/>
        <w:ind w:left="709"/>
        <w:jc w:val="left"/>
        <w:rPr>
          <w:lang w:val="en-US"/>
        </w:rPr>
      </w:pPr>
      <w:r w:rsidRPr="009E1B38">
        <w:rPr>
          <w:lang w:val="en-US"/>
        </w:rPr>
        <w:lastRenderedPageBreak/>
        <w:t xml:space="preserve">"(2) Ancillary service market participants must not offer the reserves they allocate for primary frequency control, specified in the first paragraph, to another market, or sell the aforementioned through bilateral agreements. In case it is detected that an ancillary service market participant, which has the obligation within the scope of secondary </w:t>
      </w:r>
      <w:r w:rsidR="009E1B38" w:rsidRPr="009E1B38">
        <w:rPr>
          <w:lang w:val="en-US"/>
        </w:rPr>
        <w:t>frequency</w:t>
      </w:r>
      <w:r w:rsidRPr="009E1B38">
        <w:rPr>
          <w:lang w:val="en-US"/>
        </w:rPr>
        <w:t xml:space="preserve"> control service, has offered the secondary </w:t>
      </w:r>
      <w:r w:rsidR="009E1B38" w:rsidRPr="009E1B38">
        <w:rPr>
          <w:lang w:val="en-US"/>
        </w:rPr>
        <w:t>frequency</w:t>
      </w:r>
      <w:r w:rsidRPr="009E1B38">
        <w:rPr>
          <w:lang w:val="en-US"/>
        </w:rPr>
        <w:t xml:space="preserve"> control reserve, which it is obliged to reserve from its power supply and draw unit, to settlement power market, the obligation shall be considered unfulfilled and the relevant ancillary services market participant shall be fined a non-performance fee in accordance with Article 31."</w:t>
      </w:r>
    </w:p>
    <w:p w14:paraId="2B3DF05D" w14:textId="606E3B5B"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i/>
          <w:lang w:val="en-US"/>
        </w:rPr>
        <w:t xml:space="preserve">"The clauses (e), (g) and (ğ) of the first paragraph of Article 21 titled "Secondary frequency control reserve procurement </w:t>
      </w:r>
      <w:r w:rsidR="009E1B38" w:rsidRPr="009E1B38">
        <w:rPr>
          <w:i/>
          <w:lang w:val="en-US"/>
        </w:rPr>
        <w:t xml:space="preserve">process </w:t>
      </w:r>
      <w:r w:rsidR="009E1B38" w:rsidRPr="009E1B38">
        <w:rPr>
          <w:lang w:val="en-US"/>
        </w:rPr>
        <w:t>“have</w:t>
      </w:r>
      <w:r w:rsidRPr="009E1B38">
        <w:rPr>
          <w:lang w:val="en-US"/>
        </w:rPr>
        <w:t xml:space="preserve"> been amended as follows and the following paragraph has been added to the same article.</w:t>
      </w:r>
    </w:p>
    <w:p w14:paraId="023AF55B" w14:textId="77777777" w:rsidR="00171C59" w:rsidRPr="009E1B38" w:rsidRDefault="00171C59" w:rsidP="00171C59">
      <w:pPr>
        <w:pStyle w:val="P68B1DB1-Normal7"/>
        <w:spacing w:after="0"/>
        <w:ind w:left="709"/>
        <w:jc w:val="left"/>
        <w:rPr>
          <w:lang w:val="en-US"/>
        </w:rPr>
      </w:pPr>
      <w:r w:rsidRPr="009E1B38">
        <w:rPr>
          <w:lang w:val="en-US"/>
        </w:rPr>
        <w:t>e) Ancillary service market participant legal entities, which are registered to the settlement accounts selected as a result of the procurement process, shall provide secondary frequency control service within the framework of the Electricity Network Regulation by keeping the secondary frequency control reserve amount available that they have undertaken during the procurement period. The selected ancillary service unit owner legal entities may update the secondary reserve amount to be provided from the ancillary service units until 1 (one) hour before the time of procurement. It is the responsibility of the selected ancillary service units to ensure that they are the required working level to maintain the obliged reserve amount during the relevant balancing period, except for the loading and deloading instructions they receive during for the relevant settlement period, or the changes of the DDGP."</w:t>
      </w:r>
    </w:p>
    <w:p w14:paraId="2AE3682C" w14:textId="3F8095D9" w:rsidR="00171C59" w:rsidRPr="009E1B38" w:rsidRDefault="00171C59" w:rsidP="00171C59">
      <w:pPr>
        <w:pStyle w:val="P68B1DB1-Normal7"/>
        <w:spacing w:after="0"/>
        <w:ind w:left="709"/>
        <w:jc w:val="left"/>
        <w:rPr>
          <w:lang w:val="en-US"/>
        </w:rPr>
      </w:pPr>
      <w:r w:rsidRPr="009E1B38">
        <w:rPr>
          <w:lang w:val="en-US"/>
        </w:rPr>
        <w:t xml:space="preserve">"g) In case that the sum of the secondary frequency control reserve amounts to be provided from the ancillary service units determined by the procurement process is insufficient and/or the need for additional secondary frequency control reserve amount arises during the procurement period of the secondary </w:t>
      </w:r>
      <w:r w:rsidR="009E1B38" w:rsidRPr="009E1B38">
        <w:rPr>
          <w:lang w:val="en-US"/>
        </w:rPr>
        <w:t>frequency</w:t>
      </w:r>
      <w:r w:rsidRPr="009E1B38">
        <w:rPr>
          <w:lang w:val="en-US"/>
        </w:rPr>
        <w:t xml:space="preserve"> control service, the following steps shall be carried out in accordance with clause (f) for the secondary frequency control reserve procurement from the ancillary service market participant legal entities, which have signed a framework secondary frequency control reserve procurement agreement:</w:t>
      </w:r>
    </w:p>
    <w:p w14:paraId="712017BB" w14:textId="6BCB89D7" w:rsidR="00171C59" w:rsidRPr="009E1B38" w:rsidRDefault="00171C59" w:rsidP="00171C59">
      <w:pPr>
        <w:pStyle w:val="P68B1DB1-Normal7"/>
        <w:spacing w:after="0"/>
        <w:ind w:left="709"/>
        <w:jc w:val="left"/>
        <w:rPr>
          <w:lang w:val="en-US"/>
        </w:rPr>
      </w:pPr>
      <w:r w:rsidRPr="009E1B38">
        <w:rPr>
          <w:lang w:val="en-US"/>
        </w:rPr>
        <w:t xml:space="preserve">1) TEİAŞ shall control the final day ahead generation schedules of the bidders, whose offers are listed in price order and whose offers are valid in accordance with clause (f) during the secondary frequency control capacity procurement process carried out for the relevant procurement period, and, taking the transmission system limits into account, selects all or part of the additional secondary frequency control reserve amount from the ancillary service units, whose operating level is sufficient to provide secondary frequency control reserve, and notifies the relevant bidders. It is under responsibility of legal entities, to which the relevant ancillary service unit is registered under the ancillary service settlement account, that ancillary service units to maintain the required working level, and give secondary </w:t>
      </w:r>
      <w:r w:rsidR="009E1B38" w:rsidRPr="009E1B38">
        <w:rPr>
          <w:lang w:val="en-US"/>
        </w:rPr>
        <w:t>frequency</w:t>
      </w:r>
      <w:r w:rsidRPr="009E1B38">
        <w:rPr>
          <w:lang w:val="en-US"/>
        </w:rPr>
        <w:t xml:space="preserve"> control response, in order to provide the secondary frequency control reserve that they have been notified for relevant settlement period.</w:t>
      </w:r>
    </w:p>
    <w:p w14:paraId="773B572B" w14:textId="77777777" w:rsidR="00171C59" w:rsidRPr="009E1B38" w:rsidRDefault="00171C59" w:rsidP="00171C59">
      <w:pPr>
        <w:pStyle w:val="P68B1DB1-Normal7"/>
        <w:spacing w:after="0"/>
        <w:ind w:left="709"/>
        <w:jc w:val="left"/>
        <w:rPr>
          <w:lang w:val="en-US"/>
        </w:rPr>
      </w:pPr>
      <w:r w:rsidRPr="009E1B38">
        <w:rPr>
          <w:lang w:val="en-US"/>
        </w:rPr>
        <w:t xml:space="preserve">2) Bidders who are listed in price order during the secondary frequency control capacity procurement process for the relevant procurement period and whose bids are valid in accordance with clause (f), can update the reserve amount in case they want to increase or decrease the proposed secondary frequency control reserve according to the status of the operating level, 2 (two) hours before the delivery time at the latest. If the amount is increased, the reserve capacity is increased over the lowest of the participant's current primary reserve bid at the level of increased amount. If the amount is reduced, the reserve amount is reduced from the highest bid of the primary reserve capacity. In case that an ancillary services market participant, who has not updated or withdrawn its additional reserve offer and has a valid offer for the additional reserve procurement process, cannot provide the additional reserves from the ancillary service units registered in their name due to the fact that the working level is not suitable and / or the ancillary service units are out of order due to malfunctions and similar </w:t>
      </w:r>
      <w:r w:rsidRPr="009E1B38">
        <w:rPr>
          <w:lang w:val="en-US"/>
        </w:rPr>
        <w:lastRenderedPageBreak/>
        <w:t>reasons, although it is their turn to be selected by TEİAŞ in the additional reserve procurement process within the relevant hour, shall be considered that they did not perform the service for the hour and a sanction is imposed in accordance with Article 31.</w:t>
      </w:r>
    </w:p>
    <w:p w14:paraId="3A8BFEBD" w14:textId="6715F4CA" w:rsidR="00171C59" w:rsidRPr="009E1B38" w:rsidRDefault="00171C59" w:rsidP="00171C59">
      <w:pPr>
        <w:pStyle w:val="P68B1DB1-Normal7"/>
        <w:ind w:left="709"/>
        <w:jc w:val="left"/>
        <w:rPr>
          <w:lang w:val="en-US"/>
        </w:rPr>
      </w:pPr>
      <w:r w:rsidRPr="009E1B38">
        <w:rPr>
          <w:lang w:val="en-US"/>
        </w:rPr>
        <w:t xml:space="preserve">ğ) In the event that the ancillary service market participant legal </w:t>
      </w:r>
      <w:r w:rsidR="009E1B38" w:rsidRPr="009E1B38">
        <w:rPr>
          <w:lang w:val="en-US"/>
        </w:rPr>
        <w:t>entities</w:t>
      </w:r>
      <w:r w:rsidRPr="009E1B38">
        <w:rPr>
          <w:lang w:val="en-US"/>
        </w:rPr>
        <w:t>, which are selected as a result of the procurement process, cannot or prefer not to meet the secondary frequency control reserve amount they are obliged to provide from the ancillary service units registered in their name, the relevant legal entities may transfer their obligations within the framework of the provisions of Article 25. In accordance with the provisions of this Regulation, additional provided secondary frequency control reserve obligations shall not be transferred."</w:t>
      </w:r>
    </w:p>
    <w:p w14:paraId="27B864B7" w14:textId="57825617" w:rsidR="00171C59" w:rsidRPr="009E1B38" w:rsidRDefault="00171C59" w:rsidP="00171C59">
      <w:pPr>
        <w:pStyle w:val="P68B1DB1-Normal7"/>
        <w:ind w:left="709"/>
        <w:jc w:val="left"/>
        <w:rPr>
          <w:lang w:val="en-US"/>
        </w:rPr>
      </w:pPr>
      <w:r w:rsidRPr="009E1B38">
        <w:rPr>
          <w:lang w:val="en-US"/>
        </w:rPr>
        <w:t xml:space="preserve">“(3) Following the additional reserve procurement process carried out by TEİAŞ in accordance with sub-clause (2) of clause (g) of the first paragraph, in the event that all or part of the additional secondary frequency control reserve requirement cannot be procured, TEİAŞ may announce the additional reserve amount needed on the </w:t>
      </w:r>
      <w:r w:rsidR="0082470D" w:rsidRPr="009E1B38">
        <w:rPr>
          <w:lang w:val="en-US"/>
        </w:rPr>
        <w:t>Liability transfer platform</w:t>
      </w:r>
      <w:r w:rsidRPr="009E1B38">
        <w:rPr>
          <w:lang w:val="en-US"/>
        </w:rPr>
        <w:t xml:space="preserve"> and procure it on the platform in accordance with the Procedures and Principles for the Operation of the </w:t>
      </w:r>
      <w:r w:rsidR="0082470D" w:rsidRPr="009E1B38">
        <w:rPr>
          <w:lang w:val="en-US"/>
        </w:rPr>
        <w:t>Liability transfer platform</w:t>
      </w:r>
      <w:r w:rsidRPr="009E1B38">
        <w:rPr>
          <w:lang w:val="en-US"/>
        </w:rPr>
        <w:t>, 2 (two) hours before the time the reserve is to be provided at the earliest.”</w:t>
      </w:r>
    </w:p>
    <w:p w14:paraId="67FC81F7"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first paragraph of Article 25 has been amended as follows, the second paragraph has been repealed and the following paragraphs have been added to the same article.</w:t>
      </w:r>
    </w:p>
    <w:p w14:paraId="5D12D77E" w14:textId="48BFE76A" w:rsidR="00171C59" w:rsidRPr="009E1B38" w:rsidRDefault="00171C59" w:rsidP="00171C59">
      <w:pPr>
        <w:pStyle w:val="P68B1DB1-Normal7"/>
        <w:ind w:left="709"/>
        <w:jc w:val="left"/>
        <w:rPr>
          <w:lang w:val="en-US"/>
        </w:rPr>
      </w:pPr>
      <w:r w:rsidRPr="009E1B38">
        <w:rPr>
          <w:lang w:val="en-US"/>
        </w:rPr>
        <w:t xml:space="preserve">"25 - (1) Ancillary service market participant legal entities, which are selected as a result of the procurement process carried out by TEİAŞ, may provide all or some of the secondary frequency control reserve amount they are obliged to provide, from another legal entity that has been certified to provide the amount of reserve transferred according to the current secondary frequency control performance test report, and has an ancillary service unit that is compatible with the technical parameters contained in the test report, or a different ancillary service unit registered in their settlement accounts. </w:t>
      </w:r>
      <w:r w:rsidR="0082470D" w:rsidRPr="009E1B38">
        <w:rPr>
          <w:lang w:val="en-US"/>
        </w:rPr>
        <w:t>Liability</w:t>
      </w:r>
      <w:r w:rsidRPr="009E1B38">
        <w:rPr>
          <w:lang w:val="en-US"/>
        </w:rPr>
        <w:t xml:space="preserve"> transfer is carried out through the </w:t>
      </w:r>
      <w:r w:rsidR="0082470D" w:rsidRPr="009E1B38">
        <w:rPr>
          <w:lang w:val="en-US"/>
        </w:rPr>
        <w:t>Liability transfer platform</w:t>
      </w:r>
      <w:r w:rsidRPr="009E1B38">
        <w:rPr>
          <w:lang w:val="en-US"/>
        </w:rPr>
        <w:t xml:space="preserve"> of ASMMS. </w:t>
      </w:r>
      <w:r w:rsidR="0082470D" w:rsidRPr="009E1B38">
        <w:rPr>
          <w:lang w:val="en-US"/>
        </w:rPr>
        <w:t>Liabilities</w:t>
      </w:r>
      <w:r w:rsidRPr="009E1B38">
        <w:rPr>
          <w:lang w:val="en-US"/>
        </w:rPr>
        <w:t xml:space="preserve"> of the ancillary service market participant legal entities, which transfer their </w:t>
      </w:r>
      <w:r w:rsidR="0082470D" w:rsidRPr="009E1B38">
        <w:rPr>
          <w:lang w:val="en-US"/>
        </w:rPr>
        <w:t>liability</w:t>
      </w:r>
      <w:r w:rsidRPr="009E1B38">
        <w:rPr>
          <w:lang w:val="en-US"/>
        </w:rPr>
        <w:t xml:space="preserve"> to TEİAŞ, shall be fulfilled by the legal entity that undertakes the </w:t>
      </w:r>
      <w:r w:rsidR="0082470D" w:rsidRPr="009E1B38">
        <w:rPr>
          <w:lang w:val="en-US"/>
        </w:rPr>
        <w:t>liability</w:t>
      </w:r>
      <w:r w:rsidRPr="009E1B38">
        <w:rPr>
          <w:lang w:val="en-US"/>
        </w:rPr>
        <w:t>."</w:t>
      </w:r>
    </w:p>
    <w:p w14:paraId="36E1D2CB" w14:textId="77777777" w:rsidR="00171C59" w:rsidRPr="009E1B38" w:rsidRDefault="00171C59" w:rsidP="00171C59">
      <w:pPr>
        <w:pStyle w:val="P68B1DB1-Normal7"/>
        <w:ind w:left="709"/>
        <w:jc w:val="left"/>
        <w:rPr>
          <w:lang w:val="en-US"/>
        </w:rPr>
      </w:pPr>
      <w:r w:rsidRPr="009E1B38">
        <w:rPr>
          <w:lang w:val="en-US"/>
        </w:rPr>
        <w:t>“(4) Obligation transfers must be completed no later than 90 (ninety) minutes before the time of provision of the reserve.</w:t>
      </w:r>
    </w:p>
    <w:p w14:paraId="10607D4E" w14:textId="77777777" w:rsidR="00171C59" w:rsidRPr="009E1B38" w:rsidRDefault="00171C59" w:rsidP="00171C59">
      <w:pPr>
        <w:pStyle w:val="P68B1DB1-Normal7"/>
        <w:ind w:left="709"/>
        <w:jc w:val="left"/>
        <w:rPr>
          <w:lang w:val="en-US"/>
        </w:rPr>
      </w:pPr>
      <w:r w:rsidRPr="009E1B38">
        <w:rPr>
          <w:lang w:val="en-US"/>
        </w:rPr>
        <w:t>(5) The legal entity that takes over the secondary frequency control reserve obligation may reassign the secondary frequency control reserve obligation it has undertaken.</w:t>
      </w:r>
    </w:p>
    <w:p w14:paraId="60B3DEB8" w14:textId="6466B723" w:rsidR="00171C59" w:rsidRPr="009E1B38" w:rsidRDefault="00171C59" w:rsidP="00171C59">
      <w:pPr>
        <w:pStyle w:val="P68B1DB1-Normal7"/>
        <w:ind w:left="709"/>
        <w:jc w:val="left"/>
        <w:rPr>
          <w:lang w:val="en-US"/>
        </w:rPr>
      </w:pPr>
      <w:r w:rsidRPr="009E1B38">
        <w:rPr>
          <w:lang w:val="en-US"/>
        </w:rPr>
        <w:t xml:space="preserve">(6) Legal entities, which are involved in the </w:t>
      </w:r>
      <w:r w:rsidR="0082470D" w:rsidRPr="009E1B38">
        <w:rPr>
          <w:lang w:val="en-US"/>
        </w:rPr>
        <w:t>liability</w:t>
      </w:r>
      <w:r w:rsidRPr="009E1B38">
        <w:rPr>
          <w:lang w:val="en-US"/>
        </w:rPr>
        <w:t xml:space="preserve"> transfer transaction by participating in the </w:t>
      </w:r>
      <w:r w:rsidR="0082470D" w:rsidRPr="009E1B38">
        <w:rPr>
          <w:lang w:val="en-US"/>
        </w:rPr>
        <w:t>Liability transfer platform</w:t>
      </w:r>
      <w:r w:rsidRPr="009E1B38">
        <w:rPr>
          <w:lang w:val="en-US"/>
        </w:rPr>
        <w:t xml:space="preserve">, are deemed to have accepted the Procedures and Principles for the Operation of the </w:t>
      </w:r>
      <w:r w:rsidR="0082470D" w:rsidRPr="009E1B38">
        <w:rPr>
          <w:lang w:val="en-US"/>
        </w:rPr>
        <w:t>Liability transfer platform</w:t>
      </w:r>
      <w:r w:rsidRPr="009E1B38">
        <w:rPr>
          <w:lang w:val="en-US"/>
        </w:rPr>
        <w:t xml:space="preserve"> and are obliged to comply with these Procedures and Principles."</w:t>
      </w:r>
    </w:p>
    <w:p w14:paraId="6F741A53"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second paragraph of Article 27</w:t>
      </w:r>
      <w:r w:rsidRPr="009E1B38">
        <w:rPr>
          <w:i/>
          <w:lang w:val="en-US"/>
        </w:rPr>
        <w:t xml:space="preserve"> titled "Pricing of secondary frequency control service</w:t>
      </w:r>
      <w:r w:rsidRPr="009E1B38">
        <w:rPr>
          <w:lang w:val="en-US"/>
        </w:rPr>
        <w:t>" has been amended as follows.</w:t>
      </w:r>
    </w:p>
    <w:p w14:paraId="5422C80E" w14:textId="77777777" w:rsidR="00171C59" w:rsidRPr="009E1B38" w:rsidRDefault="00171C59" w:rsidP="00171C59">
      <w:pPr>
        <w:pStyle w:val="P68B1DB1-Normal7"/>
        <w:spacing w:after="0"/>
        <w:ind w:left="709"/>
        <w:jc w:val="left"/>
        <w:rPr>
          <w:lang w:val="en-US"/>
        </w:rPr>
      </w:pPr>
      <w:r w:rsidRPr="009E1B38">
        <w:rPr>
          <w:lang w:val="en-US"/>
        </w:rPr>
        <w:t>"(2) In the formula in the first paragraph; the terms are defined as follows:</w:t>
      </w:r>
    </w:p>
    <w:p w14:paraId="55619C1F" w14:textId="77777777" w:rsidR="00171C59" w:rsidRPr="009E1B38" w:rsidRDefault="00171C59" w:rsidP="00171C59">
      <w:pPr>
        <w:pStyle w:val="P68B1DB1-Normal7"/>
        <w:spacing w:after="0"/>
        <w:ind w:left="709"/>
        <w:jc w:val="left"/>
        <w:rPr>
          <w:lang w:val="en-US"/>
        </w:rPr>
      </w:pPr>
      <w:r w:rsidRPr="009E1B38">
        <w:rPr>
          <w:lang w:val="en-US"/>
        </w:rPr>
        <w:t>a) SFKTf,p: the amount of receivable (TL) to be accrued due to the total secondary frequency control reserve amount provided by the ancillary market participant legal entity “p” in the invoicing period “f” within the framework of the obligation undertaken in accordance with Article 21,</w:t>
      </w:r>
    </w:p>
    <w:p w14:paraId="1CAF45B4" w14:textId="77777777" w:rsidR="00171C59" w:rsidRPr="009E1B38" w:rsidRDefault="00171C59" w:rsidP="00171C59">
      <w:pPr>
        <w:pStyle w:val="P68B1DB1-Normal7"/>
        <w:spacing w:after="0"/>
        <w:ind w:left="709"/>
        <w:jc w:val="left"/>
        <w:rPr>
          <w:lang w:val="en-US"/>
        </w:rPr>
      </w:pPr>
      <w:r w:rsidRPr="009E1B38">
        <w:rPr>
          <w:lang w:val="en-US"/>
        </w:rPr>
        <w:t>b) SRMf,p,y,s: Secondary Frequency Control Reserve Amount (MW) provided by ancillary service unit "y" and obligated by ancillary service market participant "p" legal entity at hour "s" of invoicing period "f",</w:t>
      </w:r>
    </w:p>
    <w:p w14:paraId="0B11C836" w14:textId="77777777" w:rsidR="00171C59" w:rsidRPr="009E1B38" w:rsidRDefault="00171C59" w:rsidP="00171C59">
      <w:pPr>
        <w:pStyle w:val="P68B1DB1-Normal7"/>
        <w:spacing w:after="0"/>
        <w:ind w:left="709"/>
        <w:jc w:val="left"/>
        <w:rPr>
          <w:lang w:val="en-US"/>
        </w:rPr>
      </w:pPr>
      <w:r w:rsidRPr="009E1B38">
        <w:rPr>
          <w:lang w:val="en-US"/>
        </w:rPr>
        <w:lastRenderedPageBreak/>
        <w:t>c) SKBf,s: Within the framework of the undertaken obligation in accordance with clause (ç) of the first paragraph of Article 21, the hourly Primary Frequency Control Capacity Fee to be applied to the ancillary service market participant for the hour "s" of the  invoicing period "f", and determined in accordance with Article 26, or the hourly Secondary Frequency Control Capacity Fee (TL/MW), which is offered by the relevant ancillary service market participant for the additional provided reserves within the scope of clause (g) of the first paragraph of Article 21,</w:t>
      </w:r>
    </w:p>
    <w:p w14:paraId="443A6D79" w14:textId="4C754924" w:rsidR="00171C59" w:rsidRPr="009E1B38" w:rsidRDefault="00171C59" w:rsidP="00171C59">
      <w:pPr>
        <w:pStyle w:val="P68B1DB1-Normal7"/>
        <w:spacing w:after="0"/>
        <w:ind w:left="709"/>
        <w:jc w:val="left"/>
        <w:rPr>
          <w:lang w:val="en-US"/>
        </w:rPr>
      </w:pPr>
      <w:r w:rsidRPr="009E1B38">
        <w:rPr>
          <w:lang w:val="en-US"/>
        </w:rPr>
        <w:t xml:space="preserve">ç) KSp,f,y: Participation Coefficient, that is provided by an ancillary service unit “y”, either registered under the name of ancillary service market participant “p” within the framework of undertaken obligation in accordance with Article 21, or registered under the name of another legal </w:t>
      </w:r>
      <w:r w:rsidR="00135D72" w:rsidRPr="009E1B38">
        <w:rPr>
          <w:lang w:val="en-US"/>
        </w:rPr>
        <w:t>entity</w:t>
      </w:r>
      <w:r w:rsidRPr="009E1B38">
        <w:rPr>
          <w:lang w:val="en-US"/>
        </w:rPr>
        <w:t xml:space="preserve"> by obligation transfer in the scope of Article 25, is determined as “1” in the case where it is obligation is fulfilled for hour “s” of invoice period “f” in accordance with Article 29, and it is determined as “0” in all other cases,</w:t>
      </w:r>
    </w:p>
    <w:p w14:paraId="10869B18" w14:textId="77777777" w:rsidR="00171C59" w:rsidRPr="009E1B38" w:rsidRDefault="00171C59" w:rsidP="00171C59">
      <w:pPr>
        <w:pStyle w:val="P68B1DB1-Normal7"/>
        <w:spacing w:after="0"/>
        <w:ind w:left="709"/>
        <w:jc w:val="left"/>
        <w:rPr>
          <w:lang w:val="en-US"/>
        </w:rPr>
      </w:pPr>
      <w:r w:rsidRPr="009E1B38">
        <w:rPr>
          <w:lang w:val="en-US"/>
        </w:rPr>
        <w:t>d) m: The number of hours in the invoicing period “f”,</w:t>
      </w:r>
    </w:p>
    <w:p w14:paraId="16F89CEC" w14:textId="77777777" w:rsidR="00171C59" w:rsidRPr="009E1B38" w:rsidRDefault="00171C59" w:rsidP="00171C59">
      <w:pPr>
        <w:pStyle w:val="P68B1DB1-Normal7"/>
        <w:spacing w:after="0"/>
        <w:ind w:left="709"/>
        <w:jc w:val="left"/>
        <w:rPr>
          <w:lang w:val="en-US"/>
        </w:rPr>
      </w:pPr>
      <w:r w:rsidRPr="009E1B38">
        <w:rPr>
          <w:lang w:val="en-US"/>
        </w:rPr>
        <w:t>e) k: Number of ancillary services that are provided by registered under the name of the legal entity “p” or an ancillary service unit “y” registered in the name of another legal entity by the transfer of obligations under the Article 25.</w:t>
      </w:r>
    </w:p>
    <w:p w14:paraId="5AA8BBDC" w14:textId="77777777" w:rsidR="00171C59" w:rsidRPr="009E1B38" w:rsidRDefault="00171C59" w:rsidP="00171C59">
      <w:pPr>
        <w:pStyle w:val="P68B1DB1-Normal7"/>
        <w:ind w:left="709"/>
        <w:jc w:val="left"/>
        <w:rPr>
          <w:lang w:val="en-US"/>
        </w:rPr>
      </w:pPr>
      <w:r w:rsidRPr="009E1B38">
        <w:rPr>
          <w:lang w:val="en-US"/>
        </w:rPr>
        <w:t>"</w:t>
      </w:r>
    </w:p>
    <w:p w14:paraId="163BD49F"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Article 28 titled</w:t>
      </w:r>
      <w:r w:rsidRPr="009E1B38">
        <w:rPr>
          <w:i/>
          <w:lang w:val="en-US"/>
        </w:rPr>
        <w:t xml:space="preserve"> "Secondary frequency control service imbalance repayment" </w:t>
      </w:r>
      <w:r w:rsidRPr="009E1B38">
        <w:rPr>
          <w:lang w:val="en-US"/>
        </w:rPr>
        <w:t>has been amended as follows.</w:t>
      </w:r>
    </w:p>
    <w:p w14:paraId="1058883E" w14:textId="77777777" w:rsidR="00171C59" w:rsidRPr="009E1B38" w:rsidRDefault="00171C59" w:rsidP="00171C59">
      <w:pPr>
        <w:pStyle w:val="P68B1DB1-Normal8"/>
        <w:ind w:left="709"/>
        <w:jc w:val="left"/>
        <w:rPr>
          <w:lang w:val="en-US"/>
        </w:rPr>
      </w:pPr>
      <w:r w:rsidRPr="009E1B38">
        <w:rPr>
          <w:lang w:val="en-US"/>
        </w:rPr>
        <w:t>"ARTICLE 28</w:t>
      </w:r>
    </w:p>
    <w:p w14:paraId="2F6F7A02" w14:textId="67910D9A" w:rsidR="00171C59" w:rsidRPr="009E1B38" w:rsidRDefault="00171C59" w:rsidP="00171C59">
      <w:pPr>
        <w:pStyle w:val="P68B1DB1-Normal7"/>
        <w:ind w:left="709"/>
        <w:jc w:val="left"/>
        <w:rPr>
          <w:lang w:val="en-US"/>
        </w:rPr>
      </w:pPr>
      <w:r w:rsidRPr="009E1B38">
        <w:rPr>
          <w:lang w:val="en-US"/>
        </w:rPr>
        <w:t>(1) If the ancillary service units, which are selected to provide secondary frequency control service, are also registered as a balancing unit in the balancing power market, imbalance payments</w:t>
      </w:r>
      <w:r w:rsidR="009E1B38" w:rsidRPr="009E1B38">
        <w:rPr>
          <w:lang w:val="en-US"/>
        </w:rPr>
        <w:t>, in</w:t>
      </w:r>
      <w:r w:rsidRPr="009E1B38">
        <w:rPr>
          <w:lang w:val="en-US"/>
        </w:rPr>
        <w:t xml:space="preserve"> addition to secondary frequency control reserve amount, which are calculated as follows shall be repaid to ancillary service market participant legal entities, which are in this situation and also are a balancing power market participant:</w:t>
      </w:r>
    </w:p>
    <w:p w14:paraId="62A85D24" w14:textId="77777777" w:rsidR="00171C59" w:rsidRPr="009E1B38" w:rsidRDefault="00171C59" w:rsidP="00171C59">
      <w:pPr>
        <w:pStyle w:val="P68B1DB1-Normal7"/>
        <w:ind w:left="709"/>
        <w:jc w:val="left"/>
        <w:rPr>
          <w:lang w:val="en-US"/>
        </w:rPr>
      </w:pPr>
      <w:r w:rsidRPr="009E1B38">
        <w:rPr>
          <w:noProof/>
        </w:rPr>
        <w:drawing>
          <wp:inline distT="0" distB="0" distL="0" distR="0" wp14:anchorId="31FC7B02" wp14:editId="3E07DC76">
            <wp:extent cx="5400675" cy="533400"/>
            <wp:effectExtent l="0" t="0" r="9525" b="0"/>
            <wp:docPr id="12" name="IMG151" descr="http://www.lexpera.com.tr/Appendix/PUBLICATION_TR/images/RG801Y2021N31377P4_375235099_1.JPG">
              <a:hlinkClick xmlns:a="http://schemas.openxmlformats.org/drawingml/2006/main" r:id="rId1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1" descr="http://www.lexpera.com.tr/Appendix/PUBLICATION_TR/images/RG801Y2021N31377P4_375235099_1.JPG">
                      <a:hlinkClick r:id="rId16" tgtFrame="&quot;_blank&quot;" tooltip="&quot;&quot;"/>
                    </pic:cNvPr>
                    <pic:cNvPicPr>
                      <a:picLocks noChangeAspect="1" noChangeArrowheads="1"/>
                    </pic:cNvPicPr>
                  </pic:nvPicPr>
                  <pic:blipFill>
                    <a:blip r:link="rId17">
                      <a:extLst>
                        <a:ext uri="{28A0092B-C50C-407E-A947-70E740481C1C}">
                          <a14:useLocalDpi xmlns:a14="http://schemas.microsoft.com/office/drawing/2010/main" val="0"/>
                        </a:ext>
                      </a:extLst>
                    </a:blip>
                    <a:srcRect/>
                    <a:stretch>
                      <a:fillRect/>
                    </a:stretch>
                  </pic:blipFill>
                  <pic:spPr bwMode="auto">
                    <a:xfrm>
                      <a:off x="0" y="0"/>
                      <a:ext cx="5400675" cy="533400"/>
                    </a:xfrm>
                    <a:prstGeom prst="rect">
                      <a:avLst/>
                    </a:prstGeom>
                    <a:noFill/>
                    <a:ln>
                      <a:noFill/>
                    </a:ln>
                  </pic:spPr>
                </pic:pic>
              </a:graphicData>
            </a:graphic>
          </wp:inline>
        </w:drawing>
      </w:r>
    </w:p>
    <w:p w14:paraId="700A13AE" w14:textId="77777777" w:rsidR="00171C59" w:rsidRPr="009E1B38" w:rsidRDefault="00171C59" w:rsidP="00171C59">
      <w:pPr>
        <w:pStyle w:val="P68B1DB1-Normal7"/>
        <w:spacing w:after="0"/>
        <w:ind w:left="709"/>
        <w:jc w:val="left"/>
        <w:rPr>
          <w:lang w:val="en-US"/>
        </w:rPr>
      </w:pPr>
      <w:r w:rsidRPr="009E1B38">
        <w:rPr>
          <w:lang w:val="en-US"/>
        </w:rPr>
        <w:t>(2) In the formula in the first paragraph; the terms are defined as follows:</w:t>
      </w:r>
    </w:p>
    <w:p w14:paraId="4DA1DFBD" w14:textId="77777777" w:rsidR="00171C59" w:rsidRPr="009E1B38" w:rsidRDefault="00171C59" w:rsidP="00171C59">
      <w:pPr>
        <w:pStyle w:val="P68B1DB1-Normal7"/>
        <w:spacing w:after="0"/>
        <w:ind w:left="709"/>
        <w:jc w:val="left"/>
        <w:rPr>
          <w:lang w:val="en-US"/>
        </w:rPr>
      </w:pPr>
      <w:r w:rsidRPr="009E1B38">
        <w:rPr>
          <w:lang w:val="en-US"/>
        </w:rPr>
        <w:t>a) DGÖf,p: The amount of imbalance repayment (TL) to be accrued as a receivable regarding the energy imbalances due to the secondary frequency control service provided by the ancillary market participant “p” in the invoicing period “f”,</w:t>
      </w:r>
    </w:p>
    <w:p w14:paraId="5611344B" w14:textId="77777777" w:rsidR="00171C59" w:rsidRPr="009E1B38" w:rsidRDefault="00171C59" w:rsidP="00171C59">
      <w:pPr>
        <w:pStyle w:val="P68B1DB1-Normal7"/>
        <w:spacing w:after="0"/>
        <w:ind w:left="709"/>
        <w:jc w:val="left"/>
        <w:rPr>
          <w:lang w:val="en-US"/>
        </w:rPr>
      </w:pPr>
      <w:r w:rsidRPr="009E1B38">
        <w:rPr>
          <w:lang w:val="en-US"/>
        </w:rPr>
        <w:t>b) GÖDMf, y, s: The imbalance amount (MWh) to be taken as a basis in the calculation of the imbalance repayment to be made to the relevant ancillary service market participant, regarding the energy imbalances caused by the secondary frequency control service provided by the ancillary service unit “y” for the hour “s” of the invoicing period “f”,</w:t>
      </w:r>
    </w:p>
    <w:p w14:paraId="6D100AE4" w14:textId="77777777" w:rsidR="00171C59" w:rsidRPr="009E1B38" w:rsidRDefault="00171C59" w:rsidP="00171C59">
      <w:pPr>
        <w:pStyle w:val="P68B1DB1-Normal7"/>
        <w:spacing w:after="0"/>
        <w:ind w:left="709"/>
        <w:jc w:val="left"/>
        <w:rPr>
          <w:lang w:val="en-US"/>
        </w:rPr>
      </w:pPr>
      <w:r w:rsidRPr="009E1B38">
        <w:rPr>
          <w:lang w:val="en-US"/>
        </w:rPr>
        <w:t>c) SMFf,s: Hourly System Marginal Price (TL/MWh) calculated and announced by TEİAŞ, within the scope of the balancing power market for the hour “s” of the invoicing period “f”, as per the Electricity Market Balancing and Settlement Regulation,</w:t>
      </w:r>
    </w:p>
    <w:p w14:paraId="1B7ED161" w14:textId="77777777" w:rsidR="00171C59" w:rsidRPr="009E1B38" w:rsidRDefault="00171C59" w:rsidP="00171C59">
      <w:pPr>
        <w:pStyle w:val="P68B1DB1-Normal7"/>
        <w:spacing w:after="0"/>
        <w:ind w:left="709"/>
        <w:jc w:val="left"/>
        <w:rPr>
          <w:lang w:val="en-US"/>
        </w:rPr>
      </w:pPr>
      <w:r w:rsidRPr="009E1B38">
        <w:rPr>
          <w:lang w:val="en-US"/>
        </w:rPr>
        <w:t>ç) NPTFf,s: Final Market Clearing Price (TL/MWh) calculated in context of the Day Ahead Market for the hour “s” of the invoicing period “f”, as per the Electricity Market Balancing and Settlement Regulation.</w:t>
      </w:r>
    </w:p>
    <w:p w14:paraId="6B333626" w14:textId="77777777" w:rsidR="00171C59" w:rsidRPr="009E1B38" w:rsidRDefault="00171C59" w:rsidP="00171C59">
      <w:pPr>
        <w:pStyle w:val="P68B1DB1-Normal7"/>
        <w:spacing w:after="0"/>
        <w:ind w:left="709"/>
        <w:jc w:val="left"/>
        <w:rPr>
          <w:lang w:val="en-US"/>
        </w:rPr>
      </w:pPr>
      <w:r w:rsidRPr="009E1B38">
        <w:rPr>
          <w:lang w:val="en-US"/>
        </w:rPr>
        <w:t xml:space="preserve">d) NDKs: Imbalance coefficient that takes the value of “1” in case of negative imbalance occurring in the related ancillary service unit due to the provision of secondary frequency control service for the </w:t>
      </w:r>
      <w:r w:rsidRPr="009E1B38">
        <w:rPr>
          <w:lang w:val="en-US"/>
        </w:rPr>
        <w:lastRenderedPageBreak/>
        <w:t>ancillary service units, that are selected to provide secondary frequency control service at “h” hour, and that also has the qualification of balancing unit, and in other cases, it takes the value of “0”.</w:t>
      </w:r>
    </w:p>
    <w:p w14:paraId="26B14DB0" w14:textId="77777777" w:rsidR="00171C59" w:rsidRPr="009E1B38" w:rsidRDefault="00171C59" w:rsidP="00171C59">
      <w:pPr>
        <w:pStyle w:val="P68B1DB1-Normal7"/>
        <w:spacing w:after="0"/>
        <w:ind w:left="709"/>
        <w:jc w:val="left"/>
        <w:rPr>
          <w:lang w:val="en-US"/>
        </w:rPr>
      </w:pPr>
      <w:r w:rsidRPr="009E1B38">
        <w:rPr>
          <w:lang w:val="en-US"/>
        </w:rPr>
        <w:t>e) PDKs: Imbalance coefficient that takes the value of “0” in case of positive imbalance occurring in the related ancillary service unit due to the provision of secondary frequency control service for the ancillary service units, that are selected to provide secondary frequency control service at “h” hour, and that also has the qualification of balancing unit, and in other cases, it takes the value of “1”.</w:t>
      </w:r>
    </w:p>
    <w:p w14:paraId="7AFE1267" w14:textId="77777777" w:rsidR="00171C59" w:rsidRPr="009E1B38" w:rsidRDefault="00171C59" w:rsidP="00171C59">
      <w:pPr>
        <w:pStyle w:val="P68B1DB1-Normal7"/>
        <w:spacing w:after="0"/>
        <w:ind w:left="709"/>
        <w:jc w:val="left"/>
        <w:rPr>
          <w:lang w:val="en-US"/>
        </w:rPr>
      </w:pPr>
      <w:r w:rsidRPr="009E1B38">
        <w:rPr>
          <w:lang w:val="en-US"/>
        </w:rPr>
        <w:t>f) m: The number of hours in the invoicing period “f”,</w:t>
      </w:r>
    </w:p>
    <w:p w14:paraId="001505D6" w14:textId="77777777" w:rsidR="00171C59" w:rsidRPr="009E1B38" w:rsidRDefault="00171C59" w:rsidP="00171C59">
      <w:pPr>
        <w:pStyle w:val="P68B1DB1-Normal7"/>
        <w:spacing w:after="0"/>
        <w:ind w:left="709"/>
        <w:jc w:val="left"/>
        <w:rPr>
          <w:lang w:val="en-US"/>
        </w:rPr>
      </w:pPr>
      <w:r w:rsidRPr="009E1B38">
        <w:rPr>
          <w:lang w:val="en-US"/>
        </w:rPr>
        <w:t>g) n: the number of ancillary service units, which are registered to an ancillary service settlement account, of an ancillary service market participant legal entity “p”,</w:t>
      </w:r>
    </w:p>
    <w:p w14:paraId="418DA581" w14:textId="77777777" w:rsidR="00171C59" w:rsidRPr="009E1B38" w:rsidRDefault="00171C59" w:rsidP="00171C59">
      <w:pPr>
        <w:pStyle w:val="P68B1DB1-Normal7"/>
        <w:spacing w:after="0"/>
        <w:ind w:left="709"/>
        <w:jc w:val="left"/>
        <w:rPr>
          <w:lang w:val="en-US"/>
        </w:rPr>
      </w:pPr>
      <w:r w:rsidRPr="009E1B38">
        <w:rPr>
          <w:lang w:val="en-US"/>
        </w:rPr>
        <w:t>ğ) k: The coefficient determined between the values of “0” and “1” by the Board as per the Electricity Market Balancing and Settlement Regulation that shall be used and announced at least three months in advance in case of negative energy imbalance,</w:t>
      </w:r>
    </w:p>
    <w:p w14:paraId="721319A2" w14:textId="77777777" w:rsidR="00171C59" w:rsidRPr="009E1B38" w:rsidRDefault="00171C59" w:rsidP="00171C59">
      <w:pPr>
        <w:pStyle w:val="P68B1DB1-Normal7"/>
        <w:spacing w:after="0"/>
        <w:ind w:left="709"/>
        <w:jc w:val="left"/>
        <w:rPr>
          <w:lang w:val="en-US"/>
        </w:rPr>
      </w:pPr>
      <w:r w:rsidRPr="009E1B38">
        <w:rPr>
          <w:lang w:val="en-US"/>
        </w:rPr>
        <w:t>h) l: The coefficient determined between the values of “0” and “1” by the Board as per the Electricity Market Balancing and Settlement Regulation that shall be used and announced at least three months in advance in case of positive energy imbalance.</w:t>
      </w:r>
    </w:p>
    <w:p w14:paraId="61CB462C" w14:textId="77777777" w:rsidR="00171C59" w:rsidRPr="009E1B38" w:rsidRDefault="00171C59" w:rsidP="00171C59">
      <w:pPr>
        <w:pStyle w:val="P68B1DB1-Normal7"/>
        <w:ind w:left="709"/>
        <w:jc w:val="left"/>
        <w:rPr>
          <w:lang w:val="en-US"/>
        </w:rPr>
      </w:pPr>
    </w:p>
    <w:p w14:paraId="4E4FFC98" w14:textId="77777777" w:rsidR="00171C59" w:rsidRPr="009E1B38" w:rsidRDefault="00171C59" w:rsidP="00171C59">
      <w:pPr>
        <w:pStyle w:val="P68B1DB1-Normal7"/>
        <w:ind w:left="709"/>
        <w:jc w:val="left"/>
        <w:rPr>
          <w:lang w:val="en-US"/>
        </w:rPr>
      </w:pPr>
      <w:r w:rsidRPr="009E1B38">
        <w:rPr>
          <w:lang w:val="en-US"/>
        </w:rPr>
        <w:t>(3) In any case where PDKs or NDKs coefficients are "1", imbalance repayment, calculated in accordance with the formula specified in the first paragraph, shall be made to the legal entities that are an ancillary service market participant and also a balancing power market participant, for which they are registered in the ancillary service settlement account for the ancillary service units, selected to provide control services, and also have the qualification of balancing units. If it is determined that the secondary frequency control service is not provided as a result of the monitoring carried out in accordance with Article 29, no imbalance repayment shall be made.</w:t>
      </w:r>
    </w:p>
    <w:p w14:paraId="6D9A41A9" w14:textId="77777777" w:rsidR="00171C59" w:rsidRPr="009E1B38" w:rsidRDefault="00171C59" w:rsidP="00171C59">
      <w:pPr>
        <w:pStyle w:val="P68B1DB1-Normal7"/>
        <w:ind w:left="709"/>
        <w:jc w:val="left"/>
        <w:rPr>
          <w:lang w:val="en-US"/>
        </w:rPr>
      </w:pPr>
      <w:r w:rsidRPr="009E1B38">
        <w:rPr>
          <w:lang w:val="en-US"/>
        </w:rPr>
        <w:t>(4) For an invoicing period, the energy imbalance amount in each hour of each ancillary service unit, which also has balancing unit quality, shall be calculated according to the following formula:</w:t>
      </w:r>
    </w:p>
    <w:p w14:paraId="51D5E68E" w14:textId="77777777" w:rsidR="00171C59" w:rsidRPr="009E1B38" w:rsidRDefault="00171C59" w:rsidP="00171C59">
      <w:pPr>
        <w:pStyle w:val="P68B1DB1-Normal7"/>
        <w:ind w:left="709"/>
        <w:jc w:val="left"/>
        <w:rPr>
          <w:lang w:val="en-US"/>
        </w:rPr>
      </w:pPr>
      <w:r w:rsidRPr="009E1B38">
        <w:rPr>
          <w:noProof/>
        </w:rPr>
        <w:drawing>
          <wp:inline distT="0" distB="0" distL="0" distR="0" wp14:anchorId="4EA16173" wp14:editId="202456AA">
            <wp:extent cx="3105150" cy="742950"/>
            <wp:effectExtent l="0" t="0" r="0" b="0"/>
            <wp:docPr id="3" name="IMG166" descr="http://www.lexpera.com.tr/Appendix/PUBLICATION_TR/images/RG801Y2021N31377P4_375235100_1.JPG">
              <a:hlinkClick xmlns:a="http://schemas.openxmlformats.org/drawingml/2006/main" r:id="rId1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6" descr="http://www.lexpera.com.tr/Appendix/PUBLICATION_TR/images/RG801Y2021N31377P4_375235100_1.JPG">
                      <a:hlinkClick r:id="rId18" tgtFrame="&quot;_blank&quot;" tooltip="&quot;&quot;"/>
                    </pic:cNvPr>
                    <pic:cNvPicPr>
                      <a:picLocks noChangeAspect="1" noChangeArrowheads="1"/>
                    </pic:cNvPicPr>
                  </pic:nvPicPr>
                  <pic:blipFill>
                    <a:blip r:link="rId19">
                      <a:extLst>
                        <a:ext uri="{28A0092B-C50C-407E-A947-70E740481C1C}">
                          <a14:useLocalDpi xmlns:a14="http://schemas.microsoft.com/office/drawing/2010/main" val="0"/>
                        </a:ext>
                      </a:extLst>
                    </a:blip>
                    <a:srcRect/>
                    <a:stretch>
                      <a:fillRect/>
                    </a:stretch>
                  </pic:blipFill>
                  <pic:spPr bwMode="auto">
                    <a:xfrm>
                      <a:off x="0" y="0"/>
                      <a:ext cx="3105150" cy="742950"/>
                    </a:xfrm>
                    <a:prstGeom prst="rect">
                      <a:avLst/>
                    </a:prstGeom>
                    <a:noFill/>
                    <a:ln>
                      <a:noFill/>
                    </a:ln>
                  </pic:spPr>
                </pic:pic>
              </a:graphicData>
            </a:graphic>
          </wp:inline>
        </w:drawing>
      </w:r>
    </w:p>
    <w:p w14:paraId="15FAC0A9" w14:textId="77777777" w:rsidR="00171C59" w:rsidRPr="009E1B38" w:rsidRDefault="00171C59" w:rsidP="00171C59">
      <w:pPr>
        <w:pStyle w:val="P68B1DB1-Normal7"/>
        <w:spacing w:after="0"/>
        <w:ind w:left="709"/>
        <w:jc w:val="left"/>
        <w:rPr>
          <w:lang w:val="en-US"/>
        </w:rPr>
      </w:pPr>
      <w:r w:rsidRPr="009E1B38">
        <w:rPr>
          <w:lang w:val="en-US"/>
        </w:rPr>
        <w:t>(5) In the formula in the fourth paragraph; the following means as follows:</w:t>
      </w:r>
    </w:p>
    <w:p w14:paraId="4FBDDC86" w14:textId="77777777" w:rsidR="00171C59" w:rsidRPr="009E1B38" w:rsidRDefault="00171C59" w:rsidP="00171C59">
      <w:pPr>
        <w:pStyle w:val="P68B1DB1-Normal7"/>
        <w:spacing w:after="0"/>
        <w:ind w:left="709"/>
        <w:jc w:val="left"/>
        <w:rPr>
          <w:lang w:val="en-US"/>
        </w:rPr>
      </w:pPr>
      <w:r w:rsidRPr="009E1B38">
        <w:rPr>
          <w:lang w:val="en-US"/>
        </w:rPr>
        <w:t>a) GÖDMf, y, s: The imbalance amount (MWh) to be taken as a basis in the calculation of the imbalance repayment to be made to the relevant ancillary service market participant, regarding the energy imbalances caused by the secondary frequency control service provided by the ancillary service unit “y” for the hour “s” of the invoicing period “f”,</w:t>
      </w:r>
    </w:p>
    <w:p w14:paraId="41C1E54F" w14:textId="77777777" w:rsidR="00171C59" w:rsidRPr="009E1B38" w:rsidRDefault="00171C59" w:rsidP="00171C59">
      <w:pPr>
        <w:pStyle w:val="P68B1DB1-Normal7"/>
        <w:spacing w:after="0"/>
        <w:ind w:left="709"/>
        <w:jc w:val="left"/>
        <w:rPr>
          <w:lang w:val="en-US"/>
        </w:rPr>
      </w:pPr>
      <w:r w:rsidRPr="009E1B38">
        <w:rPr>
          <w:lang w:val="en-US"/>
        </w:rPr>
        <w:t>b) DMf,y,s: the imbalance amount (MWh) of the ancillary service unit "y" for the hour "s" of the invoicing period "f",</w:t>
      </w:r>
    </w:p>
    <w:p w14:paraId="4686DF5E" w14:textId="77777777" w:rsidR="00171C59" w:rsidRPr="009E1B38" w:rsidRDefault="00171C59" w:rsidP="00171C59">
      <w:pPr>
        <w:pStyle w:val="P68B1DB1-Normal7"/>
        <w:spacing w:after="0"/>
        <w:ind w:left="709"/>
        <w:jc w:val="left"/>
        <w:rPr>
          <w:lang w:val="en-US"/>
        </w:rPr>
      </w:pPr>
      <w:r w:rsidRPr="009E1B38">
        <w:rPr>
          <w:lang w:val="en-US"/>
        </w:rPr>
        <w:t>c) Pgeni: The generation amount (MW) realized at the gross generation point by the ancillary service units participating in the secondary frequency control service,</w:t>
      </w:r>
    </w:p>
    <w:p w14:paraId="3F33E08E" w14:textId="77777777" w:rsidR="00171C59" w:rsidRPr="009E1B38" w:rsidRDefault="00171C59" w:rsidP="00171C59">
      <w:pPr>
        <w:pStyle w:val="P68B1DB1-Normal7"/>
        <w:spacing w:after="0"/>
        <w:ind w:left="709"/>
        <w:jc w:val="left"/>
        <w:rPr>
          <w:lang w:val="en-US"/>
        </w:rPr>
      </w:pPr>
      <w:r w:rsidRPr="009E1B38">
        <w:rPr>
          <w:lang w:val="en-US"/>
        </w:rPr>
        <w:t>ç) MAXCi: The maximum value of the ancillary service units participating in the secondary frequency control service,</w:t>
      </w:r>
    </w:p>
    <w:p w14:paraId="443A8565" w14:textId="77777777" w:rsidR="00171C59" w:rsidRPr="009E1B38" w:rsidRDefault="00171C59" w:rsidP="00171C59">
      <w:pPr>
        <w:pStyle w:val="P68B1DB1-Normal7"/>
        <w:spacing w:after="0"/>
        <w:ind w:left="709"/>
        <w:jc w:val="left"/>
        <w:rPr>
          <w:lang w:val="en-US"/>
        </w:rPr>
      </w:pPr>
      <w:r w:rsidRPr="009E1B38">
        <w:rPr>
          <w:lang w:val="en-US"/>
        </w:rPr>
        <w:t>d) MINCi: The minimum value of the ancillary service units participating in the secondary frequency control service,</w:t>
      </w:r>
    </w:p>
    <w:p w14:paraId="141C5D6B" w14:textId="77777777" w:rsidR="00171C59" w:rsidRPr="009E1B38" w:rsidRDefault="00171C59" w:rsidP="00171C59">
      <w:pPr>
        <w:pStyle w:val="P68B1DB1-Normal7"/>
        <w:spacing w:after="0"/>
        <w:ind w:left="709"/>
        <w:jc w:val="left"/>
        <w:rPr>
          <w:lang w:val="en-US"/>
        </w:rPr>
      </w:pPr>
      <w:r w:rsidRPr="009E1B38">
        <w:rPr>
          <w:lang w:val="en-US"/>
        </w:rPr>
        <w:t>e) Rsfky,f,s: The obligated secondary reserve amount of the ancillary service unit "y" for the hour "s" of the invoicing period "f",</w:t>
      </w:r>
    </w:p>
    <w:p w14:paraId="1F3890AA" w14:textId="77777777" w:rsidR="00171C59" w:rsidRPr="009E1B38" w:rsidRDefault="00171C59" w:rsidP="00171C59">
      <w:pPr>
        <w:pStyle w:val="P68B1DB1-Normal7"/>
        <w:spacing w:after="0"/>
        <w:ind w:left="709"/>
        <w:jc w:val="left"/>
        <w:rPr>
          <w:lang w:val="en-US"/>
        </w:rPr>
      </w:pPr>
      <w:r w:rsidRPr="009E1B38">
        <w:rPr>
          <w:lang w:val="en-US"/>
        </w:rPr>
        <w:lastRenderedPageBreak/>
        <w:t>f) Ksfkf,s,i: If the instantaneous response of the ancillary service unit "y", which has the secondary reserve obligation for the hour "s" of the invoicing period "f", to the signals transmitted from the automatic generation control program is within the tolerance, the coefficient is equal to "1", and "0" in other cases,</w:t>
      </w:r>
    </w:p>
    <w:p w14:paraId="58128579" w14:textId="77777777" w:rsidR="00171C59" w:rsidRPr="009E1B38" w:rsidRDefault="00171C59" w:rsidP="00171C59">
      <w:pPr>
        <w:pStyle w:val="P68B1DB1-Normal7"/>
        <w:spacing w:after="0"/>
        <w:ind w:left="709"/>
        <w:jc w:val="left"/>
        <w:rPr>
          <w:lang w:val="en-US"/>
        </w:rPr>
      </w:pPr>
      <w:r w:rsidRPr="009E1B38">
        <w:rPr>
          <w:lang w:val="en-US"/>
        </w:rPr>
        <w:t>g) i: The number of signals transmitted in 4 (four) seconds periods from the Automatic Generation Control (AGC) system/interface to the ancillary service unit "y" with secondary reserve obligation for the hour "s" of the invoicing period "f",</w:t>
      </w:r>
    </w:p>
    <w:p w14:paraId="59976A3E" w14:textId="77777777" w:rsidR="00171C59" w:rsidRPr="009E1B38" w:rsidRDefault="00171C59" w:rsidP="00171C59">
      <w:pPr>
        <w:pStyle w:val="P68B1DB1-Normal7"/>
        <w:ind w:left="709"/>
        <w:jc w:val="left"/>
        <w:rPr>
          <w:lang w:val="en-US"/>
        </w:rPr>
      </w:pPr>
    </w:p>
    <w:p w14:paraId="20D3ACF5" w14:textId="77777777" w:rsidR="00171C59" w:rsidRPr="009E1B38" w:rsidRDefault="00171C59" w:rsidP="00171C59">
      <w:pPr>
        <w:pStyle w:val="P68B1DB1-Normal7"/>
        <w:ind w:left="709"/>
        <w:jc w:val="left"/>
        <w:rPr>
          <w:lang w:val="en-US"/>
        </w:rPr>
      </w:pPr>
      <w:r w:rsidRPr="009E1B38">
        <w:rPr>
          <w:lang w:val="en-US"/>
        </w:rPr>
        <w:t>(6) Amount of imbalances occurred due to secondary frequency control service shall be calculated by TEİAŞ and sent to EPİAŞ for calculation of imbalance repayment. "</w:t>
      </w:r>
    </w:p>
    <w:p w14:paraId="739F0413"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Article 29</w:t>
      </w:r>
      <w:r w:rsidRPr="009E1B38">
        <w:rPr>
          <w:i/>
          <w:lang w:val="en-US"/>
        </w:rPr>
        <w:t xml:space="preserve"> titled "Monitoring of frequency control</w:t>
      </w:r>
      <w:r w:rsidRPr="009E1B38">
        <w:rPr>
          <w:lang w:val="en-US"/>
        </w:rPr>
        <w:t>" has been amended as follows.</w:t>
      </w:r>
    </w:p>
    <w:p w14:paraId="366C3B46" w14:textId="77777777" w:rsidR="00171C59" w:rsidRPr="009E1B38" w:rsidRDefault="00171C59" w:rsidP="00171C59">
      <w:pPr>
        <w:pStyle w:val="P68B1DB1-Normal8"/>
        <w:ind w:left="709"/>
        <w:jc w:val="left"/>
        <w:rPr>
          <w:lang w:val="en-US"/>
        </w:rPr>
      </w:pPr>
      <w:r w:rsidRPr="009E1B38">
        <w:rPr>
          <w:lang w:val="en-US"/>
        </w:rPr>
        <w:t>"ARTICLE 29</w:t>
      </w:r>
    </w:p>
    <w:p w14:paraId="712AB555" w14:textId="77777777" w:rsidR="00171C59" w:rsidRPr="009E1B38" w:rsidRDefault="00171C59" w:rsidP="00171C59">
      <w:pPr>
        <w:pStyle w:val="P68B1DB1-Normal7"/>
        <w:spacing w:after="0"/>
        <w:ind w:left="709"/>
        <w:jc w:val="left"/>
        <w:rPr>
          <w:lang w:val="en-US"/>
        </w:rPr>
      </w:pPr>
      <w:r w:rsidRPr="009E1B38">
        <w:rPr>
          <w:lang w:val="en-US"/>
        </w:rPr>
        <w:t>(1) TEİAŞ shall take the following data and information into account in order to monitor the primary and/or secondary frequency control reserves produced as a result of the procurement process or through the transfer of obligation, and to determine whether these services can be provided by ancillary service units:</w:t>
      </w:r>
    </w:p>
    <w:p w14:paraId="0E7B73F8" w14:textId="77777777" w:rsidR="00171C59" w:rsidRPr="009E1B38" w:rsidRDefault="00171C59" w:rsidP="00171C59">
      <w:pPr>
        <w:pStyle w:val="P68B1DB1-Normal7"/>
        <w:spacing w:after="0"/>
        <w:ind w:left="709"/>
        <w:jc w:val="left"/>
        <w:rPr>
          <w:lang w:val="en-US"/>
        </w:rPr>
      </w:pPr>
      <w:r w:rsidRPr="009E1B38">
        <w:rPr>
          <w:lang w:val="en-US"/>
        </w:rPr>
        <w:t>a) Data and information obtained from the SCADA system of TEİAŞ or through power quality analysis devices of TEİAŞ,</w:t>
      </w:r>
    </w:p>
    <w:p w14:paraId="311CAEC3" w14:textId="77777777" w:rsidR="00171C59" w:rsidRPr="009E1B38" w:rsidRDefault="00171C59" w:rsidP="00171C59">
      <w:pPr>
        <w:pStyle w:val="P68B1DB1-Normal7"/>
        <w:spacing w:after="0"/>
        <w:ind w:left="709"/>
        <w:jc w:val="left"/>
        <w:rPr>
          <w:lang w:val="en-US"/>
        </w:rPr>
      </w:pPr>
      <w:r w:rsidRPr="009E1B38">
        <w:rPr>
          <w:lang w:val="en-US"/>
        </w:rPr>
        <w:t>b) Data and information obtained from the recording devices in the ancillary service units providing primary and / or secondary frequency control service.</w:t>
      </w:r>
    </w:p>
    <w:p w14:paraId="34693520" w14:textId="77777777" w:rsidR="00171C59" w:rsidRPr="009E1B38" w:rsidRDefault="00171C59" w:rsidP="00171C59">
      <w:pPr>
        <w:pStyle w:val="P68B1DB1-Normal7"/>
        <w:ind w:left="709"/>
        <w:jc w:val="left"/>
        <w:rPr>
          <w:lang w:val="en-US"/>
        </w:rPr>
      </w:pPr>
      <w:r w:rsidRPr="009E1B38">
        <w:rPr>
          <w:lang w:val="en-US"/>
        </w:rPr>
        <w:t>c) Notifications made by relevant ancillary service market participants through ASMMS.</w:t>
      </w:r>
    </w:p>
    <w:p w14:paraId="4327CEA3" w14:textId="77777777" w:rsidR="00171C59" w:rsidRPr="009E1B38" w:rsidRDefault="00171C59" w:rsidP="00171C59">
      <w:pPr>
        <w:pStyle w:val="P68B1DB1-Normal7"/>
        <w:ind w:left="709"/>
        <w:jc w:val="left"/>
        <w:rPr>
          <w:lang w:val="en-US"/>
        </w:rPr>
      </w:pPr>
      <w:r w:rsidRPr="009E1B38">
        <w:rPr>
          <w:lang w:val="en-US"/>
        </w:rPr>
        <w:t>(2) The final day ahead generation / consumption program notifications, which are made to TEİAŞ via ASMMS, and capacity and minimum stable generation levels shall be taken into account for the availability status of ancillary service units of the ancillary service market participant legal entities. The SCADA data of TEİAŞ and the data obtained through power quality analysis devices of TEİAŞ are used primarily. In cases where the data of TEİAŞ SCADA or power quality analysis devices of TEİAŞ are not available and/or insufficient for evaluation, the data obtained from the recording devices in the said plants sent by the ancillary service unit shall be used. The issues such as the sending of daily frequency control data to TEİAŞ by the ancillary service units, which are participating in the service, shall be included in the participation agreements.</w:t>
      </w:r>
    </w:p>
    <w:p w14:paraId="692F1E07" w14:textId="77777777" w:rsidR="00171C59" w:rsidRPr="009E1B38" w:rsidRDefault="00171C59" w:rsidP="00171C59">
      <w:pPr>
        <w:pStyle w:val="P68B1DB1-Normal7"/>
        <w:ind w:left="709"/>
        <w:jc w:val="left"/>
        <w:rPr>
          <w:lang w:val="en-US"/>
        </w:rPr>
      </w:pPr>
      <w:r w:rsidRPr="009E1B38">
        <w:rPr>
          <w:lang w:val="en-US"/>
        </w:rPr>
        <w:t>(3) In the absence of data obtained through TEİAŞ SCADA, or power quality analysis devices of TEİAŞ, or data to be obtained from ancillary service units, the relevant ancillary service units shall be considered not to have provided the primary and/or secondary frequency control reserves that they did not transfer.</w:t>
      </w:r>
    </w:p>
    <w:p w14:paraId="4F9FD213" w14:textId="77777777" w:rsidR="00171C59" w:rsidRPr="009E1B38" w:rsidRDefault="00171C59" w:rsidP="00171C59">
      <w:pPr>
        <w:pStyle w:val="P68B1DB1-Normal7"/>
        <w:spacing w:after="0"/>
        <w:ind w:left="709"/>
        <w:jc w:val="left"/>
        <w:rPr>
          <w:lang w:val="en-US"/>
        </w:rPr>
      </w:pPr>
      <w:r w:rsidRPr="009E1B38">
        <w:rPr>
          <w:lang w:val="en-US"/>
        </w:rPr>
        <w:t>(4) Monitoring of ancillary service units, participating in primary frequency control service, shall be performed on an hourly basis as follows.</w:t>
      </w:r>
    </w:p>
    <w:p w14:paraId="414B1372" w14:textId="77777777" w:rsidR="00171C59" w:rsidRPr="009E1B38" w:rsidRDefault="00171C59" w:rsidP="00171C59">
      <w:pPr>
        <w:pStyle w:val="P68B1DB1-Normal7"/>
        <w:spacing w:after="0"/>
        <w:ind w:left="709"/>
        <w:jc w:val="left"/>
        <w:rPr>
          <w:lang w:val="en-US"/>
        </w:rPr>
      </w:pPr>
      <w:r w:rsidRPr="009E1B38">
        <w:rPr>
          <w:lang w:val="en-US"/>
        </w:rPr>
        <w:t>a) In line with the mathematical model specified in Annex-1; the expected active output power values shall be calculated by assuming that the ancillary service units maintain the amount of primary frequency control reserve undertaken under the actual frequency deviation in the system and under the obligation as per Article 13, or by transfer of the obligations as per Article 17.</w:t>
      </w:r>
    </w:p>
    <w:p w14:paraId="7835CF82" w14:textId="77777777" w:rsidR="00171C59" w:rsidRPr="009E1B38" w:rsidRDefault="00171C59" w:rsidP="00171C59">
      <w:pPr>
        <w:pStyle w:val="P68B1DB1-Normal7"/>
        <w:spacing w:after="0"/>
        <w:ind w:left="709"/>
        <w:jc w:val="left"/>
        <w:rPr>
          <w:lang w:val="en-US"/>
        </w:rPr>
      </w:pPr>
      <w:r w:rsidRPr="009E1B38">
        <w:rPr>
          <w:lang w:val="en-US"/>
        </w:rPr>
        <w:t xml:space="preserve">b) The tolerance range is determined by adding ± 1% of the total installed power of the units participating in the primary frequency control service to the calculations of the obtained active output </w:t>
      </w:r>
      <w:r w:rsidRPr="009E1B38">
        <w:rPr>
          <w:lang w:val="en-US"/>
        </w:rPr>
        <w:lastRenderedPageBreak/>
        <w:t>power values. As per the first and second paragraphs, it shall be determined whether or not the obtained ancillary service unit active output power data is within this tolerance range.</w:t>
      </w:r>
    </w:p>
    <w:p w14:paraId="436698ED" w14:textId="77777777" w:rsidR="00171C59" w:rsidRPr="009E1B38" w:rsidRDefault="00171C59" w:rsidP="00171C59">
      <w:pPr>
        <w:pStyle w:val="P68B1DB1-Normal7"/>
        <w:spacing w:after="0"/>
        <w:ind w:left="709"/>
        <w:jc w:val="left"/>
        <w:rPr>
          <w:lang w:val="en-US"/>
        </w:rPr>
      </w:pPr>
      <w:r w:rsidRPr="009E1B38">
        <w:rPr>
          <w:lang w:val="en-US"/>
        </w:rPr>
        <w:t>c) If the duration when active output power data of the supply/draw unit based on the settlement is out of the tolerance range for more than 10% of the related time, it shall be accepted that the related ancillary service units did not provide primary frequency control service for the monitored hour.</w:t>
      </w:r>
    </w:p>
    <w:p w14:paraId="520588C0" w14:textId="2AECAEDA" w:rsidR="00171C59" w:rsidRPr="009E1B38" w:rsidRDefault="00171C59" w:rsidP="00171C59">
      <w:pPr>
        <w:pStyle w:val="P68B1DB1-Normal7"/>
        <w:ind w:left="709"/>
        <w:jc w:val="left"/>
        <w:rPr>
          <w:lang w:val="en-US"/>
        </w:rPr>
      </w:pPr>
      <w:r w:rsidRPr="009E1B38">
        <w:rPr>
          <w:lang w:val="en-US"/>
        </w:rPr>
        <w:t xml:space="preserve">ç) In case of changes in the MAXC-MINC values of an ancillary service unit participating in the primary </w:t>
      </w:r>
      <w:r w:rsidR="009E1B38" w:rsidRPr="009E1B38">
        <w:rPr>
          <w:lang w:val="en-US"/>
        </w:rPr>
        <w:t>frequency</w:t>
      </w:r>
      <w:r w:rsidRPr="009E1B38">
        <w:rPr>
          <w:lang w:val="en-US"/>
        </w:rPr>
        <w:t xml:space="preserve"> control service in the SCADA system of TEİAŞ, except when they receive loading and deloading instructions, face DDGP changes or failure notifications, it shall be accepted that they did not provide the primary frequency control service for the relevant hour.</w:t>
      </w:r>
    </w:p>
    <w:p w14:paraId="395C009F" w14:textId="77777777" w:rsidR="00171C59" w:rsidRPr="009E1B38" w:rsidRDefault="00171C59" w:rsidP="00171C59">
      <w:pPr>
        <w:pStyle w:val="P68B1DB1-Normal7"/>
        <w:spacing w:after="0"/>
        <w:ind w:left="709"/>
        <w:jc w:val="left"/>
        <w:rPr>
          <w:lang w:val="en-US"/>
        </w:rPr>
      </w:pPr>
      <w:r w:rsidRPr="009E1B38">
        <w:rPr>
          <w:lang w:val="en-US"/>
        </w:rPr>
        <w:t>(5) Monitoring of ancillary service units participating in secondary frequency control service is performed as follows:</w:t>
      </w:r>
    </w:p>
    <w:p w14:paraId="1990A98F" w14:textId="77777777" w:rsidR="00171C59" w:rsidRPr="009E1B38" w:rsidRDefault="00171C59" w:rsidP="00171C59">
      <w:pPr>
        <w:pStyle w:val="P68B1DB1-Normal7"/>
        <w:spacing w:after="0"/>
        <w:ind w:left="709"/>
        <w:jc w:val="left"/>
        <w:rPr>
          <w:lang w:val="en-US"/>
        </w:rPr>
      </w:pPr>
      <w:r w:rsidRPr="009E1B38">
        <w:rPr>
          <w:lang w:val="en-US"/>
        </w:rPr>
        <w:t>a) In line with the mathematical model specified in Annex-1, the expected output power values shall be calculated by taking active power reference value sent by automatic generation control system of ancillary service units into account and by assuming that they maintain the secondary frequency control reserve amount they undertake either as per Article 21, or as per Article 25 by obligation transfer.</w:t>
      </w:r>
    </w:p>
    <w:p w14:paraId="5DC58599" w14:textId="77777777" w:rsidR="00171C59" w:rsidRPr="009E1B38" w:rsidRDefault="00171C59" w:rsidP="00171C59">
      <w:pPr>
        <w:pStyle w:val="P68B1DB1-Normal7"/>
        <w:spacing w:after="0"/>
        <w:ind w:left="709"/>
        <w:jc w:val="left"/>
        <w:rPr>
          <w:lang w:val="en-US"/>
        </w:rPr>
      </w:pPr>
      <w:r w:rsidRPr="009E1B38">
        <w:rPr>
          <w:lang w:val="en-US"/>
        </w:rPr>
        <w:t>b) The tolerance range shall be determined by adding ± 10% of the secondary frequency control reserve to the active output power values obtained as a result of the calculations. As per the first and second paragraphs, it shall be determined whether or not the obtained ancillary service unit active output power data is within this tolerance range.</w:t>
      </w:r>
    </w:p>
    <w:p w14:paraId="7DA336B0" w14:textId="77777777" w:rsidR="00171C59" w:rsidRPr="009E1B38" w:rsidRDefault="00171C59" w:rsidP="00171C59">
      <w:pPr>
        <w:pStyle w:val="P68B1DB1-Normal7"/>
        <w:spacing w:after="0"/>
        <w:ind w:left="709"/>
        <w:jc w:val="left"/>
        <w:rPr>
          <w:lang w:val="en-US"/>
        </w:rPr>
      </w:pPr>
      <w:r w:rsidRPr="009E1B38">
        <w:rPr>
          <w:lang w:val="en-US"/>
        </w:rPr>
        <w:t>c) The secondary frequency control monitoring results of the relevant generation plant for the relevant hour are evaluated in accordance with the following considerations, taking the time when the ancillary service unit active output power data is out of the tolerance range into account:</w:t>
      </w:r>
    </w:p>
    <w:p w14:paraId="797604A8" w14:textId="77777777" w:rsidR="00171C59" w:rsidRPr="009E1B38" w:rsidRDefault="00171C59" w:rsidP="00171C59">
      <w:pPr>
        <w:pStyle w:val="P68B1DB1-Normal7"/>
        <w:spacing w:after="0"/>
        <w:ind w:left="709"/>
        <w:jc w:val="left"/>
        <w:rPr>
          <w:lang w:val="en-US"/>
        </w:rPr>
      </w:pPr>
      <w:r w:rsidRPr="009E1B38">
        <w:rPr>
          <w:lang w:val="en-US"/>
        </w:rPr>
        <w:t>1) If the duration of exceeding the tolerance range is equal to or less than 10% of the relevant settlement period, it is considered as "provided".</w:t>
      </w:r>
    </w:p>
    <w:p w14:paraId="3F9D91A6" w14:textId="77777777" w:rsidR="00171C59" w:rsidRPr="009E1B38" w:rsidRDefault="00171C59" w:rsidP="00171C59">
      <w:pPr>
        <w:pStyle w:val="P68B1DB1-Normal7"/>
        <w:spacing w:after="0"/>
        <w:ind w:left="709"/>
        <w:jc w:val="left"/>
        <w:rPr>
          <w:lang w:val="en-US"/>
        </w:rPr>
      </w:pPr>
      <w:r w:rsidRPr="009E1B38">
        <w:rPr>
          <w:lang w:val="en-US"/>
        </w:rPr>
        <w:t>2) If the duration of exceeding the tolerance range is greater than 10% and less than 50% of the relevant settlement period, it is considered as "not provided".</w:t>
      </w:r>
    </w:p>
    <w:p w14:paraId="1AE96772" w14:textId="77777777" w:rsidR="00171C59" w:rsidRPr="009E1B38" w:rsidRDefault="00171C59" w:rsidP="00171C59">
      <w:pPr>
        <w:pStyle w:val="P68B1DB1-Normal7"/>
        <w:spacing w:after="0"/>
        <w:ind w:left="709"/>
        <w:jc w:val="left"/>
        <w:rPr>
          <w:lang w:val="en-US"/>
        </w:rPr>
      </w:pPr>
      <w:r w:rsidRPr="009E1B38">
        <w:rPr>
          <w:lang w:val="en-US"/>
        </w:rPr>
        <w:t>3) If the duration of exceeding the tolerance range is equal or greater than 50% of the relevant settlement period, it is considered as "not participated".</w:t>
      </w:r>
    </w:p>
    <w:p w14:paraId="0732479A" w14:textId="77777777" w:rsidR="00171C59" w:rsidRPr="009E1B38" w:rsidRDefault="00171C59" w:rsidP="00171C59">
      <w:pPr>
        <w:pStyle w:val="P68B1DB1-Normal7"/>
        <w:spacing w:after="0"/>
        <w:ind w:left="709"/>
        <w:jc w:val="left"/>
        <w:rPr>
          <w:lang w:val="en-US"/>
        </w:rPr>
      </w:pPr>
      <w:r w:rsidRPr="009E1B38">
        <w:rPr>
          <w:lang w:val="en-US"/>
        </w:rPr>
        <w:t>ç) If the ancillary service units, included in the Secondary Frequency Control service by TEİAŞ with the additional reserve instruction, have received this additional reserve instruction within the hour in which the service will be performed or less than 15 minutes before the hour in which the service will be performed, it is checked whether the service is performed within the 10% tolerance for the time remaining from the minute the service they commence to provide until the end of the hour. In this case, the secondary service fee to be paid to the power plants for that hour shall be calculated by multiplying the sum of the minutes they have provided the service with the ratio obtained by dividing those minutes by 60.</w:t>
      </w:r>
    </w:p>
    <w:p w14:paraId="2EF1817D" w14:textId="4DE8D09D" w:rsidR="00171C59" w:rsidRPr="009E1B38" w:rsidRDefault="00171C59" w:rsidP="00171C59">
      <w:pPr>
        <w:pStyle w:val="P68B1DB1-Normal7"/>
        <w:ind w:left="709"/>
        <w:jc w:val="left"/>
        <w:rPr>
          <w:lang w:val="en-US"/>
        </w:rPr>
      </w:pPr>
      <w:r w:rsidRPr="009E1B38">
        <w:rPr>
          <w:lang w:val="en-US"/>
        </w:rPr>
        <w:t xml:space="preserve">d) In case of changes in the MAXC-MINC values of an ancillary service unit participating in the secondary </w:t>
      </w:r>
      <w:r w:rsidR="009E1B38" w:rsidRPr="009E1B38">
        <w:rPr>
          <w:lang w:val="en-US"/>
        </w:rPr>
        <w:t>frequency</w:t>
      </w:r>
      <w:r w:rsidRPr="009E1B38">
        <w:rPr>
          <w:lang w:val="en-US"/>
        </w:rPr>
        <w:t xml:space="preserve"> control service in the SCADA system of TEİAŞ, except when they receive loading and deloading instructions, face DDGP changes or failure notifications, it shall be accepted that they did not provide the secondary frequency control service for the relevant hour.</w:t>
      </w:r>
    </w:p>
    <w:p w14:paraId="02016823" w14:textId="77777777" w:rsidR="00171C59" w:rsidRPr="009E1B38" w:rsidRDefault="00171C59" w:rsidP="00171C59">
      <w:pPr>
        <w:pStyle w:val="P68B1DB1-Normal7"/>
        <w:ind w:left="709"/>
        <w:jc w:val="left"/>
        <w:rPr>
          <w:lang w:val="en-US"/>
        </w:rPr>
      </w:pPr>
      <w:r w:rsidRPr="009E1B38">
        <w:rPr>
          <w:lang w:val="en-US"/>
        </w:rPr>
        <w:t>(6) Monitoring of generation plants, which are simultaneously participating in primary and secondary frequency control services, is carried out as follows:</w:t>
      </w:r>
    </w:p>
    <w:p w14:paraId="0B04C462" w14:textId="1683C94B" w:rsidR="00171C59" w:rsidRPr="009E1B38" w:rsidRDefault="00171C59" w:rsidP="00171C59">
      <w:pPr>
        <w:pStyle w:val="P68B1DB1-Normal7"/>
        <w:spacing w:after="0"/>
        <w:ind w:left="709"/>
        <w:jc w:val="left"/>
        <w:rPr>
          <w:lang w:val="en-US"/>
        </w:rPr>
      </w:pPr>
      <w:r w:rsidRPr="009E1B38">
        <w:rPr>
          <w:lang w:val="en-US"/>
        </w:rPr>
        <w:t xml:space="preserve">a) In line with the mathematical model specified in Annex-1, the expected output power values shall be calculated by taking active power reference value sent by automatic generation control system of ancillary service units into account and by assuming that they maintain the obligation to provide the primary and secondary frequency control reserve amount they undertake either as per Article 13 and </w:t>
      </w:r>
      <w:r w:rsidRPr="009E1B38">
        <w:rPr>
          <w:lang w:val="en-US"/>
        </w:rPr>
        <w:lastRenderedPageBreak/>
        <w:t xml:space="preserve">21, or the obligation they undertake by obligation transfer to maintain the primary and secondary </w:t>
      </w:r>
      <w:r w:rsidR="009E1B38" w:rsidRPr="009E1B38">
        <w:rPr>
          <w:lang w:val="en-US"/>
        </w:rPr>
        <w:t>frequency</w:t>
      </w:r>
      <w:r w:rsidRPr="009E1B38">
        <w:rPr>
          <w:lang w:val="en-US"/>
        </w:rPr>
        <w:t xml:space="preserve"> control reserve amount, as per Article 17 and 25.</w:t>
      </w:r>
    </w:p>
    <w:p w14:paraId="50EEA9E3" w14:textId="77777777" w:rsidR="00171C59" w:rsidRPr="009E1B38" w:rsidRDefault="00171C59" w:rsidP="00171C59">
      <w:pPr>
        <w:pStyle w:val="P68B1DB1-Normal7"/>
        <w:spacing w:after="0"/>
        <w:ind w:left="709"/>
        <w:jc w:val="left"/>
        <w:rPr>
          <w:lang w:val="en-US"/>
        </w:rPr>
      </w:pPr>
      <w:r w:rsidRPr="009E1B38">
        <w:rPr>
          <w:lang w:val="en-US"/>
        </w:rPr>
        <w:t>b) The tolerance range shall be determined by adding ± 10% of the sum of primary and secondary frequency control reserves to the active output power values obtained by calculations. As per the first and second paragraphs, it shall be determined whether or not the obtained ancillary service unit active output power data is within this tolerance range.</w:t>
      </w:r>
    </w:p>
    <w:p w14:paraId="6EF84278" w14:textId="77777777" w:rsidR="00171C59" w:rsidRPr="009E1B38" w:rsidRDefault="00171C59" w:rsidP="00171C59">
      <w:pPr>
        <w:pStyle w:val="P68B1DB1-Normal7"/>
        <w:spacing w:after="0"/>
        <w:ind w:left="709"/>
        <w:jc w:val="left"/>
        <w:rPr>
          <w:lang w:val="en-US"/>
        </w:rPr>
      </w:pPr>
      <w:r w:rsidRPr="009E1B38">
        <w:rPr>
          <w:lang w:val="en-US"/>
        </w:rPr>
        <w:t>c) The secondary frequency control monitoring results of the relevant generation plant for the relevant hour are evaluated in accordance with the following considerations, taking the time when the ancillary service unit active output power data is out of the tolerance range into account:</w:t>
      </w:r>
    </w:p>
    <w:p w14:paraId="451ADE6B" w14:textId="77777777" w:rsidR="00171C59" w:rsidRPr="009E1B38" w:rsidRDefault="00171C59" w:rsidP="00171C59">
      <w:pPr>
        <w:pStyle w:val="P68B1DB1-Normal7"/>
        <w:spacing w:after="0"/>
        <w:ind w:left="709"/>
        <w:jc w:val="left"/>
        <w:rPr>
          <w:lang w:val="en-US"/>
        </w:rPr>
      </w:pPr>
      <w:r w:rsidRPr="009E1B38">
        <w:rPr>
          <w:lang w:val="en-US"/>
        </w:rPr>
        <w:t>1) If the duration of exceeding the tolerance range is equal to or less than 10% of the relevant settlement period, it is considered as "provided".</w:t>
      </w:r>
    </w:p>
    <w:p w14:paraId="32D38D35" w14:textId="77777777" w:rsidR="00171C59" w:rsidRPr="009E1B38" w:rsidRDefault="00171C59" w:rsidP="00171C59">
      <w:pPr>
        <w:pStyle w:val="P68B1DB1-Normal7"/>
        <w:spacing w:after="0"/>
        <w:ind w:left="709"/>
        <w:jc w:val="left"/>
        <w:rPr>
          <w:lang w:val="en-US"/>
        </w:rPr>
      </w:pPr>
      <w:r w:rsidRPr="009E1B38">
        <w:rPr>
          <w:lang w:val="en-US"/>
        </w:rPr>
        <w:t>2) If the duration of exceeding the tolerance range is greater than 10% and less than 50% of the relevant settlement period, it is considered as "not provided".</w:t>
      </w:r>
    </w:p>
    <w:p w14:paraId="78DCF807" w14:textId="77777777" w:rsidR="00171C59" w:rsidRPr="009E1B38" w:rsidRDefault="00171C59" w:rsidP="00171C59">
      <w:pPr>
        <w:pStyle w:val="P68B1DB1-Normal7"/>
        <w:spacing w:after="0"/>
        <w:ind w:left="709"/>
        <w:jc w:val="left"/>
        <w:rPr>
          <w:lang w:val="en-US"/>
        </w:rPr>
      </w:pPr>
      <w:r w:rsidRPr="009E1B38">
        <w:rPr>
          <w:lang w:val="en-US"/>
        </w:rPr>
        <w:t>3) If the duration of exceeding the tolerance range is equal or greater than 50% of the relevant settlement period, it is considered as "not participated".</w:t>
      </w:r>
    </w:p>
    <w:p w14:paraId="50241336" w14:textId="5F5D7626" w:rsidR="00171C59" w:rsidRPr="009E1B38" w:rsidRDefault="00171C59" w:rsidP="00171C59">
      <w:pPr>
        <w:pStyle w:val="P68B1DB1-Normal7"/>
        <w:ind w:left="709"/>
        <w:jc w:val="left"/>
        <w:rPr>
          <w:lang w:val="en-US"/>
        </w:rPr>
      </w:pPr>
      <w:r w:rsidRPr="009E1B38">
        <w:rPr>
          <w:lang w:val="en-US"/>
        </w:rPr>
        <w:t xml:space="preserve">ç) In case of changes in the MAXC-MINC values of an ancillary service unit simultaneously participating in the primary and secondary </w:t>
      </w:r>
      <w:r w:rsidR="009E1B38" w:rsidRPr="009E1B38">
        <w:rPr>
          <w:lang w:val="en-US"/>
        </w:rPr>
        <w:t>frequency</w:t>
      </w:r>
      <w:r w:rsidRPr="009E1B38">
        <w:rPr>
          <w:lang w:val="en-US"/>
        </w:rPr>
        <w:t xml:space="preserve"> control service in the SCADA system of TEİAŞ, except when they receive loading and deloading instructions, face DDGP changes or failure notifications, it shall be accepted that they did not provide the primary frequency control service for the relevant hour.</w:t>
      </w:r>
    </w:p>
    <w:p w14:paraId="1301E366" w14:textId="77777777" w:rsidR="00171C59" w:rsidRPr="009E1B38" w:rsidRDefault="00171C59" w:rsidP="00171C59">
      <w:pPr>
        <w:pStyle w:val="P68B1DB1-Normal7"/>
        <w:spacing w:after="0"/>
        <w:ind w:left="709"/>
        <w:jc w:val="left"/>
        <w:rPr>
          <w:lang w:val="en-US"/>
        </w:rPr>
      </w:pPr>
      <w:r w:rsidRPr="009E1B38">
        <w:rPr>
          <w:lang w:val="en-US"/>
        </w:rPr>
        <w:t>(7) In the event that the ancillary service units, simultaneously participating in the primary frequency control (PFC) and secondary frequency control (SFC) services, report a failure for the entire obligation at the relevant hour within the scope of only one of the services and/or a situation that prevents the ancillary service unit from participating in only one of the services occurs before the time period in which the service is to be performed;</w:t>
      </w:r>
    </w:p>
    <w:p w14:paraId="4A7D7F4B" w14:textId="77777777" w:rsidR="00171C59" w:rsidRPr="009E1B38" w:rsidRDefault="00171C59" w:rsidP="00171C59">
      <w:pPr>
        <w:pStyle w:val="P68B1DB1-Normal7"/>
        <w:spacing w:after="0"/>
        <w:ind w:left="709"/>
        <w:jc w:val="left"/>
        <w:rPr>
          <w:lang w:val="en-US"/>
        </w:rPr>
      </w:pPr>
      <w:r w:rsidRPr="009E1B38">
        <w:rPr>
          <w:lang w:val="en-US"/>
        </w:rPr>
        <w:t>a) In the event that a situation prevents participation for the SFC service only, since the PFC service obligations of the ancillary service unit continue independently, the monitoring and control processes regarding the PFC service shall be carried out within the framework of the fourth paragraph.</w:t>
      </w:r>
    </w:p>
    <w:p w14:paraId="4B8945C6" w14:textId="77777777" w:rsidR="00171C59" w:rsidRPr="009E1B38" w:rsidRDefault="00171C59" w:rsidP="00171C59">
      <w:pPr>
        <w:pStyle w:val="P68B1DB1-Normal7"/>
        <w:spacing w:after="0"/>
        <w:ind w:left="709"/>
        <w:jc w:val="left"/>
        <w:rPr>
          <w:lang w:val="en-US"/>
        </w:rPr>
      </w:pPr>
      <w:r w:rsidRPr="009E1B38">
        <w:rPr>
          <w:lang w:val="en-US"/>
        </w:rPr>
        <w:t>b) In the event that a situation prevents participation for the PFC service only, since the SFC service obligations of the ancillary service unit continue independently, the monitoring and control processes regarding the SFC service shall be carried out within the framework of the fourth paragraph.</w:t>
      </w:r>
    </w:p>
    <w:p w14:paraId="6C469B7D" w14:textId="77777777" w:rsidR="00171C59" w:rsidRPr="009E1B38" w:rsidRDefault="00171C59" w:rsidP="00171C59">
      <w:pPr>
        <w:pStyle w:val="P68B1DB1-Normal7"/>
        <w:spacing w:after="0"/>
        <w:ind w:left="709"/>
        <w:jc w:val="left"/>
        <w:rPr>
          <w:lang w:val="en-US"/>
        </w:rPr>
      </w:pPr>
      <w:r w:rsidRPr="009E1B38">
        <w:rPr>
          <w:lang w:val="en-US"/>
        </w:rPr>
        <w:t>"</w:t>
      </w:r>
    </w:p>
    <w:p w14:paraId="6BC7ED17" w14:textId="77777777" w:rsidR="00171C59" w:rsidRPr="009E1B38" w:rsidRDefault="00171C59" w:rsidP="00171C59">
      <w:pPr>
        <w:spacing w:after="0"/>
        <w:ind w:left="709"/>
        <w:jc w:val="left"/>
        <w:rPr>
          <w:rFonts w:ascii="Times New Roman" w:hAnsi="Times New Roman"/>
          <w:i/>
        </w:rPr>
      </w:pPr>
    </w:p>
    <w:p w14:paraId="6FDF6DBC"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 xml:space="preserve">Article 30 titled </w:t>
      </w:r>
      <w:r w:rsidRPr="009E1B38">
        <w:rPr>
          <w:i/>
          <w:lang w:val="en-US"/>
        </w:rPr>
        <w:t>"The non-fulfillment fees related to primary frequency control"</w:t>
      </w:r>
      <w:r w:rsidRPr="009E1B38">
        <w:rPr>
          <w:lang w:val="en-US"/>
        </w:rPr>
        <w:t xml:space="preserve"> has been amended as follows.</w:t>
      </w:r>
    </w:p>
    <w:p w14:paraId="6981B22A" w14:textId="77777777" w:rsidR="00171C59" w:rsidRPr="009E1B38" w:rsidRDefault="00171C59" w:rsidP="00171C59">
      <w:pPr>
        <w:pStyle w:val="P68B1DB1-Normal8"/>
        <w:ind w:left="709"/>
        <w:jc w:val="left"/>
        <w:rPr>
          <w:lang w:val="en-US"/>
        </w:rPr>
      </w:pPr>
      <w:r w:rsidRPr="009E1B38">
        <w:rPr>
          <w:lang w:val="en-US"/>
        </w:rPr>
        <w:t>"ARTICLE 30</w:t>
      </w:r>
    </w:p>
    <w:p w14:paraId="2F9CF29D" w14:textId="77777777" w:rsidR="00171C59" w:rsidRPr="009E1B38" w:rsidRDefault="00171C59" w:rsidP="00171C59">
      <w:pPr>
        <w:pStyle w:val="P68B1DB1-Normal7"/>
        <w:ind w:left="709"/>
        <w:jc w:val="left"/>
        <w:rPr>
          <w:lang w:val="en-US"/>
        </w:rPr>
      </w:pPr>
      <w:r w:rsidRPr="009E1B38">
        <w:rPr>
          <w:lang w:val="en-US"/>
        </w:rPr>
        <w:t xml:space="preserve">(1) In the event that a legal entity that provides primary frequency control reserve within the scope of its obligation under Article 13 or that is a participant in the ancillary services market, which has undertaken an obligation by obligation transfer under Article 17, is notified in an amount less than its obligation, no capacity fee for the undeclared amount shall be paid, and in case that the reserve is less than the amount reported in real time, no capacity fee shall be paid for the entire obligation, for the settlement period in which the violation in question occurs. However, in case it is determined as a result of the monitoring made within the scope of Article 29 that an ancillary service unit, which has assumed an obligation under Article 13 or has taken over an obligation in effect under Article 17, does not provide the primary frequency control service, the relevant ancillary service market participant legal entity shall not be paid a capacity fee for the settlement period in which the violation is in question, and </w:t>
      </w:r>
      <w:r w:rsidRPr="009E1B38">
        <w:rPr>
          <w:lang w:val="en-US"/>
        </w:rPr>
        <w:lastRenderedPageBreak/>
        <w:t>25% of the primary frequency control capacity fee, predicted to be paid per MW, shall be applied; except in cases where it is out of service or if it falls below the minimum stable generation level (MSGL) due to an emergency deloading instruction received from TEİAŞ.</w:t>
      </w:r>
    </w:p>
    <w:p w14:paraId="33144674" w14:textId="77777777" w:rsidR="00171C59" w:rsidRPr="009E1B38" w:rsidRDefault="00171C59" w:rsidP="00171C59">
      <w:pPr>
        <w:pStyle w:val="P68B1DB1-Normal7"/>
        <w:ind w:left="709"/>
        <w:jc w:val="left"/>
        <w:rPr>
          <w:lang w:val="en-US"/>
        </w:rPr>
      </w:pPr>
      <w:r w:rsidRPr="009E1B38">
        <w:rPr>
          <w:lang w:val="en-US"/>
        </w:rPr>
        <w:t>(2) In cases where an ancillary service unit, that has undertaken an obligation under Article 13 or has taken over an obligation under Article 17 and is in effect, is unable to provide the primary frequency control reserve due to a malfunction that prevents it from participating in the primary frequency control service, or it is out of service due to unexpected operating conditions, or it falls below MSGL due to unexpected operating conditions, provided that it notifies TEİAŞ after the incident, first verbally and then via ASMSS within 1 (one) hour at the latest, including all or a part of the primary frequency control reserve amount, with the technical reason that caused the malfunction, the capacity fee is not paid as much as the amount notified of the malfunction for the time of the notification and the following 1 (one) hour, and the relevant ancillary service market participant legal entity is deemed exempt from the primary frequency control obligation for the reported amount of the malfunction. However, the obligation of the relevant ancillary service unit recommences from the moment the fault is restored and the ancillary service unit reaches the MSGL within this period. In the event that a similar issue re-occurs or continues in the following hours, the ancillary service market participant legal entity, who has undertaken an obligation under Article 13, must provide its obligation from or transfer to other ancillary service units registered in the settlement account. Otherwise, the capacity fee shall not be paid and the non-fulfillment fee specified in the first paragraph shall be applied.</w:t>
      </w:r>
    </w:p>
    <w:p w14:paraId="2BDFACAE" w14:textId="77777777" w:rsidR="00171C59" w:rsidRPr="009E1B38" w:rsidRDefault="00171C59" w:rsidP="00171C59">
      <w:pPr>
        <w:pStyle w:val="P68B1DB1-Normal7"/>
        <w:ind w:left="709"/>
        <w:jc w:val="left"/>
        <w:rPr>
          <w:lang w:val="en-US"/>
        </w:rPr>
      </w:pPr>
      <w:r w:rsidRPr="009E1B38">
        <w:rPr>
          <w:lang w:val="en-US"/>
        </w:rPr>
        <w:t>(3) In case that an ancillary service unit, which has undertaken an obligation under Article 13 or has taken over an obligation under Article 17, is out of service due to the emergency deloading instruction from TEİAŞ and it falls under MSGL due to the emergency deloading instruction from TEİAŞ, or in case of malfunctions caused by TEİAŞ infrastructure, until the aforementioned situations are eliminated by the relevant generation plant, it is accepted that the relevant generation plant has fulfilled its obligation for the primary frequency control reserve amount that it has notified beforehand until the aforementioned situations are eliminated and this period is included in the participation period in primary frequency control. The obligation recommences after the elimination of the malfunction caused by the infrastructure of TEİAŞ, or the generation plant reaches to MSGL after the ending of emergency deloading instruction. For units that cannot reach MSGL within 1 (one) hour for hydraulic units and 2 (two) hours for thermal units after the ending of emergency deloading instruction, it is accepted that the obligation recommences at the end of the mentioned time limits. In case that TEİAŞ cannot follow the set signal sent from SCADA system or this signal is fixed, the ancillary service units, that simultaneously perform primary frequency control and secondary frequency control services while participating in ancillary service during operation in real time, are obliged to immediately notify the issue to NLDC operator via ASMMS and/or fixed telephone and/or fax. In the event that no notification is made within 10 (ten) minutes at the latest from the moment the signal is not monitored and if it is determined that the ancillary service unit does not provide the expected secondary frequency response by controlling the relevant hour, the secondary capacity fee shall not be paid for the relevant hour. In such a case, the primary frequency control response of the ancillary service unit is independently controlled according to the provisions of Article 29."</w:t>
      </w:r>
    </w:p>
    <w:p w14:paraId="3EF04F33"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 xml:space="preserve">Article 31 titled </w:t>
      </w:r>
      <w:r w:rsidRPr="009E1B38">
        <w:rPr>
          <w:i/>
          <w:lang w:val="en-US"/>
        </w:rPr>
        <w:t xml:space="preserve">"Non-fulfillment fees related to secondary frequency control" </w:t>
      </w:r>
      <w:r w:rsidRPr="009E1B38">
        <w:rPr>
          <w:lang w:val="en-US"/>
        </w:rPr>
        <w:t>has been amended as follows.</w:t>
      </w:r>
    </w:p>
    <w:p w14:paraId="241B3604" w14:textId="77777777" w:rsidR="00171C59" w:rsidRPr="009E1B38" w:rsidRDefault="00171C59" w:rsidP="00171C59">
      <w:pPr>
        <w:pStyle w:val="P68B1DB1-Normal8"/>
        <w:ind w:left="709"/>
        <w:jc w:val="left"/>
        <w:rPr>
          <w:lang w:val="en-US"/>
        </w:rPr>
      </w:pPr>
      <w:r w:rsidRPr="009E1B38">
        <w:rPr>
          <w:lang w:val="en-US"/>
        </w:rPr>
        <w:t>"ARTICLE 31</w:t>
      </w:r>
    </w:p>
    <w:p w14:paraId="42F3ECCD" w14:textId="0DBDB314" w:rsidR="00171C59" w:rsidRPr="009E1B38" w:rsidRDefault="00171C59" w:rsidP="00171C59">
      <w:pPr>
        <w:pStyle w:val="P68B1DB1-Normal7"/>
        <w:ind w:left="709"/>
        <w:jc w:val="left"/>
        <w:rPr>
          <w:lang w:val="en-US"/>
        </w:rPr>
      </w:pPr>
      <w:r w:rsidRPr="009E1B38">
        <w:rPr>
          <w:lang w:val="en-US"/>
        </w:rPr>
        <w:t xml:space="preserve">(1) In case it is detected as a result of monitoring in </w:t>
      </w:r>
      <w:r w:rsidR="009E1B38" w:rsidRPr="009E1B38">
        <w:rPr>
          <w:lang w:val="en-US"/>
        </w:rPr>
        <w:t>accordance</w:t>
      </w:r>
      <w:r w:rsidRPr="009E1B38">
        <w:rPr>
          <w:lang w:val="en-US"/>
        </w:rPr>
        <w:t xml:space="preserve"> with Article 29 that an ancillary service unit, that undertakes a </w:t>
      </w:r>
      <w:r w:rsidR="009E1B38">
        <w:rPr>
          <w:lang w:val="en-US"/>
        </w:rPr>
        <w:t>liability</w:t>
      </w:r>
      <w:r w:rsidRPr="009E1B38">
        <w:rPr>
          <w:lang w:val="en-US"/>
        </w:rPr>
        <w:t xml:space="preserve"> in accordance with Article 21 or undertakes obligation by means of </w:t>
      </w:r>
      <w:r w:rsidRPr="009E1B38">
        <w:rPr>
          <w:lang w:val="en-US"/>
        </w:rPr>
        <w:lastRenderedPageBreak/>
        <w:t xml:space="preserve">obligation transfer in accordance with Article 25, and that is in service, is not providing secondary frequency control service for any reason, no capacity fee payment shall be done to relevant ancillary service market participant legal entity, that </w:t>
      </w:r>
      <w:r w:rsidR="009E1B38" w:rsidRPr="009E1B38">
        <w:rPr>
          <w:lang w:val="en-US"/>
        </w:rPr>
        <w:t>undertakes</w:t>
      </w:r>
      <w:r w:rsidRPr="009E1B38">
        <w:rPr>
          <w:lang w:val="en-US"/>
        </w:rPr>
        <w:t xml:space="preserve"> the obligation in the scope of Article 21, for the settlement period of the violation.</w:t>
      </w:r>
    </w:p>
    <w:p w14:paraId="22D05AE7" w14:textId="77777777" w:rsidR="00171C59" w:rsidRPr="009E1B38" w:rsidRDefault="00171C59" w:rsidP="00171C59">
      <w:pPr>
        <w:pStyle w:val="P68B1DB1-Normal7"/>
        <w:ind w:left="709"/>
        <w:jc w:val="left"/>
        <w:rPr>
          <w:lang w:val="en-US"/>
        </w:rPr>
      </w:pPr>
      <w:r w:rsidRPr="009E1B38">
        <w:rPr>
          <w:lang w:val="en-US"/>
        </w:rPr>
        <w:t>(2) In cases where an ancillary service unit, that has undertaken an obligation under Article 21 or has taken over an obligation under Article 25 and is in effect, is unable to provide the secondary frequency control reserve due to a malfunction that prevents it from participating in the secondary frequency control service, or it is out of service due to unexpected operating conditions, or it falls below MSGL due to unexpected operating conditions, provided that it notifies TEİAŞ after the incident, first verbally and then via ASMSS within 1 (one) hour at the latest, including all or a part of the primary frequency control reserve amount, with the technical reason that caused the malfunction, the capacity fee is not paid as much as the amount notified of the malfunction for the time of the notification and the following 1 (one) hour, and the relevant ancillary service market participant legal entity is deemed exempt from the secondary frequency control obligation for the reported amount of the malfunction. However, the obligation of the relevant ancillary service unit recommences from the moment the fault is restored and the ancillary service unit reaches the minimum stable generation level within this period. In the event that a similar issue re-occurs or continues in the following hours, the ancillary service market participant legal entity, who has undertaken an obligation under Article 21, must provide its obligation from or transfer to other ancillary service units registered in the settlement account. Otherwise, the additional reserve procurement cost to be determined by applying the steps specified in paragraph (g) of the first paragraph of Article 21, in order to provide this reserve for the system operator, shall be covered by the ancillary services market participant legal entities, who do not fulfill the reserve provision obligation and are considered as "not participated" within the scope of Article 29. An ancillary service market participant, who has undertaken obligations under Article 21, shall be subject to a non-fulfillment fee of 25% of the secondary frequency control capacity price per MW for the settlement period in which the status of participation in the service is considered as "not participated". In the event that the share of the total additional reserve cost in the settlement period of the violation exceeds 25% of the secondary frequency control capacity cost to be paid to the ancillary service market participant in the relevant settlement period, the share of the additional reserve supply cost in the said settlement period shall be calculated as the non-fulfillment of the relevant hour with the following formula:</w:t>
      </w:r>
    </w:p>
    <w:p w14:paraId="2E3C0F02" w14:textId="77777777" w:rsidR="00171C59" w:rsidRPr="009E1B38" w:rsidRDefault="00171C59" w:rsidP="00171C59">
      <w:pPr>
        <w:pStyle w:val="P68B1DB1-Normal7"/>
        <w:ind w:left="709"/>
        <w:jc w:val="left"/>
        <w:rPr>
          <w:lang w:val="en-US"/>
        </w:rPr>
      </w:pPr>
      <w:r w:rsidRPr="009E1B38">
        <w:rPr>
          <w:lang w:val="en-US"/>
        </w:rPr>
        <w:t>YGBp,f,y,s = max [((SKBf,y,s x YGSRMf,p,y,s)÷4), (TEMf,s x (YGSRMf,p,y,s ÷TYGRMf,s))]</w:t>
      </w:r>
    </w:p>
    <w:p w14:paraId="51189751" w14:textId="77777777" w:rsidR="00171C59" w:rsidRPr="009E1B38" w:rsidRDefault="00171C59" w:rsidP="00171C59">
      <w:pPr>
        <w:pStyle w:val="P68B1DB1-Normal7"/>
        <w:spacing w:after="0"/>
        <w:ind w:left="709"/>
        <w:jc w:val="left"/>
        <w:rPr>
          <w:lang w:val="en-US"/>
        </w:rPr>
      </w:pPr>
      <w:r w:rsidRPr="009E1B38">
        <w:rPr>
          <w:lang w:val="en-US"/>
        </w:rPr>
        <w:t>(3) In the formula in the second paragraph, the following means as follows:</w:t>
      </w:r>
    </w:p>
    <w:p w14:paraId="3771E53A" w14:textId="77777777" w:rsidR="00171C59" w:rsidRPr="009E1B38" w:rsidRDefault="00171C59" w:rsidP="00171C59">
      <w:pPr>
        <w:pStyle w:val="P68B1DB1-Normal7"/>
        <w:spacing w:after="0"/>
        <w:ind w:left="709"/>
        <w:jc w:val="left"/>
        <w:rPr>
          <w:lang w:val="en-US"/>
        </w:rPr>
      </w:pPr>
      <w:r w:rsidRPr="009E1B38">
        <w:rPr>
          <w:lang w:val="en-US"/>
        </w:rPr>
        <w:t>a) YGBp,f,y,s: In accordance with Article 21, the non-performance fee (TL) of the obligation to be accrued to the legal entity “p”, which is a participant in the ancillary service market, and undertaken the obligation for the ancillary service unit “y” registered in its name, in case the service participation status is considered as “not participated” within the scope of Article 29 for the hour “s” of the invoicing period “f”.</w:t>
      </w:r>
    </w:p>
    <w:p w14:paraId="2773C401" w14:textId="77777777" w:rsidR="00171C59" w:rsidRPr="009E1B38" w:rsidRDefault="00171C59" w:rsidP="00171C59">
      <w:pPr>
        <w:pStyle w:val="P68B1DB1-Normal7"/>
        <w:spacing w:after="0"/>
        <w:ind w:left="709"/>
        <w:jc w:val="left"/>
        <w:rPr>
          <w:lang w:val="en-US"/>
        </w:rPr>
      </w:pPr>
      <w:r w:rsidRPr="009E1B38">
        <w:rPr>
          <w:lang w:val="en-US"/>
        </w:rPr>
        <w:t>b) YGSRMf,p,y,s: Secondary frequency control reserve amount (MW) of ancillary service market participant "p" legal entity, which has an obligation to be provided by ancillary service unit "y" registered in its name at the hour "s" of invoicing period "f", but whose participation in service status is considered as "not participated",</w:t>
      </w:r>
    </w:p>
    <w:p w14:paraId="1F331D5A" w14:textId="77777777" w:rsidR="00171C59" w:rsidRPr="009E1B38" w:rsidRDefault="00171C59" w:rsidP="00171C59">
      <w:pPr>
        <w:pStyle w:val="P68B1DB1-Normal7"/>
        <w:spacing w:after="0"/>
        <w:ind w:left="709"/>
        <w:jc w:val="left"/>
        <w:rPr>
          <w:lang w:val="en-US"/>
        </w:rPr>
      </w:pPr>
      <w:r w:rsidRPr="009E1B38">
        <w:rPr>
          <w:lang w:val="en-US"/>
        </w:rPr>
        <w:t>c) SKBf,y,s: Hourly Secondary Frequency Control Capacity Fee (TL/MW) determined in accordance with the Article 26 to be applied to the ancillary service market participant for the hour “s” of the invoicing period “f” of the obligation undertaken in accordance with Article 21,</w:t>
      </w:r>
    </w:p>
    <w:p w14:paraId="06F9C803" w14:textId="04D8B4D8" w:rsidR="00171C59" w:rsidRPr="009E1B38" w:rsidRDefault="00171C59" w:rsidP="00171C59">
      <w:pPr>
        <w:pStyle w:val="P68B1DB1-Normal7"/>
        <w:spacing w:after="0"/>
        <w:ind w:left="709"/>
        <w:jc w:val="left"/>
        <w:rPr>
          <w:lang w:val="en-US"/>
        </w:rPr>
      </w:pPr>
      <w:r w:rsidRPr="009E1B38">
        <w:rPr>
          <w:lang w:val="en-US"/>
        </w:rPr>
        <w:lastRenderedPageBreak/>
        <w:t xml:space="preserve">ç) TEMF,s: The total cost of additional reserves (TL) provided by TEİAŞ for the hour “s” in accordance with Article 21, in case that the secondary frequency control reserve amounts are insufficient and a secondary </w:t>
      </w:r>
      <w:r w:rsidR="009E1B38" w:rsidRPr="009E1B38">
        <w:rPr>
          <w:lang w:val="en-US"/>
        </w:rPr>
        <w:t>frequency</w:t>
      </w:r>
      <w:r w:rsidRPr="009E1B38">
        <w:rPr>
          <w:lang w:val="en-US"/>
        </w:rPr>
        <w:t xml:space="preserve"> control reserve is needed, due to the fact that the ancillary service units, determined by TEİAŞ for the hour “s” of the invoicing period “f”, has not completely or partially fulfilled their obligation,</w:t>
      </w:r>
    </w:p>
    <w:p w14:paraId="377AC50D" w14:textId="77777777" w:rsidR="00171C59" w:rsidRPr="009E1B38" w:rsidRDefault="00171C59" w:rsidP="00171C59">
      <w:pPr>
        <w:pStyle w:val="P68B1DB1-Normal7"/>
        <w:spacing w:after="0"/>
        <w:ind w:left="709"/>
        <w:jc w:val="left"/>
        <w:rPr>
          <w:lang w:val="en-US"/>
        </w:rPr>
      </w:pPr>
      <w:r w:rsidRPr="009E1B38">
        <w:rPr>
          <w:lang w:val="en-US"/>
        </w:rPr>
        <w:t>d) TYGRMf,s: The total reserve amount (MW) of which the service participation status at hour “s” is evaluated as “not participated” of the ancillary service units, which are determined by TEİAŞ through a procurement procedure for the hour “s” of the invoicing period “f”.</w:t>
      </w:r>
    </w:p>
    <w:p w14:paraId="7BE652C5" w14:textId="4E48C03F" w:rsidR="00171C59" w:rsidRPr="009E1B38" w:rsidRDefault="00171C59" w:rsidP="00171C59">
      <w:pPr>
        <w:pStyle w:val="P68B1DB1-Normal7"/>
        <w:ind w:left="709"/>
        <w:jc w:val="left"/>
        <w:rPr>
          <w:lang w:val="en-US"/>
        </w:rPr>
      </w:pPr>
    </w:p>
    <w:p w14:paraId="4E02419B" w14:textId="5CFD3C92" w:rsidR="00171C59" w:rsidRPr="009E1B38" w:rsidRDefault="00171C59" w:rsidP="00171C59">
      <w:pPr>
        <w:pStyle w:val="P68B1DB1-Normal7"/>
        <w:ind w:left="709"/>
        <w:jc w:val="left"/>
        <w:rPr>
          <w:lang w:val="en-US"/>
        </w:rPr>
      </w:pPr>
      <w:r w:rsidRPr="009E1B38">
        <w:rPr>
          <w:lang w:val="en-US"/>
        </w:rPr>
        <w:t xml:space="preserve">(4) In case that an ancillary service unit, which has undertaken an obligation under Article 21 or has taken over an obligation under Article 25, is out of service due to the emergency deloading instruction from TEİAŞ and it falls under MSGL due to the emergency deloading instruction from TEİAŞ, or in case of malfunctions caused by TEİAŞ infrastructure, until the aforementioned situations are eliminated by the relevant generation plant, it is accepted that the relevant generation plant has fulfilled its obligation for the secondary frequency control reserve amount that it has notified beforehand until the aforementioned situations are eliminated and this period is included in the participation period in secondary frequency control. The obligation recommences after the elimination of the malfunction caused by the infrastructure of TEİAŞ, or the generation plant reaches to MSGL after the end of emergency deloading instruction. For units that cannot reach MSGL within 1 (one) hour for hydraulic units and 2 (two) hours for thermal units after the end of emergency deloading instruction, it is accepted that the obligation recommences at the end of the mentioned time limits. In case that TEİAŞ cannot follow the set signal sent from SCADA system or this signal is fixed, the ancillary service </w:t>
      </w:r>
      <w:r w:rsidR="009E1B38" w:rsidRPr="009E1B38">
        <w:rPr>
          <w:lang w:val="en-US"/>
        </w:rPr>
        <w:t>units, which participate in the ancillary service during operation in real time,</w:t>
      </w:r>
      <w:r w:rsidRPr="009E1B38">
        <w:rPr>
          <w:lang w:val="en-US"/>
        </w:rPr>
        <w:t xml:space="preserve"> are obliged to immediately notify the issue to NLDC operator via ASMMS and/or fixed telephone and/or fax. In the event that no notification is made within 10 (ten) minutes at the latest from the moment the signal is not monitored and if it is determined that the ancillary service unit does not provide the expected secondary frequency response by controlling the relevant hour, the secondary capacity fee shall not be paid for the relevant hour.</w:t>
      </w:r>
    </w:p>
    <w:p w14:paraId="479BC2D5" w14:textId="77777777" w:rsidR="00171C59" w:rsidRPr="009E1B38" w:rsidRDefault="00171C59" w:rsidP="00171C59">
      <w:pPr>
        <w:pStyle w:val="P68B1DB1-Normal7"/>
        <w:ind w:left="709"/>
        <w:jc w:val="left"/>
        <w:rPr>
          <w:lang w:val="en-US"/>
        </w:rPr>
      </w:pPr>
      <w:r w:rsidRPr="009E1B38">
        <w:rPr>
          <w:lang w:val="en-US"/>
        </w:rPr>
        <w:t>(5) In the event that ancillary services market participant legal entity notifies a lesser amount than the obliged amount they have undertaken, as a result of the procurement process related to secondary frequency control, the incomplete notified amount is considered as "not participated" in the service and the non-fulfillment fee is applied for the said amount."</w:t>
      </w:r>
    </w:p>
    <w:p w14:paraId="3D8E31F5"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following section has been added after the Article 31.</w:t>
      </w:r>
    </w:p>
    <w:p w14:paraId="131F4FE9" w14:textId="77777777" w:rsidR="00171C59" w:rsidRPr="009E1B38" w:rsidRDefault="00171C59" w:rsidP="00171C59">
      <w:pPr>
        <w:pStyle w:val="P68B1DB1-Normal8"/>
        <w:ind w:left="709"/>
        <w:jc w:val="left"/>
        <w:rPr>
          <w:lang w:val="en-US"/>
        </w:rPr>
      </w:pPr>
      <w:r w:rsidRPr="009E1B38">
        <w:rPr>
          <w:lang w:val="en-US"/>
        </w:rPr>
        <w:t>“SECTION 5/A</w:t>
      </w:r>
    </w:p>
    <w:p w14:paraId="33495132" w14:textId="77777777" w:rsidR="00171C59" w:rsidRPr="009E1B38" w:rsidRDefault="00171C59" w:rsidP="00171C59">
      <w:pPr>
        <w:pStyle w:val="P68B1DB1-Normal8"/>
        <w:ind w:left="709"/>
        <w:jc w:val="left"/>
        <w:rPr>
          <w:lang w:val="en-US"/>
        </w:rPr>
      </w:pPr>
      <w:r w:rsidRPr="009E1B38">
        <w:rPr>
          <w:lang w:val="en-US"/>
        </w:rPr>
        <w:t>Demand Side Reserve Service</w:t>
      </w:r>
    </w:p>
    <w:p w14:paraId="1EBCC3CE" w14:textId="77777777" w:rsidR="00171C59" w:rsidRPr="009E1B38" w:rsidRDefault="00171C59" w:rsidP="00171C59">
      <w:pPr>
        <w:pStyle w:val="P68B1DB1-Normal8"/>
        <w:ind w:left="709"/>
        <w:jc w:val="left"/>
        <w:rPr>
          <w:lang w:val="en-US"/>
        </w:rPr>
      </w:pPr>
      <w:r w:rsidRPr="009E1B38">
        <w:rPr>
          <w:lang w:val="en-US"/>
        </w:rPr>
        <w:t>Principles of procurement of demand side reserve service</w:t>
      </w:r>
    </w:p>
    <w:p w14:paraId="4AB08B1B" w14:textId="77777777" w:rsidR="00171C59" w:rsidRPr="009E1B38" w:rsidRDefault="00171C59" w:rsidP="00171C59">
      <w:pPr>
        <w:pStyle w:val="P68B1DB1-Normal8"/>
        <w:ind w:left="709"/>
        <w:jc w:val="left"/>
        <w:rPr>
          <w:lang w:val="en-US"/>
        </w:rPr>
      </w:pPr>
      <w:r w:rsidRPr="009E1B38">
        <w:rPr>
          <w:lang w:val="en-US"/>
        </w:rPr>
        <w:t>ARTICLE 31/A</w:t>
      </w:r>
    </w:p>
    <w:p w14:paraId="71D55968" w14:textId="7A3E5265" w:rsidR="00171C59" w:rsidRPr="009E1B38" w:rsidRDefault="00171C59" w:rsidP="00171C59">
      <w:pPr>
        <w:pStyle w:val="P68B1DB1-Normal7"/>
        <w:ind w:left="709"/>
        <w:jc w:val="left"/>
        <w:rPr>
          <w:lang w:val="en-US"/>
        </w:rPr>
      </w:pPr>
      <w:r w:rsidRPr="009E1B38">
        <w:rPr>
          <w:lang w:val="en-US"/>
        </w:rPr>
        <w:t xml:space="preserve">(1) In case of need for maintaining frequency stability or eliminating constraints by ensuring generation / consumption balance in the system, demand side reserve service can be obtained through tenders organized between voluntary consumption plants connected to the transmission system by TEİAŞ. As a result of these tenders, an ancillary service agreement regarding the demand side reserve service shall be signed between TEİAŞ and the legal </w:t>
      </w:r>
      <w:r w:rsidR="009E1B38" w:rsidRPr="009E1B38">
        <w:rPr>
          <w:lang w:val="en-US"/>
        </w:rPr>
        <w:t>entity, which</w:t>
      </w:r>
      <w:r w:rsidRPr="009E1B38">
        <w:rPr>
          <w:lang w:val="en-US"/>
        </w:rPr>
        <w:t xml:space="preserve"> owns the consumption plant, for the voluntary consumption plants that provides the demand side reserve service. TEİAŞ may limit the supply of </w:t>
      </w:r>
      <w:r w:rsidRPr="009E1B38">
        <w:rPr>
          <w:lang w:val="en-US"/>
        </w:rPr>
        <w:lastRenderedPageBreak/>
        <w:t>demand side reserve services to consumption plants located in a certain region, taking the needs and limits of the system into account.</w:t>
      </w:r>
    </w:p>
    <w:p w14:paraId="20D3D961" w14:textId="77777777" w:rsidR="00171C59" w:rsidRPr="009E1B38" w:rsidRDefault="00171C59" w:rsidP="00171C59">
      <w:pPr>
        <w:pStyle w:val="P68B1DB1-Normal7"/>
        <w:ind w:left="709"/>
        <w:jc w:val="left"/>
        <w:rPr>
          <w:lang w:val="en-US"/>
        </w:rPr>
      </w:pPr>
      <w:r w:rsidRPr="009E1B38">
        <w:rPr>
          <w:lang w:val="en-US"/>
        </w:rPr>
        <w:t>(2) Provided that it is connected to the transmission system and the annual electricity consumption is above the minimum amount determined by the Board decision; legal entities holding consumption plants with the qualifications specified in the tender notice may submit bids to provide demand side reserve service.</w:t>
      </w:r>
    </w:p>
    <w:p w14:paraId="7A47159B" w14:textId="08192D72" w:rsidR="00171C59" w:rsidRPr="009E1B38" w:rsidRDefault="00171C59" w:rsidP="00171C59">
      <w:pPr>
        <w:pStyle w:val="P68B1DB1-Normal7"/>
        <w:ind w:left="709"/>
        <w:jc w:val="left"/>
        <w:rPr>
          <w:lang w:val="en-US"/>
        </w:rPr>
      </w:pPr>
      <w:r w:rsidRPr="009E1B38">
        <w:rPr>
          <w:lang w:val="en-US"/>
        </w:rPr>
        <w:t xml:space="preserve">(3) TEİAŞ shall select the consumption </w:t>
      </w:r>
      <w:r w:rsidR="009E1B38" w:rsidRPr="009E1B38">
        <w:rPr>
          <w:lang w:val="en-US"/>
        </w:rPr>
        <w:t>plants, which</w:t>
      </w:r>
      <w:r w:rsidRPr="009E1B38">
        <w:rPr>
          <w:lang w:val="en-US"/>
        </w:rPr>
        <w:t xml:space="preserve"> will provide demand side reserve, among the consumption plants, that have the capacity to provide this service and participate in the procurement process, in a manner that minimizes the total demand side reserve procurement cost.</w:t>
      </w:r>
    </w:p>
    <w:p w14:paraId="1414E46E" w14:textId="77777777" w:rsidR="00171C59" w:rsidRPr="009E1B38" w:rsidRDefault="00171C59" w:rsidP="00171C59">
      <w:pPr>
        <w:pStyle w:val="P68B1DB1-Normal7"/>
        <w:ind w:left="709"/>
        <w:jc w:val="left"/>
        <w:rPr>
          <w:lang w:val="en-US"/>
        </w:rPr>
      </w:pPr>
      <w:r w:rsidRPr="009E1B38">
        <w:rPr>
          <w:lang w:val="en-US"/>
        </w:rPr>
        <w:t>(4) Payments related to demand side reserve service shall be made monthly by TEİAŞ to the legal entities that own the consumption plant and is a party to the agreement.</w:t>
      </w:r>
    </w:p>
    <w:p w14:paraId="008C1307" w14:textId="77777777" w:rsidR="00171C59" w:rsidRPr="009E1B38" w:rsidRDefault="00171C59" w:rsidP="00171C59">
      <w:pPr>
        <w:pStyle w:val="P68B1DB1-Normal7"/>
        <w:ind w:left="709"/>
        <w:jc w:val="left"/>
        <w:rPr>
          <w:lang w:val="en-US"/>
        </w:rPr>
      </w:pPr>
      <w:r w:rsidRPr="009E1B38">
        <w:rPr>
          <w:lang w:val="en-US"/>
        </w:rPr>
        <w:t>(5) The energy deficit or excess, that may arise when the consumption plants, which participate in the demand side reserve service, fulfill the instructions of TEİAŞ during the settlement period, shall not be considered as energy imbalance within the scope of the provisions of the Electricity Market Balancing and Settlement Regulation.</w:t>
      </w:r>
    </w:p>
    <w:p w14:paraId="18C29676" w14:textId="77777777" w:rsidR="00171C59" w:rsidRPr="009E1B38" w:rsidRDefault="00171C59" w:rsidP="00171C59">
      <w:pPr>
        <w:pStyle w:val="P68B1DB1-Normal7"/>
        <w:ind w:left="709"/>
        <w:jc w:val="left"/>
        <w:rPr>
          <w:lang w:val="en-US"/>
        </w:rPr>
      </w:pPr>
      <w:r w:rsidRPr="009E1B38">
        <w:rPr>
          <w:lang w:val="en-US"/>
        </w:rPr>
        <w:t>(6) Investments related to meter, remote reading, remote control, monitoring, verification and other hardware and software, which are required within the scope of the technical criteria to be determined by TEİAŞ in the tender specification, shall be carried out by the relevant legal entities owning the consumption plant. Regarding the investments within this scope, obligations of TEİAŞ, which arise from the legislation, are reserved.</w:t>
      </w:r>
    </w:p>
    <w:p w14:paraId="7C12F911" w14:textId="0FBC6CC3" w:rsidR="00171C59" w:rsidRPr="009E1B38" w:rsidRDefault="009E1B38" w:rsidP="00171C59">
      <w:pPr>
        <w:pStyle w:val="P68B1DB1-Normal8"/>
        <w:ind w:left="709"/>
        <w:jc w:val="left"/>
        <w:rPr>
          <w:lang w:val="en-US"/>
        </w:rPr>
      </w:pPr>
      <w:r w:rsidRPr="009E1B38">
        <w:rPr>
          <w:lang w:val="en-US"/>
        </w:rPr>
        <w:t>Procurement</w:t>
      </w:r>
      <w:r w:rsidR="00171C59" w:rsidRPr="009E1B38">
        <w:rPr>
          <w:lang w:val="en-US"/>
        </w:rPr>
        <w:t xml:space="preserve"> process of demand side reserve service</w:t>
      </w:r>
    </w:p>
    <w:p w14:paraId="7EEA0276" w14:textId="77777777" w:rsidR="00171C59" w:rsidRPr="009E1B38" w:rsidRDefault="00171C59" w:rsidP="00171C59">
      <w:pPr>
        <w:pStyle w:val="P68B1DB1-Normal8"/>
        <w:ind w:left="709"/>
        <w:jc w:val="left"/>
        <w:rPr>
          <w:lang w:val="en-US"/>
        </w:rPr>
      </w:pPr>
      <w:r w:rsidRPr="009E1B38">
        <w:rPr>
          <w:lang w:val="en-US"/>
        </w:rPr>
        <w:t>ARTICLE 31/B</w:t>
      </w:r>
    </w:p>
    <w:p w14:paraId="726D6612" w14:textId="77777777" w:rsidR="00171C59" w:rsidRPr="009E1B38" w:rsidRDefault="00171C59" w:rsidP="00171C59">
      <w:pPr>
        <w:pStyle w:val="P68B1DB1-Normal7"/>
        <w:spacing w:after="0"/>
        <w:ind w:left="709"/>
        <w:jc w:val="left"/>
        <w:rPr>
          <w:lang w:val="en-US"/>
        </w:rPr>
      </w:pPr>
      <w:r w:rsidRPr="009E1B38">
        <w:rPr>
          <w:lang w:val="en-US"/>
        </w:rPr>
        <w:t>(1) The procurement process of demand side reserve service is carried out in accordance with the provisions of this Regulation and consists of the following steps:</w:t>
      </w:r>
    </w:p>
    <w:p w14:paraId="69F1AE75" w14:textId="77777777" w:rsidR="00171C59" w:rsidRPr="009E1B38" w:rsidRDefault="00171C59" w:rsidP="00171C59">
      <w:pPr>
        <w:pStyle w:val="P68B1DB1-Normal7"/>
        <w:spacing w:after="0"/>
        <w:ind w:left="709"/>
        <w:jc w:val="left"/>
        <w:rPr>
          <w:lang w:val="en-US"/>
        </w:rPr>
      </w:pPr>
      <w:r w:rsidRPr="009E1B38">
        <w:rPr>
          <w:lang w:val="en-US"/>
        </w:rPr>
        <w:t>a) TEİAŞ determines the reserve amount predicted for the demand side reserve service that the transmission system may need, and makes the tender. The period and region to be covered by the ancillary service agreements for the demand side reserve service shall be announced with the tender notice.</w:t>
      </w:r>
    </w:p>
    <w:p w14:paraId="77BEAA53" w14:textId="77777777" w:rsidR="00171C59" w:rsidRPr="009E1B38" w:rsidRDefault="00171C59" w:rsidP="00171C59">
      <w:pPr>
        <w:pStyle w:val="P68B1DB1-Normal7"/>
        <w:spacing w:after="0"/>
        <w:ind w:left="709"/>
        <w:jc w:val="left"/>
        <w:rPr>
          <w:lang w:val="en-US"/>
        </w:rPr>
      </w:pPr>
      <w:r w:rsidRPr="009E1B38">
        <w:rPr>
          <w:lang w:val="en-US"/>
        </w:rPr>
        <w:t>b) In the tender document, the following shall be included:</w:t>
      </w:r>
    </w:p>
    <w:p w14:paraId="68991A9A" w14:textId="77777777" w:rsidR="00171C59" w:rsidRPr="009E1B38" w:rsidRDefault="00171C59" w:rsidP="00171C59">
      <w:pPr>
        <w:pStyle w:val="P68B1DB1-Normal7"/>
        <w:spacing w:after="0"/>
        <w:ind w:left="709"/>
        <w:jc w:val="left"/>
        <w:rPr>
          <w:lang w:val="en-US"/>
        </w:rPr>
      </w:pPr>
      <w:r w:rsidRPr="009E1B38">
        <w:rPr>
          <w:lang w:val="en-US"/>
        </w:rPr>
        <w:t>1) The period covered by the service (bidding period),</w:t>
      </w:r>
    </w:p>
    <w:p w14:paraId="549E67E0" w14:textId="77777777" w:rsidR="00171C59" w:rsidRPr="009E1B38" w:rsidRDefault="00171C59" w:rsidP="00171C59">
      <w:pPr>
        <w:pStyle w:val="P68B1DB1-Normal7"/>
        <w:spacing w:after="0"/>
        <w:ind w:left="709"/>
        <w:jc w:val="left"/>
        <w:rPr>
          <w:lang w:val="en-US"/>
        </w:rPr>
      </w:pPr>
      <w:r w:rsidRPr="009E1B38">
        <w:rPr>
          <w:lang w:val="en-US"/>
        </w:rPr>
        <w:t>2) Consumption profiles of the bidding consumption plants covering at least 1 (one) year before the bidding period,</w:t>
      </w:r>
    </w:p>
    <w:p w14:paraId="5C03E5B9" w14:textId="77777777" w:rsidR="00171C59" w:rsidRPr="009E1B38" w:rsidRDefault="00171C59" w:rsidP="00171C59">
      <w:pPr>
        <w:pStyle w:val="P68B1DB1-Normal7"/>
        <w:spacing w:after="0"/>
        <w:ind w:left="709"/>
        <w:jc w:val="left"/>
        <w:rPr>
          <w:lang w:val="en-US"/>
        </w:rPr>
      </w:pPr>
      <w:r w:rsidRPr="009E1B38">
        <w:rPr>
          <w:lang w:val="en-US"/>
        </w:rPr>
        <w:t>3) Price structure and content of bids to be submitted,</w:t>
      </w:r>
    </w:p>
    <w:p w14:paraId="1C90D2E2" w14:textId="77777777" w:rsidR="00171C59" w:rsidRPr="009E1B38" w:rsidRDefault="00171C59" w:rsidP="00171C59">
      <w:pPr>
        <w:pStyle w:val="P68B1DB1-Normal7"/>
        <w:spacing w:after="0"/>
        <w:ind w:left="709"/>
        <w:jc w:val="left"/>
        <w:rPr>
          <w:lang w:val="en-US"/>
        </w:rPr>
      </w:pPr>
      <w:r w:rsidRPr="009E1B38">
        <w:rPr>
          <w:lang w:val="en-US"/>
        </w:rPr>
        <w:t>4) If deemed necessary by TEİAŞ, the maximum bid price determined for the relevant bidding period,</w:t>
      </w:r>
    </w:p>
    <w:p w14:paraId="7AF6F86C" w14:textId="77777777" w:rsidR="00171C59" w:rsidRPr="009E1B38" w:rsidRDefault="00171C59" w:rsidP="00171C59">
      <w:pPr>
        <w:pStyle w:val="P68B1DB1-Normal7"/>
        <w:spacing w:after="0"/>
        <w:ind w:left="709"/>
        <w:jc w:val="left"/>
        <w:rPr>
          <w:lang w:val="en-US"/>
        </w:rPr>
      </w:pPr>
      <w:r w:rsidRPr="009E1B38">
        <w:rPr>
          <w:lang w:val="en-US"/>
        </w:rPr>
        <w:t>5) If needed, solely for deloading, how, how long before and how many times the instructions shall be given to the consumption plants, which are part of the services, within the offer period, and how shall they be engaged,</w:t>
      </w:r>
    </w:p>
    <w:p w14:paraId="6FA53CA5" w14:textId="77777777" w:rsidR="00171C59" w:rsidRPr="009E1B38" w:rsidRDefault="00171C59" w:rsidP="00171C59">
      <w:pPr>
        <w:pStyle w:val="P68B1DB1-Normal7"/>
        <w:spacing w:after="0"/>
        <w:ind w:left="709"/>
        <w:jc w:val="left"/>
        <w:rPr>
          <w:lang w:val="en-US"/>
        </w:rPr>
      </w:pPr>
      <w:r w:rsidRPr="009E1B38">
        <w:rPr>
          <w:lang w:val="en-US"/>
        </w:rPr>
        <w:t>6) How to calculate the basic consumption value to be taken as a basis in determining the amount of load change that occurs during the provision of the service,</w:t>
      </w:r>
    </w:p>
    <w:p w14:paraId="3114780F" w14:textId="77777777" w:rsidR="00171C59" w:rsidRPr="009E1B38" w:rsidRDefault="00171C59" w:rsidP="00171C59">
      <w:pPr>
        <w:pStyle w:val="P68B1DB1-Normal7"/>
        <w:spacing w:after="0"/>
        <w:ind w:left="709"/>
        <w:jc w:val="left"/>
        <w:rPr>
          <w:lang w:val="en-US"/>
        </w:rPr>
      </w:pPr>
      <w:r w:rsidRPr="009E1B38">
        <w:rPr>
          <w:lang w:val="en-US"/>
        </w:rPr>
        <w:t>7) Requirements for monitoring, control and verification of whether the obligations of service are fulfilled,</w:t>
      </w:r>
    </w:p>
    <w:p w14:paraId="794EA380" w14:textId="77777777" w:rsidR="00171C59" w:rsidRPr="009E1B38" w:rsidRDefault="00171C59" w:rsidP="00171C59">
      <w:pPr>
        <w:pStyle w:val="P68B1DB1-Normal7"/>
        <w:spacing w:after="0"/>
        <w:ind w:left="709"/>
        <w:jc w:val="left"/>
        <w:rPr>
          <w:lang w:val="en-US"/>
        </w:rPr>
      </w:pPr>
      <w:r w:rsidRPr="009E1B38">
        <w:rPr>
          <w:lang w:val="en-US"/>
        </w:rPr>
        <w:t>8) Conditions for the pricing and payment of the service to be provided,</w:t>
      </w:r>
    </w:p>
    <w:p w14:paraId="231B463F" w14:textId="784F6DDC" w:rsidR="00171C59" w:rsidRPr="009E1B38" w:rsidRDefault="00171C59" w:rsidP="00171C59">
      <w:pPr>
        <w:pStyle w:val="P68B1DB1-Normal7"/>
        <w:spacing w:after="0"/>
        <w:ind w:left="709"/>
        <w:jc w:val="left"/>
        <w:rPr>
          <w:lang w:val="en-US"/>
        </w:rPr>
      </w:pPr>
      <w:r w:rsidRPr="009E1B38">
        <w:rPr>
          <w:lang w:val="en-US"/>
        </w:rPr>
        <w:lastRenderedPageBreak/>
        <w:t>9) Non-fulfillment fees to be applied in case of non-fulfillment of the service,</w:t>
      </w:r>
      <w:r w:rsidR="009E1B38">
        <w:rPr>
          <w:lang w:val="en-US"/>
        </w:rPr>
        <w:t xml:space="preserve"> </w:t>
      </w:r>
      <w:r w:rsidRPr="009E1B38">
        <w:rPr>
          <w:lang w:val="en-US"/>
        </w:rPr>
        <w:t>and similar issues.</w:t>
      </w:r>
    </w:p>
    <w:p w14:paraId="68629C7A" w14:textId="77777777" w:rsidR="00171C59" w:rsidRPr="009E1B38" w:rsidRDefault="00171C59" w:rsidP="00171C59">
      <w:pPr>
        <w:pStyle w:val="P68B1DB1-Normal7"/>
        <w:spacing w:after="0"/>
        <w:ind w:left="709"/>
        <w:jc w:val="left"/>
        <w:rPr>
          <w:lang w:val="en-US"/>
        </w:rPr>
      </w:pPr>
      <w:r w:rsidRPr="009E1B38">
        <w:rPr>
          <w:lang w:val="en-US"/>
        </w:rPr>
        <w:t>b) In accordance with the schedule to be determined and announced in the tender notice by TEİAŞ, legal entities, which own a consumption plant, shall make an offer regarding the demand side reserve service.</w:t>
      </w:r>
    </w:p>
    <w:p w14:paraId="2A19DA00" w14:textId="77777777" w:rsidR="00171C59" w:rsidRPr="009E1B38" w:rsidRDefault="00171C59" w:rsidP="00171C59">
      <w:pPr>
        <w:pStyle w:val="P68B1DB1-Normal7"/>
        <w:spacing w:after="0"/>
        <w:ind w:left="709"/>
        <w:jc w:val="left"/>
        <w:rPr>
          <w:lang w:val="en-US"/>
        </w:rPr>
      </w:pPr>
      <w:r w:rsidRPr="009E1B38">
        <w:rPr>
          <w:lang w:val="en-US"/>
        </w:rPr>
        <w:t>ç) The legal entities, which own a consumption plant, that will bid for the tender must prove that they have the necessary control, measurement, monitoring and verification infrastructure in the consumption plants that will provide the service within the framework of the time plan in the tender document, and that they must prove with the necessary information, documents and/or certificates to be determined by TEİAŞ that they are able to provide the necessary information flow as requested by TEİAŞ, and must possess the relevant certificate of conformity of TEİAŞ. In this context, in order to provide data to the monitoring system, which shall be operated by TEİAŞ, the connection permit, through RS485 and RS232, pulse input-output, or digital or analog or other outputs, which are available in the meter, shall be granted to consumption plant owner legal entities, that shall provide demand side reserve service, by TEİAŞ. If it is not technically possible to connect to the existing meter, the transmission system operator shall install a new meter that permits more than one connection and complies with the relevant legislation rules, within 10 working days from the application, and the meter allocation and installation fee shall be covered by the legal entity that owns the consumption plant.</w:t>
      </w:r>
    </w:p>
    <w:p w14:paraId="3CCCF822" w14:textId="77777777" w:rsidR="00171C59" w:rsidRPr="009E1B38" w:rsidRDefault="00171C59" w:rsidP="00171C59">
      <w:pPr>
        <w:pStyle w:val="P68B1DB1-Normal7"/>
        <w:spacing w:after="0"/>
        <w:ind w:left="709"/>
        <w:jc w:val="left"/>
        <w:rPr>
          <w:lang w:val="en-US"/>
        </w:rPr>
      </w:pPr>
      <w:r w:rsidRPr="009E1B38">
        <w:rPr>
          <w:lang w:val="en-US"/>
        </w:rPr>
        <w:t>d) TEİAŞ selects the required number of bids by evaluating the submitted bids in accordance with the rules in Article 31/Ç, and notifies all bidders.</w:t>
      </w:r>
    </w:p>
    <w:p w14:paraId="1E580ACB" w14:textId="5F75F7EA" w:rsidR="00171C59" w:rsidRPr="009E1B38" w:rsidRDefault="00171C59" w:rsidP="00171C59">
      <w:pPr>
        <w:pStyle w:val="P68B1DB1-Normal7"/>
        <w:spacing w:after="0"/>
        <w:ind w:left="709"/>
        <w:jc w:val="left"/>
        <w:rPr>
          <w:lang w:val="en-US"/>
        </w:rPr>
      </w:pPr>
      <w:r w:rsidRPr="009E1B38">
        <w:rPr>
          <w:lang w:val="en-US"/>
        </w:rPr>
        <w:t xml:space="preserve">e) An ancillary service agreement for the demand side reserve service is signed between the legal </w:t>
      </w:r>
      <w:r w:rsidR="009E1B38" w:rsidRPr="009E1B38">
        <w:rPr>
          <w:lang w:val="en-US"/>
        </w:rPr>
        <w:t>entities that own a consumption plant</w:t>
      </w:r>
      <w:r w:rsidRPr="009E1B38">
        <w:rPr>
          <w:lang w:val="en-US"/>
        </w:rPr>
        <w:t xml:space="preserve"> and TEİAŞ.</w:t>
      </w:r>
    </w:p>
    <w:p w14:paraId="32A2CA70" w14:textId="77777777" w:rsidR="00171C59" w:rsidRPr="009E1B38" w:rsidRDefault="00171C59" w:rsidP="00171C59">
      <w:pPr>
        <w:pStyle w:val="P68B1DB1-Normal7"/>
        <w:spacing w:after="0"/>
        <w:ind w:left="709"/>
        <w:jc w:val="left"/>
        <w:rPr>
          <w:lang w:val="en-US"/>
        </w:rPr>
      </w:pPr>
      <w:r w:rsidRPr="009E1B38">
        <w:rPr>
          <w:lang w:val="en-US"/>
        </w:rPr>
        <w:t>f) TEİAŞ may solely give instructions for deloading, as much as the amount of demand side reserve offered in the tender. In case that TEİAŞ gives an instruction, the load change is conducted as much as the demand side reserve offered in the tender within the framework of the provisions of the agreement.</w:t>
      </w:r>
    </w:p>
    <w:p w14:paraId="2A3D0979" w14:textId="77777777" w:rsidR="00171C59" w:rsidRPr="009E1B38" w:rsidRDefault="00171C59" w:rsidP="00171C59">
      <w:pPr>
        <w:pStyle w:val="P68B1DB1-Normal7"/>
        <w:spacing w:after="0"/>
        <w:ind w:left="709"/>
        <w:jc w:val="left"/>
        <w:rPr>
          <w:lang w:val="en-US"/>
        </w:rPr>
      </w:pPr>
      <w:r w:rsidRPr="009E1B38">
        <w:rPr>
          <w:lang w:val="en-US"/>
        </w:rPr>
        <w:t>g) Instructions to be given within the scope of demand side reserve service shall be determined in a manner that shall take the system limits into account, and shall act indiscriminately between the legal entities that own a consumption plant.</w:t>
      </w:r>
    </w:p>
    <w:p w14:paraId="02A1382F" w14:textId="77777777" w:rsidR="00171C59" w:rsidRPr="009E1B38" w:rsidRDefault="00171C59" w:rsidP="00171C59">
      <w:pPr>
        <w:pStyle w:val="P68B1DB1-Normal7"/>
        <w:spacing w:after="0"/>
        <w:ind w:left="709"/>
        <w:jc w:val="left"/>
        <w:rPr>
          <w:lang w:val="en-US"/>
        </w:rPr>
      </w:pPr>
      <w:r w:rsidRPr="009E1B38">
        <w:rPr>
          <w:lang w:val="en-US"/>
        </w:rPr>
        <w:t>ğ) The basic consumption value calculation method, which shall be taken as a basis for determining the amount of load change occurred during the demand side participation service, shall be determined by TEİAŞ, in accordance with the instruction form and notification period specified in the tender notice, and with the Principles and Procedures for Determining the Basic Consumption Value, and shall be announced in the tender notice.</w:t>
      </w:r>
    </w:p>
    <w:p w14:paraId="7DF512A6" w14:textId="77777777" w:rsidR="00171C59" w:rsidRPr="009E1B38" w:rsidRDefault="00171C59" w:rsidP="00171C59">
      <w:pPr>
        <w:pStyle w:val="P68B1DB1-Normal7"/>
        <w:ind w:left="709"/>
        <w:jc w:val="left"/>
        <w:rPr>
          <w:lang w:val="en-US"/>
        </w:rPr>
      </w:pPr>
      <w:r w:rsidRPr="009E1B38">
        <w:rPr>
          <w:lang w:val="en-US"/>
        </w:rPr>
        <w:t>h) In case the instructions to be given within the scope of demand side reserve service are instant; the basic consumption value to be taken as the basis for determining the load change amount is the amount of deloading from the system by the relevant consumption plant as of the moment that the load change order is given.</w:t>
      </w:r>
    </w:p>
    <w:p w14:paraId="3DD9779F" w14:textId="77777777" w:rsidR="00171C59" w:rsidRPr="009E1B38" w:rsidRDefault="00171C59" w:rsidP="00171C59">
      <w:pPr>
        <w:pStyle w:val="P68B1DB1-Normal8"/>
        <w:ind w:left="709"/>
        <w:jc w:val="left"/>
        <w:rPr>
          <w:lang w:val="en-US"/>
        </w:rPr>
      </w:pPr>
      <w:r w:rsidRPr="009E1B38">
        <w:rPr>
          <w:lang w:val="en-US"/>
        </w:rPr>
        <w:t>Structure and content of bids for the procurement of demand side reserve service</w:t>
      </w:r>
    </w:p>
    <w:p w14:paraId="5ACEEF58" w14:textId="77777777" w:rsidR="00171C59" w:rsidRPr="009E1B38" w:rsidRDefault="00171C59" w:rsidP="00171C59">
      <w:pPr>
        <w:pStyle w:val="P68B1DB1-Normal8"/>
        <w:ind w:left="709"/>
        <w:jc w:val="left"/>
        <w:rPr>
          <w:lang w:val="en-US"/>
        </w:rPr>
      </w:pPr>
      <w:r w:rsidRPr="009E1B38">
        <w:rPr>
          <w:lang w:val="en-US"/>
        </w:rPr>
        <w:t>ARTICLE 31/C</w:t>
      </w:r>
    </w:p>
    <w:p w14:paraId="4FC0E1FA" w14:textId="77777777" w:rsidR="00171C59" w:rsidRPr="009E1B38" w:rsidRDefault="00171C59" w:rsidP="00171C59">
      <w:pPr>
        <w:pStyle w:val="P68B1DB1-Normal7"/>
        <w:ind w:left="709"/>
        <w:jc w:val="left"/>
        <w:rPr>
          <w:lang w:val="en-US"/>
        </w:rPr>
      </w:pPr>
      <w:r w:rsidRPr="009E1B38">
        <w:rPr>
          <w:lang w:val="en-US"/>
        </w:rPr>
        <w:t>(1) In accordance with the calendar to be determined by TEİAŞ, the legal entities that own a consumption plant shall notify their bids to TEİAŞ for the consumption plants with the qualifications specified in the tender document and Article 31/B, in accordance with the tender document in order to provide demand side reserve service, during the contract period specified in the tender notice by TEİAŞ.</w:t>
      </w:r>
    </w:p>
    <w:p w14:paraId="35AA19F3" w14:textId="77777777" w:rsidR="00171C59" w:rsidRPr="009E1B38" w:rsidRDefault="00171C59" w:rsidP="00171C59">
      <w:pPr>
        <w:pStyle w:val="P68B1DB1-Normal7"/>
        <w:ind w:left="709"/>
        <w:jc w:val="left"/>
        <w:rPr>
          <w:lang w:val="en-US"/>
        </w:rPr>
      </w:pPr>
      <w:r w:rsidRPr="009E1B38">
        <w:rPr>
          <w:lang w:val="en-US"/>
        </w:rPr>
        <w:t>(2) Bids submitted to provide demand side reserve service shall be notified to TEİAŞ in a manner that shall include reserve capacity (MW) based on deloading and hourly capacity price (TL/MW), which is offered to unit reserve capacity. All notified bid amounts shall be expressed in 1 MW and its multiples.</w:t>
      </w:r>
    </w:p>
    <w:p w14:paraId="59B248DB" w14:textId="77777777" w:rsidR="00171C59" w:rsidRPr="009E1B38" w:rsidRDefault="00171C59" w:rsidP="00171C59">
      <w:pPr>
        <w:pStyle w:val="P68B1DB1-Normal7"/>
        <w:ind w:left="709"/>
        <w:jc w:val="left"/>
        <w:rPr>
          <w:lang w:val="en-US"/>
        </w:rPr>
      </w:pPr>
      <w:r w:rsidRPr="009E1B38">
        <w:rPr>
          <w:lang w:val="en-US"/>
        </w:rPr>
        <w:lastRenderedPageBreak/>
        <w:t>(3) All bid prices shall be notified in Turkish Lira (TL) and two digits after the comma.</w:t>
      </w:r>
    </w:p>
    <w:p w14:paraId="27A1E1A3" w14:textId="77777777" w:rsidR="00171C59" w:rsidRPr="009E1B38" w:rsidRDefault="00171C59" w:rsidP="00171C59">
      <w:pPr>
        <w:pStyle w:val="P68B1DB1-Normal8"/>
        <w:ind w:left="709"/>
        <w:jc w:val="left"/>
        <w:rPr>
          <w:lang w:val="en-US"/>
        </w:rPr>
      </w:pPr>
      <w:r w:rsidRPr="009E1B38">
        <w:rPr>
          <w:lang w:val="en-US"/>
        </w:rPr>
        <w:t>Evaluation of bids for demand side reserve service</w:t>
      </w:r>
    </w:p>
    <w:p w14:paraId="0859E929" w14:textId="77777777" w:rsidR="00171C59" w:rsidRPr="009E1B38" w:rsidRDefault="00171C59" w:rsidP="00171C59">
      <w:pPr>
        <w:pStyle w:val="P68B1DB1-Normal8"/>
        <w:ind w:left="709"/>
        <w:jc w:val="left"/>
        <w:rPr>
          <w:lang w:val="en-US"/>
        </w:rPr>
      </w:pPr>
      <w:r w:rsidRPr="009E1B38">
        <w:rPr>
          <w:lang w:val="en-US"/>
        </w:rPr>
        <w:t>ARTICLE 31/Ç</w:t>
      </w:r>
    </w:p>
    <w:p w14:paraId="7C526D2F" w14:textId="77777777" w:rsidR="00171C59" w:rsidRPr="009E1B38" w:rsidRDefault="00171C59" w:rsidP="00171C59">
      <w:pPr>
        <w:pStyle w:val="P68B1DB1-Normal7"/>
        <w:ind w:left="709"/>
        <w:jc w:val="left"/>
        <w:rPr>
          <w:lang w:val="en-US"/>
        </w:rPr>
      </w:pPr>
      <w:r w:rsidRPr="009E1B38">
        <w:rPr>
          <w:lang w:val="en-US"/>
        </w:rPr>
        <w:t>ARTICLE 35 - (1) The bids shall be listed in price order, and shall be selected as much as the demand side reserve amount that the system requires for the tender period, and all bidders shall be notified.</w:t>
      </w:r>
    </w:p>
    <w:p w14:paraId="0133931F" w14:textId="77777777" w:rsidR="00171C59" w:rsidRPr="009E1B38" w:rsidRDefault="00171C59" w:rsidP="00171C59">
      <w:pPr>
        <w:pStyle w:val="P68B1DB1-Normal7"/>
        <w:ind w:left="709"/>
        <w:jc w:val="left"/>
        <w:rPr>
          <w:lang w:val="en-US"/>
        </w:rPr>
      </w:pPr>
      <w:r w:rsidRPr="009E1B38">
        <w:rPr>
          <w:lang w:val="en-US"/>
        </w:rPr>
        <w:t>(2) TEİAŞ shall act indiscriminately between the equal parties in the evaluation of the bids of the demand side reserve service, by considering the technical requirements and system requirements.</w:t>
      </w:r>
    </w:p>
    <w:p w14:paraId="329FC73B" w14:textId="77777777" w:rsidR="00171C59" w:rsidRPr="009E1B38" w:rsidRDefault="00171C59" w:rsidP="00171C59">
      <w:pPr>
        <w:pStyle w:val="P68B1DB1-Normal7"/>
        <w:ind w:left="709"/>
        <w:jc w:val="left"/>
        <w:rPr>
          <w:lang w:val="en-US"/>
        </w:rPr>
      </w:pPr>
      <w:r w:rsidRPr="009E1B38">
        <w:rPr>
          <w:lang w:val="en-US"/>
        </w:rPr>
        <w:t>(3) As a result of the procurement process; the highest bid price is selected, provided that it does not exceed the maximum bid price specified in the tender notice of the relevant bid period, and the hourly capacity fee (TL/MW) shall be determined, which shall be paid to the notified legal entities that own a consumption plant and shall provide the demand side reserve service.</w:t>
      </w:r>
    </w:p>
    <w:p w14:paraId="36AAFA67" w14:textId="77777777" w:rsidR="00171C59" w:rsidRPr="009E1B38" w:rsidRDefault="00171C59" w:rsidP="00171C59">
      <w:pPr>
        <w:pStyle w:val="P68B1DB1-Normal8"/>
        <w:ind w:left="709"/>
        <w:jc w:val="left"/>
        <w:rPr>
          <w:lang w:val="en-US"/>
        </w:rPr>
      </w:pPr>
      <w:r w:rsidRPr="009E1B38">
        <w:rPr>
          <w:lang w:val="en-US"/>
        </w:rPr>
        <w:t>Pricing of demand side reserve service</w:t>
      </w:r>
    </w:p>
    <w:p w14:paraId="585509D6" w14:textId="77777777" w:rsidR="00171C59" w:rsidRPr="009E1B38" w:rsidRDefault="00171C59" w:rsidP="00171C59">
      <w:pPr>
        <w:pStyle w:val="P68B1DB1-Normal8"/>
        <w:ind w:left="709"/>
        <w:jc w:val="left"/>
        <w:rPr>
          <w:lang w:val="en-US"/>
        </w:rPr>
      </w:pPr>
      <w:r w:rsidRPr="009E1B38">
        <w:rPr>
          <w:lang w:val="en-US"/>
        </w:rPr>
        <w:t>ARTICLE 31/D</w:t>
      </w:r>
    </w:p>
    <w:p w14:paraId="516732C1" w14:textId="46CF150D" w:rsidR="00171C59" w:rsidRPr="009E1B38" w:rsidRDefault="00171C59" w:rsidP="00171C59">
      <w:pPr>
        <w:pStyle w:val="P68B1DB1-Normal7"/>
        <w:ind w:left="709"/>
        <w:jc w:val="left"/>
        <w:rPr>
          <w:lang w:val="en-US"/>
        </w:rPr>
      </w:pPr>
      <w:r w:rsidRPr="009E1B38">
        <w:rPr>
          <w:lang w:val="en-US"/>
        </w:rPr>
        <w:t xml:space="preserve">(1) The monthly amount to be paid to the legal </w:t>
      </w:r>
      <w:r w:rsidR="009E1B38" w:rsidRPr="009E1B38">
        <w:rPr>
          <w:lang w:val="en-US"/>
        </w:rPr>
        <w:t>entities, which</w:t>
      </w:r>
      <w:r w:rsidRPr="009E1B38">
        <w:rPr>
          <w:lang w:val="en-US"/>
        </w:rPr>
        <w:t xml:space="preserve"> owns a consumption plant, for the demand side reserve service shall be calculated in accordance with the following formula:</w:t>
      </w:r>
    </w:p>
    <w:p w14:paraId="7F12F20C" w14:textId="77777777" w:rsidR="00171C59" w:rsidRPr="009E1B38" w:rsidRDefault="00171C59" w:rsidP="00171C59">
      <w:pPr>
        <w:pStyle w:val="P68B1DB1-Normal7"/>
        <w:ind w:left="709"/>
        <w:jc w:val="left"/>
        <w:rPr>
          <w:lang w:val="en-US"/>
        </w:rPr>
      </w:pPr>
      <w:r w:rsidRPr="009E1B38">
        <w:rPr>
          <w:noProof/>
        </w:rPr>
        <w:drawing>
          <wp:inline distT="0" distB="0" distL="0" distR="0" wp14:anchorId="2D1D8217" wp14:editId="60146706">
            <wp:extent cx="4448175" cy="514350"/>
            <wp:effectExtent l="0" t="0" r="9525" b="0"/>
            <wp:docPr id="13" name="IMG282" descr="http://www.lexpera.com.tr/Appendix/PUBLICATION_TR/images/RG801Y2021N31377P4_375235101_1.JPG">
              <a:hlinkClick xmlns:a="http://schemas.openxmlformats.org/drawingml/2006/main" r:id="rId2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2" descr="http://www.lexpera.com.tr/Appendix/PUBLICATION_TR/images/RG801Y2021N31377P4_375235101_1.JPG">
                      <a:hlinkClick r:id="rId20" tgtFrame="&quot;_blank&quot;" tooltip="&quot;&quot;"/>
                    </pic:cNvPr>
                    <pic:cNvPicPr>
                      <a:picLocks noChangeAspect="1" noChangeArrowheads="1"/>
                    </pic:cNvPicPr>
                  </pic:nvPicPr>
                  <pic:blipFill>
                    <a:blip r:link="rId21">
                      <a:extLst>
                        <a:ext uri="{28A0092B-C50C-407E-A947-70E740481C1C}">
                          <a14:useLocalDpi xmlns:a14="http://schemas.microsoft.com/office/drawing/2010/main" val="0"/>
                        </a:ext>
                      </a:extLst>
                    </a:blip>
                    <a:srcRect/>
                    <a:stretch>
                      <a:fillRect/>
                    </a:stretch>
                  </pic:blipFill>
                  <pic:spPr bwMode="auto">
                    <a:xfrm>
                      <a:off x="0" y="0"/>
                      <a:ext cx="4448175" cy="514350"/>
                    </a:xfrm>
                    <a:prstGeom prst="rect">
                      <a:avLst/>
                    </a:prstGeom>
                    <a:noFill/>
                    <a:ln>
                      <a:noFill/>
                    </a:ln>
                  </pic:spPr>
                </pic:pic>
              </a:graphicData>
            </a:graphic>
          </wp:inline>
        </w:drawing>
      </w:r>
    </w:p>
    <w:p w14:paraId="14DCB1B2" w14:textId="77777777" w:rsidR="00171C59" w:rsidRPr="009E1B38" w:rsidRDefault="00171C59" w:rsidP="00171C59">
      <w:pPr>
        <w:pStyle w:val="P68B1DB1-Normal7"/>
        <w:spacing w:after="0"/>
        <w:ind w:left="709"/>
        <w:jc w:val="left"/>
        <w:rPr>
          <w:lang w:val="en-US"/>
        </w:rPr>
      </w:pPr>
      <w:r w:rsidRPr="009E1B38">
        <w:rPr>
          <w:lang w:val="en-US"/>
        </w:rPr>
        <w:t>(2) In the formula in the first paragraph; the terms are defined as follows:</w:t>
      </w:r>
    </w:p>
    <w:p w14:paraId="7199AC8A" w14:textId="77777777" w:rsidR="00171C59" w:rsidRPr="009E1B38" w:rsidRDefault="00171C59" w:rsidP="00171C59">
      <w:pPr>
        <w:pStyle w:val="P68B1DB1-Normal7"/>
        <w:spacing w:after="0"/>
        <w:ind w:left="709"/>
        <w:jc w:val="left"/>
        <w:rPr>
          <w:lang w:val="en-US"/>
        </w:rPr>
      </w:pPr>
      <w:r w:rsidRPr="009E1B38">
        <w:rPr>
          <w:lang w:val="en-US"/>
        </w:rPr>
        <w:t>a) TTYÖTp,f: The payment amount (TL) to be accrued for the demand side reserve service provided by the legal entity "p" during the invoicing period "f",</w:t>
      </w:r>
    </w:p>
    <w:p w14:paraId="2F7D10C9" w14:textId="77777777" w:rsidR="00171C59" w:rsidRPr="009E1B38" w:rsidRDefault="00171C59" w:rsidP="00171C59">
      <w:pPr>
        <w:pStyle w:val="P68B1DB1-Normal7"/>
        <w:spacing w:after="0"/>
        <w:ind w:left="709"/>
        <w:jc w:val="left"/>
        <w:rPr>
          <w:lang w:val="en-US"/>
        </w:rPr>
      </w:pPr>
      <w:r w:rsidRPr="009E1B38">
        <w:rPr>
          <w:lang w:val="en-US"/>
        </w:rPr>
        <w:t>b) TTYRMt,f,s: The reserve capacity (MW) provided from the consumption plant “t” at the hour “s” of the invoicing period “f” for the demand side backup,</w:t>
      </w:r>
    </w:p>
    <w:p w14:paraId="6BF9C329" w14:textId="77777777" w:rsidR="00171C59" w:rsidRPr="009E1B38" w:rsidRDefault="00171C59" w:rsidP="00171C59">
      <w:pPr>
        <w:pStyle w:val="P68B1DB1-Normal7"/>
        <w:spacing w:after="0"/>
        <w:ind w:left="709"/>
        <w:jc w:val="left"/>
        <w:rPr>
          <w:lang w:val="en-US"/>
        </w:rPr>
      </w:pPr>
      <w:r w:rsidRPr="009E1B38">
        <w:rPr>
          <w:lang w:val="en-US"/>
        </w:rPr>
        <w:t>c) TTYTMt,f,s: The amount of load (MW) changed from the consumption plant “t” at the hour “s” of the invoicing period “f” in accordance with the instruction for the demand side reserve,</w:t>
      </w:r>
    </w:p>
    <w:p w14:paraId="67C0FB6C" w14:textId="77777777" w:rsidR="00171C59" w:rsidRPr="009E1B38" w:rsidRDefault="00171C59" w:rsidP="00171C59">
      <w:pPr>
        <w:pStyle w:val="P68B1DB1-Normal7"/>
        <w:spacing w:after="0"/>
        <w:ind w:left="709"/>
        <w:jc w:val="left"/>
        <w:rPr>
          <w:lang w:val="en-US"/>
        </w:rPr>
      </w:pPr>
      <w:r w:rsidRPr="009E1B38">
        <w:rPr>
          <w:lang w:val="en-US"/>
        </w:rPr>
        <w:t>ç) TTYKBt,f: hourly capacity fee (TL/MW) to be applied to the consumption plant “t” at the hour “s” of the invoicing period “f” for demand side reserve service,</w:t>
      </w:r>
    </w:p>
    <w:p w14:paraId="717A3E11" w14:textId="77777777" w:rsidR="00171C59" w:rsidRPr="009E1B38" w:rsidRDefault="00171C59" w:rsidP="00171C59">
      <w:pPr>
        <w:pStyle w:val="P68B1DB1-Normal7"/>
        <w:spacing w:after="0"/>
        <w:ind w:left="709"/>
        <w:jc w:val="left"/>
        <w:rPr>
          <w:lang w:val="en-US"/>
        </w:rPr>
      </w:pPr>
      <w:r w:rsidRPr="009E1B38">
        <w:rPr>
          <w:lang w:val="en-US"/>
        </w:rPr>
        <w:t>d) TTYHSt,f,s: The demand side backup service period (minutes) provided by the consumption plant "t" by cutting its load within the hour "s" of the invoicing period "f",</w:t>
      </w:r>
    </w:p>
    <w:p w14:paraId="79ABF83A" w14:textId="77777777" w:rsidR="00171C59" w:rsidRPr="009E1B38" w:rsidRDefault="00171C59" w:rsidP="00171C59">
      <w:pPr>
        <w:pStyle w:val="P68B1DB1-Normal7"/>
        <w:spacing w:after="0"/>
        <w:ind w:left="709"/>
        <w:jc w:val="left"/>
        <w:rPr>
          <w:lang w:val="en-US"/>
        </w:rPr>
      </w:pPr>
      <w:r w:rsidRPr="009E1B38">
        <w:rPr>
          <w:lang w:val="en-US"/>
        </w:rPr>
        <w:t>ç) NPTFf,s: As per the Electricity Market Balancing and Settlement Regulation, final market clearing price (TL/MWh) calculated within the scope of the Day Ahead Market for the hour “s” of the invoicing period “f”,</w:t>
      </w:r>
    </w:p>
    <w:p w14:paraId="555EB232" w14:textId="77777777" w:rsidR="00171C59" w:rsidRPr="009E1B38" w:rsidRDefault="00171C59" w:rsidP="00171C59">
      <w:pPr>
        <w:pStyle w:val="P68B1DB1-Normal7"/>
        <w:spacing w:after="0"/>
        <w:ind w:left="709"/>
        <w:jc w:val="left"/>
        <w:rPr>
          <w:lang w:val="en-US"/>
        </w:rPr>
      </w:pPr>
      <w:r w:rsidRPr="009E1B38">
        <w:rPr>
          <w:lang w:val="en-US"/>
        </w:rPr>
        <w:t>f) SMFf,s: As per the Electricity Market Balancing and Settlement Regulation, system marginal price (TL/MWh) calculated and announced by TEİAŞ, within the scope of the balancing power market for the hour “s” of the invoicing period “f”,</w:t>
      </w:r>
    </w:p>
    <w:p w14:paraId="2CE6FC03" w14:textId="77777777" w:rsidR="00171C59" w:rsidRPr="009E1B38" w:rsidRDefault="00171C59" w:rsidP="00171C59">
      <w:pPr>
        <w:pStyle w:val="P68B1DB1-Normal7"/>
        <w:spacing w:after="0"/>
        <w:ind w:left="709"/>
        <w:jc w:val="left"/>
        <w:rPr>
          <w:lang w:val="en-US"/>
        </w:rPr>
      </w:pPr>
      <w:r w:rsidRPr="009E1B38">
        <w:rPr>
          <w:lang w:val="en-US"/>
        </w:rPr>
        <w:t>g) m: the number of hours in the period “d”</w:t>
      </w:r>
    </w:p>
    <w:p w14:paraId="345EBC62" w14:textId="58041511" w:rsidR="00171C59" w:rsidRPr="009E1B38" w:rsidRDefault="00171C59" w:rsidP="00171C59">
      <w:pPr>
        <w:pStyle w:val="P68B1DB1-Normal7"/>
        <w:ind w:left="709"/>
        <w:jc w:val="left"/>
        <w:rPr>
          <w:lang w:val="en-US"/>
        </w:rPr>
      </w:pPr>
    </w:p>
    <w:p w14:paraId="316DC568" w14:textId="77777777" w:rsidR="00171C59" w:rsidRPr="009E1B38" w:rsidRDefault="00171C59" w:rsidP="00171C59">
      <w:pPr>
        <w:pStyle w:val="P68B1DB1-Normal8"/>
        <w:ind w:left="709"/>
        <w:jc w:val="left"/>
        <w:rPr>
          <w:lang w:val="en-US"/>
        </w:rPr>
      </w:pPr>
      <w:r w:rsidRPr="009E1B38">
        <w:rPr>
          <w:lang w:val="en-US"/>
        </w:rPr>
        <w:t>Ancillary service agreements for demand side reserve service</w:t>
      </w:r>
    </w:p>
    <w:p w14:paraId="5B3AFD66" w14:textId="77777777" w:rsidR="00171C59" w:rsidRPr="009E1B38" w:rsidRDefault="00171C59" w:rsidP="00171C59">
      <w:pPr>
        <w:pStyle w:val="P68B1DB1-Normal8"/>
        <w:ind w:left="709"/>
        <w:jc w:val="left"/>
        <w:rPr>
          <w:lang w:val="en-US"/>
        </w:rPr>
      </w:pPr>
      <w:r w:rsidRPr="009E1B38">
        <w:rPr>
          <w:lang w:val="en-US"/>
        </w:rPr>
        <w:t>ARTICLE 31/E</w:t>
      </w:r>
    </w:p>
    <w:p w14:paraId="01180B00" w14:textId="77777777" w:rsidR="00171C59" w:rsidRPr="009E1B38" w:rsidRDefault="00171C59" w:rsidP="00171C59">
      <w:pPr>
        <w:pStyle w:val="P68B1DB1-Normal7"/>
        <w:ind w:left="709"/>
        <w:jc w:val="left"/>
        <w:rPr>
          <w:lang w:val="en-US"/>
        </w:rPr>
      </w:pPr>
      <w:r w:rsidRPr="009E1B38">
        <w:rPr>
          <w:lang w:val="en-US"/>
        </w:rPr>
        <w:lastRenderedPageBreak/>
        <w:t>(1) Ancillary service agreements, prepared by TEİAŞ for the demand side reserve service, shall be signed between consumption plant owner legal entities and TEİAŞ for the procurement of demand side reserve service.</w:t>
      </w:r>
    </w:p>
    <w:p w14:paraId="126AA36B" w14:textId="77777777" w:rsidR="00171C59" w:rsidRPr="009E1B38" w:rsidRDefault="00171C59" w:rsidP="00171C59">
      <w:pPr>
        <w:pStyle w:val="P68B1DB1-Normal7"/>
        <w:spacing w:after="0"/>
        <w:ind w:left="709"/>
        <w:jc w:val="left"/>
        <w:rPr>
          <w:lang w:val="en-US"/>
        </w:rPr>
      </w:pPr>
      <w:r w:rsidRPr="009E1B38">
        <w:rPr>
          <w:lang w:val="en-US"/>
        </w:rPr>
        <w:t>(2) The ancillary service agreements to be signed between the consumption plant owner legal entities and TEİAŞ for the demand side reserve service shall at least contain the following information and documents:</w:t>
      </w:r>
    </w:p>
    <w:p w14:paraId="200BFDFD" w14:textId="77777777" w:rsidR="00171C59" w:rsidRPr="009E1B38" w:rsidRDefault="00171C59" w:rsidP="00171C59">
      <w:pPr>
        <w:pStyle w:val="P68B1DB1-Normal7"/>
        <w:spacing w:after="0"/>
        <w:ind w:left="709"/>
        <w:jc w:val="left"/>
        <w:rPr>
          <w:lang w:val="en-US"/>
        </w:rPr>
      </w:pPr>
      <w:r w:rsidRPr="009E1B38">
        <w:rPr>
          <w:lang w:val="en-US"/>
        </w:rPr>
        <w:t>a) The period covered by the agreement.</w:t>
      </w:r>
    </w:p>
    <w:p w14:paraId="071BA825" w14:textId="77777777" w:rsidR="00171C59" w:rsidRPr="009E1B38" w:rsidRDefault="00171C59" w:rsidP="00171C59">
      <w:pPr>
        <w:pStyle w:val="P68B1DB1-Normal7"/>
        <w:spacing w:after="0"/>
        <w:ind w:left="709"/>
        <w:jc w:val="left"/>
        <w:rPr>
          <w:lang w:val="en-US"/>
        </w:rPr>
      </w:pPr>
      <w:r w:rsidRPr="009E1B38">
        <w:rPr>
          <w:lang w:val="en-US"/>
        </w:rPr>
        <w:t>b) The amount of demand side reserve (MW) to be provided within the scope of the Agreement.</w:t>
      </w:r>
    </w:p>
    <w:p w14:paraId="4B0E4B60" w14:textId="77777777" w:rsidR="00171C59" w:rsidRPr="009E1B38" w:rsidRDefault="00171C59" w:rsidP="00171C59">
      <w:pPr>
        <w:pStyle w:val="P68B1DB1-Normal7"/>
        <w:spacing w:after="0"/>
        <w:ind w:left="709"/>
        <w:jc w:val="left"/>
        <w:rPr>
          <w:lang w:val="en-US"/>
        </w:rPr>
      </w:pPr>
      <w:r w:rsidRPr="009E1B38">
        <w:rPr>
          <w:lang w:val="en-US"/>
        </w:rPr>
        <w:t>c) Certificate of conformity to provide the demand side reserve service.</w:t>
      </w:r>
    </w:p>
    <w:p w14:paraId="7E6E7F58" w14:textId="77777777" w:rsidR="00171C59" w:rsidRPr="009E1B38" w:rsidRDefault="00171C59" w:rsidP="00171C59">
      <w:pPr>
        <w:pStyle w:val="P68B1DB1-Normal7"/>
        <w:spacing w:after="0"/>
        <w:ind w:left="709"/>
        <w:jc w:val="left"/>
        <w:rPr>
          <w:lang w:val="en-US"/>
        </w:rPr>
      </w:pPr>
      <w:r w:rsidRPr="009E1B38">
        <w:rPr>
          <w:lang w:val="en-US"/>
        </w:rPr>
        <w:t>ç) Electricity consumption profiles for the previous period, if requested in the tender notice from the consumption plants within the scope of the agreement.</w:t>
      </w:r>
    </w:p>
    <w:p w14:paraId="701856D7" w14:textId="77777777" w:rsidR="00171C59" w:rsidRPr="009E1B38" w:rsidRDefault="00171C59" w:rsidP="00171C59">
      <w:pPr>
        <w:pStyle w:val="P68B1DB1-Normal7"/>
        <w:spacing w:after="0"/>
        <w:ind w:left="709"/>
        <w:jc w:val="left"/>
        <w:rPr>
          <w:lang w:val="en-US"/>
        </w:rPr>
      </w:pPr>
      <w:r w:rsidRPr="009E1B38">
        <w:rPr>
          <w:lang w:val="en-US"/>
        </w:rPr>
        <w:t>d) How and in what periods the instructions shall be given to the consumption plants and how they shall be commissioned in order not to damage the equipment of the consumption plant that is within the scope of the agreement.</w:t>
      </w:r>
    </w:p>
    <w:p w14:paraId="70C86A51" w14:textId="77777777" w:rsidR="00171C59" w:rsidRPr="009E1B38" w:rsidRDefault="00171C59" w:rsidP="00171C59">
      <w:pPr>
        <w:pStyle w:val="P68B1DB1-Normal7"/>
        <w:spacing w:after="0"/>
        <w:ind w:left="709"/>
        <w:jc w:val="left"/>
        <w:rPr>
          <w:lang w:val="en-US"/>
        </w:rPr>
      </w:pPr>
      <w:r w:rsidRPr="009E1B38">
        <w:rPr>
          <w:lang w:val="en-US"/>
        </w:rPr>
        <w:t>e) Information on the calculation of the amount of consumption that will be the basis for determining the amount of load change occurred during the procurement of the service within the scope of the agreement.</w:t>
      </w:r>
    </w:p>
    <w:p w14:paraId="53A39B23" w14:textId="77777777" w:rsidR="00171C59" w:rsidRPr="009E1B38" w:rsidRDefault="00171C59" w:rsidP="00171C59">
      <w:pPr>
        <w:pStyle w:val="P68B1DB1-Normal7"/>
        <w:spacing w:after="0"/>
        <w:ind w:left="709"/>
        <w:jc w:val="left"/>
        <w:rPr>
          <w:lang w:val="en-US"/>
        </w:rPr>
      </w:pPr>
      <w:r w:rsidRPr="009E1B38">
        <w:rPr>
          <w:lang w:val="en-US"/>
        </w:rPr>
        <w:t>f) Procedures for monitoring, controlling and verifying whether the obligations under the Agreement have been fulfilled.</w:t>
      </w:r>
    </w:p>
    <w:p w14:paraId="46837557" w14:textId="77777777" w:rsidR="00171C59" w:rsidRPr="009E1B38" w:rsidRDefault="00171C59" w:rsidP="00171C59">
      <w:pPr>
        <w:pStyle w:val="P68B1DB1-Normal7"/>
        <w:spacing w:after="0"/>
        <w:ind w:left="709"/>
        <w:jc w:val="left"/>
        <w:rPr>
          <w:lang w:val="en-US"/>
        </w:rPr>
      </w:pPr>
      <w:r w:rsidRPr="009E1B38">
        <w:rPr>
          <w:lang w:val="en-US"/>
        </w:rPr>
        <w:t>g) Pricing of the service to be provided within the scope of the Agreement.</w:t>
      </w:r>
    </w:p>
    <w:p w14:paraId="3C396C76" w14:textId="77777777" w:rsidR="00171C59" w:rsidRPr="009E1B38" w:rsidRDefault="00171C59" w:rsidP="00171C59">
      <w:pPr>
        <w:pStyle w:val="P68B1DB1-Normal7"/>
        <w:spacing w:after="0"/>
        <w:ind w:left="709"/>
        <w:jc w:val="left"/>
        <w:rPr>
          <w:lang w:val="en-US"/>
        </w:rPr>
      </w:pPr>
      <w:r w:rsidRPr="009E1B38">
        <w:rPr>
          <w:lang w:val="en-US"/>
        </w:rPr>
        <w:t>ğ) If the service under the agreement is not provided properly, the non-performance fees to be applied and the provisions regarding the termination or revocation of the agreement.</w:t>
      </w:r>
    </w:p>
    <w:p w14:paraId="0202CD41" w14:textId="77777777" w:rsidR="00171C59" w:rsidRPr="009E1B38" w:rsidRDefault="00171C59" w:rsidP="00171C59">
      <w:pPr>
        <w:pStyle w:val="P68B1DB1-Normal7"/>
        <w:ind w:left="709"/>
        <w:jc w:val="left"/>
        <w:rPr>
          <w:lang w:val="en-US"/>
        </w:rPr>
      </w:pPr>
      <w:r w:rsidRPr="009E1B38">
        <w:rPr>
          <w:lang w:val="en-US"/>
        </w:rPr>
        <w:t>h) Other issues that TEİAŞ deems appropriate to be included in the agreement and that do not alter or change the terms of the tender document.</w:t>
      </w:r>
    </w:p>
    <w:p w14:paraId="4088D6AF" w14:textId="77777777" w:rsidR="00171C59" w:rsidRPr="009E1B38" w:rsidRDefault="00171C59" w:rsidP="00171C59">
      <w:pPr>
        <w:pStyle w:val="P68B1DB1-Normal8"/>
        <w:ind w:left="709"/>
        <w:jc w:val="left"/>
        <w:rPr>
          <w:lang w:val="en-US"/>
        </w:rPr>
      </w:pPr>
      <w:r w:rsidRPr="009E1B38">
        <w:rPr>
          <w:lang w:val="en-US"/>
        </w:rPr>
        <w:t>Non-performance fees of demand side reserve service</w:t>
      </w:r>
    </w:p>
    <w:p w14:paraId="5CA0C786" w14:textId="77777777" w:rsidR="00171C59" w:rsidRPr="009E1B38" w:rsidRDefault="00171C59" w:rsidP="00171C59">
      <w:pPr>
        <w:pStyle w:val="P68B1DB1-Normal8"/>
        <w:ind w:left="709"/>
        <w:jc w:val="left"/>
        <w:rPr>
          <w:lang w:val="en-US"/>
        </w:rPr>
      </w:pPr>
      <w:r w:rsidRPr="009E1B38">
        <w:rPr>
          <w:lang w:val="en-US"/>
        </w:rPr>
        <w:t>ARTICLE 31/F</w:t>
      </w:r>
    </w:p>
    <w:p w14:paraId="1F134942" w14:textId="65EA60C0" w:rsidR="00171C59" w:rsidRPr="009E1B38" w:rsidRDefault="00171C59" w:rsidP="00171C59">
      <w:pPr>
        <w:pStyle w:val="P68B1DB1-Normal7"/>
        <w:ind w:left="709"/>
        <w:jc w:val="left"/>
        <w:rPr>
          <w:lang w:val="en-US"/>
        </w:rPr>
      </w:pPr>
      <w:r w:rsidRPr="009E1B38">
        <w:rPr>
          <w:lang w:val="en-US"/>
        </w:rPr>
        <w:t xml:space="preserve">(1) In case that the party, which signs the demand side reserve service </w:t>
      </w:r>
      <w:r w:rsidR="009E1B38" w:rsidRPr="009E1B38">
        <w:rPr>
          <w:lang w:val="en-US"/>
        </w:rPr>
        <w:t>agreement</w:t>
      </w:r>
      <w:r w:rsidRPr="009E1B38">
        <w:rPr>
          <w:lang w:val="en-US"/>
        </w:rPr>
        <w:t>, fails to comply with provisions of the agreement, the non-fulfillment fee to be applied shall be included in the relevant ancillary service agreement."</w:t>
      </w:r>
    </w:p>
    <w:p w14:paraId="41EE19D4"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first paragraph of Article 32 has been amended as follows.</w:t>
      </w:r>
    </w:p>
    <w:p w14:paraId="6661C456" w14:textId="77777777" w:rsidR="00171C59" w:rsidRPr="009E1B38" w:rsidRDefault="00171C59" w:rsidP="00171C59">
      <w:pPr>
        <w:pStyle w:val="P68B1DB1-Normal7"/>
        <w:ind w:left="709"/>
        <w:jc w:val="left"/>
        <w:rPr>
          <w:lang w:val="en-US"/>
        </w:rPr>
      </w:pPr>
      <w:r w:rsidRPr="009E1B38">
        <w:rPr>
          <w:lang w:val="en-US"/>
        </w:rPr>
        <w:t>“(1) In order to prevent a fall in the system frequency before critical operating conditions occur, instant demand control reserves shall be procured by TEİAŞ through the tenders made between the consumption plants connected to the transmission system, within the scope of emergency measures defined in the Electricity Network Regulation. As a result of these tenders, an ancillary service agreement for the instant demand control service shall be signed between the consumption plant owner legal entity and TEİAŞ for voluntary consumption plants that will provide instant demand control service."</w:t>
      </w:r>
    </w:p>
    <w:p w14:paraId="4FB60DC7"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 xml:space="preserve">Article 37 titled </w:t>
      </w:r>
      <w:r w:rsidRPr="009E1B38">
        <w:rPr>
          <w:i/>
          <w:lang w:val="en-US"/>
        </w:rPr>
        <w:t>"Pricing of instant demand control service"</w:t>
      </w:r>
      <w:r w:rsidRPr="009E1B38">
        <w:rPr>
          <w:lang w:val="en-US"/>
        </w:rPr>
        <w:t xml:space="preserve"> has been amended as follows.</w:t>
      </w:r>
    </w:p>
    <w:p w14:paraId="163B72C6" w14:textId="77777777" w:rsidR="00171C59" w:rsidRPr="009E1B38" w:rsidRDefault="00171C59" w:rsidP="00171C59">
      <w:pPr>
        <w:pStyle w:val="P68B1DB1-Normal8"/>
        <w:ind w:left="709"/>
        <w:jc w:val="left"/>
        <w:rPr>
          <w:lang w:val="en-US"/>
        </w:rPr>
      </w:pPr>
      <w:r w:rsidRPr="009E1B38">
        <w:rPr>
          <w:lang w:val="en-US"/>
        </w:rPr>
        <w:t>"ARTICLE 37</w:t>
      </w:r>
    </w:p>
    <w:p w14:paraId="01AEC37D" w14:textId="77777777" w:rsidR="00171C59" w:rsidRPr="009E1B38" w:rsidRDefault="00171C59" w:rsidP="00171C59">
      <w:pPr>
        <w:pStyle w:val="P68B1DB1-Normal7"/>
        <w:ind w:left="709"/>
        <w:jc w:val="left"/>
        <w:rPr>
          <w:lang w:val="en-US"/>
        </w:rPr>
      </w:pPr>
      <w:r w:rsidRPr="009E1B38">
        <w:rPr>
          <w:lang w:val="en-US"/>
        </w:rPr>
        <w:t>(1) The monthly amount to be paid for the instant demand control service to the consumption plant owner legal entities shall be calculated in accordance with the following formula:</w:t>
      </w:r>
    </w:p>
    <w:p w14:paraId="288E56AC" w14:textId="77777777" w:rsidR="00171C59" w:rsidRPr="009E1B38" w:rsidRDefault="00171C59" w:rsidP="00171C59">
      <w:pPr>
        <w:pStyle w:val="P68B1DB1-Normal7"/>
        <w:ind w:left="709"/>
        <w:jc w:val="left"/>
        <w:rPr>
          <w:lang w:val="en-US"/>
        </w:rPr>
      </w:pPr>
      <w:r w:rsidRPr="009E1B38">
        <w:rPr>
          <w:noProof/>
        </w:rPr>
        <w:lastRenderedPageBreak/>
        <w:drawing>
          <wp:inline distT="0" distB="0" distL="0" distR="0" wp14:anchorId="09C133A4" wp14:editId="53E6C19D">
            <wp:extent cx="3667125" cy="447675"/>
            <wp:effectExtent l="0" t="0" r="9525" b="9525"/>
            <wp:docPr id="5" name="IMG317" descr="http://www.lexpera.com.tr/Appendix/PUBLICATION_TR/images/RG801Y2021N31377P4_375235102_1.JPG">
              <a:hlinkClick xmlns:a="http://schemas.openxmlformats.org/drawingml/2006/main" r:id="rId22"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7" descr="http://www.lexpera.com.tr/Appendix/PUBLICATION_TR/images/RG801Y2021N31377P4_375235102_1.JPG">
                      <a:hlinkClick r:id="rId22" tgtFrame="&quot;_blank&quot;" tooltip="&quot;&quot;"/>
                    </pic:cNvPr>
                    <pic:cNvPicPr>
                      <a:picLocks noChangeAspect="1" noChangeArrowheads="1"/>
                    </pic:cNvPicPr>
                  </pic:nvPicPr>
                  <pic:blipFill>
                    <a:blip r:link="rId23">
                      <a:extLst>
                        <a:ext uri="{28A0092B-C50C-407E-A947-70E740481C1C}">
                          <a14:useLocalDpi xmlns:a14="http://schemas.microsoft.com/office/drawing/2010/main" val="0"/>
                        </a:ext>
                      </a:extLst>
                    </a:blip>
                    <a:srcRect/>
                    <a:stretch>
                      <a:fillRect/>
                    </a:stretch>
                  </pic:blipFill>
                  <pic:spPr bwMode="auto">
                    <a:xfrm>
                      <a:off x="0" y="0"/>
                      <a:ext cx="3667125" cy="447675"/>
                    </a:xfrm>
                    <a:prstGeom prst="rect">
                      <a:avLst/>
                    </a:prstGeom>
                    <a:noFill/>
                    <a:ln>
                      <a:noFill/>
                    </a:ln>
                  </pic:spPr>
                </pic:pic>
              </a:graphicData>
            </a:graphic>
          </wp:inline>
        </w:drawing>
      </w:r>
    </w:p>
    <w:p w14:paraId="779FCA2B" w14:textId="77777777" w:rsidR="00171C59" w:rsidRPr="009E1B38" w:rsidRDefault="00171C59" w:rsidP="00171C59">
      <w:pPr>
        <w:pStyle w:val="P68B1DB1-Normal7"/>
        <w:spacing w:after="0"/>
        <w:ind w:left="709"/>
        <w:jc w:val="left"/>
        <w:rPr>
          <w:lang w:val="en-US"/>
        </w:rPr>
      </w:pPr>
      <w:r w:rsidRPr="009E1B38">
        <w:rPr>
          <w:lang w:val="en-US"/>
        </w:rPr>
        <w:t>(2) In the formula in the first paragraph; the terms are defined as follows:</w:t>
      </w:r>
    </w:p>
    <w:p w14:paraId="481BC19E" w14:textId="77777777" w:rsidR="00171C59" w:rsidRPr="009E1B38" w:rsidRDefault="00171C59" w:rsidP="00171C59">
      <w:pPr>
        <w:pStyle w:val="P68B1DB1-Normal7"/>
        <w:spacing w:after="0"/>
        <w:ind w:left="709"/>
        <w:jc w:val="left"/>
        <w:rPr>
          <w:lang w:val="en-US"/>
        </w:rPr>
      </w:pPr>
      <w:r w:rsidRPr="009E1B38">
        <w:rPr>
          <w:lang w:val="en-US"/>
        </w:rPr>
        <w:t>a) TKTp,f: the amount of receivable (TL) to be accrued for the instant demand control service provided by the legal entity “p” in the invoicing period “f”,</w:t>
      </w:r>
    </w:p>
    <w:p w14:paraId="6BDF96BF" w14:textId="580EE310" w:rsidR="00171C59" w:rsidRPr="009E1B38" w:rsidRDefault="00171C59" w:rsidP="00171C59">
      <w:pPr>
        <w:pStyle w:val="P68B1DB1-Normal7"/>
        <w:spacing w:after="0"/>
        <w:ind w:left="709"/>
        <w:jc w:val="left"/>
        <w:rPr>
          <w:lang w:val="en-US"/>
        </w:rPr>
      </w:pPr>
      <w:r w:rsidRPr="009E1B38">
        <w:rPr>
          <w:lang w:val="en-US"/>
        </w:rPr>
        <w:t>b) TKKYMt,f,s: The deloading amount (MW) from the consumption plant “t” for instant demand control in the hour “s” of the invoicing period “f”,</w:t>
      </w:r>
    </w:p>
    <w:p w14:paraId="7BA7211B" w14:textId="77777777" w:rsidR="00171C59" w:rsidRPr="009E1B38" w:rsidRDefault="00171C59" w:rsidP="00171C59">
      <w:pPr>
        <w:pStyle w:val="P68B1DB1-Normal7"/>
        <w:spacing w:after="0"/>
        <w:ind w:left="709"/>
        <w:jc w:val="left"/>
        <w:rPr>
          <w:lang w:val="en-US"/>
        </w:rPr>
      </w:pPr>
      <w:r w:rsidRPr="009E1B38">
        <w:rPr>
          <w:lang w:val="en-US"/>
        </w:rPr>
        <w:t>c) TKTFt,f: the instant demand control bid price (TL/MWh) valid for the invoice period “f” for the consumption plant “t”,</w:t>
      </w:r>
    </w:p>
    <w:p w14:paraId="55AE1599" w14:textId="77777777" w:rsidR="00171C59" w:rsidRPr="009E1B38" w:rsidRDefault="00171C59" w:rsidP="00171C59">
      <w:pPr>
        <w:pStyle w:val="P68B1DB1-Normal7"/>
        <w:spacing w:after="0"/>
        <w:ind w:left="709"/>
        <w:jc w:val="left"/>
        <w:rPr>
          <w:lang w:val="en-US"/>
        </w:rPr>
      </w:pPr>
      <w:r w:rsidRPr="009E1B38">
        <w:rPr>
          <w:lang w:val="en-US"/>
        </w:rPr>
        <w:t>ç) TKHSt,f,s: the instant demand control service period (minutes) provided by the consumption plant "t" within the hour "s" of the invoicing period "f",</w:t>
      </w:r>
    </w:p>
    <w:p w14:paraId="127F741D" w14:textId="77777777" w:rsidR="00171C59" w:rsidRPr="009E1B38" w:rsidRDefault="00171C59" w:rsidP="00171C59">
      <w:pPr>
        <w:pStyle w:val="P68B1DB1-Normal7"/>
        <w:spacing w:after="0"/>
        <w:ind w:left="709"/>
        <w:jc w:val="left"/>
        <w:rPr>
          <w:lang w:val="en-US"/>
        </w:rPr>
      </w:pPr>
      <w:r w:rsidRPr="009E1B38">
        <w:rPr>
          <w:lang w:val="en-US"/>
        </w:rPr>
        <w:t>d) k: the number of consumption plants registered in the name of the legal entity “p”,</w:t>
      </w:r>
    </w:p>
    <w:p w14:paraId="3E9634BB" w14:textId="77777777" w:rsidR="00171C59" w:rsidRPr="009E1B38" w:rsidRDefault="00171C59" w:rsidP="00171C59">
      <w:pPr>
        <w:pStyle w:val="P68B1DB1-Normal7"/>
        <w:spacing w:after="0"/>
        <w:ind w:left="709"/>
        <w:jc w:val="left"/>
        <w:rPr>
          <w:lang w:val="en-US"/>
        </w:rPr>
      </w:pPr>
      <w:r w:rsidRPr="009E1B38">
        <w:rPr>
          <w:lang w:val="en-US"/>
        </w:rPr>
        <w:t>e) m: the number of hours in the period “d”.</w:t>
      </w:r>
    </w:p>
    <w:p w14:paraId="2371CC9E" w14:textId="2FA90166" w:rsidR="00171C59" w:rsidRPr="009E1B38" w:rsidRDefault="00171C59" w:rsidP="00171C59">
      <w:pPr>
        <w:pStyle w:val="P68B1DB1-Normal7"/>
        <w:ind w:left="709"/>
        <w:jc w:val="left"/>
        <w:rPr>
          <w:lang w:val="en-US"/>
        </w:rPr>
      </w:pPr>
    </w:p>
    <w:p w14:paraId="5FC38557"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Article 39 titled "</w:t>
      </w:r>
      <w:r w:rsidRPr="009E1B38">
        <w:rPr>
          <w:i/>
          <w:lang w:val="en-US"/>
        </w:rPr>
        <w:t>Reactive power control service procurement principles</w:t>
      </w:r>
      <w:r w:rsidRPr="009E1B38">
        <w:rPr>
          <w:lang w:val="en-US"/>
        </w:rPr>
        <w:t>" has been amended as follows.</w:t>
      </w:r>
    </w:p>
    <w:p w14:paraId="6ADF406E" w14:textId="77777777" w:rsidR="00171C59" w:rsidRPr="009E1B38" w:rsidRDefault="00171C59" w:rsidP="00171C59">
      <w:pPr>
        <w:pStyle w:val="P68B1DB1-Normal8"/>
        <w:ind w:left="709"/>
        <w:jc w:val="left"/>
        <w:rPr>
          <w:lang w:val="en-US"/>
        </w:rPr>
      </w:pPr>
      <w:r w:rsidRPr="009E1B38">
        <w:rPr>
          <w:lang w:val="en-US"/>
        </w:rPr>
        <w:t>"ARTICLE 39</w:t>
      </w:r>
    </w:p>
    <w:p w14:paraId="11B7B666" w14:textId="77777777" w:rsidR="00171C59" w:rsidRPr="009E1B38" w:rsidRDefault="00171C59" w:rsidP="00171C59">
      <w:pPr>
        <w:pStyle w:val="P68B1DB1-Normal7"/>
        <w:ind w:left="709"/>
        <w:jc w:val="left"/>
        <w:rPr>
          <w:lang w:val="en-US"/>
        </w:rPr>
      </w:pPr>
      <w:r w:rsidRPr="009E1B38">
        <w:rPr>
          <w:lang w:val="en-US"/>
        </w:rPr>
        <w:t>(1) Reactive power control service agreement shall be signed with licensed legal entities whose generation plants are connected to the transmission system at a voltage level of 66 kV or more and have an installed capacity of 30 MW or more. If TEİAŞ deems it necessary, licensed generation plants that are connected to the transmission system and have an installed capacity of less than 30 MW are also obliged to participate in reactive power control. Wind power based generation plants and solar power based photovoltaic generation plants shall participate in reactive power control within the conditions specified in the Electricity Network Regulation.</w:t>
      </w:r>
    </w:p>
    <w:p w14:paraId="4FDD1309" w14:textId="77777777" w:rsidR="00171C59" w:rsidRPr="009E1B38" w:rsidRDefault="00171C59" w:rsidP="00171C59">
      <w:pPr>
        <w:pStyle w:val="P68B1DB1-Normal7"/>
        <w:ind w:left="709"/>
        <w:jc w:val="left"/>
        <w:rPr>
          <w:lang w:val="en-US"/>
        </w:rPr>
      </w:pPr>
      <w:r w:rsidRPr="009E1B38">
        <w:rPr>
          <w:lang w:val="en-US"/>
        </w:rPr>
        <w:t>(2) In order for generation plants to provide reactive power capacity or to operate as synchronous condensers, it is obligatory to have an ancillary service agreement, regarding reactive power control service for generation plants connected at the voltage level of 66 kV and above, between the licensed legal entity and TEİAŞ. For the generation plants which are connected at the voltage level of 34.5 kV or below and signed a connection agreement with TEİAŞ, it is obligatory for the licensed legal entities, under name of whom these plants are registered, to sign a reactive power control service agreement with the relevant distribution company in accordance with the request of the relevant distribution company and the affirmation of TEİAŞ.</w:t>
      </w:r>
    </w:p>
    <w:p w14:paraId="6F303202" w14:textId="77777777" w:rsidR="00171C59" w:rsidRPr="009E1B38" w:rsidRDefault="00171C59" w:rsidP="00171C59">
      <w:pPr>
        <w:pStyle w:val="P68B1DB1-Normal7"/>
        <w:ind w:left="709"/>
        <w:jc w:val="left"/>
        <w:rPr>
          <w:lang w:val="en-US"/>
        </w:rPr>
      </w:pPr>
      <w:r w:rsidRPr="009E1B38">
        <w:rPr>
          <w:lang w:val="en-US"/>
        </w:rPr>
        <w:t>(3) TEİAŞ shall select the generation plants that shall provide the relevant services within the scope of ancillary service agreements for reactive power control, by taking the system limits and the aim to minimize the total cost of reactive power control into account."</w:t>
      </w:r>
    </w:p>
    <w:p w14:paraId="26FB6C97"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Clause (c) of the first paragraph of Article 40 titled "</w:t>
      </w:r>
      <w:r w:rsidRPr="009E1B38">
        <w:rPr>
          <w:i/>
          <w:lang w:val="en-US"/>
        </w:rPr>
        <w:t>Reactive power control service procurement process</w:t>
      </w:r>
      <w:r w:rsidRPr="009E1B38">
        <w:rPr>
          <w:lang w:val="en-US"/>
        </w:rPr>
        <w:t>" has been amended as follows.</w:t>
      </w:r>
    </w:p>
    <w:p w14:paraId="1681AC0F" w14:textId="77777777" w:rsidR="00171C59" w:rsidRPr="009E1B38" w:rsidRDefault="00171C59" w:rsidP="00171C59">
      <w:pPr>
        <w:pStyle w:val="P68B1DB1-Normal7"/>
        <w:ind w:left="709"/>
        <w:jc w:val="left"/>
        <w:rPr>
          <w:lang w:val="en-US"/>
        </w:rPr>
      </w:pPr>
      <w:r w:rsidRPr="009E1B38">
        <w:rPr>
          <w:lang w:val="en-US"/>
        </w:rPr>
        <w:t>"c) In order to regulate the system voltage in real time, the instructions shall be given to the generation plants to operate as generators or as synchronous condensers, by TEİAŞ. Notifications regarding the termination of the instructions are made to the relevant generation plants."</w:t>
      </w:r>
    </w:p>
    <w:p w14:paraId="07B26EB4"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The first paragraph and the clause (c) of the third paragraph of Article 41 titled "</w:t>
      </w:r>
      <w:r w:rsidRPr="009E1B38">
        <w:rPr>
          <w:i/>
          <w:lang w:val="en-US"/>
        </w:rPr>
        <w:t>Ancillary service agreements of reactive power control service</w:t>
      </w:r>
      <w:r w:rsidRPr="009E1B38">
        <w:rPr>
          <w:lang w:val="en-US"/>
        </w:rPr>
        <w:t>" have been amended as follows.</w:t>
      </w:r>
    </w:p>
    <w:p w14:paraId="634DAC28" w14:textId="77777777" w:rsidR="00171C59" w:rsidRPr="009E1B38" w:rsidRDefault="00171C59" w:rsidP="00171C59">
      <w:pPr>
        <w:pStyle w:val="P68B1DB1-Normal7"/>
        <w:ind w:left="709"/>
        <w:jc w:val="left"/>
        <w:rPr>
          <w:lang w:val="en-US"/>
        </w:rPr>
      </w:pPr>
      <w:r w:rsidRPr="009E1B38">
        <w:rPr>
          <w:lang w:val="en-US"/>
        </w:rPr>
        <w:lastRenderedPageBreak/>
        <w:t>"(1) It is mandatory to sign ancillary service agreements regarding reactive power control between TEİAŞ and the legal entity that operates in generation by means of providing reactive power capacity by generation plants and/or operating as a synchronous condenser. Standard ancillary service agreements of reactive power control shall be prepared by TEİAŞ and approved by the Board. A single ancillary service agreement regarding reactive power control is signed with each legal entity engaged in generation activity, covering the plants that are registered in their names and have the qualifications in accordance with the Article 39, except the minimum discharge units of the generation plants."</w:t>
      </w:r>
    </w:p>
    <w:p w14:paraId="35D26049" w14:textId="77777777" w:rsidR="00171C59" w:rsidRPr="009E1B38" w:rsidRDefault="00171C59" w:rsidP="00171C59">
      <w:pPr>
        <w:pStyle w:val="P68B1DB1-Normal7"/>
        <w:ind w:left="709"/>
        <w:jc w:val="left"/>
        <w:rPr>
          <w:lang w:val="en-US"/>
        </w:rPr>
      </w:pPr>
      <w:r w:rsidRPr="009E1B38">
        <w:rPr>
          <w:lang w:val="en-US"/>
        </w:rPr>
        <w:t>"c) The generation plants in operation must have an ancillary service certificate of reactive power support service; the generation plants that newly begins to operate must have a letter of commitment stating that the ancillary service certificate of reactive power support service shall be submitted to TEİAŞ by carrying out the reactive power support service performance tests within 90 days at the latest from the temporary acceptance date,"</w:t>
      </w:r>
    </w:p>
    <w:p w14:paraId="62C49D9E"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Article 42 and its title have been amended as follows.</w:t>
      </w:r>
    </w:p>
    <w:p w14:paraId="2BDFB315" w14:textId="77777777" w:rsidR="00171C59" w:rsidRPr="009E1B38" w:rsidRDefault="00171C59" w:rsidP="00171C59">
      <w:pPr>
        <w:pStyle w:val="P68B1DB1-Normal8"/>
        <w:ind w:left="709"/>
        <w:jc w:val="left"/>
        <w:rPr>
          <w:lang w:val="en-US"/>
        </w:rPr>
      </w:pPr>
      <w:r w:rsidRPr="009E1B38">
        <w:rPr>
          <w:lang w:val="en-US"/>
        </w:rPr>
        <w:t>“Instructions given by the system operator regarding the reactive power control service</w:t>
      </w:r>
    </w:p>
    <w:p w14:paraId="3FE5E9B2" w14:textId="77777777" w:rsidR="00171C59" w:rsidRPr="009E1B38" w:rsidRDefault="00171C59" w:rsidP="00171C59">
      <w:pPr>
        <w:pStyle w:val="P68B1DB1-Normal8"/>
        <w:ind w:left="709"/>
        <w:jc w:val="left"/>
        <w:rPr>
          <w:lang w:val="en-US"/>
        </w:rPr>
      </w:pPr>
      <w:r w:rsidRPr="009E1B38">
        <w:rPr>
          <w:lang w:val="en-US"/>
        </w:rPr>
        <w:t>ARTICLE 42</w:t>
      </w:r>
    </w:p>
    <w:p w14:paraId="72432CED" w14:textId="77777777" w:rsidR="00171C59" w:rsidRPr="009E1B38" w:rsidRDefault="00171C59" w:rsidP="00171C59">
      <w:pPr>
        <w:pStyle w:val="P68B1DB1-Normal7"/>
        <w:ind w:left="709"/>
        <w:jc w:val="left"/>
        <w:rPr>
          <w:lang w:val="en-US"/>
        </w:rPr>
      </w:pPr>
      <w:r w:rsidRPr="009E1B38">
        <w:rPr>
          <w:lang w:val="en-US"/>
        </w:rPr>
        <w:t>(1) Within the scope of transmission system operation, if necessary and if they are in operation, the instructions shall be given primarily through ASMMS to the generation plants, which are selected by TEİAŞ to provide reactive power control service as a generator or a synchronous condenser, or to provide automatic reactive power control service via automatic voltage regulator. The instructions given through ASMMS shall also be given through phone if necessary.</w:t>
      </w:r>
    </w:p>
    <w:p w14:paraId="161F6315" w14:textId="77777777" w:rsidR="00171C59" w:rsidRPr="009E1B38" w:rsidRDefault="00171C59" w:rsidP="00171C59">
      <w:pPr>
        <w:pStyle w:val="P68B1DB1-Normal7"/>
        <w:ind w:left="709"/>
        <w:jc w:val="left"/>
        <w:rPr>
          <w:lang w:val="en-US"/>
        </w:rPr>
      </w:pPr>
      <w:r w:rsidRPr="009E1B38">
        <w:rPr>
          <w:lang w:val="en-US"/>
        </w:rPr>
        <w:t>(2) In case the units in the generation plants that have an ancillary service agreement with TEİAŞ are required to provide a reactive power capacity above their nominal active power capacity, which outputs reactive power values that correspond to 0.85 with over-excited power factors and to 0.95 with under-excited power factors, the abovementioned generation plants shall be instructed to deload in accordance with Article 44. Afterwards, the instructions for reactive power control shall be given to these generation plants through ASMMS."</w:t>
      </w:r>
    </w:p>
    <w:p w14:paraId="4D28CE28"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Article 46 and its title have been amended as follows.</w:t>
      </w:r>
    </w:p>
    <w:p w14:paraId="3179B0D8" w14:textId="77777777" w:rsidR="00171C59" w:rsidRPr="009E1B38" w:rsidRDefault="00171C59" w:rsidP="00171C59">
      <w:pPr>
        <w:pStyle w:val="P68B1DB1-Normal8"/>
        <w:ind w:left="709"/>
        <w:jc w:val="left"/>
        <w:rPr>
          <w:lang w:val="en-US"/>
        </w:rPr>
      </w:pPr>
      <w:r w:rsidRPr="009E1B38">
        <w:rPr>
          <w:lang w:val="en-US"/>
        </w:rPr>
        <w:t>“Monitoring of reactive power control</w:t>
      </w:r>
    </w:p>
    <w:p w14:paraId="24821FEB" w14:textId="77777777" w:rsidR="00171C59" w:rsidRPr="009E1B38" w:rsidRDefault="00171C59" w:rsidP="00171C59">
      <w:pPr>
        <w:pStyle w:val="P68B1DB1-Normal8"/>
        <w:ind w:left="709"/>
        <w:jc w:val="left"/>
        <w:rPr>
          <w:lang w:val="en-US"/>
        </w:rPr>
      </w:pPr>
      <w:r w:rsidRPr="009E1B38">
        <w:rPr>
          <w:lang w:val="en-US"/>
        </w:rPr>
        <w:t>ARTICLE 46</w:t>
      </w:r>
    </w:p>
    <w:p w14:paraId="2F0F3EDB" w14:textId="1421F7FE" w:rsidR="00171C59" w:rsidRPr="009E1B38" w:rsidRDefault="00171C59" w:rsidP="00171C59">
      <w:pPr>
        <w:pStyle w:val="P68B1DB1-Normal7"/>
        <w:ind w:left="709"/>
        <w:jc w:val="left"/>
        <w:rPr>
          <w:lang w:val="en-US"/>
        </w:rPr>
      </w:pPr>
      <w:r w:rsidRPr="009E1B38">
        <w:rPr>
          <w:lang w:val="en-US"/>
        </w:rPr>
        <w:t xml:space="preserve">(1) Monitoring of ancillary service </w:t>
      </w:r>
      <w:r w:rsidR="009E1B38" w:rsidRPr="009E1B38">
        <w:rPr>
          <w:lang w:val="en-US"/>
        </w:rPr>
        <w:t>units, which</w:t>
      </w:r>
      <w:r w:rsidRPr="009E1B38">
        <w:rPr>
          <w:lang w:val="en-US"/>
        </w:rPr>
        <w:t xml:space="preserve"> participate in reactive power control service, is carried out on an hourly basis in accordance with the principles specified in the ancillary service agreements signed with TEİAŞ.</w:t>
      </w:r>
    </w:p>
    <w:p w14:paraId="76EB3225" w14:textId="77777777" w:rsidR="00171C59" w:rsidRPr="009E1B38" w:rsidRDefault="00171C59" w:rsidP="00171C59">
      <w:pPr>
        <w:pStyle w:val="P68B1DB1-Normal7"/>
        <w:ind w:left="709"/>
        <w:jc w:val="left"/>
        <w:rPr>
          <w:lang w:val="en-US"/>
        </w:rPr>
      </w:pPr>
      <w:r w:rsidRPr="009E1B38">
        <w:rPr>
          <w:lang w:val="en-US"/>
        </w:rPr>
        <w:t>(2) If the ancillary service units participating in the reactive power control service operate outside the tolerance band of more than 20% of the relevant hour while monitoring, it shall be accepted that the related ancillary service units did not provide reactive power control service for the monitored hour.</w:t>
      </w:r>
    </w:p>
    <w:p w14:paraId="37EFA66F" w14:textId="77777777" w:rsidR="00171C59" w:rsidRPr="009E1B38" w:rsidRDefault="00171C59" w:rsidP="00171C59">
      <w:pPr>
        <w:pStyle w:val="P68B1DB1-Normal7"/>
        <w:ind w:left="709"/>
        <w:jc w:val="left"/>
        <w:rPr>
          <w:lang w:val="en-US"/>
        </w:rPr>
      </w:pPr>
      <w:r w:rsidRPr="009E1B38">
        <w:rPr>
          <w:lang w:val="en-US"/>
        </w:rPr>
        <w:t>(3) In the absence of the data obtained through SCADA or power quality measurement devices of TEİAŞ or the data required to be obtained from ancillary service units, relevant ancillary service units are deemed not to have provided the reactive power control service.</w:t>
      </w:r>
    </w:p>
    <w:p w14:paraId="7FD0C6DD" w14:textId="77777777" w:rsidR="00171C59" w:rsidRPr="009E1B38" w:rsidRDefault="00171C59" w:rsidP="00171C59">
      <w:pPr>
        <w:pStyle w:val="P68B1DB1-Normal7"/>
        <w:ind w:left="709"/>
        <w:jc w:val="left"/>
        <w:rPr>
          <w:lang w:val="en-US"/>
        </w:rPr>
      </w:pPr>
      <w:r w:rsidRPr="009E1B38">
        <w:rPr>
          <w:lang w:val="en-US"/>
        </w:rPr>
        <w:lastRenderedPageBreak/>
        <w:t>(4) Generation plants, selected by TEİAŞ to provide reactive power control service or to provide automatic reactive power control service, shall serve in accordance with the Electricity Network Regulation. If it is determined that the generation plants did not fulfill the instructions given to them within 72 (seventy-two) hours or more in an invoice period, TEİAŞ shall give a written warning to prevent the continuation of the violation. In case that the legal entity, which also carries out the generation activity in any invoicing period within one year after the written warning, does not fulfill the given instructions for an invoicing period within 72 (seventy-two) hours or more, TEİAŞ shall issue a report containing the details of the violation together with the confirmatory information and documents and apply to the Authority.</w:t>
      </w:r>
    </w:p>
    <w:p w14:paraId="076A04A0" w14:textId="77777777" w:rsidR="00171C59" w:rsidRPr="009E1B38" w:rsidRDefault="00171C59" w:rsidP="00171C59">
      <w:pPr>
        <w:pStyle w:val="P68B1DB1-Normal7"/>
        <w:ind w:left="709"/>
        <w:jc w:val="left"/>
        <w:rPr>
          <w:lang w:val="en-US"/>
        </w:rPr>
      </w:pPr>
      <w:r w:rsidRPr="009E1B38">
        <w:rPr>
          <w:lang w:val="en-US"/>
        </w:rPr>
        <w:t>(5) If it is determined that the generation plants, which are selected by TEİAŞ to provide synchronous condenser service, do not fulfill the instructions given to them within 10 (ten) hours or more in an invoice period, TEİAŞ shall issue a written warning to prevent the continuation of the violation. In case that the legal entity, which also carries out the generation activity in any invoicing period within one year after the written warning, does not fulfill the given instructions for an invoicing period within 10 (ten) hours or more, TEİAŞ shall issue a report containing the details of the violation together with the confirmatory information and documents and apply to the Authority.</w:t>
      </w:r>
    </w:p>
    <w:p w14:paraId="094016D1" w14:textId="77777777" w:rsidR="00171C59" w:rsidRPr="009E1B38" w:rsidRDefault="00171C59" w:rsidP="00171C59">
      <w:pPr>
        <w:pStyle w:val="P68B1DB1-Normal7"/>
        <w:ind w:left="709"/>
        <w:jc w:val="left"/>
        <w:rPr>
          <w:lang w:val="en-US"/>
        </w:rPr>
      </w:pPr>
      <w:r w:rsidRPr="009E1B38">
        <w:rPr>
          <w:lang w:val="en-US"/>
        </w:rPr>
        <w:t>(6) If it is determined that the legal entities have not sent the data record files, or have sent the data record files which are not compatible with the format issued by TEİAŞ for the day they are obliged to provide reactive power control service and this violation exceeds 3 (three) days in an invoicing period, TEİAŞ primarily shall issue a written warning to prevent the continuation of the violation. In the event that the violation exceeds 3 (three) days in any invoice period within one year following the invoice period of the warning, TEİAŞ shall issue a report containing the details of the violation together with the confirmatory information and documents and apply to the Authority."</w:t>
      </w:r>
    </w:p>
    <w:p w14:paraId="7AB7F53D"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Article 47 titled "</w:t>
      </w:r>
      <w:r w:rsidRPr="009E1B38">
        <w:rPr>
          <w:i/>
          <w:lang w:val="en-US"/>
        </w:rPr>
        <w:t>Principles of procurement of the black start service</w:t>
      </w:r>
      <w:r w:rsidRPr="009E1B38">
        <w:rPr>
          <w:lang w:val="en-US"/>
        </w:rPr>
        <w:t>" has been amended as follows.</w:t>
      </w:r>
    </w:p>
    <w:p w14:paraId="7E481087" w14:textId="77777777" w:rsidR="00171C59" w:rsidRPr="009E1B38" w:rsidRDefault="00171C59" w:rsidP="00171C59">
      <w:pPr>
        <w:pStyle w:val="P68B1DB1-Normal8"/>
        <w:ind w:left="709"/>
        <w:jc w:val="left"/>
        <w:rPr>
          <w:lang w:val="en-US"/>
        </w:rPr>
      </w:pPr>
      <w:r w:rsidRPr="009E1B38">
        <w:rPr>
          <w:lang w:val="en-US"/>
        </w:rPr>
        <w:t>“ARTICLE 47</w:t>
      </w:r>
    </w:p>
    <w:p w14:paraId="2DAF167C" w14:textId="77777777" w:rsidR="00171C59" w:rsidRPr="009E1B38" w:rsidRDefault="00171C59" w:rsidP="00171C59">
      <w:pPr>
        <w:pStyle w:val="P68B1DB1-Normal7"/>
        <w:ind w:left="709"/>
        <w:jc w:val="left"/>
        <w:rPr>
          <w:lang w:val="en-US"/>
        </w:rPr>
      </w:pPr>
      <w:r w:rsidRPr="009E1B38">
        <w:rPr>
          <w:lang w:val="en-US"/>
        </w:rPr>
        <w:t>(1) Legal entities, that have generation plants which can be commissioned without the need for an external energy source and which are included in the system restoration plan established by TEİAŞ, or which have electricity storage facilities that are included in the system restoration plan established by TEİAŞ, shall be obliged to sign an ancillary service agreement regarding the black start service as defined in this Regulation."</w:t>
      </w:r>
    </w:p>
    <w:p w14:paraId="30FE6E3C"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bookmarkStart w:id="44" w:name="_Hlk92289210"/>
      <w:r w:rsidRPr="009E1B38">
        <w:rPr>
          <w:lang w:val="en-US"/>
        </w:rPr>
        <w:t>Article 48 titled "</w:t>
      </w:r>
      <w:r w:rsidRPr="009E1B38">
        <w:rPr>
          <w:i/>
          <w:lang w:val="en-US"/>
        </w:rPr>
        <w:t>Procurement process of black start service</w:t>
      </w:r>
      <w:r w:rsidRPr="009E1B38">
        <w:rPr>
          <w:lang w:val="en-US"/>
        </w:rPr>
        <w:t>" has been repealed.</w:t>
      </w:r>
    </w:p>
    <w:bookmarkEnd w:id="44"/>
    <w:p w14:paraId="2BD7CFCF" w14:textId="77777777" w:rsidR="00171C59" w:rsidRPr="009E1B38" w:rsidRDefault="00171C59" w:rsidP="00171C59">
      <w:pPr>
        <w:pStyle w:val="ListeParagraf"/>
        <w:ind w:left="709"/>
        <w:jc w:val="left"/>
        <w:rPr>
          <w:rFonts w:ascii="Times New Roman" w:hAnsi="Times New Roman"/>
        </w:rPr>
      </w:pPr>
    </w:p>
    <w:p w14:paraId="114C1424" w14:textId="77777777" w:rsidR="00171C59" w:rsidRPr="009E1B38" w:rsidRDefault="00171C59" w:rsidP="003C5E4D">
      <w:pPr>
        <w:pStyle w:val="P68B1DB1-ListeParagraf5"/>
        <w:numPr>
          <w:ilvl w:val="0"/>
          <w:numId w:val="17"/>
        </w:numPr>
        <w:spacing w:after="160" w:line="259" w:lineRule="auto"/>
        <w:ind w:left="709" w:firstLine="0"/>
        <w:jc w:val="left"/>
        <w:rPr>
          <w:lang w:val="en-US"/>
        </w:rPr>
      </w:pPr>
      <w:r w:rsidRPr="009E1B38">
        <w:rPr>
          <w:lang w:val="en-US"/>
        </w:rPr>
        <w:t xml:space="preserve">First paragraph and clause (a) and (c) of the second paragraph of the Article 49 titled </w:t>
      </w:r>
      <w:r w:rsidRPr="009E1B38">
        <w:rPr>
          <w:i/>
          <w:lang w:val="en-US"/>
        </w:rPr>
        <w:t>"Ancillary service agreements for black start"</w:t>
      </w:r>
      <w:r w:rsidRPr="009E1B38">
        <w:rPr>
          <w:lang w:val="en-US"/>
        </w:rPr>
        <w:t xml:space="preserve"> have been amended as follows, and clause (ç) of the second paragraph has been repealed.</w:t>
      </w:r>
    </w:p>
    <w:p w14:paraId="2EAD57AF" w14:textId="77777777" w:rsidR="00171C59" w:rsidRPr="009E1B38" w:rsidRDefault="00171C59" w:rsidP="00171C59">
      <w:pPr>
        <w:pStyle w:val="P68B1DB1-Normal7"/>
        <w:ind w:left="709"/>
        <w:jc w:val="left"/>
        <w:rPr>
          <w:lang w:val="en-US"/>
        </w:rPr>
      </w:pPr>
      <w:r w:rsidRPr="009E1B38">
        <w:rPr>
          <w:lang w:val="en-US"/>
        </w:rPr>
        <w:t>“(1) Regarding the black start, a standard ancillary service agreement, which is prepared by TEİAŞ and approved by the Board, is signed between TEİAŞ and the ancillary service market participant legal entities included in the black start plan prepared by TEİAŞ. A single ancillary service agreement for black start shall be signed with each ancillary service market participating legal entities, which covers the ancillary service units registered under the name of that legal entities."</w:t>
      </w:r>
    </w:p>
    <w:p w14:paraId="4B09ADAA" w14:textId="77777777" w:rsidR="00171C59" w:rsidRPr="009E1B38" w:rsidRDefault="00171C59" w:rsidP="00171C59">
      <w:pPr>
        <w:pStyle w:val="P68B1DB1-Normal7"/>
        <w:spacing w:after="0"/>
        <w:ind w:left="709"/>
        <w:jc w:val="left"/>
        <w:rPr>
          <w:lang w:val="en-US"/>
        </w:rPr>
      </w:pPr>
      <w:r w:rsidRPr="009E1B38">
        <w:rPr>
          <w:lang w:val="en-US"/>
        </w:rPr>
        <w:t>"a) The period covered by the agreement in accordance with system restoration plan of TEİAŞ,"</w:t>
      </w:r>
    </w:p>
    <w:p w14:paraId="4D582B79" w14:textId="77777777" w:rsidR="00171C59" w:rsidRPr="009E1B38" w:rsidRDefault="00171C59" w:rsidP="00171C59">
      <w:pPr>
        <w:pStyle w:val="P68B1DB1-Normal7"/>
        <w:spacing w:after="0"/>
        <w:ind w:left="709"/>
        <w:jc w:val="left"/>
        <w:rPr>
          <w:lang w:val="en-US"/>
        </w:rPr>
      </w:pPr>
      <w:r w:rsidRPr="009E1B38">
        <w:rPr>
          <w:lang w:val="en-US"/>
        </w:rPr>
        <w:lastRenderedPageBreak/>
        <w:t>"c) In order to guarantee that the black start service shall be provided during the agreement, the performance tests of the black start shall be conducted and the ancillary service certificate of the black start shall be submitted to TEİAŞ within 90 (ninety) days from the signing date of the agreement,"</w:t>
      </w:r>
    </w:p>
    <w:p w14:paraId="4A889D32" w14:textId="77777777" w:rsidR="00171C59" w:rsidRPr="009E1B38" w:rsidRDefault="00171C59" w:rsidP="00171C59">
      <w:pPr>
        <w:spacing w:after="0"/>
        <w:ind w:left="709"/>
        <w:jc w:val="left"/>
        <w:rPr>
          <w:rFonts w:ascii="Times New Roman" w:hAnsi="Times New Roman"/>
          <w:i/>
        </w:rPr>
      </w:pPr>
    </w:p>
    <w:p w14:paraId="760351A4"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Article 50 titled "</w:t>
      </w:r>
      <w:r w:rsidRPr="009E1B38">
        <w:rPr>
          <w:i/>
          <w:lang w:val="en-US"/>
        </w:rPr>
        <w:t>Pricing of the black start service</w:t>
      </w:r>
      <w:r w:rsidRPr="009E1B38">
        <w:rPr>
          <w:lang w:val="en-US"/>
        </w:rPr>
        <w:t>" has been amended as follows.</w:t>
      </w:r>
    </w:p>
    <w:p w14:paraId="785FEF8B" w14:textId="77777777" w:rsidR="00171C59" w:rsidRPr="009E1B38" w:rsidRDefault="00171C59" w:rsidP="00171C59">
      <w:pPr>
        <w:pStyle w:val="ListeParagraf"/>
        <w:ind w:left="709"/>
        <w:jc w:val="left"/>
        <w:rPr>
          <w:rFonts w:ascii="Times New Roman" w:hAnsi="Times New Roman"/>
        </w:rPr>
      </w:pPr>
    </w:p>
    <w:p w14:paraId="1375A827" w14:textId="77777777" w:rsidR="00171C59" w:rsidRPr="009E1B38" w:rsidRDefault="00171C59" w:rsidP="00171C59">
      <w:pPr>
        <w:pStyle w:val="P68B1DB1-Normal8"/>
        <w:ind w:left="709"/>
        <w:jc w:val="left"/>
        <w:rPr>
          <w:lang w:val="en-US"/>
        </w:rPr>
      </w:pPr>
      <w:r w:rsidRPr="009E1B38">
        <w:rPr>
          <w:lang w:val="en-US"/>
        </w:rPr>
        <w:t>"ARTICLE 50</w:t>
      </w:r>
    </w:p>
    <w:p w14:paraId="23C08F00" w14:textId="77777777" w:rsidR="00171C59" w:rsidRPr="009E1B38" w:rsidRDefault="00171C59" w:rsidP="00171C59">
      <w:pPr>
        <w:pStyle w:val="P68B1DB1-Normal7"/>
        <w:ind w:left="709"/>
        <w:jc w:val="left"/>
        <w:rPr>
          <w:lang w:val="en-US"/>
        </w:rPr>
      </w:pPr>
      <w:r w:rsidRPr="009E1B38">
        <w:rPr>
          <w:lang w:val="en-US"/>
        </w:rPr>
        <w:t>(1) The black start service payment to be made to ancillary service market participant legal entities for the generation plants registered in their name, shall be calculated in accordance with the following formula:</w:t>
      </w:r>
    </w:p>
    <w:p w14:paraId="2D3ABAA2" w14:textId="77777777" w:rsidR="00171C59" w:rsidRPr="009E1B38" w:rsidRDefault="00171C59" w:rsidP="00171C59">
      <w:pPr>
        <w:pStyle w:val="P68B1DB1-Normal7"/>
        <w:ind w:left="709"/>
        <w:jc w:val="left"/>
        <w:rPr>
          <w:lang w:val="en-US"/>
        </w:rPr>
      </w:pPr>
      <w:r w:rsidRPr="009E1B38">
        <w:rPr>
          <w:noProof/>
        </w:rPr>
        <w:drawing>
          <wp:inline distT="0" distB="0" distL="0" distR="0" wp14:anchorId="569E963A" wp14:editId="1CF60205">
            <wp:extent cx="3171825" cy="609600"/>
            <wp:effectExtent l="0" t="0" r="9525" b="0"/>
            <wp:docPr id="15" name="IMG370" descr="http://www.lexpera.com.tr/Appendix/PUBLICATION_TR/images/RG801Y2021N31377P4_375235103_1.JPG">
              <a:hlinkClick xmlns:a="http://schemas.openxmlformats.org/drawingml/2006/main" r:id="rId24"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0" descr="http://www.lexpera.com.tr/Appendix/PUBLICATION_TR/images/RG801Y2021N31377P4_375235103_1.JPG">
                      <a:hlinkClick r:id="rId24" tgtFrame="&quot;_blank&quot;" tooltip="&quot;&quot;"/>
                    </pic:cNvPr>
                    <pic:cNvPicPr>
                      <a:picLocks noChangeAspect="1" noChangeArrowheads="1"/>
                    </pic:cNvPicPr>
                  </pic:nvPicPr>
                  <pic:blipFill>
                    <a:blip r:link="rId25">
                      <a:extLst>
                        <a:ext uri="{28A0092B-C50C-407E-A947-70E740481C1C}">
                          <a14:useLocalDpi xmlns:a14="http://schemas.microsoft.com/office/drawing/2010/main" val="0"/>
                        </a:ext>
                      </a:extLst>
                    </a:blip>
                    <a:srcRect/>
                    <a:stretch>
                      <a:fillRect/>
                    </a:stretch>
                  </pic:blipFill>
                  <pic:spPr bwMode="auto">
                    <a:xfrm>
                      <a:off x="0" y="0"/>
                      <a:ext cx="3171825" cy="609600"/>
                    </a:xfrm>
                    <a:prstGeom prst="rect">
                      <a:avLst/>
                    </a:prstGeom>
                    <a:noFill/>
                    <a:ln>
                      <a:noFill/>
                    </a:ln>
                  </pic:spPr>
                </pic:pic>
              </a:graphicData>
            </a:graphic>
          </wp:inline>
        </w:drawing>
      </w:r>
    </w:p>
    <w:p w14:paraId="4116A534" w14:textId="77777777" w:rsidR="00171C59" w:rsidRPr="009E1B38" w:rsidRDefault="00171C59" w:rsidP="00171C59">
      <w:pPr>
        <w:pStyle w:val="P68B1DB1-Normal7"/>
        <w:spacing w:after="0"/>
        <w:ind w:left="709"/>
        <w:jc w:val="left"/>
        <w:rPr>
          <w:lang w:val="en-US"/>
        </w:rPr>
      </w:pPr>
      <w:r w:rsidRPr="009E1B38">
        <w:rPr>
          <w:lang w:val="en-US"/>
        </w:rPr>
        <w:t>(2) In the formula in the first paragraph; the terms are defined as follows:</w:t>
      </w:r>
    </w:p>
    <w:p w14:paraId="1CCC9941" w14:textId="77777777" w:rsidR="00171C59" w:rsidRPr="009E1B38" w:rsidRDefault="00171C59" w:rsidP="00171C59">
      <w:pPr>
        <w:pStyle w:val="P68B1DB1-Normal7"/>
        <w:spacing w:after="0"/>
        <w:ind w:left="709"/>
        <w:jc w:val="left"/>
        <w:rPr>
          <w:lang w:val="en-US"/>
        </w:rPr>
      </w:pPr>
      <w:r w:rsidRPr="009E1B38">
        <w:rPr>
          <w:lang w:val="en-US"/>
        </w:rPr>
        <w:t>a) OSTTp,d: The amount of receivable (TL) to be accrued due to the black start service provided by the legal entity engaged in the generation activity “p” during the period “d”,</w:t>
      </w:r>
    </w:p>
    <w:p w14:paraId="70201286" w14:textId="77777777" w:rsidR="00171C59" w:rsidRPr="009E1B38" w:rsidRDefault="00171C59" w:rsidP="00171C59">
      <w:pPr>
        <w:pStyle w:val="P68B1DB1-Normal7"/>
        <w:spacing w:after="0"/>
        <w:ind w:left="709"/>
        <w:jc w:val="left"/>
        <w:rPr>
          <w:lang w:val="en-US"/>
        </w:rPr>
      </w:pPr>
      <w:r w:rsidRPr="009E1B38">
        <w:rPr>
          <w:lang w:val="en-US"/>
        </w:rPr>
        <w:t>b) KYMp,u,d: The amount of fuel used during the black start service by the generation facility “u” registered in the name of the legal entity engaged in the generation activity “p” in the period “d”,</w:t>
      </w:r>
    </w:p>
    <w:p w14:paraId="19739C90" w14:textId="77777777" w:rsidR="00171C59" w:rsidRPr="009E1B38" w:rsidRDefault="00171C59" w:rsidP="00171C59">
      <w:pPr>
        <w:pStyle w:val="P68B1DB1-Normal7"/>
        <w:spacing w:after="0"/>
        <w:ind w:left="709"/>
        <w:jc w:val="left"/>
        <w:rPr>
          <w:lang w:val="en-US"/>
        </w:rPr>
      </w:pPr>
      <w:r w:rsidRPr="009E1B38">
        <w:rPr>
          <w:lang w:val="en-US"/>
        </w:rPr>
        <w:t>c) BYBFp,u,d: The fuel price reported during the black start service by the generation facility “u” registered in the name of the legal entity engaged in the generation activity “p” in the period “d”,</w:t>
      </w:r>
    </w:p>
    <w:p w14:paraId="0349F9C9" w14:textId="77777777" w:rsidR="00171C59" w:rsidRPr="009E1B38" w:rsidRDefault="00171C59" w:rsidP="00171C59">
      <w:pPr>
        <w:pStyle w:val="P68B1DB1-Normal7"/>
        <w:spacing w:after="0"/>
        <w:ind w:left="709"/>
        <w:jc w:val="left"/>
        <w:rPr>
          <w:lang w:val="en-US"/>
        </w:rPr>
      </w:pPr>
      <w:r w:rsidRPr="009E1B38">
        <w:rPr>
          <w:lang w:val="en-US"/>
        </w:rPr>
        <w:t>ç) k: The number of generation facilities registered in the name of the legal entity “p” which are engaged in generation activity.</w:t>
      </w:r>
    </w:p>
    <w:p w14:paraId="480053B5" w14:textId="01A75FD4" w:rsidR="00171C59" w:rsidRPr="009E1B38" w:rsidRDefault="00171C59" w:rsidP="00171C59">
      <w:pPr>
        <w:pStyle w:val="P68B1DB1-Normal7"/>
        <w:ind w:left="709"/>
        <w:jc w:val="left"/>
        <w:rPr>
          <w:lang w:val="en-US"/>
        </w:rPr>
      </w:pPr>
    </w:p>
    <w:p w14:paraId="4F982FBB" w14:textId="77777777" w:rsidR="00171C59" w:rsidRPr="009E1B38" w:rsidRDefault="00171C59" w:rsidP="00171C59">
      <w:pPr>
        <w:pStyle w:val="P68B1DB1-Normal7"/>
        <w:ind w:left="709"/>
        <w:jc w:val="left"/>
        <w:rPr>
          <w:lang w:val="en-US"/>
        </w:rPr>
      </w:pPr>
      <w:r w:rsidRPr="009E1B38">
        <w:rPr>
          <w:lang w:val="en-US"/>
        </w:rPr>
        <w:t>(3) The black start service payment to be made to ancillary service market participant legal entities for the power storage facilities, that serve as an ancillary service unit registered in their names, shall be calculated according to the formula below.</w:t>
      </w:r>
    </w:p>
    <w:p w14:paraId="1C6BF5C6" w14:textId="77777777" w:rsidR="00171C59" w:rsidRPr="009E1B38" w:rsidRDefault="00171C59" w:rsidP="00171C59">
      <w:pPr>
        <w:pStyle w:val="P68B1DB1-Normal7"/>
        <w:ind w:left="709"/>
        <w:jc w:val="left"/>
        <w:rPr>
          <w:lang w:val="en-US"/>
        </w:rPr>
      </w:pPr>
      <w:r w:rsidRPr="009E1B38">
        <w:rPr>
          <w:noProof/>
        </w:rPr>
        <w:drawing>
          <wp:inline distT="0" distB="0" distL="0" distR="0" wp14:anchorId="24B83037" wp14:editId="491E82E0">
            <wp:extent cx="3057525" cy="523875"/>
            <wp:effectExtent l="0" t="0" r="9525" b="9525"/>
            <wp:docPr id="17" name="IMG378" descr="http://www.lexpera.com.tr/Appendix/PUBLICATION_TR/images/RG801Y2021N31377P4_375235104_1.JPG">
              <a:hlinkClick xmlns:a="http://schemas.openxmlformats.org/drawingml/2006/main" r:id="rId2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8" descr="http://www.lexpera.com.tr/Appendix/PUBLICATION_TR/images/RG801Y2021N31377P4_375235104_1.JPG">
                      <a:hlinkClick r:id="rId26" tgtFrame="&quot;_blank&quot;" tooltip="&quot;&quot;"/>
                    </pic:cNvPr>
                    <pic:cNvPicPr>
                      <a:picLocks noChangeAspect="1" noChangeArrowheads="1"/>
                    </pic:cNvPicPr>
                  </pic:nvPicPr>
                  <pic:blipFill>
                    <a:blip r:link="rId27">
                      <a:extLst>
                        <a:ext uri="{28A0092B-C50C-407E-A947-70E740481C1C}">
                          <a14:useLocalDpi xmlns:a14="http://schemas.microsoft.com/office/drawing/2010/main" val="0"/>
                        </a:ext>
                      </a:extLst>
                    </a:blip>
                    <a:srcRect/>
                    <a:stretch>
                      <a:fillRect/>
                    </a:stretch>
                  </pic:blipFill>
                  <pic:spPr bwMode="auto">
                    <a:xfrm>
                      <a:off x="0" y="0"/>
                      <a:ext cx="3057525" cy="523875"/>
                    </a:xfrm>
                    <a:prstGeom prst="rect">
                      <a:avLst/>
                    </a:prstGeom>
                    <a:noFill/>
                    <a:ln>
                      <a:noFill/>
                    </a:ln>
                  </pic:spPr>
                </pic:pic>
              </a:graphicData>
            </a:graphic>
          </wp:inline>
        </w:drawing>
      </w:r>
    </w:p>
    <w:p w14:paraId="74C0626D" w14:textId="77777777" w:rsidR="00171C59" w:rsidRPr="009E1B38" w:rsidRDefault="00171C59" w:rsidP="00171C59">
      <w:pPr>
        <w:pStyle w:val="P68B1DB1-Normal7"/>
        <w:spacing w:after="0"/>
        <w:ind w:left="709"/>
        <w:jc w:val="left"/>
        <w:rPr>
          <w:lang w:val="en-US"/>
        </w:rPr>
      </w:pPr>
      <w:r w:rsidRPr="009E1B38">
        <w:rPr>
          <w:lang w:val="en-US"/>
        </w:rPr>
        <w:t>(4) In the formula in the third paragraph; the terms are defined as follows:</w:t>
      </w:r>
    </w:p>
    <w:p w14:paraId="138CE3F7" w14:textId="77777777" w:rsidR="00171C59" w:rsidRPr="009E1B38" w:rsidRDefault="00171C59" w:rsidP="00171C59">
      <w:pPr>
        <w:pStyle w:val="P68B1DB1-Normal7"/>
        <w:spacing w:after="0"/>
        <w:ind w:left="709"/>
        <w:jc w:val="left"/>
        <w:rPr>
          <w:lang w:val="en-US"/>
        </w:rPr>
      </w:pPr>
      <w:r w:rsidRPr="009E1B38">
        <w:rPr>
          <w:lang w:val="en-US"/>
        </w:rPr>
        <w:t>a) OSTTp,d: The amount of receivable (TL) to be accrued due to the black start service provided by the ancillary service market participating legal entity “p” during the period “d”,</w:t>
      </w:r>
    </w:p>
    <w:p w14:paraId="1F1231A8" w14:textId="77777777" w:rsidR="00171C59" w:rsidRPr="009E1B38" w:rsidRDefault="00171C59" w:rsidP="00171C59">
      <w:pPr>
        <w:pStyle w:val="P68B1DB1-Normal7"/>
        <w:spacing w:after="0"/>
        <w:ind w:left="709"/>
        <w:jc w:val="left"/>
        <w:rPr>
          <w:lang w:val="en-US"/>
        </w:rPr>
      </w:pPr>
      <w:r w:rsidRPr="009E1B38">
        <w:rPr>
          <w:lang w:val="en-US"/>
        </w:rPr>
        <w:t>b) KEMp,y,d: The amount of electricity (MWh) used during black start service by ancillary service unit "y" which is registered in the name of the ancillary service market participating legal entity "p" in the period "d",</w:t>
      </w:r>
    </w:p>
    <w:p w14:paraId="1807B2FB" w14:textId="2A098EF8" w:rsidR="00171C59" w:rsidRPr="009E1B38" w:rsidRDefault="00171C59" w:rsidP="00171C59">
      <w:pPr>
        <w:pStyle w:val="P68B1DB1-Normal7"/>
        <w:spacing w:after="0"/>
        <w:ind w:left="709"/>
        <w:jc w:val="left"/>
        <w:rPr>
          <w:lang w:val="en-US"/>
        </w:rPr>
      </w:pPr>
      <w:r w:rsidRPr="009E1B38">
        <w:rPr>
          <w:lang w:val="en-US"/>
        </w:rPr>
        <w:t>c) OPTFp,y,d: The 24-hour final average unlimited market clearing price (TL / MWh) of electricity,  which is formed in the day ahead market in the previous day, used during black start service by ancillary service unit "y" registered under the name of the ancillary service market participating legal entity</w:t>
      </w:r>
      <w:r w:rsidR="009E1B38">
        <w:rPr>
          <w:lang w:val="en-US"/>
        </w:rPr>
        <w:t xml:space="preserve"> </w:t>
      </w:r>
      <w:r w:rsidRPr="009E1B38">
        <w:rPr>
          <w:lang w:val="en-US"/>
        </w:rPr>
        <w:t>"p" in the period "d",</w:t>
      </w:r>
    </w:p>
    <w:p w14:paraId="7A69FC74" w14:textId="77777777" w:rsidR="00171C59" w:rsidRPr="009E1B38" w:rsidRDefault="00171C59" w:rsidP="00171C59">
      <w:pPr>
        <w:pStyle w:val="P68B1DB1-Normal7"/>
        <w:ind w:left="709"/>
        <w:jc w:val="left"/>
        <w:rPr>
          <w:lang w:val="en-US"/>
        </w:rPr>
      </w:pPr>
      <w:r w:rsidRPr="009E1B38">
        <w:rPr>
          <w:lang w:val="en-US"/>
        </w:rPr>
        <w:t>ç) k: Number of ancillary service units registered under the name of the ancillary service market participating legal entity "p".</w:t>
      </w:r>
    </w:p>
    <w:p w14:paraId="4F06F3F6" w14:textId="0D13FD38" w:rsidR="00171C59" w:rsidRPr="009E1B38" w:rsidRDefault="00171C59" w:rsidP="00171C59">
      <w:pPr>
        <w:pStyle w:val="P68B1DB1-Normal7"/>
        <w:ind w:left="709"/>
        <w:jc w:val="left"/>
        <w:rPr>
          <w:lang w:val="en-US"/>
        </w:rPr>
      </w:pPr>
    </w:p>
    <w:p w14:paraId="58CA0E17" w14:textId="77777777" w:rsidR="00171C59" w:rsidRPr="009E1B38" w:rsidRDefault="00171C59" w:rsidP="00171C59">
      <w:pPr>
        <w:pStyle w:val="P68B1DB1-Normal7"/>
        <w:ind w:left="709"/>
        <w:jc w:val="left"/>
        <w:rPr>
          <w:lang w:val="en-US"/>
        </w:rPr>
      </w:pPr>
      <w:r w:rsidRPr="009E1B38">
        <w:rPr>
          <w:lang w:val="en-US"/>
        </w:rPr>
        <w:t>(5) The payments specified in the first and third paragraphs are made only to the ancillary service units that have a black start ancillary service agreement."</w:t>
      </w:r>
    </w:p>
    <w:p w14:paraId="5A8B6D82"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Article 51 titled "</w:t>
      </w:r>
      <w:r w:rsidRPr="009E1B38">
        <w:rPr>
          <w:i/>
          <w:lang w:val="en-US"/>
        </w:rPr>
        <w:t>Non-fulfillment fees related to the black start service</w:t>
      </w:r>
      <w:r w:rsidRPr="009E1B38">
        <w:rPr>
          <w:lang w:val="en-US"/>
        </w:rPr>
        <w:t>" has been amended as follows.</w:t>
      </w:r>
    </w:p>
    <w:p w14:paraId="31F4F64F" w14:textId="77777777" w:rsidR="00171C59" w:rsidRPr="009E1B38" w:rsidRDefault="00171C59" w:rsidP="00171C59">
      <w:pPr>
        <w:pStyle w:val="P68B1DB1-Normal8"/>
        <w:ind w:left="709"/>
        <w:jc w:val="left"/>
        <w:rPr>
          <w:lang w:val="en-US"/>
        </w:rPr>
      </w:pPr>
      <w:r w:rsidRPr="009E1B38">
        <w:rPr>
          <w:lang w:val="en-US"/>
        </w:rPr>
        <w:t>“ARTICLE 51</w:t>
      </w:r>
    </w:p>
    <w:p w14:paraId="1D9A05A0" w14:textId="77777777" w:rsidR="00171C59" w:rsidRPr="009E1B38" w:rsidRDefault="00171C59" w:rsidP="00171C59">
      <w:pPr>
        <w:pStyle w:val="P68B1DB1-Normal7"/>
        <w:ind w:left="709"/>
        <w:jc w:val="left"/>
        <w:rPr>
          <w:lang w:val="en-US"/>
        </w:rPr>
      </w:pPr>
      <w:r w:rsidRPr="009E1B38">
        <w:rPr>
          <w:lang w:val="en-US"/>
        </w:rPr>
        <w:t>(1) In case that an ancillary service market participant legal entity, which signs an agreement for an ancillary service unit to provide black start service, does not keep this unit available or does not provide the black start service even though it has received instructions, except for planned maintenance and unplanned maintenance, repair and failure situations and force majeure, the relevant ancillary service market participant legal entity shall be deemed not to have fulfilled the service for the billing period in which the violation occurred. The non-fulfillment fee, which is calculated by multiplying the electrical installed power (MW) of the ancillary service unit that does not fulfill the service with 1% (one percent) of the unit fixed system usage tariff (TL/MW-Year) of the region with the highest tariff as of the date of violation, shall be applied to the ancillary service market participants who do not fulfill their obligations.</w:t>
      </w:r>
    </w:p>
    <w:p w14:paraId="38D68532" w14:textId="77777777" w:rsidR="00171C59" w:rsidRPr="009E1B38" w:rsidRDefault="00171C59" w:rsidP="00171C59">
      <w:pPr>
        <w:pStyle w:val="P68B1DB1-Normal7"/>
        <w:ind w:left="709"/>
        <w:jc w:val="left"/>
        <w:rPr>
          <w:lang w:val="en-US"/>
        </w:rPr>
      </w:pPr>
      <w:r w:rsidRPr="009E1B38">
        <w:rPr>
          <w:lang w:val="en-US"/>
        </w:rPr>
        <w:t>(2) In addition, TEİAŞ shall prepare a report containing the details of the violation together with the confirmatory information and documents, and apply to the Authority."</w:t>
      </w:r>
    </w:p>
    <w:p w14:paraId="18C0A03D"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Article 52 titled "</w:t>
      </w:r>
      <w:r w:rsidRPr="009E1B38">
        <w:rPr>
          <w:i/>
          <w:lang w:val="en-US"/>
        </w:rPr>
        <w:t>Principles of regional capacity leasing</w:t>
      </w:r>
      <w:r w:rsidRPr="009E1B38">
        <w:rPr>
          <w:lang w:val="en-US"/>
        </w:rPr>
        <w:t>" has been amended as follows.</w:t>
      </w:r>
    </w:p>
    <w:p w14:paraId="30D00C2B" w14:textId="77777777" w:rsidR="00171C59" w:rsidRPr="009E1B38" w:rsidRDefault="00171C59" w:rsidP="00171C59">
      <w:pPr>
        <w:pStyle w:val="P68B1DB1-Normal8"/>
        <w:ind w:left="709"/>
        <w:jc w:val="left"/>
        <w:rPr>
          <w:lang w:val="en-US"/>
        </w:rPr>
      </w:pPr>
      <w:r w:rsidRPr="009E1B38">
        <w:rPr>
          <w:lang w:val="en-US"/>
        </w:rPr>
        <w:t>“ARTICLE 52</w:t>
      </w:r>
    </w:p>
    <w:p w14:paraId="386F9674" w14:textId="77777777" w:rsidR="00171C59" w:rsidRPr="009E1B38" w:rsidRDefault="00171C59" w:rsidP="00171C59">
      <w:pPr>
        <w:pStyle w:val="P68B1DB1-Normal7"/>
        <w:ind w:left="709"/>
        <w:jc w:val="left"/>
        <w:rPr>
          <w:lang w:val="en-US"/>
        </w:rPr>
      </w:pPr>
      <w:r w:rsidRPr="009E1B38">
        <w:rPr>
          <w:lang w:val="en-US"/>
        </w:rPr>
        <w:t>(1) In accordance with the first paragraph of Article 20 of the Law, TEİAŞ can make tenders to lease regional capacity within the framework of the procedures and principles regulated by this Regulation, in order to maintain system reliability and to meet the regional system needs that may arise due to lack of capacity.</w:t>
      </w:r>
    </w:p>
    <w:p w14:paraId="2BEBA8E6" w14:textId="77777777" w:rsidR="00171C59" w:rsidRPr="009E1B38" w:rsidRDefault="00171C59" w:rsidP="00171C59">
      <w:pPr>
        <w:pStyle w:val="P68B1DB1-Normal7"/>
        <w:ind w:left="709"/>
        <w:jc w:val="left"/>
        <w:rPr>
          <w:lang w:val="en-US"/>
        </w:rPr>
      </w:pPr>
      <w:r w:rsidRPr="009E1B38">
        <w:rPr>
          <w:lang w:val="en-US"/>
        </w:rPr>
        <w:t>(2) TEİAŞ may organize a tender between the generation license holder legal entities with generation facilities in the region or regions where the service is needed, and/or the generation license holder legal entities that may transport the generation facility to the region or regions to be determined by TEİAŞ in the tender announcement, and/or the legal entities that may provide regional capacity leasing service with the investment to be made in the region or regions where the service is needed, within the period to be determined by TEİAŞ.</w:t>
      </w:r>
    </w:p>
    <w:p w14:paraId="0ABB4158" w14:textId="77777777" w:rsidR="00171C59" w:rsidRPr="009E1B38" w:rsidRDefault="00171C59" w:rsidP="00171C59">
      <w:pPr>
        <w:pStyle w:val="P68B1DB1-Normal7"/>
        <w:ind w:left="709"/>
        <w:jc w:val="left"/>
        <w:rPr>
          <w:lang w:val="en-US"/>
        </w:rPr>
      </w:pPr>
      <w:r w:rsidRPr="009E1B38">
        <w:rPr>
          <w:lang w:val="en-US"/>
        </w:rPr>
        <w:t>(3) In the event that the generation facility, which is to be included in the service, is established out of the region or regions announced by TEİAŞ in the tender announcement and provides service through transportation of the generation plant, all duties related to license amendment procedures and other approvals and permits, establishment of the facility and commencement of commercial operation at the committed time; and in the event that new investment is made to provide regional capacity leasing service, obtaining license within the framework of the relevant legislation, establishment and commencement of commercial operation at the committed time shall be carried out under the responsibility of the legal entity selected in the tender.</w:t>
      </w:r>
    </w:p>
    <w:p w14:paraId="4CC692E0" w14:textId="77777777" w:rsidR="00171C59" w:rsidRPr="009E1B38" w:rsidRDefault="00171C59" w:rsidP="00171C59">
      <w:pPr>
        <w:pStyle w:val="P68B1DB1-Normal7"/>
        <w:ind w:left="709"/>
        <w:jc w:val="left"/>
        <w:rPr>
          <w:lang w:val="en-US"/>
        </w:rPr>
      </w:pPr>
      <w:r w:rsidRPr="009E1B38">
        <w:rPr>
          <w:lang w:val="en-US"/>
        </w:rPr>
        <w:t>(4) Legal entities shall propose annual capacity fee and unit energy fee in the tender. The selection among the plants providing technical qualification shall be made by considering the unit capacity leasing fee per MW, which is calculated according the formula specified in Article 55.</w:t>
      </w:r>
    </w:p>
    <w:p w14:paraId="78FD8745" w14:textId="77777777" w:rsidR="00171C59" w:rsidRPr="009E1B38" w:rsidRDefault="00171C59" w:rsidP="00171C59">
      <w:pPr>
        <w:pStyle w:val="P68B1DB1-Normal7"/>
        <w:ind w:left="709"/>
        <w:jc w:val="left"/>
        <w:rPr>
          <w:lang w:val="en-US"/>
        </w:rPr>
      </w:pPr>
      <w:r w:rsidRPr="009E1B38">
        <w:rPr>
          <w:lang w:val="en-US"/>
        </w:rPr>
        <w:lastRenderedPageBreak/>
        <w:t>(5) Except for the maintenance period, it is essential that a generation facility, which is within the scope of ancillary service agreement regarding regional capacity leasing, shall submit a bid to the balancing power market in accordance with the provisions of the agreement, and during the agreement period, shall conduct the generation in accordance with the minimum working periods specified in the tender notice and included in the agreement.</w:t>
      </w:r>
    </w:p>
    <w:p w14:paraId="313B517C" w14:textId="77777777" w:rsidR="00171C59" w:rsidRPr="009E1B38" w:rsidRDefault="00171C59" w:rsidP="00171C59">
      <w:pPr>
        <w:pStyle w:val="P68B1DB1-Normal7"/>
        <w:ind w:left="709"/>
        <w:jc w:val="left"/>
        <w:rPr>
          <w:lang w:val="en-US"/>
        </w:rPr>
      </w:pPr>
      <w:r w:rsidRPr="009E1B38">
        <w:rPr>
          <w:lang w:val="en-US"/>
        </w:rPr>
        <w:t>(6) As of the service commencement date in the agreement, the capacity fee proposed in the tender shall be paid monthly to the legal entities with whom the agreement has been made. The paid capacity fees shall be covered by TEİAŞ through system operating fees.</w:t>
      </w:r>
    </w:p>
    <w:p w14:paraId="4BB1DFC8" w14:textId="77777777" w:rsidR="00171C59" w:rsidRPr="009E1B38" w:rsidRDefault="00171C59" w:rsidP="00171C59">
      <w:pPr>
        <w:pStyle w:val="P68B1DB1-Normal7"/>
        <w:ind w:left="709"/>
        <w:jc w:val="left"/>
        <w:rPr>
          <w:lang w:val="en-US"/>
        </w:rPr>
      </w:pPr>
      <w:r w:rsidRPr="009E1B38">
        <w:rPr>
          <w:lang w:val="en-US"/>
        </w:rPr>
        <w:t>(7) It is essential for the legal entities to sell their energy from the date of service commencement in the agreement through bilateral agreements and/or through organized wholesale markets, in order to conduct the generation in accordance with the minimum working hours. The unit energy fee, offered in the tender within the scope of regional capacity leasing, constitutes the ceiling bid price in the balancing power market for the relevant generation facility during the agreement period. The price of the energy sold through the balancing power market is covered in accordance with the provisions of the Electricity Market Balancing and Settlement Regulation."</w:t>
      </w:r>
    </w:p>
    <w:p w14:paraId="01E2DE6A" w14:textId="2559A4B3"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Article 53 titled "</w:t>
      </w:r>
      <w:r w:rsidRPr="009E1B38">
        <w:rPr>
          <w:i/>
          <w:lang w:val="en-US"/>
        </w:rPr>
        <w:t xml:space="preserve">Determination of regional capacity </w:t>
      </w:r>
      <w:r w:rsidR="009E1B38" w:rsidRPr="009E1B38">
        <w:rPr>
          <w:i/>
          <w:lang w:val="en-US"/>
        </w:rPr>
        <w:t>needs</w:t>
      </w:r>
      <w:r w:rsidR="009E1B38" w:rsidRPr="009E1B38">
        <w:rPr>
          <w:lang w:val="en-US"/>
        </w:rPr>
        <w:t>”</w:t>
      </w:r>
      <w:r w:rsidRPr="009E1B38">
        <w:rPr>
          <w:lang w:val="en-US"/>
        </w:rPr>
        <w:t xml:space="preserve"> has been amended as follows.</w:t>
      </w:r>
    </w:p>
    <w:p w14:paraId="777B4B6A" w14:textId="77777777" w:rsidR="00171C59" w:rsidRPr="009E1B38" w:rsidRDefault="00171C59" w:rsidP="00171C59">
      <w:pPr>
        <w:pStyle w:val="P68B1DB1-Normal8"/>
        <w:ind w:left="709"/>
        <w:jc w:val="left"/>
        <w:rPr>
          <w:lang w:val="en-US"/>
        </w:rPr>
      </w:pPr>
      <w:r w:rsidRPr="009E1B38">
        <w:rPr>
          <w:lang w:val="en-US"/>
        </w:rPr>
        <w:t>"ARTICLE 53</w:t>
      </w:r>
    </w:p>
    <w:p w14:paraId="50092994" w14:textId="77777777" w:rsidR="00171C59" w:rsidRPr="009E1B38" w:rsidRDefault="00171C59" w:rsidP="00171C59">
      <w:pPr>
        <w:pStyle w:val="P68B1DB1-Normal7"/>
        <w:spacing w:after="0"/>
        <w:ind w:left="709"/>
        <w:jc w:val="left"/>
        <w:rPr>
          <w:lang w:val="en-US"/>
        </w:rPr>
      </w:pPr>
      <w:r w:rsidRPr="009E1B38">
        <w:rPr>
          <w:lang w:val="en-US"/>
        </w:rPr>
        <w:t>(1) The regional capacity requirement is determined by TEİAŞ within the scope of the Electricity Network Regulation by taking into account the generation safety criteria prepared by TEİAŞ, which includes the possibility of failure to meet the peak load for one year. The process of determining the regional capacity requirement is carried out annually by TEİAŞ by following the steps hereinbelow:</w:t>
      </w:r>
    </w:p>
    <w:p w14:paraId="0A8CFE4B" w14:textId="77777777" w:rsidR="00171C59" w:rsidRPr="009E1B38" w:rsidRDefault="00171C59" w:rsidP="00171C59">
      <w:pPr>
        <w:pStyle w:val="P68B1DB1-Normal7"/>
        <w:spacing w:after="0"/>
        <w:ind w:left="709"/>
        <w:jc w:val="left"/>
        <w:rPr>
          <w:lang w:val="en-US"/>
        </w:rPr>
      </w:pPr>
      <w:r w:rsidRPr="009E1B38">
        <w:rPr>
          <w:lang w:val="en-US"/>
        </w:rPr>
        <w:t>a) TEİAŞ shall determine the transmission system regions where large-scale transmission limits are expected at the transmission system connection points that constitute its borders, or, if more than one offer region has been determined in accordance with the Electricity Market Balancing and Settlement Regulation, it shall take into account the determined offer regions.</w:t>
      </w:r>
    </w:p>
    <w:p w14:paraId="5E042975" w14:textId="77777777" w:rsidR="00171C59" w:rsidRPr="009E1B38" w:rsidRDefault="00171C59" w:rsidP="00171C59">
      <w:pPr>
        <w:pStyle w:val="P68B1DB1-Normal7"/>
        <w:spacing w:after="0"/>
        <w:ind w:left="709"/>
        <w:jc w:val="left"/>
        <w:rPr>
          <w:lang w:val="en-US"/>
        </w:rPr>
      </w:pPr>
      <w:r w:rsidRPr="009E1B38">
        <w:rPr>
          <w:lang w:val="en-US"/>
        </w:rPr>
        <w:t>b) TEİAŞ shall calculate the probability of failure to meet the peak load on a regional basis for the following 2 years, taking into account at least the followings:</w:t>
      </w:r>
    </w:p>
    <w:p w14:paraId="60B75FC5" w14:textId="77777777" w:rsidR="00171C59" w:rsidRPr="009E1B38" w:rsidRDefault="00171C59" w:rsidP="00171C59">
      <w:pPr>
        <w:pStyle w:val="P68B1DB1-Normal7"/>
        <w:spacing w:after="0"/>
        <w:ind w:left="709"/>
        <w:jc w:val="left"/>
        <w:rPr>
          <w:lang w:val="en-US"/>
        </w:rPr>
      </w:pPr>
      <w:r w:rsidRPr="009E1B38">
        <w:rPr>
          <w:lang w:val="en-US"/>
        </w:rPr>
        <w:t>1) Demand estimations and probability distribution of estimation error.</w:t>
      </w:r>
    </w:p>
    <w:p w14:paraId="75E1E27A" w14:textId="77777777" w:rsidR="00171C59" w:rsidRPr="009E1B38" w:rsidRDefault="00171C59" w:rsidP="00171C59">
      <w:pPr>
        <w:pStyle w:val="P68B1DB1-Normal7"/>
        <w:spacing w:after="0"/>
        <w:ind w:left="709"/>
        <w:jc w:val="left"/>
        <w:rPr>
          <w:lang w:val="en-US"/>
        </w:rPr>
      </w:pPr>
      <w:r w:rsidRPr="009E1B38">
        <w:rPr>
          <w:lang w:val="en-US"/>
        </w:rPr>
        <w:t>2) Availability and actual working status of existing generation plants.</w:t>
      </w:r>
    </w:p>
    <w:p w14:paraId="75BA6152" w14:textId="77777777" w:rsidR="00171C59" w:rsidRPr="009E1B38" w:rsidRDefault="00171C59" w:rsidP="00171C59">
      <w:pPr>
        <w:pStyle w:val="P68B1DB1-Normal7"/>
        <w:spacing w:after="0"/>
        <w:ind w:left="709"/>
        <w:jc w:val="left"/>
        <w:rPr>
          <w:lang w:val="en-US"/>
        </w:rPr>
      </w:pPr>
      <w:r w:rsidRPr="009E1B38">
        <w:rPr>
          <w:lang w:val="en-US"/>
        </w:rPr>
        <w:t>3) Maintenance requirements.</w:t>
      </w:r>
    </w:p>
    <w:p w14:paraId="0A348280" w14:textId="77777777" w:rsidR="00171C59" w:rsidRPr="009E1B38" w:rsidRDefault="00171C59" w:rsidP="00171C59">
      <w:pPr>
        <w:pStyle w:val="P68B1DB1-Normal7"/>
        <w:spacing w:after="0"/>
        <w:ind w:left="709"/>
        <w:jc w:val="left"/>
        <w:rPr>
          <w:lang w:val="en-US"/>
        </w:rPr>
      </w:pPr>
      <w:r w:rsidRPr="009E1B38">
        <w:rPr>
          <w:lang w:val="en-US"/>
        </w:rPr>
        <w:t>4) Progress of generation plants under construction.</w:t>
      </w:r>
    </w:p>
    <w:p w14:paraId="1B7F17C8" w14:textId="77777777" w:rsidR="00171C59" w:rsidRPr="009E1B38" w:rsidRDefault="00171C59" w:rsidP="00171C59">
      <w:pPr>
        <w:pStyle w:val="P68B1DB1-Normal7"/>
        <w:spacing w:after="0"/>
        <w:ind w:left="709"/>
        <w:jc w:val="left"/>
        <w:rPr>
          <w:lang w:val="en-US"/>
        </w:rPr>
      </w:pPr>
      <w:r w:rsidRPr="009E1B38">
        <w:rPr>
          <w:lang w:val="en-US"/>
        </w:rPr>
        <w:t>5) Establishment of hydraulic and other renewable generation plants.</w:t>
      </w:r>
    </w:p>
    <w:p w14:paraId="75C01EBB" w14:textId="77777777" w:rsidR="00171C59" w:rsidRPr="009E1B38" w:rsidRDefault="00171C59" w:rsidP="00171C59">
      <w:pPr>
        <w:pStyle w:val="P68B1DB1-Normal7"/>
        <w:spacing w:after="0"/>
        <w:ind w:left="709"/>
        <w:jc w:val="left"/>
        <w:rPr>
          <w:lang w:val="en-US"/>
        </w:rPr>
      </w:pPr>
      <w:r w:rsidRPr="009E1B38">
        <w:rPr>
          <w:lang w:val="en-US"/>
        </w:rPr>
        <w:t>6) Availability and actual loading of inter-regional transmission capacities.</w:t>
      </w:r>
    </w:p>
    <w:p w14:paraId="6667EC49" w14:textId="77777777" w:rsidR="00171C59" w:rsidRPr="009E1B38" w:rsidRDefault="00171C59" w:rsidP="00171C59">
      <w:pPr>
        <w:pStyle w:val="P68B1DB1-Normal7"/>
        <w:spacing w:after="0"/>
        <w:ind w:left="709"/>
        <w:jc w:val="left"/>
        <w:rPr>
          <w:lang w:val="en-US"/>
        </w:rPr>
      </w:pPr>
      <w:r w:rsidRPr="009E1B38">
        <w:rPr>
          <w:lang w:val="en-US"/>
        </w:rPr>
        <w:t>c) The probability of failure to meet the peak load calculated by TEİAŞ on a regional basis shall be compared with the target value defined for the probability of failure to meet the peak load in the Electricity Network Regulation. Regional capacity requirement shall be determined for the regions where the probability of failure to meet the peak load calculated by TEİAŞ is above the target value specified in the Electricity Network Regulation.</w:t>
      </w:r>
    </w:p>
    <w:p w14:paraId="3BE08C34" w14:textId="25E66CF3" w:rsidR="00171C59" w:rsidRPr="009E1B38" w:rsidRDefault="00171C59" w:rsidP="00171C59">
      <w:pPr>
        <w:pStyle w:val="P68B1DB1-Normal7"/>
        <w:ind w:left="709"/>
        <w:jc w:val="left"/>
        <w:rPr>
          <w:lang w:val="en-US"/>
        </w:rPr>
      </w:pPr>
      <w:r w:rsidRPr="009E1B38">
        <w:rPr>
          <w:lang w:val="en-US"/>
        </w:rPr>
        <w:t xml:space="preserve">ç) The amount of regional capacity requirement shall </w:t>
      </w:r>
      <w:r w:rsidR="009E1B38">
        <w:rPr>
          <w:lang w:val="en-US"/>
        </w:rPr>
        <w:t xml:space="preserve">be </w:t>
      </w:r>
      <w:r w:rsidRPr="009E1B38">
        <w:rPr>
          <w:lang w:val="en-US"/>
        </w:rPr>
        <w:t>determined by considering the capacity amount that will bring the probability of failure to meet the peak load of the relevant region to the target value specified in the Electricity Network Regulation."</w:t>
      </w:r>
    </w:p>
    <w:p w14:paraId="306F7F02"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The first, second and fifth paragraphs of Article 54 titled "</w:t>
      </w:r>
      <w:r w:rsidRPr="009E1B38">
        <w:rPr>
          <w:i/>
          <w:lang w:val="en-US"/>
        </w:rPr>
        <w:t>Regional capacity leasing tender process</w:t>
      </w:r>
      <w:r w:rsidRPr="009E1B38">
        <w:rPr>
          <w:lang w:val="en-US"/>
        </w:rPr>
        <w:t>" have been amended as follows.</w:t>
      </w:r>
    </w:p>
    <w:p w14:paraId="40683A95" w14:textId="77777777" w:rsidR="00171C59" w:rsidRPr="009E1B38" w:rsidRDefault="00171C59" w:rsidP="00171C59">
      <w:pPr>
        <w:pStyle w:val="P68B1DB1-Normal7"/>
        <w:ind w:left="709"/>
        <w:jc w:val="left"/>
        <w:rPr>
          <w:lang w:val="en-US"/>
        </w:rPr>
      </w:pPr>
      <w:r w:rsidRPr="009E1B38">
        <w:rPr>
          <w:lang w:val="en-US"/>
        </w:rPr>
        <w:lastRenderedPageBreak/>
        <w:t>"(1) The tender for regional capacity leasing is concluded by TEİAŞ in two stages: pre-qualification and tender. Legal entities holding generation license or legal entities planning to invest in new generation plants may apply for the tender.</w:t>
      </w:r>
    </w:p>
    <w:p w14:paraId="799C2B36" w14:textId="77777777" w:rsidR="00171C59" w:rsidRPr="009E1B38" w:rsidRDefault="00171C59" w:rsidP="00171C59">
      <w:pPr>
        <w:pStyle w:val="P68B1DB1-Normal7"/>
        <w:ind w:left="709"/>
        <w:jc w:val="left"/>
        <w:rPr>
          <w:lang w:val="en-US"/>
        </w:rPr>
      </w:pPr>
      <w:r w:rsidRPr="009E1B38">
        <w:rPr>
          <w:lang w:val="en-US"/>
        </w:rPr>
        <w:t>(2) The pre-qualification and tender process commences with the publication of the tender announcement on the official website of TEİAŞ. The tender notice includes information on the regions where the tender is valid, the amount of capacity needed on a region basis, the regions that the legal entities are able to apply for transporting the existing generation plant to the region or regions where the service will be received, the unit offer fee which is calculated during the selection of the bids and the monthly minimum generation periods to be taken as a basis in the calculation of the monthly payments to be made to the service providers within the scope of the agreement and to be determined on the basis of technology, the starting date of the service, the duration of the agreement, the annual capacity fee to be offered and how the unit energy fee will be updated. TEİAŞ, by observing the system needs, may declare the minimum monthly working time by limiting it to certain hours of the day."</w:t>
      </w:r>
    </w:p>
    <w:p w14:paraId="7732A296" w14:textId="77777777" w:rsidR="00171C59" w:rsidRPr="009E1B38" w:rsidRDefault="00171C59" w:rsidP="00171C59">
      <w:pPr>
        <w:pStyle w:val="P68B1DB1-Normal7"/>
        <w:ind w:left="709"/>
        <w:jc w:val="left"/>
        <w:rPr>
          <w:lang w:val="en-US"/>
        </w:rPr>
      </w:pPr>
      <w:r w:rsidRPr="009E1B38">
        <w:rPr>
          <w:lang w:val="en-US"/>
        </w:rPr>
        <w:t>"(5) Regarding the regional capacity leasing, an ancillary service agreement shall be signed between TEİAŞ and the generation license holder legal entities, which are selected as a result of the tender in accordance with Article 56, which shall be in effect from the commencement date of the service announced in the tender. For the investments to be made as a result of the tender, following the granting of the generation license by the Authority, an ancillary service agreement shall be signed with the legal entity or entities, owning the generation plant, that have switched to commercial operation for the regional capacity leasing, which shall be in effect from the commencement date of the service announced in the tender."</w:t>
      </w:r>
    </w:p>
    <w:p w14:paraId="6C944AF4"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The first and second paragraphs of Article 55 titled "</w:t>
      </w:r>
      <w:r w:rsidRPr="009E1B38">
        <w:rPr>
          <w:i/>
          <w:lang w:val="en-US"/>
        </w:rPr>
        <w:t>Selection of generation plants that can provide regional capacity leasing service</w:t>
      </w:r>
      <w:r w:rsidRPr="009E1B38">
        <w:rPr>
          <w:lang w:val="en-US"/>
        </w:rPr>
        <w:t>" have been amended as follows.</w:t>
      </w:r>
    </w:p>
    <w:p w14:paraId="100C533A" w14:textId="77777777" w:rsidR="00171C59" w:rsidRPr="009E1B38" w:rsidRDefault="00171C59" w:rsidP="00171C59">
      <w:pPr>
        <w:pStyle w:val="P68B1DB1-Normal7"/>
        <w:ind w:left="709"/>
        <w:jc w:val="left"/>
        <w:rPr>
          <w:lang w:val="en-US"/>
        </w:rPr>
      </w:pPr>
      <w:r w:rsidRPr="009E1B38">
        <w:rPr>
          <w:lang w:val="en-US"/>
        </w:rPr>
        <w:t>"(1) Regional capacity leasing unit price, which is the basis for the selection of generation plant that can provide regional capacity leasing services, is calculated according to the following formula:</w:t>
      </w:r>
    </w:p>
    <w:p w14:paraId="43E190CB" w14:textId="77777777" w:rsidR="00171C59" w:rsidRPr="009E1B38" w:rsidRDefault="00171C59" w:rsidP="00171C59">
      <w:pPr>
        <w:pStyle w:val="P68B1DB1-Normal7"/>
        <w:ind w:left="709"/>
        <w:jc w:val="left"/>
        <w:rPr>
          <w:lang w:val="en-US"/>
        </w:rPr>
      </w:pPr>
      <w:r w:rsidRPr="009E1B38">
        <w:rPr>
          <w:noProof/>
        </w:rPr>
        <w:drawing>
          <wp:inline distT="0" distB="0" distL="0" distR="0" wp14:anchorId="328F9D7F" wp14:editId="4A99EDF9">
            <wp:extent cx="3143250" cy="476250"/>
            <wp:effectExtent l="0" t="0" r="0" b="0"/>
            <wp:docPr id="19" name="IMG423" descr="http://www.lexpera.com.tr/Appendix/PUBLICATION_TR/images/RG801Y2021N31377P4_375242907_1.JPG">
              <a:hlinkClick xmlns:a="http://schemas.openxmlformats.org/drawingml/2006/main" r:id="rId2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3" descr="http://www.lexpera.com.tr/Appendix/PUBLICATION_TR/images/RG801Y2021N31377P4_375242907_1.JPG">
                      <a:hlinkClick r:id="rId28" tgtFrame="&quot;_blank&quot;" tooltip="&quot;&quot;"/>
                    </pic:cNvPr>
                    <pic:cNvPicPr>
                      <a:picLocks noChangeAspect="1" noChangeArrowheads="1"/>
                    </pic:cNvPicPr>
                  </pic:nvPicPr>
                  <pic:blipFill>
                    <a:blip r:link="rId29">
                      <a:extLst>
                        <a:ext uri="{28A0092B-C50C-407E-A947-70E740481C1C}">
                          <a14:useLocalDpi xmlns:a14="http://schemas.microsoft.com/office/drawing/2010/main" val="0"/>
                        </a:ext>
                      </a:extLst>
                    </a:blip>
                    <a:srcRect/>
                    <a:stretch>
                      <a:fillRect/>
                    </a:stretch>
                  </pic:blipFill>
                  <pic:spPr bwMode="auto">
                    <a:xfrm>
                      <a:off x="0" y="0"/>
                      <a:ext cx="3143250" cy="476250"/>
                    </a:xfrm>
                    <a:prstGeom prst="rect">
                      <a:avLst/>
                    </a:prstGeom>
                    <a:noFill/>
                    <a:ln>
                      <a:noFill/>
                    </a:ln>
                  </pic:spPr>
                </pic:pic>
              </a:graphicData>
            </a:graphic>
          </wp:inline>
        </w:drawing>
      </w:r>
    </w:p>
    <w:p w14:paraId="3F7C827B" w14:textId="77777777" w:rsidR="00171C59" w:rsidRPr="009E1B38" w:rsidRDefault="00171C59" w:rsidP="00171C59">
      <w:pPr>
        <w:pStyle w:val="P68B1DB1-Normal7"/>
        <w:spacing w:after="0"/>
        <w:ind w:left="709"/>
        <w:jc w:val="left"/>
        <w:rPr>
          <w:lang w:val="en-US"/>
        </w:rPr>
      </w:pPr>
      <w:r w:rsidRPr="009E1B38">
        <w:rPr>
          <w:lang w:val="en-US"/>
        </w:rPr>
        <w:t>(2) In the formula in the first paragraph; the terms are defined as follows:</w:t>
      </w:r>
    </w:p>
    <w:p w14:paraId="26A66E25" w14:textId="77777777" w:rsidR="00171C59" w:rsidRPr="009E1B38" w:rsidRDefault="00171C59" w:rsidP="00171C59">
      <w:pPr>
        <w:pStyle w:val="P68B1DB1-Normal7"/>
        <w:spacing w:after="0"/>
        <w:ind w:left="709"/>
        <w:jc w:val="left"/>
        <w:rPr>
          <w:lang w:val="en-US"/>
        </w:rPr>
      </w:pPr>
      <w:r w:rsidRPr="009E1B38">
        <w:rPr>
          <w:lang w:val="en-US"/>
        </w:rPr>
        <w:t>a) BKKBFu,t: the regional capacity leasing unit price (TL / MW) calculated for the generation facility “u” with the “t” technology,</w:t>
      </w:r>
    </w:p>
    <w:p w14:paraId="59DC4387" w14:textId="77777777" w:rsidR="00171C59" w:rsidRPr="009E1B38" w:rsidRDefault="00171C59" w:rsidP="00171C59">
      <w:pPr>
        <w:pStyle w:val="P68B1DB1-Normal7"/>
        <w:spacing w:after="0"/>
        <w:ind w:left="709"/>
        <w:jc w:val="left"/>
        <w:rPr>
          <w:lang w:val="en-US"/>
        </w:rPr>
      </w:pPr>
      <w:r w:rsidRPr="009E1B38">
        <w:rPr>
          <w:lang w:val="en-US"/>
        </w:rPr>
        <w:t>b) EFu,t: The unit energy fee (TL / MWh) proposed by the generation plant “u”,</w:t>
      </w:r>
    </w:p>
    <w:p w14:paraId="721773D2" w14:textId="77777777" w:rsidR="00171C59" w:rsidRPr="009E1B38" w:rsidRDefault="00171C59" w:rsidP="00171C59">
      <w:pPr>
        <w:pStyle w:val="P68B1DB1-Normal7"/>
        <w:spacing w:after="0"/>
        <w:ind w:left="709"/>
        <w:jc w:val="left"/>
        <w:rPr>
          <w:lang w:val="en-US"/>
        </w:rPr>
      </w:pPr>
      <w:r w:rsidRPr="009E1B38">
        <w:rPr>
          <w:lang w:val="en-US"/>
        </w:rPr>
        <w:t>c) BKKTKu,t: The proposed capacity (MW) within the scope of regional capacity leasing by the generation facility "u" with "t" technology,</w:t>
      </w:r>
    </w:p>
    <w:p w14:paraId="08C34112" w14:textId="77777777" w:rsidR="00171C59" w:rsidRPr="009E1B38" w:rsidRDefault="00171C59" w:rsidP="00171C59">
      <w:pPr>
        <w:pStyle w:val="P68B1DB1-Normal7"/>
        <w:spacing w:after="0"/>
        <w:ind w:left="709"/>
        <w:jc w:val="left"/>
        <w:rPr>
          <w:lang w:val="en-US"/>
        </w:rPr>
      </w:pPr>
      <w:r w:rsidRPr="009E1B38">
        <w:rPr>
          <w:lang w:val="en-US"/>
        </w:rPr>
        <w:t>ç) TYÜSu,t: The minimum annual generation period (hour) announced by TEİAŞ in the tender for the generation plant "u" with "t" technology,</w:t>
      </w:r>
    </w:p>
    <w:p w14:paraId="45A3F3BB" w14:textId="77777777" w:rsidR="00171C59" w:rsidRPr="009E1B38" w:rsidRDefault="00171C59" w:rsidP="00171C59">
      <w:pPr>
        <w:pStyle w:val="P68B1DB1-Normal7"/>
        <w:spacing w:after="0"/>
        <w:ind w:left="709"/>
        <w:jc w:val="left"/>
        <w:rPr>
          <w:lang w:val="en-US"/>
        </w:rPr>
      </w:pPr>
      <w:r w:rsidRPr="009E1B38">
        <w:rPr>
          <w:lang w:val="en-US"/>
        </w:rPr>
        <w:t>d) YKTFu,t: The annual capacity bid fee (TL) offered by the generation facility "u" with "t" technology,</w:t>
      </w:r>
    </w:p>
    <w:p w14:paraId="3DCA1C82" w14:textId="77777777" w:rsidR="00171C59" w:rsidRPr="009E1B38" w:rsidRDefault="00171C59" w:rsidP="00171C59">
      <w:pPr>
        <w:pStyle w:val="P68B1DB1-Normal7"/>
        <w:spacing w:after="0"/>
        <w:ind w:left="709"/>
        <w:jc w:val="left"/>
        <w:rPr>
          <w:lang w:val="en-US"/>
        </w:rPr>
      </w:pPr>
      <w:r w:rsidRPr="009E1B38">
        <w:rPr>
          <w:lang w:val="en-US"/>
        </w:rPr>
        <w:t>e) k: The coefficient, specified in the tender notice by TEİAŞ, which shall determine the weight of the unit energy fee, that will be offered in the procurement process carried out by TEİAŞ for regional capacity leasing service, within the regional capacity leasing unit fee to be taken as a basis in the selection of the generation plants,</w:t>
      </w:r>
    </w:p>
    <w:p w14:paraId="0DB47D53" w14:textId="52E5FF79" w:rsidR="00171C59" w:rsidRPr="009E1B38" w:rsidRDefault="00171C59" w:rsidP="00171C59">
      <w:pPr>
        <w:pStyle w:val="P68B1DB1-Normal7"/>
        <w:ind w:left="709"/>
        <w:jc w:val="left"/>
        <w:rPr>
          <w:lang w:val="en-US"/>
        </w:rPr>
      </w:pPr>
    </w:p>
    <w:p w14:paraId="60388150"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Clause (a) of the second paragraph of Article 56 titled "</w:t>
      </w:r>
      <w:r w:rsidRPr="009E1B38">
        <w:rPr>
          <w:i/>
          <w:lang w:val="en-US"/>
        </w:rPr>
        <w:t>Ancillary service agreements related to regional capacity leasing</w:t>
      </w:r>
      <w:r w:rsidRPr="009E1B38">
        <w:rPr>
          <w:lang w:val="en-US"/>
        </w:rPr>
        <w:t>" has been amended as follows.</w:t>
      </w:r>
    </w:p>
    <w:p w14:paraId="72C5C1B0" w14:textId="77777777" w:rsidR="00171C59" w:rsidRPr="009E1B38" w:rsidRDefault="00171C59" w:rsidP="00171C59">
      <w:pPr>
        <w:pStyle w:val="P68B1DB1-Normal7"/>
        <w:ind w:left="709"/>
        <w:jc w:val="left"/>
        <w:rPr>
          <w:lang w:val="en-US"/>
        </w:rPr>
      </w:pPr>
      <w:r w:rsidRPr="009E1B38">
        <w:rPr>
          <w:lang w:val="en-US"/>
        </w:rPr>
        <w:lastRenderedPageBreak/>
        <w:t>“a) The period covered by the agreement, shall not exceed 2 years for existing generation plants that add units to existing generation plants and mobile power plants, and 8 years for new generation plants to be constructed or moved,”</w:t>
      </w:r>
    </w:p>
    <w:p w14:paraId="27A45ECC"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Article 57 titled "</w:t>
      </w:r>
      <w:r w:rsidRPr="009E1B38">
        <w:rPr>
          <w:i/>
          <w:lang w:val="en-US"/>
        </w:rPr>
        <w:t>Pricing of regional capacity leasing</w:t>
      </w:r>
      <w:r w:rsidRPr="009E1B38">
        <w:rPr>
          <w:lang w:val="en-US"/>
        </w:rPr>
        <w:t>" has been amended as follows.</w:t>
      </w:r>
    </w:p>
    <w:p w14:paraId="67D57446" w14:textId="77777777" w:rsidR="00171C59" w:rsidRPr="009E1B38" w:rsidRDefault="00171C59" w:rsidP="00171C59">
      <w:pPr>
        <w:pStyle w:val="P68B1DB1-Normal8"/>
        <w:ind w:left="709"/>
        <w:jc w:val="left"/>
        <w:rPr>
          <w:lang w:val="en-US"/>
        </w:rPr>
      </w:pPr>
      <w:r w:rsidRPr="009E1B38">
        <w:rPr>
          <w:lang w:val="en-US"/>
        </w:rPr>
        <w:t>“ARTICLE 57</w:t>
      </w:r>
    </w:p>
    <w:p w14:paraId="02DA9C2B" w14:textId="77777777" w:rsidR="00171C59" w:rsidRPr="009E1B38" w:rsidRDefault="00171C59" w:rsidP="00171C59">
      <w:pPr>
        <w:pStyle w:val="P68B1DB1-Normal7"/>
        <w:ind w:left="709"/>
        <w:jc w:val="left"/>
        <w:rPr>
          <w:lang w:val="en-US"/>
        </w:rPr>
      </w:pPr>
      <w:r w:rsidRPr="009E1B38">
        <w:rPr>
          <w:lang w:val="en-US"/>
        </w:rPr>
        <w:t>(1) Should the legal entities, that carry out generation activities for the generation facility registered in their name, work at least two-thirds (2/3) of the minimum working time specified in the ancillary service agreement for the relevant invoicing period, the monthly capacity fee to be paid for the regional capacity leasing service shall be calculated in accordance with the following formula:</w:t>
      </w:r>
    </w:p>
    <w:p w14:paraId="17A5BEF8" w14:textId="77777777" w:rsidR="00171C59" w:rsidRPr="009E1B38" w:rsidRDefault="00171C59" w:rsidP="00171C59">
      <w:pPr>
        <w:pStyle w:val="P68B1DB1-Normal7"/>
        <w:ind w:left="709"/>
        <w:jc w:val="left"/>
        <w:rPr>
          <w:lang w:val="en-US"/>
        </w:rPr>
      </w:pPr>
      <w:r w:rsidRPr="009E1B38">
        <w:rPr>
          <w:noProof/>
        </w:rPr>
        <w:drawing>
          <wp:inline distT="0" distB="0" distL="0" distR="0" wp14:anchorId="0E4B4553" wp14:editId="78AF28C9">
            <wp:extent cx="4648200" cy="571500"/>
            <wp:effectExtent l="0" t="0" r="0" b="0"/>
            <wp:docPr id="20" name="IMG439" descr="http://www.lexpera.com.tr/Appendix/PUBLICATION_TR/images/RG801Y2021N31377P4_375235105_1.JPG">
              <a:hlinkClick xmlns:a="http://schemas.openxmlformats.org/drawingml/2006/main" r:id="rId3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9" descr="http://www.lexpera.com.tr/Appendix/PUBLICATION_TR/images/RG801Y2021N31377P4_375235105_1.JPG">
                      <a:hlinkClick r:id="rId30" tgtFrame="&quot;_blank&quot;" tooltip="&quot;&quot;"/>
                    </pic:cNvPr>
                    <pic:cNvPicPr>
                      <a:picLocks noChangeAspect="1" noChangeArrowheads="1"/>
                    </pic:cNvPicPr>
                  </pic:nvPicPr>
                  <pic:blipFill>
                    <a:blip r:link="rId31">
                      <a:extLst>
                        <a:ext uri="{28A0092B-C50C-407E-A947-70E740481C1C}">
                          <a14:useLocalDpi xmlns:a14="http://schemas.microsoft.com/office/drawing/2010/main" val="0"/>
                        </a:ext>
                      </a:extLst>
                    </a:blip>
                    <a:srcRect/>
                    <a:stretch>
                      <a:fillRect/>
                    </a:stretch>
                  </pic:blipFill>
                  <pic:spPr bwMode="auto">
                    <a:xfrm>
                      <a:off x="0" y="0"/>
                      <a:ext cx="4648200" cy="571500"/>
                    </a:xfrm>
                    <a:prstGeom prst="rect">
                      <a:avLst/>
                    </a:prstGeom>
                    <a:noFill/>
                    <a:ln>
                      <a:noFill/>
                    </a:ln>
                  </pic:spPr>
                </pic:pic>
              </a:graphicData>
            </a:graphic>
          </wp:inline>
        </w:drawing>
      </w:r>
    </w:p>
    <w:p w14:paraId="4C9BDD0D" w14:textId="77777777" w:rsidR="00171C59" w:rsidRPr="009E1B38" w:rsidRDefault="00171C59" w:rsidP="00171C59">
      <w:pPr>
        <w:pStyle w:val="P68B1DB1-Normal7"/>
        <w:spacing w:after="0"/>
        <w:ind w:left="709"/>
        <w:jc w:val="left"/>
        <w:rPr>
          <w:lang w:val="en-US"/>
        </w:rPr>
      </w:pPr>
      <w:r w:rsidRPr="009E1B38">
        <w:rPr>
          <w:lang w:val="en-US"/>
        </w:rPr>
        <w:t>(2) In the formula in the first paragraph; the terms are defined as follows:</w:t>
      </w:r>
    </w:p>
    <w:p w14:paraId="127C2BF8" w14:textId="77777777" w:rsidR="00171C59" w:rsidRPr="009E1B38" w:rsidRDefault="00171C59" w:rsidP="00171C59">
      <w:pPr>
        <w:pStyle w:val="P68B1DB1-Normal7"/>
        <w:spacing w:after="0"/>
        <w:ind w:left="709"/>
        <w:jc w:val="left"/>
        <w:rPr>
          <w:lang w:val="en-US"/>
        </w:rPr>
      </w:pPr>
      <w:r w:rsidRPr="009E1B38">
        <w:rPr>
          <w:lang w:val="en-US"/>
        </w:rPr>
        <w:t>a) BKKBp,f: Regional capacity leasing fee (TL) to be accrued as receivable to the legal entity “p” that carries out generation activities for the regional capacity leasing service in the invoicing period "f",</w:t>
      </w:r>
    </w:p>
    <w:p w14:paraId="40AF8051" w14:textId="77777777" w:rsidR="00171C59" w:rsidRPr="009E1B38" w:rsidRDefault="00171C59" w:rsidP="00171C59">
      <w:pPr>
        <w:pStyle w:val="P68B1DB1-Normal7"/>
        <w:spacing w:after="0"/>
        <w:ind w:left="709"/>
        <w:jc w:val="left"/>
        <w:rPr>
          <w:lang w:val="en-US"/>
        </w:rPr>
      </w:pPr>
      <w:r w:rsidRPr="009E1B38">
        <w:rPr>
          <w:lang w:val="en-US"/>
        </w:rPr>
        <w:t>b) YKTFp,u: The annual capacity offer price (TL) for the generation plant "u" registered in the name of the legal entity "p" that carries out generation activities,</w:t>
      </w:r>
    </w:p>
    <w:p w14:paraId="27DA783F" w14:textId="77777777" w:rsidR="00171C59" w:rsidRPr="009E1B38" w:rsidRDefault="00171C59" w:rsidP="00171C59">
      <w:pPr>
        <w:pStyle w:val="P68B1DB1-Normal7"/>
        <w:spacing w:after="0"/>
        <w:ind w:left="709"/>
        <w:jc w:val="left"/>
        <w:rPr>
          <w:lang w:val="en-US"/>
        </w:rPr>
      </w:pPr>
      <w:r w:rsidRPr="009E1B38">
        <w:rPr>
          <w:lang w:val="en-US"/>
        </w:rPr>
        <w:t>c) FÜSp,u,f: The time of generation (hours) carried out by the generation plant "u", registered in the name of the legal entity "p", during the invoicing period "f",</w:t>
      </w:r>
    </w:p>
    <w:p w14:paraId="0343D40B" w14:textId="77777777" w:rsidR="00171C59" w:rsidRPr="009E1B38" w:rsidRDefault="00171C59" w:rsidP="00171C59">
      <w:pPr>
        <w:pStyle w:val="P68B1DB1-Normal7"/>
        <w:spacing w:after="0"/>
        <w:ind w:left="709"/>
        <w:jc w:val="left"/>
        <w:rPr>
          <w:lang w:val="en-US"/>
        </w:rPr>
      </w:pPr>
      <w:r w:rsidRPr="009E1B38">
        <w:rPr>
          <w:lang w:val="en-US"/>
        </w:rPr>
        <w:t>ç) AÜSu,t,f: The minimum monthly operation time (hours) specified in the tender notice and ancillary service agreement for the generation plant "u" with "t" technology for the invoicing period "f",</w:t>
      </w:r>
    </w:p>
    <w:p w14:paraId="5C2A6497" w14:textId="77777777" w:rsidR="00171C59" w:rsidRPr="009E1B38" w:rsidRDefault="00171C59" w:rsidP="00171C59">
      <w:pPr>
        <w:pStyle w:val="P68B1DB1-Normal7"/>
        <w:spacing w:after="0"/>
        <w:ind w:left="709"/>
        <w:jc w:val="left"/>
        <w:rPr>
          <w:lang w:val="en-US"/>
        </w:rPr>
      </w:pPr>
      <w:r w:rsidRPr="009E1B38">
        <w:rPr>
          <w:lang w:val="en-US"/>
        </w:rPr>
        <w:t>d) n: The number of generation facilities, registered in the name of the legal entity "p" that carries out generation activities with an ancillary services agreement on regional capacity leasing,</w:t>
      </w:r>
    </w:p>
    <w:p w14:paraId="6161D058" w14:textId="77777777" w:rsidR="00171C59" w:rsidRPr="009E1B38" w:rsidRDefault="00171C59" w:rsidP="00171C59">
      <w:pPr>
        <w:pStyle w:val="P68B1DB1-Normal7"/>
        <w:spacing w:after="0"/>
        <w:ind w:left="709"/>
        <w:jc w:val="left"/>
        <w:rPr>
          <w:lang w:val="en-US"/>
        </w:rPr>
      </w:pPr>
      <w:r w:rsidRPr="009E1B38">
        <w:rPr>
          <w:lang w:val="en-US"/>
        </w:rPr>
        <w:t>e) TYÜSu,t: The minimum annual generation time (hours) determined by TEİAŞ and included in the ancillary service agreement for the generation plant "u" with "t" technology,</w:t>
      </w:r>
    </w:p>
    <w:p w14:paraId="0082A87F" w14:textId="5C8697CA" w:rsidR="00171C59" w:rsidRPr="009E1B38" w:rsidRDefault="00171C59" w:rsidP="00171C59">
      <w:pPr>
        <w:pStyle w:val="P68B1DB1-Normal7"/>
        <w:ind w:left="709"/>
        <w:jc w:val="left"/>
        <w:rPr>
          <w:lang w:val="en-US"/>
        </w:rPr>
      </w:pPr>
    </w:p>
    <w:p w14:paraId="2F86D286" w14:textId="77777777" w:rsidR="00171C59" w:rsidRPr="009E1B38" w:rsidRDefault="00171C59" w:rsidP="00171C59">
      <w:pPr>
        <w:pStyle w:val="P68B1DB1-Normal7"/>
        <w:ind w:left="709"/>
        <w:jc w:val="left"/>
        <w:rPr>
          <w:lang w:val="en-US"/>
        </w:rPr>
      </w:pPr>
      <w:r w:rsidRPr="009E1B38">
        <w:rPr>
          <w:lang w:val="en-US"/>
        </w:rPr>
        <w:t>(3) Payment of the monthly capacity fee, which is calculated according to the formula specified in the first paragraph, shall commence after the generation plant begins to serve.</w:t>
      </w:r>
    </w:p>
    <w:p w14:paraId="624735F8" w14:textId="77777777" w:rsidR="00171C59" w:rsidRPr="009E1B38" w:rsidRDefault="00171C59" w:rsidP="00171C59">
      <w:pPr>
        <w:pStyle w:val="P68B1DB1-Normal7"/>
        <w:ind w:left="709"/>
        <w:jc w:val="left"/>
        <w:rPr>
          <w:lang w:val="en-US"/>
        </w:rPr>
      </w:pPr>
      <w:r w:rsidRPr="009E1B38">
        <w:rPr>
          <w:lang w:val="en-US"/>
        </w:rPr>
        <w:t>(4) If the generation plant or plants, within the scope of the related ancillary service agreement, operate for at least two-thirds or more than two-thirds of the monthly minimum operation time for the invoicing period, specified in the tender notice and included in the ancillary service agreement, the regional capacity leasing fee, calculated in accordance with the first paragraph, shall be paid to the legal entity, which signs an ancillary service agreement for regional capacity leasing and which holds a generation license."</w:t>
      </w:r>
    </w:p>
    <w:p w14:paraId="60EE67E3"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Article 58 titled "</w:t>
      </w:r>
      <w:r w:rsidRPr="009E1B38">
        <w:rPr>
          <w:i/>
          <w:lang w:val="en-US"/>
        </w:rPr>
        <w:t>Penal sanctions related to regional capacity leasing service</w:t>
      </w:r>
      <w:r w:rsidRPr="009E1B38">
        <w:rPr>
          <w:lang w:val="en-US"/>
        </w:rPr>
        <w:t>" has been amended as follows.</w:t>
      </w:r>
    </w:p>
    <w:p w14:paraId="35144A21" w14:textId="77777777" w:rsidR="00171C59" w:rsidRPr="009E1B38" w:rsidRDefault="00171C59" w:rsidP="00171C59">
      <w:pPr>
        <w:pStyle w:val="P68B1DB1-Normal8"/>
        <w:ind w:left="709"/>
        <w:jc w:val="left"/>
        <w:rPr>
          <w:lang w:val="en-US"/>
        </w:rPr>
      </w:pPr>
      <w:r w:rsidRPr="009E1B38">
        <w:rPr>
          <w:lang w:val="en-US"/>
        </w:rPr>
        <w:t>“ARTICLE 58</w:t>
      </w:r>
    </w:p>
    <w:p w14:paraId="666CA595" w14:textId="77777777" w:rsidR="00171C59" w:rsidRPr="009E1B38" w:rsidRDefault="00171C59" w:rsidP="00171C59">
      <w:pPr>
        <w:pStyle w:val="P68B1DB1-Normal7"/>
        <w:ind w:left="709"/>
        <w:jc w:val="left"/>
        <w:rPr>
          <w:lang w:val="en-US"/>
        </w:rPr>
      </w:pPr>
      <w:r w:rsidRPr="009E1B38">
        <w:rPr>
          <w:lang w:val="en-US"/>
        </w:rPr>
        <w:t xml:space="preserve">(1) In the event that a generation license holder legal entity with an ancillary service agreement regarding regional capacity leasing, does not submit a bid to the balancing power market in accordance with the provisions of the agreement for a generation plant within the scope of the relevant ancillary service agreement, except for the maintenance period and failure cases, and/or a generation </w:t>
      </w:r>
      <w:r w:rsidRPr="009E1B38">
        <w:rPr>
          <w:lang w:val="en-US"/>
        </w:rPr>
        <w:lastRenderedPageBreak/>
        <w:t>facility, within the scope of the relevant ancillary service agreement, operates for less than two-thirds of the monthly minimum generation period during the relevant invoice period specified in the tender notice and in the ancillary service agreement, no payment shall be made for the relevant generation plant in the said invoicing period.</w:t>
      </w:r>
    </w:p>
    <w:p w14:paraId="71193DE9" w14:textId="77777777" w:rsidR="00171C59" w:rsidRPr="009E1B38" w:rsidRDefault="00171C59" w:rsidP="00171C59">
      <w:pPr>
        <w:pStyle w:val="P68B1DB1-Normal7"/>
        <w:ind w:left="709"/>
        <w:jc w:val="left"/>
        <w:rPr>
          <w:lang w:val="en-US"/>
        </w:rPr>
      </w:pPr>
      <w:r w:rsidRPr="009E1B38">
        <w:rPr>
          <w:lang w:val="en-US"/>
        </w:rPr>
        <w:t>(2) In the event that the generation plant or plants of a generation license holder legal entity with an ancillary service agreement regarding regional capacity leasing, operates for less than the monthly minimum operation time during the invoicing period, which is specified in the tender notice and in the ancillary service agreement for the relevant invoicing period, however, that the duration of operation of the aforementioned generation plant or plants is equal or more than the two thirds of the minimum operation time for the relevant invoicing period, the non-fulfillment fee shall be applied in accordance with the following formula:</w:t>
      </w:r>
    </w:p>
    <w:p w14:paraId="70690C5A" w14:textId="77777777" w:rsidR="00171C59" w:rsidRPr="009E1B38" w:rsidRDefault="00171C59" w:rsidP="00171C59">
      <w:pPr>
        <w:pStyle w:val="P68B1DB1-Normal7"/>
        <w:ind w:left="709"/>
        <w:jc w:val="left"/>
        <w:rPr>
          <w:lang w:val="en-US"/>
        </w:rPr>
      </w:pPr>
      <w:r w:rsidRPr="009E1B38">
        <w:rPr>
          <w:noProof/>
        </w:rPr>
        <w:drawing>
          <wp:inline distT="0" distB="0" distL="0" distR="0" wp14:anchorId="72BCAA97" wp14:editId="4AE9618F">
            <wp:extent cx="3429000" cy="504825"/>
            <wp:effectExtent l="0" t="0" r="0" b="9525"/>
            <wp:docPr id="22" name="IMG455" descr="http://www.lexpera.com.tr/Appendix/PUBLICATION_TR/images/RG801Y2021N31377P4_375235106_1.JPG">
              <a:hlinkClick xmlns:a="http://schemas.openxmlformats.org/drawingml/2006/main" r:id="rId32"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5" descr="http://www.lexpera.com.tr/Appendix/PUBLICATION_TR/images/RG801Y2021N31377P4_375235106_1.JPG">
                      <a:hlinkClick r:id="rId32" tgtFrame="&quot;_blank&quot;" tooltip="&quot;&quot;"/>
                    </pic:cNvPr>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3429000" cy="504825"/>
                    </a:xfrm>
                    <a:prstGeom prst="rect">
                      <a:avLst/>
                    </a:prstGeom>
                    <a:noFill/>
                    <a:ln>
                      <a:noFill/>
                    </a:ln>
                  </pic:spPr>
                </pic:pic>
              </a:graphicData>
            </a:graphic>
          </wp:inline>
        </w:drawing>
      </w:r>
    </w:p>
    <w:p w14:paraId="090BCA84" w14:textId="77777777" w:rsidR="00171C59" w:rsidRPr="009E1B38" w:rsidRDefault="00171C59" w:rsidP="00171C59">
      <w:pPr>
        <w:pStyle w:val="P68B1DB1-Normal7"/>
        <w:spacing w:after="0"/>
        <w:ind w:left="709"/>
        <w:jc w:val="left"/>
        <w:rPr>
          <w:lang w:val="en-US"/>
        </w:rPr>
      </w:pPr>
      <w:r w:rsidRPr="009E1B38">
        <w:rPr>
          <w:lang w:val="en-US"/>
        </w:rPr>
        <w:t>(3) In the formula in the second paragraph, the following means as follows:</w:t>
      </w:r>
    </w:p>
    <w:p w14:paraId="2464DA22" w14:textId="77777777" w:rsidR="00171C59" w:rsidRPr="009E1B38" w:rsidRDefault="00171C59" w:rsidP="00171C59">
      <w:pPr>
        <w:pStyle w:val="P68B1DB1-Normal7"/>
        <w:spacing w:after="0"/>
        <w:ind w:left="709"/>
        <w:jc w:val="left"/>
        <w:rPr>
          <w:lang w:val="en-US"/>
        </w:rPr>
      </w:pPr>
      <w:r w:rsidRPr="009E1B38">
        <w:rPr>
          <w:lang w:val="en-US"/>
        </w:rPr>
        <w:t>a) BKKBp,f: Regional capacity leasing fee (TL) to be accrued as receivable to the legal entity “p” that carries out generation activities for the regional capacity leasing service in the invoicing period "f",</w:t>
      </w:r>
    </w:p>
    <w:p w14:paraId="4C111C53" w14:textId="77777777" w:rsidR="00171C59" w:rsidRPr="009E1B38" w:rsidRDefault="00171C59" w:rsidP="00171C59">
      <w:pPr>
        <w:pStyle w:val="P68B1DB1-Normal7"/>
        <w:spacing w:after="0"/>
        <w:ind w:left="709"/>
        <w:jc w:val="left"/>
        <w:rPr>
          <w:lang w:val="en-US"/>
        </w:rPr>
      </w:pPr>
      <w:r w:rsidRPr="009E1B38">
        <w:rPr>
          <w:lang w:val="en-US"/>
        </w:rPr>
        <w:t>b) YKTFp,u: The annual capacity offer price (TL) for the generation plant "u" registered in the name of the legal entity "p" that carries out generation activities,</w:t>
      </w:r>
    </w:p>
    <w:p w14:paraId="47786B0D" w14:textId="77777777" w:rsidR="00171C59" w:rsidRPr="009E1B38" w:rsidRDefault="00171C59" w:rsidP="00171C59">
      <w:pPr>
        <w:pStyle w:val="P68B1DB1-Normal7"/>
        <w:spacing w:after="0"/>
        <w:ind w:left="709"/>
        <w:jc w:val="left"/>
        <w:rPr>
          <w:lang w:val="en-US"/>
        </w:rPr>
      </w:pPr>
      <w:r w:rsidRPr="009E1B38">
        <w:rPr>
          <w:lang w:val="en-US"/>
        </w:rPr>
        <w:t>c) FÜSp,u,f: The time of generation (hours) carried out by the generation plant "u", registered in the name of the legal entity "p", during the invoicing period "f",</w:t>
      </w:r>
    </w:p>
    <w:p w14:paraId="71AFB5D3" w14:textId="77777777" w:rsidR="00171C59" w:rsidRPr="009E1B38" w:rsidRDefault="00171C59" w:rsidP="00171C59">
      <w:pPr>
        <w:pStyle w:val="P68B1DB1-Normal7"/>
        <w:spacing w:after="0"/>
        <w:ind w:left="709"/>
        <w:jc w:val="left"/>
        <w:rPr>
          <w:lang w:val="en-US"/>
        </w:rPr>
      </w:pPr>
      <w:r w:rsidRPr="009E1B38">
        <w:rPr>
          <w:lang w:val="en-US"/>
        </w:rPr>
        <w:t>ç) AÜSu,t,f: The minimum monthly operation time (hours) specified in the tender notice and ancillary service agreement for the generation plant "u" with "t" technology for the invoicing period "f",</w:t>
      </w:r>
    </w:p>
    <w:p w14:paraId="7CDF5343" w14:textId="77777777" w:rsidR="00171C59" w:rsidRPr="009E1B38" w:rsidRDefault="00171C59" w:rsidP="00171C59">
      <w:pPr>
        <w:pStyle w:val="P68B1DB1-Normal7"/>
        <w:spacing w:after="0"/>
        <w:ind w:left="709"/>
        <w:jc w:val="left"/>
        <w:rPr>
          <w:lang w:val="en-US"/>
        </w:rPr>
      </w:pPr>
      <w:r w:rsidRPr="009E1B38">
        <w:rPr>
          <w:lang w:val="en-US"/>
        </w:rPr>
        <w:t>d) n: The number of generation facilities, registered in the name of the legal entity "p" that carries out generation activities with an ancillary services agreement on regional capacity leasing,</w:t>
      </w:r>
    </w:p>
    <w:p w14:paraId="1E8A3C09" w14:textId="77777777" w:rsidR="00171C59" w:rsidRPr="009E1B38" w:rsidRDefault="00171C59" w:rsidP="00171C59">
      <w:pPr>
        <w:pStyle w:val="P68B1DB1-Normal7"/>
        <w:spacing w:after="0"/>
        <w:ind w:left="709"/>
        <w:jc w:val="left"/>
        <w:rPr>
          <w:lang w:val="en-US"/>
        </w:rPr>
      </w:pPr>
      <w:r w:rsidRPr="009E1B38">
        <w:rPr>
          <w:lang w:val="en-US"/>
        </w:rPr>
        <w:t>e) TYÜSu,t: The minimum annual generation time (hours) determined by TEİAŞ and included in the ancillary service agreement for the generation plant "u" with "t" technology,</w:t>
      </w:r>
    </w:p>
    <w:p w14:paraId="382DE123" w14:textId="327A05D6" w:rsidR="00171C59" w:rsidRPr="009E1B38" w:rsidRDefault="00171C59" w:rsidP="00171C59">
      <w:pPr>
        <w:pStyle w:val="P68B1DB1-Normal7"/>
        <w:ind w:left="709"/>
        <w:jc w:val="left"/>
        <w:rPr>
          <w:lang w:val="en-US"/>
        </w:rPr>
      </w:pPr>
    </w:p>
    <w:p w14:paraId="5322DA93"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Article 59 titled "</w:t>
      </w:r>
      <w:r w:rsidRPr="009E1B38">
        <w:rPr>
          <w:i/>
          <w:lang w:val="en-US"/>
        </w:rPr>
        <w:t>Notifications within the scope of providing ancillary services</w:t>
      </w:r>
      <w:r w:rsidRPr="009E1B38">
        <w:rPr>
          <w:lang w:val="en-US"/>
        </w:rPr>
        <w:t>" has been amended as follows.</w:t>
      </w:r>
    </w:p>
    <w:p w14:paraId="7B281197" w14:textId="77777777" w:rsidR="00171C59" w:rsidRPr="009E1B38" w:rsidRDefault="00171C59" w:rsidP="00171C59">
      <w:pPr>
        <w:pStyle w:val="P68B1DB1-Normal8"/>
        <w:ind w:left="709"/>
        <w:jc w:val="left"/>
        <w:rPr>
          <w:lang w:val="en-US"/>
        </w:rPr>
      </w:pPr>
      <w:r w:rsidRPr="009E1B38">
        <w:rPr>
          <w:lang w:val="en-US"/>
        </w:rPr>
        <w:t>“ARTICLE 59</w:t>
      </w:r>
    </w:p>
    <w:p w14:paraId="4B37C60A" w14:textId="77777777" w:rsidR="00171C59" w:rsidRPr="009E1B38" w:rsidRDefault="00171C59" w:rsidP="00171C59">
      <w:pPr>
        <w:pStyle w:val="P68B1DB1-Normal7"/>
        <w:ind w:left="709"/>
        <w:jc w:val="left"/>
        <w:rPr>
          <w:lang w:val="en-US"/>
        </w:rPr>
      </w:pPr>
      <w:r w:rsidRPr="009E1B38">
        <w:rPr>
          <w:lang w:val="en-US"/>
        </w:rPr>
        <w:t>ARTICLE 59– (1) Announcements and instructions given for the procurement of the ancillary services shall firstly be notified through ASMMS to the legal entities that provide the relevant ancillary service. The instructions notified via ASMMS may also be confirmed by phone if necessary.</w:t>
      </w:r>
    </w:p>
    <w:p w14:paraId="35B554F6" w14:textId="77777777" w:rsidR="00171C59" w:rsidRPr="009E1B38" w:rsidRDefault="00171C59" w:rsidP="00171C59">
      <w:pPr>
        <w:pStyle w:val="P68B1DB1-Normal7"/>
        <w:ind w:left="709"/>
        <w:jc w:val="left"/>
        <w:rPr>
          <w:lang w:val="en-US"/>
        </w:rPr>
      </w:pPr>
      <w:r w:rsidRPr="009E1B38">
        <w:rPr>
          <w:lang w:val="en-US"/>
        </w:rPr>
        <w:t>(2) Legal entities that provide the relevant ancillary service must take the necessary measures to gain access to ASMMS. However, if ASMMS is out of service, notices may be made by fax and telephone, respectively. Notices made by fax and telephone shall be transferred by the system operator to ASMMS.</w:t>
      </w:r>
    </w:p>
    <w:p w14:paraId="0889275B" w14:textId="77777777" w:rsidR="00171C59" w:rsidRPr="009E1B38" w:rsidRDefault="00171C59" w:rsidP="00171C59">
      <w:pPr>
        <w:pStyle w:val="P68B1DB1-Normal7"/>
        <w:ind w:left="709"/>
        <w:jc w:val="left"/>
        <w:rPr>
          <w:lang w:val="en-US"/>
        </w:rPr>
      </w:pPr>
      <w:r w:rsidRPr="009E1B38">
        <w:rPr>
          <w:lang w:val="en-US"/>
        </w:rPr>
        <w:t>(3) ASMMS records shall be taken as basis on instruction notices made through ASMMS. If the relevant instruction is also notified using other communication channels, records of the used communication channels shall also be referenced. In the event of a dispute between the system operator and the legal entity that provides the ancillary service, audio recordings in the audio recording system at the load dispatch center, where they are notified, shall be valid.</w:t>
      </w:r>
    </w:p>
    <w:p w14:paraId="10B77433"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lastRenderedPageBreak/>
        <w:t xml:space="preserve">Article 60 titled </w:t>
      </w:r>
      <w:r w:rsidRPr="009E1B38">
        <w:rPr>
          <w:i/>
          <w:lang w:val="en-US"/>
        </w:rPr>
        <w:t>"Payment notifications"</w:t>
      </w:r>
      <w:r w:rsidRPr="009E1B38">
        <w:rPr>
          <w:lang w:val="en-US"/>
        </w:rPr>
        <w:t xml:space="preserve"> has been amended as follows.</w:t>
      </w:r>
    </w:p>
    <w:p w14:paraId="68F18D76" w14:textId="77777777" w:rsidR="00171C59" w:rsidRPr="009E1B38" w:rsidRDefault="00171C59" w:rsidP="00171C59">
      <w:pPr>
        <w:pStyle w:val="P68B1DB1-Normal8"/>
        <w:ind w:left="709"/>
        <w:jc w:val="left"/>
        <w:rPr>
          <w:lang w:val="en-US"/>
        </w:rPr>
      </w:pPr>
      <w:r w:rsidRPr="009E1B38">
        <w:rPr>
          <w:lang w:val="en-US"/>
        </w:rPr>
        <w:t>“ARTICLE 60</w:t>
      </w:r>
    </w:p>
    <w:p w14:paraId="15CCC5E8" w14:textId="77777777" w:rsidR="00171C59" w:rsidRPr="009E1B38" w:rsidRDefault="00171C59" w:rsidP="00171C59">
      <w:pPr>
        <w:pStyle w:val="P68B1DB1-Normal7"/>
        <w:ind w:left="709"/>
        <w:jc w:val="left"/>
        <w:rPr>
          <w:lang w:val="en-US"/>
        </w:rPr>
      </w:pPr>
      <w:r w:rsidRPr="009E1B38">
        <w:rPr>
          <w:lang w:val="en-US"/>
        </w:rPr>
        <w:t>(1) Payment notifications containing payments to be made to the legal entities that provide the ancillary service as a result of the service, shall be prepared by EPİAŞ and notified to the relevant legal entities until the end of the working hours of the seventh day of the month which follows the month of the provided service. These notifications shall individually specify the payment amounts for all the ancillary services, provided by the relevant legal entities, of the month of the service.</w:t>
      </w:r>
    </w:p>
    <w:p w14:paraId="6BD1072E" w14:textId="77777777" w:rsidR="00171C59" w:rsidRPr="009E1B38" w:rsidRDefault="00171C59" w:rsidP="00171C59">
      <w:pPr>
        <w:pStyle w:val="P68B1DB1-Normal7"/>
        <w:ind w:left="709"/>
        <w:jc w:val="left"/>
        <w:rPr>
          <w:lang w:val="en-US"/>
        </w:rPr>
      </w:pPr>
      <w:r w:rsidRPr="009E1B38">
        <w:rPr>
          <w:lang w:val="en-US"/>
        </w:rPr>
        <w:t>(2) For the preparation of payment notifications, the following information related to the relevant legal entities and/or plants is provided by the system operator:</w:t>
      </w:r>
    </w:p>
    <w:p w14:paraId="4D0D6EDD" w14:textId="77777777" w:rsidR="00171C59" w:rsidRPr="009E1B38" w:rsidRDefault="00171C59" w:rsidP="00171C59">
      <w:pPr>
        <w:pStyle w:val="P68B1DB1-Normal7"/>
        <w:spacing w:after="0"/>
        <w:ind w:left="709"/>
        <w:jc w:val="left"/>
        <w:rPr>
          <w:lang w:val="en-US"/>
        </w:rPr>
      </w:pPr>
      <w:r w:rsidRPr="009E1B38">
        <w:rPr>
          <w:lang w:val="en-US"/>
        </w:rPr>
        <w:t>a) The beginning and ending times and amount of instructions given to the legal entities/plants to provide ancillary services.</w:t>
      </w:r>
    </w:p>
    <w:p w14:paraId="1762F791" w14:textId="77777777" w:rsidR="00171C59" w:rsidRPr="009E1B38" w:rsidRDefault="00171C59" w:rsidP="00171C59">
      <w:pPr>
        <w:pStyle w:val="P68B1DB1-Normal7"/>
        <w:ind w:left="709"/>
        <w:jc w:val="left"/>
        <w:rPr>
          <w:lang w:val="en-US"/>
        </w:rPr>
      </w:pPr>
      <w:r w:rsidRPr="009E1B38">
        <w:rPr>
          <w:lang w:val="en-US"/>
        </w:rPr>
        <w:t>b) The duration of the ancillary services actually provided by the legal entities/plants as a result of monitoring, the number of commissioning and the amount of the ancillary services detected to be provided on the monitoring principles.</w:t>
      </w:r>
    </w:p>
    <w:p w14:paraId="4AC04300" w14:textId="77777777" w:rsidR="00171C59" w:rsidRPr="009E1B38" w:rsidRDefault="00171C59" w:rsidP="00171C59">
      <w:pPr>
        <w:pStyle w:val="P68B1DB1-Normal7"/>
        <w:spacing w:after="0"/>
        <w:ind w:left="709"/>
        <w:jc w:val="left"/>
        <w:rPr>
          <w:lang w:val="en-US"/>
        </w:rPr>
      </w:pPr>
      <w:r w:rsidRPr="009E1B38">
        <w:rPr>
          <w:lang w:val="en-US"/>
        </w:rPr>
        <w:t>(3) For the preparation of payment notifications, the following information related to the relevant legal entities and/or plants is provided by TEIAS through ASMMS:</w:t>
      </w:r>
    </w:p>
    <w:p w14:paraId="4CD74239" w14:textId="77777777" w:rsidR="00171C59" w:rsidRPr="009E1B38" w:rsidRDefault="00171C59" w:rsidP="00171C59">
      <w:pPr>
        <w:pStyle w:val="P68B1DB1-Normal7"/>
        <w:spacing w:after="0"/>
        <w:ind w:left="709"/>
        <w:jc w:val="left"/>
        <w:rPr>
          <w:lang w:val="en-US"/>
        </w:rPr>
      </w:pPr>
      <w:r w:rsidRPr="009E1B38">
        <w:rPr>
          <w:lang w:val="en-US"/>
        </w:rPr>
        <w:t>a) Hourly system marginal prices.</w:t>
      </w:r>
    </w:p>
    <w:p w14:paraId="79145BC5" w14:textId="77777777" w:rsidR="00171C59" w:rsidRPr="009E1B38" w:rsidRDefault="00171C59" w:rsidP="00171C59">
      <w:pPr>
        <w:pStyle w:val="P68B1DB1-Normal7"/>
        <w:spacing w:after="0"/>
        <w:ind w:left="709"/>
        <w:jc w:val="left"/>
        <w:rPr>
          <w:lang w:val="en-US"/>
        </w:rPr>
      </w:pPr>
      <w:r w:rsidRPr="009E1B38">
        <w:rPr>
          <w:lang w:val="en-US"/>
        </w:rPr>
        <w:t>b) The supply-draw amount measured from the meter,</w:t>
      </w:r>
    </w:p>
    <w:p w14:paraId="1D119752" w14:textId="77777777" w:rsidR="00171C59" w:rsidRPr="009E1B38" w:rsidRDefault="00171C59" w:rsidP="00171C59">
      <w:pPr>
        <w:pStyle w:val="P68B1DB1-Normal7"/>
        <w:spacing w:after="0"/>
        <w:ind w:left="709"/>
        <w:jc w:val="left"/>
        <w:rPr>
          <w:lang w:val="en-US"/>
        </w:rPr>
      </w:pPr>
      <w:r w:rsidRPr="009E1B38">
        <w:rPr>
          <w:lang w:val="en-US"/>
        </w:rPr>
        <w:t>c) Final day ahead generation / consumption schedule.</w:t>
      </w:r>
    </w:p>
    <w:p w14:paraId="46E6D6EA" w14:textId="77777777" w:rsidR="00171C59" w:rsidRPr="009E1B38" w:rsidRDefault="00171C59" w:rsidP="00171C59">
      <w:pPr>
        <w:pStyle w:val="P68B1DB1-Normal7"/>
        <w:ind w:left="709"/>
        <w:jc w:val="left"/>
        <w:rPr>
          <w:lang w:val="en-US"/>
        </w:rPr>
      </w:pPr>
      <w:r w:rsidRPr="009E1B38">
        <w:rPr>
          <w:lang w:val="en-US"/>
        </w:rPr>
        <w:t>ç) Loading and deloading instructions within the context of balancing power market.</w:t>
      </w:r>
    </w:p>
    <w:p w14:paraId="20CFBCB4" w14:textId="77777777" w:rsidR="00171C59" w:rsidRPr="009E1B38" w:rsidRDefault="00171C59" w:rsidP="00171C59">
      <w:pPr>
        <w:pStyle w:val="P68B1DB1-Normal7"/>
        <w:spacing w:after="0"/>
        <w:ind w:left="709"/>
        <w:jc w:val="left"/>
        <w:rPr>
          <w:lang w:val="en-US"/>
        </w:rPr>
      </w:pPr>
      <w:r w:rsidRPr="009E1B38">
        <w:rPr>
          <w:lang w:val="en-US"/>
        </w:rPr>
        <w:t>(4) For the preparation of payment notifications, TEİAŞ provides the following information through participation agreements, ancillary services agreements regarding relevant legal entities and/or plant or relevant Board decision:</w:t>
      </w:r>
    </w:p>
    <w:p w14:paraId="5C871C3B" w14:textId="77777777" w:rsidR="00171C59" w:rsidRPr="009E1B38" w:rsidRDefault="00171C59" w:rsidP="00171C59">
      <w:pPr>
        <w:pStyle w:val="P68B1DB1-Normal7"/>
        <w:spacing w:after="0"/>
        <w:ind w:left="709"/>
        <w:jc w:val="left"/>
        <w:rPr>
          <w:lang w:val="en-US"/>
        </w:rPr>
      </w:pPr>
      <w:r w:rsidRPr="009E1B38">
        <w:rPr>
          <w:lang w:val="en-US"/>
        </w:rPr>
        <w:t>a) Unit service fee or capacity fee determined as a result of the procurement process or formed in the tender.</w:t>
      </w:r>
    </w:p>
    <w:p w14:paraId="4652F147" w14:textId="77777777" w:rsidR="00171C59" w:rsidRPr="009E1B38" w:rsidRDefault="00171C59" w:rsidP="00171C59">
      <w:pPr>
        <w:pStyle w:val="P68B1DB1-Normal7"/>
        <w:ind w:left="709"/>
        <w:jc w:val="left"/>
        <w:rPr>
          <w:lang w:val="en-US"/>
        </w:rPr>
      </w:pPr>
      <w:r w:rsidRPr="009E1B38">
        <w:rPr>
          <w:lang w:val="en-US"/>
        </w:rPr>
        <w:t>b) Ancillary service offer fee and amount.</w:t>
      </w:r>
    </w:p>
    <w:p w14:paraId="76FF1592" w14:textId="77777777" w:rsidR="00171C59" w:rsidRPr="009E1B38" w:rsidRDefault="00171C59" w:rsidP="00171C59">
      <w:pPr>
        <w:pStyle w:val="P68B1DB1-Normal7"/>
        <w:ind w:left="709"/>
        <w:jc w:val="left"/>
        <w:rPr>
          <w:lang w:val="en-US"/>
        </w:rPr>
      </w:pPr>
      <w:r w:rsidRPr="009E1B38">
        <w:rPr>
          <w:lang w:val="en-US"/>
        </w:rPr>
        <w:t>(5) The amount of fuel or electricity used and fuel price used for the black start shall be notified to TEİAŞ by the related legal entity which provides the ancillary service.</w:t>
      </w:r>
    </w:p>
    <w:p w14:paraId="32EB67A5" w14:textId="77777777" w:rsidR="00171C59" w:rsidRPr="009E1B38" w:rsidRDefault="00171C59" w:rsidP="00171C59">
      <w:pPr>
        <w:pStyle w:val="P68B1DB1-Normal7"/>
        <w:ind w:left="709"/>
        <w:jc w:val="left"/>
        <w:rPr>
          <w:lang w:val="en-US"/>
        </w:rPr>
      </w:pPr>
      <w:r w:rsidRPr="009E1B38">
        <w:rPr>
          <w:lang w:val="en-US"/>
        </w:rPr>
        <w:t>(6) Information contained in the second, third, fourth and fifth paragraphs shall be notified to EPİAŞ until the end of the work hours of the fourth working day of each month, in the format determined by TEİAŞ.</w:t>
      </w:r>
    </w:p>
    <w:p w14:paraId="0BF3E41C" w14:textId="77777777" w:rsidR="00171C59" w:rsidRPr="009E1B38" w:rsidRDefault="00171C59" w:rsidP="00171C59">
      <w:pPr>
        <w:pStyle w:val="P68B1DB1-Normal7"/>
        <w:ind w:left="709"/>
        <w:jc w:val="left"/>
        <w:rPr>
          <w:lang w:val="en-US"/>
        </w:rPr>
      </w:pPr>
      <w:r w:rsidRPr="009E1B38">
        <w:rPr>
          <w:lang w:val="en-US"/>
        </w:rPr>
        <w:t>(7) TEİAŞ shall the legal entities that provide ancillary services, about the applied fees for non-fulfillment of the obligations during the service they provide, through AMMS until the end of the work hours of the seventh day of the relevant month. In these notifications, the calculated non-fulfillment fees incurred by the relevant legal entity in the said month shall be specified separately for each ancillary service.</w:t>
      </w:r>
    </w:p>
    <w:p w14:paraId="2682BE5F" w14:textId="77777777" w:rsidR="00171C59" w:rsidRPr="009E1B38" w:rsidRDefault="00171C59" w:rsidP="00171C59">
      <w:pPr>
        <w:pStyle w:val="P68B1DB1-Normal7"/>
        <w:ind w:left="709"/>
        <w:jc w:val="left"/>
        <w:rPr>
          <w:lang w:val="en-US"/>
        </w:rPr>
      </w:pPr>
      <w:r w:rsidRPr="009E1B38">
        <w:rPr>
          <w:lang w:val="en-US"/>
        </w:rPr>
        <w:t>(8) Relevant legal entities shall submit their objections regarding the payment notifications within the scope of the first paragraph, to EPİAŞ, and submit their objections regarding the non-fulfillment fees within the scope of the seventh paragraph, to TEİAŞ, within 2 (two) days following the publication of the notifications. The contested organization shall conclude these objections until the end of the working hours of the twelfth day of the relevant month. TEİAŞ notifies EPİAŞ of the amounts of the non-</w:t>
      </w:r>
      <w:r w:rsidRPr="009E1B38">
        <w:rPr>
          <w:lang w:val="en-US"/>
        </w:rPr>
        <w:lastRenderedPageBreak/>
        <w:t>fulfillment fees, which result from the evaluation of the submitted objections, until the end of the working hours of the thirteenth day of the relevant month, in order to include them in the final payment notification. The final payment notifications that emerge as a result of both payment notifications shall be notified to the relevant legal entities by EPİAŞ until the end of working hours of the fourteenth day of the relevant month."</w:t>
      </w:r>
    </w:p>
    <w:p w14:paraId="00CDFED5"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 xml:space="preserve">Article 61 titled </w:t>
      </w:r>
      <w:r w:rsidRPr="009E1B38">
        <w:rPr>
          <w:i/>
          <w:lang w:val="en-US"/>
        </w:rPr>
        <w:t>"Invoicing"</w:t>
      </w:r>
      <w:r w:rsidRPr="009E1B38">
        <w:rPr>
          <w:lang w:val="en-US"/>
        </w:rPr>
        <w:t xml:space="preserve"> is amended as follows.</w:t>
      </w:r>
    </w:p>
    <w:p w14:paraId="79B5ED51" w14:textId="77777777" w:rsidR="00171C59" w:rsidRPr="009E1B38" w:rsidRDefault="00171C59" w:rsidP="00171C59">
      <w:pPr>
        <w:pStyle w:val="P68B1DB1-Normal8"/>
        <w:ind w:left="709"/>
        <w:jc w:val="left"/>
        <w:rPr>
          <w:lang w:val="en-US"/>
        </w:rPr>
      </w:pPr>
      <w:r w:rsidRPr="009E1B38">
        <w:rPr>
          <w:lang w:val="en-US"/>
        </w:rPr>
        <w:t>“ARTICLE 61</w:t>
      </w:r>
    </w:p>
    <w:p w14:paraId="535E489E" w14:textId="77777777" w:rsidR="00171C59" w:rsidRPr="009E1B38" w:rsidRDefault="00171C59" w:rsidP="00171C59">
      <w:pPr>
        <w:pStyle w:val="P68B1DB1-Normal7"/>
        <w:ind w:left="709"/>
        <w:jc w:val="left"/>
        <w:rPr>
          <w:lang w:val="en-US"/>
        </w:rPr>
      </w:pPr>
      <w:r w:rsidRPr="009E1B38">
        <w:rPr>
          <w:lang w:val="en-US"/>
        </w:rPr>
        <w:t>(1) Legal entities providing ancillary service shall send the invoices related to the service they provide to TEİAŞ within seven days from the fifteenth day of the relevant month, in accordance with the final payment notifications sent to them by EPİAŞ.</w:t>
      </w:r>
    </w:p>
    <w:p w14:paraId="6314B514" w14:textId="77777777" w:rsidR="00171C59" w:rsidRPr="009E1B38" w:rsidRDefault="00171C59" w:rsidP="00171C59">
      <w:pPr>
        <w:pStyle w:val="P68B1DB1-Normal7"/>
        <w:ind w:left="709"/>
        <w:jc w:val="left"/>
        <w:rPr>
          <w:lang w:val="en-US"/>
        </w:rPr>
      </w:pPr>
      <w:r w:rsidRPr="009E1B38">
        <w:rPr>
          <w:lang w:val="en-US"/>
        </w:rPr>
        <w:t>(2) Invoices of to the non-fulfillment fees applied for the obligations that are not fulfilled by the legal entities providing ancillary service, shall be sent by TEİAŞ to the relevant legal entities providing ancillary service within seven days from the fifteenth day of the relevant month, in accordance with the final payment notifications published by EPİAŞ."</w:t>
      </w:r>
    </w:p>
    <w:p w14:paraId="2C73BEBF"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 xml:space="preserve">Article 62 titled </w:t>
      </w:r>
      <w:r w:rsidRPr="009E1B38">
        <w:rPr>
          <w:i/>
          <w:lang w:val="en-US"/>
        </w:rPr>
        <w:t>"Payment, collection and objections"</w:t>
      </w:r>
      <w:r w:rsidRPr="009E1B38">
        <w:rPr>
          <w:lang w:val="en-US"/>
        </w:rPr>
        <w:t xml:space="preserve"> has been amended as follows.</w:t>
      </w:r>
    </w:p>
    <w:p w14:paraId="6F69703D" w14:textId="77777777" w:rsidR="00171C59" w:rsidRPr="009E1B38" w:rsidRDefault="00171C59" w:rsidP="00171C59">
      <w:pPr>
        <w:pStyle w:val="P68B1DB1-Normal8"/>
        <w:ind w:left="709"/>
        <w:jc w:val="left"/>
        <w:rPr>
          <w:lang w:val="en-US"/>
        </w:rPr>
      </w:pPr>
      <w:r w:rsidRPr="009E1B38">
        <w:rPr>
          <w:lang w:val="en-US"/>
        </w:rPr>
        <w:t>“ARTICLE 62</w:t>
      </w:r>
    </w:p>
    <w:p w14:paraId="3B03BF9C" w14:textId="77777777" w:rsidR="00171C59" w:rsidRPr="009E1B38" w:rsidRDefault="00171C59" w:rsidP="00171C59">
      <w:pPr>
        <w:pStyle w:val="P68B1DB1-Normal7"/>
        <w:ind w:left="709"/>
        <w:jc w:val="left"/>
        <w:rPr>
          <w:lang w:val="en-US"/>
        </w:rPr>
      </w:pPr>
      <w:r w:rsidRPr="009E1B38">
        <w:rPr>
          <w:lang w:val="en-US"/>
        </w:rPr>
        <w:t>(1) The costs of invoices, which are issued in accordance with the final payment notifications submitted by EPİAŞ, shall be paid by TEİAŞ to legal entities providing ancillary services within fifteen business days following the notification date of the invoice.</w:t>
      </w:r>
    </w:p>
    <w:p w14:paraId="19DA896F" w14:textId="77777777" w:rsidR="00171C59" w:rsidRPr="009E1B38" w:rsidRDefault="00171C59" w:rsidP="00171C59">
      <w:pPr>
        <w:pStyle w:val="P68B1DB1-Normal7"/>
        <w:ind w:left="709"/>
        <w:jc w:val="left"/>
        <w:rPr>
          <w:lang w:val="en-US"/>
        </w:rPr>
      </w:pPr>
      <w:r w:rsidRPr="009E1B38">
        <w:rPr>
          <w:lang w:val="en-US"/>
        </w:rPr>
        <w:t>(2) The costs of the non-fulfillment invoices issued by TEİAŞ in accordance with the final payment notifications, shall be paid to TEİAŞ by the relevant market participant and/or legal entities providing ancillary service within fifteen business days following the notification date of the invoice.</w:t>
      </w:r>
    </w:p>
    <w:p w14:paraId="6FD71EEB" w14:textId="77777777" w:rsidR="00171C59" w:rsidRPr="009E1B38" w:rsidRDefault="00171C59" w:rsidP="00171C59">
      <w:pPr>
        <w:pStyle w:val="P68B1DB1-Normal7"/>
        <w:ind w:left="709"/>
        <w:jc w:val="left"/>
        <w:rPr>
          <w:lang w:val="en-US"/>
        </w:rPr>
      </w:pPr>
      <w:r w:rsidRPr="009E1B38">
        <w:rPr>
          <w:lang w:val="en-US"/>
        </w:rPr>
        <w:t>(3) TEİAŞ shall return the invoices that are not issued in accordance with the final payment notifications, within seven days from the notification date of the invoice by making objection. No payment shall be made for the returned invoice. The cost of the reissued invoice shall be paid by TEİAŞ within fifteen business days following the notification date of the reissued invoice.</w:t>
      </w:r>
    </w:p>
    <w:p w14:paraId="2ACA1508" w14:textId="15487E2B" w:rsidR="00171C59" w:rsidRPr="009E1B38" w:rsidRDefault="00171C59" w:rsidP="00171C59">
      <w:pPr>
        <w:pStyle w:val="P68B1DB1-Normal7"/>
        <w:ind w:left="709"/>
        <w:jc w:val="left"/>
        <w:rPr>
          <w:lang w:val="en-US"/>
        </w:rPr>
      </w:pPr>
      <w:r w:rsidRPr="009E1B38">
        <w:rPr>
          <w:lang w:val="en-US"/>
        </w:rPr>
        <w:t xml:space="preserve">(4) Legal entities providing ancillary services and market participants may submit a written objection to TEİAŞ for the invoices within seven days from the notification date of the invoice. The objection of legal entities providing ancillary services or market participants, to the invoices, shall not eliminate their payment obligations. TEİAŞ investigates the justification of the objection by examining the record information and settlement calculations according to the reason of the objection. </w:t>
      </w:r>
      <w:r w:rsidR="009E1B38" w:rsidRPr="009E1B38">
        <w:rPr>
          <w:lang w:val="en-US"/>
        </w:rPr>
        <w:t>Objections</w:t>
      </w:r>
      <w:r w:rsidRPr="009E1B38">
        <w:rPr>
          <w:lang w:val="en-US"/>
        </w:rPr>
        <w:t xml:space="preserve"> of error of fact shall be finalized immediately, and the objections of issues other than error of fact shall be finalized in 20 (twenty) working days by TEİAŞ. If the objection is justified and/or TEİAŞ detects an error without an objection, necessary correction shall be made. Disputes regarding the result reached by TEİAŞ shall be examined by the Authority if the legal entities providing ancillary services or market participants apply within 20 (twenty) business days following the date of notification of the result reached by TEİAŞ.</w:t>
      </w:r>
    </w:p>
    <w:p w14:paraId="2595B0E5" w14:textId="77777777" w:rsidR="00171C59" w:rsidRPr="009E1B38" w:rsidRDefault="00171C59" w:rsidP="00171C59">
      <w:pPr>
        <w:pStyle w:val="P68B1DB1-Normal7"/>
        <w:ind w:left="709"/>
        <w:jc w:val="left"/>
        <w:rPr>
          <w:lang w:val="en-US"/>
        </w:rPr>
      </w:pPr>
      <w:r w:rsidRPr="009E1B38">
        <w:rPr>
          <w:lang w:val="en-US"/>
        </w:rPr>
        <w:t>(5) In case the related parties do not pay the specified invoice amounts within the period specified in this article, default interest shall be applied to the invoice amounts not paid on time. This rate is the rate of late fee determined in accordance with article 51 of the Law on the Collection of Public Receivables no. 6183 dated 21/7/1953.</w:t>
      </w:r>
    </w:p>
    <w:p w14:paraId="7AB004A0" w14:textId="77777777" w:rsidR="00171C59" w:rsidRPr="009E1B38" w:rsidRDefault="00171C59" w:rsidP="00171C59">
      <w:pPr>
        <w:pStyle w:val="P68B1DB1-Normal7"/>
        <w:ind w:left="709"/>
        <w:jc w:val="left"/>
        <w:rPr>
          <w:lang w:val="en-US"/>
        </w:rPr>
      </w:pPr>
      <w:r w:rsidRPr="009E1B38">
        <w:rPr>
          <w:lang w:val="en-US"/>
        </w:rPr>
        <w:lastRenderedPageBreak/>
        <w:t>(6) In case the legal entities providing ancillary service or market participants do not pay the invoice amount within fifteen business days following the notification date of the invoice, the relevant party shall be deemed to be in default. Payments to be made by the party, which is in default, shall be deducted from the receivables of the relevant legal entity from TEİAŞ, without prejudice to legal remedies.</w:t>
      </w:r>
    </w:p>
    <w:p w14:paraId="4DAE5A3F"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 xml:space="preserve">Article 63 titled </w:t>
      </w:r>
      <w:r w:rsidRPr="009E1B38">
        <w:rPr>
          <w:i/>
          <w:lang w:val="en-US"/>
        </w:rPr>
        <w:t>"Correction procedures"</w:t>
      </w:r>
      <w:r w:rsidRPr="009E1B38">
        <w:rPr>
          <w:lang w:val="en-US"/>
        </w:rPr>
        <w:t xml:space="preserve"> has been amended as follows.</w:t>
      </w:r>
    </w:p>
    <w:p w14:paraId="34C900EC" w14:textId="77777777" w:rsidR="00171C59" w:rsidRPr="009E1B38" w:rsidRDefault="00171C59" w:rsidP="00171C59">
      <w:pPr>
        <w:pStyle w:val="P68B1DB1-Normal8"/>
        <w:ind w:left="709"/>
        <w:jc w:val="left"/>
        <w:rPr>
          <w:lang w:val="en-US"/>
        </w:rPr>
      </w:pPr>
      <w:r w:rsidRPr="009E1B38">
        <w:rPr>
          <w:lang w:val="en-US"/>
        </w:rPr>
        <w:t>“ARTICLE 63</w:t>
      </w:r>
    </w:p>
    <w:p w14:paraId="1E353601" w14:textId="77777777" w:rsidR="00171C59" w:rsidRPr="009E1B38" w:rsidRDefault="00171C59" w:rsidP="00171C59">
      <w:pPr>
        <w:pStyle w:val="P68B1DB1-Normal7"/>
        <w:ind w:left="709"/>
        <w:jc w:val="left"/>
        <w:rPr>
          <w:lang w:val="en-US"/>
        </w:rPr>
      </w:pPr>
      <w:r w:rsidRPr="009E1B38">
        <w:rPr>
          <w:lang w:val="en-US"/>
        </w:rPr>
        <w:t>(1) Objections to errors that cannot be detected within the period specified in Article 60 regarding the ancillary services provided in the previous invoice period, shall be made to the relevant party in writing within 6 (six) months following the invoice period. EPİAŞ shall make the necessary corrections in case the objections of the legal entities regarding the payment notifications is found justified as a result of the evaluation made by EPİAŞ or TEİAŞ. Following the finalization of the objection, EPİAŞ shall notify the legal entity, carrying out the relevant ancillary service activity, through the system. As a result of the correction, the payment, that must be made to the legal entity or entities or to be made by the legal entity or entities, shall be included as a retrospective correction item in the payment notification following the written notification of the correction.</w:t>
      </w:r>
    </w:p>
    <w:p w14:paraId="7A6576C9"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The following article has been added after the Article 63.</w:t>
      </w:r>
    </w:p>
    <w:p w14:paraId="218B0697" w14:textId="77777777" w:rsidR="00171C59" w:rsidRPr="009E1B38" w:rsidRDefault="00171C59" w:rsidP="00171C59">
      <w:pPr>
        <w:pStyle w:val="P68B1DB1-Normal8"/>
        <w:ind w:left="709"/>
        <w:jc w:val="left"/>
        <w:rPr>
          <w:lang w:val="en-US"/>
        </w:rPr>
      </w:pPr>
      <w:r w:rsidRPr="009E1B38">
        <w:rPr>
          <w:lang w:val="en-US"/>
        </w:rPr>
        <w:t>“False notification or transactions</w:t>
      </w:r>
    </w:p>
    <w:p w14:paraId="6D889536" w14:textId="77777777" w:rsidR="00171C59" w:rsidRPr="009E1B38" w:rsidRDefault="00171C59" w:rsidP="00171C59">
      <w:pPr>
        <w:pStyle w:val="P68B1DB1-Normal8"/>
        <w:ind w:left="709"/>
        <w:jc w:val="left"/>
        <w:rPr>
          <w:lang w:val="en-US"/>
        </w:rPr>
      </w:pPr>
      <w:r w:rsidRPr="009E1B38">
        <w:rPr>
          <w:lang w:val="en-US"/>
        </w:rPr>
        <w:t>ARTICLE 63/A</w:t>
      </w:r>
    </w:p>
    <w:p w14:paraId="2BD127F6" w14:textId="77777777" w:rsidR="00171C59" w:rsidRPr="009E1B38" w:rsidRDefault="00171C59" w:rsidP="00171C59">
      <w:pPr>
        <w:pStyle w:val="P68B1DB1-Normal7"/>
        <w:ind w:left="709"/>
        <w:jc w:val="left"/>
        <w:rPr>
          <w:lang w:val="en-US"/>
        </w:rPr>
      </w:pPr>
      <w:r w:rsidRPr="009E1B38">
        <w:rPr>
          <w:lang w:val="en-US"/>
        </w:rPr>
        <w:t>(1) In the event it is determined that an ancillary services market participant legal entity has made a false notification or transaction regarding the service through an ancillary service unit registered in its name and/or has provided misleading information or document, the ancillary service certificate and/or performance test report of the said ancillary service unit may be suspended and/or service procurement from the relevant ancillary service unit may be temporarily stopped by TEİAŞ. Without prejudice to the rights of TEİAŞ arising from the agreement regarding the relevant ancillary service, in case of detection of the situation specified in the first sentence, TEİAŞ shall apply to the Authority within 15 (fifteen) business days with the evidentiary information and documents to initiate the procedure against the relevant legal entity."</w:t>
      </w:r>
    </w:p>
    <w:p w14:paraId="11F6DF36" w14:textId="40A54609"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Article 64 titled "</w:t>
      </w:r>
      <w:r w:rsidRPr="009E1B38">
        <w:rPr>
          <w:i/>
          <w:lang w:val="en-US"/>
        </w:rPr>
        <w:t xml:space="preserve">Anti-competitive actions and </w:t>
      </w:r>
      <w:r w:rsidR="009E1B38" w:rsidRPr="009E1B38">
        <w:rPr>
          <w:i/>
          <w:lang w:val="en-US"/>
        </w:rPr>
        <w:t>transactions</w:t>
      </w:r>
      <w:r w:rsidR="009E1B38" w:rsidRPr="009E1B38">
        <w:rPr>
          <w:lang w:val="en-US"/>
        </w:rPr>
        <w:t>”</w:t>
      </w:r>
      <w:r w:rsidRPr="009E1B38">
        <w:rPr>
          <w:lang w:val="en-US"/>
        </w:rPr>
        <w:t xml:space="preserve"> has been amended as follows.</w:t>
      </w:r>
    </w:p>
    <w:p w14:paraId="46DDE219" w14:textId="77777777" w:rsidR="00171C59" w:rsidRPr="009E1B38" w:rsidRDefault="00171C59" w:rsidP="00171C59">
      <w:pPr>
        <w:pStyle w:val="P68B1DB1-Normal8"/>
        <w:ind w:left="709"/>
        <w:jc w:val="left"/>
        <w:rPr>
          <w:lang w:val="en-US"/>
        </w:rPr>
      </w:pPr>
      <w:r w:rsidRPr="009E1B38">
        <w:rPr>
          <w:lang w:val="en-US"/>
        </w:rPr>
        <w:t>“ARTICLE 64</w:t>
      </w:r>
    </w:p>
    <w:p w14:paraId="4937BDDC" w14:textId="77777777" w:rsidR="00171C59" w:rsidRPr="009E1B38" w:rsidRDefault="00171C59" w:rsidP="00171C59">
      <w:pPr>
        <w:pStyle w:val="P68B1DB1-Normal7"/>
        <w:ind w:left="709"/>
        <w:jc w:val="left"/>
        <w:rPr>
          <w:lang w:val="en-US"/>
        </w:rPr>
      </w:pPr>
      <w:r w:rsidRPr="009E1B38">
        <w:rPr>
          <w:lang w:val="en-US"/>
        </w:rPr>
        <w:t>(1) Initiatives to conduct an investigation by the Competition Authority regarding legal entities suspected of engaging in anti-competitive actions and transactions within the scope of this Regulation, shall be launched either when TEİAŞ prepares a report on the abuse of the dominant position and submits it to the Authority, or directly by the Authority.</w:t>
      </w:r>
    </w:p>
    <w:p w14:paraId="7A7B8685" w14:textId="77777777" w:rsidR="00171C59" w:rsidRPr="009E1B38" w:rsidRDefault="00171C59" w:rsidP="00171C59">
      <w:pPr>
        <w:pStyle w:val="P68B1DB1-Normal7"/>
        <w:ind w:left="709"/>
        <w:jc w:val="left"/>
        <w:rPr>
          <w:lang w:val="en-US"/>
        </w:rPr>
      </w:pPr>
      <w:r w:rsidRPr="009E1B38">
        <w:rPr>
          <w:lang w:val="en-US"/>
        </w:rPr>
        <w:t>(2) The ancillary service units, registered in the names of ancillary service market participants, which are determined by the Competition Authority to be involved in anti-competitive activities and operations, shall be obliged to join the relevant ancillary service procurement tender, and the maximum price limits to be applied to bids of the aforementioned ancillary service units may be regulated for a maximum of 1 (one) year with the decision of the Board, on the basis of ancillary service unit. The procedures and principles regarding the relevant regulation shall enter into force with the Board's approval."</w:t>
      </w:r>
    </w:p>
    <w:p w14:paraId="6FE4A834"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lastRenderedPageBreak/>
        <w:t xml:space="preserve">Article 66 titled </w:t>
      </w:r>
      <w:r w:rsidRPr="009E1B38">
        <w:rPr>
          <w:i/>
          <w:lang w:val="en-US"/>
        </w:rPr>
        <w:t>"Confidentiality"</w:t>
      </w:r>
      <w:r w:rsidRPr="009E1B38">
        <w:rPr>
          <w:lang w:val="en-US"/>
        </w:rPr>
        <w:t xml:space="preserve"> has been amended as follows.</w:t>
      </w:r>
    </w:p>
    <w:p w14:paraId="3215D7E4" w14:textId="77777777" w:rsidR="00171C59" w:rsidRPr="009E1B38" w:rsidRDefault="00171C59" w:rsidP="00171C59">
      <w:pPr>
        <w:pStyle w:val="P68B1DB1-Normal8"/>
        <w:ind w:left="709"/>
        <w:jc w:val="left"/>
        <w:rPr>
          <w:lang w:val="en-US"/>
        </w:rPr>
      </w:pPr>
      <w:r w:rsidRPr="009E1B38">
        <w:rPr>
          <w:lang w:val="en-US"/>
        </w:rPr>
        <w:t>“ARTICLE 66</w:t>
      </w:r>
    </w:p>
    <w:p w14:paraId="0B080931" w14:textId="77777777" w:rsidR="00171C59" w:rsidRPr="009E1B38" w:rsidRDefault="00171C59" w:rsidP="00171C59">
      <w:pPr>
        <w:pStyle w:val="P68B1DB1-Normal7"/>
        <w:ind w:left="709"/>
        <w:jc w:val="left"/>
        <w:rPr>
          <w:lang w:val="en-US"/>
        </w:rPr>
      </w:pPr>
      <w:r w:rsidRPr="009E1B38">
        <w:rPr>
          <w:lang w:val="en-US"/>
        </w:rPr>
        <w:t>(1) Within the framework of the provisions of this Regulation, TEİAŞ shall be responsible for taking the necessary measures in order to keep the information and documents provided by the relevant legal entities confidential."</w:t>
      </w:r>
    </w:p>
    <w:p w14:paraId="4E555B97"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Provisional Article 1 and its title has been amended as follows.</w:t>
      </w:r>
    </w:p>
    <w:p w14:paraId="3BA791F0" w14:textId="77777777" w:rsidR="00171C59" w:rsidRPr="009E1B38" w:rsidRDefault="00171C59" w:rsidP="00171C59">
      <w:pPr>
        <w:pStyle w:val="P68B1DB1-Normal8"/>
        <w:ind w:left="709"/>
        <w:jc w:val="left"/>
        <w:rPr>
          <w:lang w:val="en-US"/>
        </w:rPr>
      </w:pPr>
      <w:r w:rsidRPr="009E1B38">
        <w:rPr>
          <w:lang w:val="en-US"/>
        </w:rPr>
        <w:t>"Ancillary services obligations related to EÜAŞ</w:t>
      </w:r>
    </w:p>
    <w:p w14:paraId="2696751D" w14:textId="77777777" w:rsidR="00171C59" w:rsidRPr="009E1B38" w:rsidRDefault="00171C59" w:rsidP="00171C59">
      <w:pPr>
        <w:pStyle w:val="P68B1DB1-Normal8"/>
        <w:ind w:left="709"/>
        <w:jc w:val="left"/>
        <w:rPr>
          <w:lang w:val="en-US"/>
        </w:rPr>
      </w:pPr>
      <w:r w:rsidRPr="009E1B38">
        <w:rPr>
          <w:lang w:val="en-US"/>
        </w:rPr>
        <w:t>PROVISIONAL ARTICLE 1</w:t>
      </w:r>
    </w:p>
    <w:p w14:paraId="7517939A" w14:textId="77777777" w:rsidR="00171C59" w:rsidRPr="009E1B38" w:rsidRDefault="00171C59" w:rsidP="00171C59">
      <w:pPr>
        <w:pStyle w:val="P68B1DB1-Normal7"/>
        <w:ind w:left="709"/>
        <w:jc w:val="left"/>
        <w:rPr>
          <w:lang w:val="en-US"/>
        </w:rPr>
      </w:pPr>
      <w:r w:rsidRPr="009E1B38">
        <w:rPr>
          <w:lang w:val="en-US"/>
        </w:rPr>
        <w:t>(1) Generation plants, that sell electrical energy to EÜAŞ within the scope of Build Operate, Build Operate Transfer and Transfer of Operating Rights models and their existing contracts, including those that are licensed in accordance with the Provisional Article 12 of the Law, shall be covered within the scope of participation or ancillary service contract to be made with EÜAŞ.</w:t>
      </w:r>
    </w:p>
    <w:p w14:paraId="24867262" w14:textId="77777777" w:rsidR="00171C59" w:rsidRPr="009E1B38" w:rsidRDefault="00171C59" w:rsidP="00171C59">
      <w:pPr>
        <w:pStyle w:val="P68B1DB1-Normal7"/>
        <w:ind w:left="709"/>
        <w:jc w:val="left"/>
        <w:rPr>
          <w:lang w:val="en-US"/>
        </w:rPr>
      </w:pPr>
      <w:r w:rsidRPr="009E1B38">
        <w:rPr>
          <w:lang w:val="en-US"/>
        </w:rPr>
        <w:t>(2) Regarding the participation of generation plants in this scope to the ancillary services, the rights and obligations of the fulfillment of activities and transactions, regulated by this Regulation, shall belong to EÜAŞ.</w:t>
      </w:r>
    </w:p>
    <w:p w14:paraId="54DEE1C2" w14:textId="77777777" w:rsidR="00171C59" w:rsidRPr="009E1B38" w:rsidRDefault="00171C59" w:rsidP="00171C59">
      <w:pPr>
        <w:pStyle w:val="P68B1DB1-Normal7"/>
        <w:ind w:left="709"/>
        <w:jc w:val="left"/>
        <w:rPr>
          <w:lang w:val="en-US"/>
        </w:rPr>
      </w:pPr>
      <w:r w:rsidRPr="009E1B38">
        <w:rPr>
          <w:lang w:val="en-US"/>
        </w:rPr>
        <w:t>(3) Receivables and payables related to the said generation plants due to the provision of ancillary service, shall be accrued to EÜAŞ.</w:t>
      </w:r>
    </w:p>
    <w:p w14:paraId="0587A63F" w14:textId="77777777" w:rsidR="00171C59" w:rsidRPr="009E1B38" w:rsidRDefault="00171C59" w:rsidP="00171C59">
      <w:pPr>
        <w:pStyle w:val="P68B1DB1-Normal7"/>
        <w:ind w:left="709"/>
        <w:jc w:val="left"/>
        <w:rPr>
          <w:lang w:val="en-US"/>
        </w:rPr>
      </w:pPr>
      <w:r w:rsidRPr="009E1B38">
        <w:rPr>
          <w:lang w:val="en-US"/>
        </w:rPr>
        <w:t>(4) The obligation of the generation plants, that sell electrical energy to EÜAŞ with the Build-Operate, Build-Operate Transfer and Transfer of Operating Rights models, to provide ancillary services to EÜAŞ, shall be in accordance with the signed Energy Sales Agreements.</w:t>
      </w:r>
    </w:p>
    <w:p w14:paraId="40017F66" w14:textId="77777777" w:rsidR="00171C59" w:rsidRPr="009E1B38" w:rsidRDefault="00171C59" w:rsidP="00171C59">
      <w:pPr>
        <w:pStyle w:val="P68B1DB1-Normal7"/>
        <w:ind w:left="709"/>
        <w:jc w:val="left"/>
        <w:rPr>
          <w:lang w:val="en-US"/>
        </w:rPr>
      </w:pPr>
      <w:r w:rsidRPr="009E1B38">
        <w:rPr>
          <w:lang w:val="en-US"/>
        </w:rPr>
        <w:t>(5) Due to the generation plants that sell electrical energy to EÜAŞ with Build-Operate, Build Operate Transfer and Transfer of Operating Rights models, power factor limits that EÜAŞ is obliged to provide shall be in accordance with the signed Energy Sales Agreement."</w:t>
      </w:r>
    </w:p>
    <w:p w14:paraId="148154F5"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Provisional Article 2 and Provisional Article 3 have been repealed.</w:t>
      </w:r>
    </w:p>
    <w:p w14:paraId="40A4F9DE" w14:textId="77777777" w:rsidR="00171C59" w:rsidRPr="009E1B38" w:rsidRDefault="00171C59" w:rsidP="00171C59">
      <w:pPr>
        <w:pStyle w:val="ListeParagraf"/>
        <w:ind w:left="709"/>
        <w:jc w:val="left"/>
        <w:rPr>
          <w:rFonts w:ascii="Times New Roman" w:hAnsi="Times New Roman"/>
        </w:rPr>
      </w:pPr>
    </w:p>
    <w:p w14:paraId="1412A2B3" w14:textId="77777777" w:rsidR="00171C59" w:rsidRPr="009E1B38" w:rsidRDefault="00171C59" w:rsidP="003C5E4D">
      <w:pPr>
        <w:pStyle w:val="P68B1DB1-ListeParagraf5"/>
        <w:numPr>
          <w:ilvl w:val="0"/>
          <w:numId w:val="18"/>
        </w:numPr>
        <w:spacing w:after="160" w:line="259" w:lineRule="auto"/>
        <w:ind w:left="709" w:firstLine="0"/>
        <w:jc w:val="left"/>
        <w:rPr>
          <w:lang w:val="en-US"/>
        </w:rPr>
      </w:pPr>
      <w:r w:rsidRPr="009E1B38">
        <w:rPr>
          <w:lang w:val="en-US"/>
        </w:rPr>
        <w:t>The following provisional articles have been added to the same Regulation.</w:t>
      </w:r>
    </w:p>
    <w:p w14:paraId="29F879D5" w14:textId="1C25E5C9" w:rsidR="00171C59" w:rsidRPr="009E1B38" w:rsidRDefault="00171C59" w:rsidP="00171C59">
      <w:pPr>
        <w:pStyle w:val="P68B1DB1-Normal8"/>
        <w:ind w:left="709"/>
        <w:jc w:val="left"/>
        <w:rPr>
          <w:lang w:val="en-US"/>
        </w:rPr>
      </w:pPr>
      <w:r w:rsidRPr="009E1B38">
        <w:rPr>
          <w:lang w:val="en-US"/>
        </w:rPr>
        <w:t xml:space="preserve">“Establishment of the </w:t>
      </w:r>
      <w:r w:rsidR="0082470D" w:rsidRPr="009E1B38">
        <w:rPr>
          <w:lang w:val="en-US"/>
        </w:rPr>
        <w:t>Liability transfer platform</w:t>
      </w:r>
    </w:p>
    <w:p w14:paraId="3C669AD3" w14:textId="77777777" w:rsidR="00171C59" w:rsidRPr="009E1B38" w:rsidRDefault="00171C59" w:rsidP="00171C59">
      <w:pPr>
        <w:pStyle w:val="P68B1DB1-Normal8"/>
        <w:ind w:left="709"/>
        <w:jc w:val="left"/>
        <w:rPr>
          <w:lang w:val="en-US"/>
        </w:rPr>
      </w:pPr>
      <w:r w:rsidRPr="009E1B38">
        <w:rPr>
          <w:lang w:val="en-US"/>
        </w:rPr>
        <w:t>PROVISIONAL ARTICLE 4</w:t>
      </w:r>
    </w:p>
    <w:p w14:paraId="474E5E34" w14:textId="47356812" w:rsidR="00171C59" w:rsidRPr="009E1B38" w:rsidRDefault="00171C59" w:rsidP="00171C59">
      <w:pPr>
        <w:pStyle w:val="P68B1DB1-Normal7"/>
        <w:ind w:left="709"/>
        <w:jc w:val="left"/>
        <w:rPr>
          <w:lang w:val="en-US"/>
        </w:rPr>
      </w:pPr>
      <w:r w:rsidRPr="009E1B38">
        <w:rPr>
          <w:lang w:val="en-US"/>
        </w:rPr>
        <w:t xml:space="preserve">(1) The software and installation stages of the </w:t>
      </w:r>
      <w:r w:rsidR="0082470D" w:rsidRPr="009E1B38">
        <w:rPr>
          <w:lang w:val="en-US"/>
        </w:rPr>
        <w:t>liability transfer platform</w:t>
      </w:r>
      <w:r w:rsidRPr="009E1B38">
        <w:rPr>
          <w:lang w:val="en-US"/>
        </w:rPr>
        <w:t xml:space="preserve"> to be established within the scope of ASMMS for frequency control services, shall be completed and put into use by TEİAŞ within 10 (ten) months as of the effective date of this article at the latest.</w:t>
      </w:r>
    </w:p>
    <w:p w14:paraId="2480CAA8" w14:textId="2E2014D3" w:rsidR="00171C59" w:rsidRPr="009E1B38" w:rsidRDefault="00171C59" w:rsidP="00171C59">
      <w:pPr>
        <w:pStyle w:val="P68B1DB1-Normal7"/>
        <w:ind w:left="709"/>
        <w:jc w:val="left"/>
        <w:rPr>
          <w:lang w:val="en-US"/>
        </w:rPr>
      </w:pPr>
      <w:r w:rsidRPr="009E1B38">
        <w:rPr>
          <w:lang w:val="en-US"/>
        </w:rPr>
        <w:t xml:space="preserve">(2) Procedures and Principles Regarding the Operation of the </w:t>
      </w:r>
      <w:r w:rsidR="0082470D" w:rsidRPr="009E1B38">
        <w:rPr>
          <w:lang w:val="en-US"/>
        </w:rPr>
        <w:t>Liability transfer platform</w:t>
      </w:r>
      <w:r w:rsidRPr="009E1B38">
        <w:rPr>
          <w:lang w:val="en-US"/>
        </w:rPr>
        <w:t xml:space="preserve"> shall be prepared by TEİAŞ within 6 (six) months as of the effective date of this article in order to publish it at least 1 (one) month before the launch of the platform, and shall be submitted to the Authority for the approval of the Board.</w:t>
      </w:r>
    </w:p>
    <w:p w14:paraId="7BEB59BB" w14:textId="77777777" w:rsidR="00171C59" w:rsidRPr="009E1B38" w:rsidRDefault="00171C59" w:rsidP="00171C59">
      <w:pPr>
        <w:pStyle w:val="P68B1DB1-Normal8"/>
        <w:ind w:left="709"/>
        <w:jc w:val="left"/>
        <w:rPr>
          <w:lang w:val="en-US"/>
        </w:rPr>
      </w:pPr>
      <w:r w:rsidRPr="009E1B38">
        <w:rPr>
          <w:lang w:val="en-US"/>
        </w:rPr>
        <w:t>Procurement of service and procedures and principles related to demand side reserve service</w:t>
      </w:r>
    </w:p>
    <w:p w14:paraId="0EDE5ED0" w14:textId="77777777" w:rsidR="00171C59" w:rsidRPr="009E1B38" w:rsidRDefault="00171C59" w:rsidP="00171C59">
      <w:pPr>
        <w:pStyle w:val="P68B1DB1-Normal8"/>
        <w:ind w:left="709"/>
        <w:jc w:val="left"/>
        <w:rPr>
          <w:lang w:val="en-US"/>
        </w:rPr>
      </w:pPr>
      <w:r w:rsidRPr="009E1B38">
        <w:rPr>
          <w:lang w:val="en-US"/>
        </w:rPr>
        <w:lastRenderedPageBreak/>
        <w:t>PROVISIONAL ARTICLE 5</w:t>
      </w:r>
    </w:p>
    <w:p w14:paraId="03E7F90E" w14:textId="77777777" w:rsidR="00171C59" w:rsidRPr="009E1B38" w:rsidRDefault="00171C59" w:rsidP="00171C59">
      <w:pPr>
        <w:pStyle w:val="P68B1DB1-Normal7"/>
        <w:ind w:left="709"/>
        <w:jc w:val="left"/>
        <w:rPr>
          <w:lang w:val="en-US"/>
        </w:rPr>
      </w:pPr>
      <w:r w:rsidRPr="009E1B38">
        <w:rPr>
          <w:lang w:val="en-US"/>
        </w:rPr>
        <w:t>(1) As of the effective date of this article; the annual minimum energy consumption amount for the consumption plants, that can provide demand side reserve service, shall be 10,000,000 (ten million) kWh.</w:t>
      </w:r>
    </w:p>
    <w:p w14:paraId="754A36FE" w14:textId="77777777" w:rsidR="00171C59" w:rsidRPr="009E1B38" w:rsidRDefault="00171C59" w:rsidP="00171C59">
      <w:pPr>
        <w:pStyle w:val="P68B1DB1-Normal7"/>
        <w:ind w:left="709"/>
        <w:jc w:val="left"/>
        <w:rPr>
          <w:lang w:val="en-US"/>
        </w:rPr>
      </w:pPr>
      <w:r w:rsidRPr="009E1B38">
        <w:rPr>
          <w:lang w:val="en-US"/>
        </w:rPr>
        <w:t>(2) Procedures and Principles Regarding the Certification of Consumption Plants within the scope of demand-side reserve service and Procedures and Principles Regarding the Determination of Basic Consumption Value for consumption plants that will participate in the demand-side reserve service shall be prepared by TEİAŞ and submitted to the Board for approval within 6 (six) months from the effective date of this article.</w:t>
      </w:r>
    </w:p>
    <w:p w14:paraId="3B2CB538" w14:textId="77777777" w:rsidR="00171C59" w:rsidRPr="009E1B38" w:rsidRDefault="00171C59" w:rsidP="00171C59">
      <w:pPr>
        <w:pStyle w:val="P68B1DB1-Normal8"/>
        <w:ind w:left="709"/>
        <w:jc w:val="left"/>
        <w:rPr>
          <w:lang w:val="en-US"/>
        </w:rPr>
      </w:pPr>
      <w:r w:rsidRPr="009E1B38">
        <w:rPr>
          <w:lang w:val="en-US"/>
        </w:rPr>
        <w:t>Submission of ancillary service agreements to the Board for approval</w:t>
      </w:r>
    </w:p>
    <w:p w14:paraId="3D31046E" w14:textId="77777777" w:rsidR="00171C59" w:rsidRPr="009E1B38" w:rsidRDefault="00171C59" w:rsidP="00171C59">
      <w:pPr>
        <w:pStyle w:val="P68B1DB1-Normal8"/>
        <w:ind w:left="709"/>
        <w:jc w:val="left"/>
        <w:rPr>
          <w:lang w:val="en-US"/>
        </w:rPr>
      </w:pPr>
      <w:r w:rsidRPr="009E1B38">
        <w:rPr>
          <w:lang w:val="en-US"/>
        </w:rPr>
        <w:t>PROVISIONAL ARTICLE 6</w:t>
      </w:r>
    </w:p>
    <w:p w14:paraId="1C83B6B2" w14:textId="77777777" w:rsidR="00171C59" w:rsidRPr="009E1B38" w:rsidRDefault="00171C59" w:rsidP="00171C59">
      <w:pPr>
        <w:pStyle w:val="P68B1DB1-Normal7"/>
        <w:ind w:left="709"/>
        <w:jc w:val="left"/>
        <w:rPr>
          <w:lang w:val="en-US"/>
        </w:rPr>
      </w:pPr>
      <w:r w:rsidRPr="009E1B38">
        <w:rPr>
          <w:lang w:val="en-US"/>
        </w:rPr>
        <w:t>(1) Standard ancillary service agreements regarding demand side reserve, regional capacity leasing, instant demand control and black start services shall be prepared by TEİAŞ within 3 (three) months from the effective date of this article and submitted to the Authority for the approval of the Board."</w:t>
      </w:r>
    </w:p>
    <w:p w14:paraId="04049020" w14:textId="77777777" w:rsidR="00171C59" w:rsidRPr="009E1B38" w:rsidRDefault="00171C59" w:rsidP="00171C59">
      <w:pPr>
        <w:pStyle w:val="ListeParagraf"/>
        <w:shd w:val="clear" w:color="auto" w:fill="FFFFFF"/>
        <w:spacing w:after="0" w:line="240" w:lineRule="auto"/>
        <w:ind w:left="709"/>
        <w:jc w:val="left"/>
        <w:rPr>
          <w:rFonts w:ascii="Times New Roman" w:hAnsi="Times New Roman"/>
          <w:i/>
        </w:rPr>
      </w:pPr>
    </w:p>
    <w:p w14:paraId="3E19DDB6" w14:textId="77777777" w:rsidR="00171C59" w:rsidRPr="009E1B38" w:rsidRDefault="00171C59" w:rsidP="003C5E4D">
      <w:pPr>
        <w:pStyle w:val="P68B1DB1-Normal2"/>
        <w:numPr>
          <w:ilvl w:val="0"/>
          <w:numId w:val="16"/>
        </w:numPr>
        <w:spacing w:after="160" w:line="259" w:lineRule="auto"/>
        <w:ind w:left="709" w:firstLine="0"/>
        <w:contextualSpacing/>
        <w:jc w:val="left"/>
        <w:rPr>
          <w:b/>
          <w:lang w:val="en-US"/>
        </w:rPr>
      </w:pPr>
      <w:r w:rsidRPr="009E1B38">
        <w:rPr>
          <w:lang w:val="en-US"/>
        </w:rPr>
        <w:t xml:space="preserve">In the Amending Regulation and Regulation on </w:t>
      </w:r>
      <w:r w:rsidRPr="009E1B38">
        <w:rPr>
          <w:b/>
          <w:lang w:val="en-US"/>
        </w:rPr>
        <w:t>Electricity Market Consumer Services</w:t>
      </w:r>
      <w:r w:rsidRPr="009E1B38">
        <w:rPr>
          <w:lang w:val="en-US"/>
        </w:rPr>
        <w:t>, published in the Official Gazette dated 20.02.2021 and numbered 31401,</w:t>
      </w:r>
    </w:p>
    <w:p w14:paraId="015B70E7" w14:textId="77777777" w:rsidR="00171C59" w:rsidRPr="009E1B38" w:rsidRDefault="00171C59" w:rsidP="00171C59">
      <w:pPr>
        <w:ind w:left="709"/>
        <w:contextualSpacing/>
        <w:jc w:val="left"/>
        <w:rPr>
          <w:rFonts w:ascii="Times New Roman" w:hAnsi="Times New Roman"/>
          <w:b/>
        </w:rPr>
      </w:pPr>
    </w:p>
    <w:p w14:paraId="2C0702F8" w14:textId="77777777" w:rsidR="00171C59" w:rsidRPr="009E1B38" w:rsidRDefault="00171C59" w:rsidP="003C5E4D">
      <w:pPr>
        <w:pStyle w:val="P68B1DB1-Normal2"/>
        <w:numPr>
          <w:ilvl w:val="0"/>
          <w:numId w:val="19"/>
        </w:numPr>
        <w:spacing w:after="160" w:line="259" w:lineRule="auto"/>
        <w:ind w:left="709" w:firstLine="0"/>
        <w:contextualSpacing/>
        <w:jc w:val="left"/>
        <w:rPr>
          <w:b/>
          <w:lang w:val="en-US"/>
        </w:rPr>
      </w:pPr>
      <w:r w:rsidRPr="009E1B38">
        <w:rPr>
          <w:lang w:val="en-US"/>
        </w:rPr>
        <w:t xml:space="preserve">The clause (ğ) of the first paragraph of Article 4 </w:t>
      </w:r>
      <w:r w:rsidRPr="009E1B38">
        <w:rPr>
          <w:i/>
          <w:lang w:val="en-US"/>
        </w:rPr>
        <w:t>titled "Definitions and Abbreviations"</w:t>
      </w:r>
      <w:r w:rsidRPr="009E1B38">
        <w:rPr>
          <w:lang w:val="en-US"/>
        </w:rPr>
        <w:t xml:space="preserve"> has been amended as follows, the phrase "Presidential decree, Presidential decision" has been added after the phrase "law" in clause (l) and the following clause has been added to the same paragraph.</w:t>
      </w:r>
    </w:p>
    <w:p w14:paraId="2409AEA7" w14:textId="77777777" w:rsidR="00171C59" w:rsidRPr="009E1B38" w:rsidRDefault="00171C59" w:rsidP="00171C59">
      <w:pPr>
        <w:ind w:left="709"/>
        <w:contextualSpacing/>
        <w:jc w:val="left"/>
        <w:rPr>
          <w:rFonts w:ascii="Times New Roman" w:hAnsi="Times New Roman"/>
          <w:b/>
        </w:rPr>
      </w:pPr>
    </w:p>
    <w:p w14:paraId="227DF162" w14:textId="77777777" w:rsidR="00171C59" w:rsidRPr="009E1B38" w:rsidRDefault="00171C59" w:rsidP="00171C59">
      <w:pPr>
        <w:pStyle w:val="P68B1DB1-Normal7"/>
        <w:spacing w:after="0"/>
        <w:ind w:left="709"/>
        <w:jc w:val="left"/>
        <w:rPr>
          <w:lang w:val="en-US"/>
        </w:rPr>
      </w:pPr>
      <w:r w:rsidRPr="009E1B38">
        <w:rPr>
          <w:lang w:val="en-US"/>
        </w:rPr>
        <w:t>“ğ) DBS: Direct Debit System,”</w:t>
      </w:r>
    </w:p>
    <w:p w14:paraId="54A1FAFA" w14:textId="77777777" w:rsidR="00171C59" w:rsidRPr="009E1B38" w:rsidRDefault="00171C59" w:rsidP="00171C59">
      <w:pPr>
        <w:pStyle w:val="P68B1DB1-Normal7"/>
        <w:ind w:left="709"/>
        <w:jc w:val="left"/>
        <w:rPr>
          <w:lang w:val="en-US"/>
        </w:rPr>
      </w:pPr>
      <w:r w:rsidRPr="009E1B38">
        <w:rPr>
          <w:lang w:val="en-US"/>
        </w:rPr>
        <w:t>"mm) Periodic use: Consumption in places of use where there is no consumption for consecutively six months or more during the year in the reading region, and consumption for agricultural irrigation purposes,"</w:t>
      </w:r>
    </w:p>
    <w:p w14:paraId="65263E1E" w14:textId="77777777" w:rsidR="00171C59" w:rsidRPr="009E1B38" w:rsidRDefault="00171C59" w:rsidP="003C5E4D">
      <w:pPr>
        <w:pStyle w:val="P68B1DB1-Normal2"/>
        <w:numPr>
          <w:ilvl w:val="0"/>
          <w:numId w:val="19"/>
        </w:numPr>
        <w:spacing w:after="160" w:line="259" w:lineRule="auto"/>
        <w:ind w:left="709" w:firstLine="0"/>
        <w:contextualSpacing/>
        <w:jc w:val="left"/>
        <w:rPr>
          <w:lang w:val="en-US"/>
        </w:rPr>
      </w:pPr>
      <w:r w:rsidRPr="009E1B38">
        <w:rPr>
          <w:lang w:val="en-US"/>
        </w:rPr>
        <w:t xml:space="preserve">The following paragraph has been added to Article 6 </w:t>
      </w:r>
      <w:r w:rsidRPr="009E1B38">
        <w:rPr>
          <w:i/>
          <w:lang w:val="en-US"/>
        </w:rPr>
        <w:t>titled "Scope of eligible consumer and electricity supply"</w:t>
      </w:r>
      <w:r w:rsidRPr="009E1B38">
        <w:rPr>
          <w:lang w:val="en-US"/>
        </w:rPr>
        <w:t>.</w:t>
      </w:r>
    </w:p>
    <w:p w14:paraId="0729FFA3" w14:textId="77777777" w:rsidR="00171C59" w:rsidRPr="009E1B38" w:rsidRDefault="00171C59" w:rsidP="00171C59">
      <w:pPr>
        <w:ind w:left="709"/>
        <w:contextualSpacing/>
        <w:jc w:val="left"/>
        <w:rPr>
          <w:rFonts w:ascii="Times New Roman" w:hAnsi="Times New Roman"/>
        </w:rPr>
      </w:pPr>
    </w:p>
    <w:p w14:paraId="7140B18E" w14:textId="77777777" w:rsidR="00171C59" w:rsidRPr="009E1B38" w:rsidRDefault="00171C59" w:rsidP="00171C59">
      <w:pPr>
        <w:pStyle w:val="P68B1DB1-Normal7"/>
        <w:spacing w:before="240"/>
        <w:ind w:left="709"/>
        <w:jc w:val="left"/>
        <w:rPr>
          <w:lang w:val="en-US"/>
        </w:rPr>
      </w:pPr>
      <w:r w:rsidRPr="009E1B38">
        <w:rPr>
          <w:lang w:val="en-US"/>
        </w:rPr>
        <w:t>“(7) The provisions of Part Three shall not apply if the total annual electricity consumption amount of the places of use of the same real or legal entity in the same consumer group is 100,000 kWh or more at the draw up date of the contract and the annual consumption of each of the aforementioned exceeds the eligible consumer limit.”</w:t>
      </w:r>
    </w:p>
    <w:p w14:paraId="59E88E45" w14:textId="77777777" w:rsidR="00171C59" w:rsidRPr="009E1B38" w:rsidRDefault="00171C59" w:rsidP="003C5E4D">
      <w:pPr>
        <w:pStyle w:val="P68B1DB1-Normal2"/>
        <w:numPr>
          <w:ilvl w:val="0"/>
          <w:numId w:val="19"/>
        </w:numPr>
        <w:spacing w:after="160" w:line="259" w:lineRule="auto"/>
        <w:ind w:left="709" w:firstLine="0"/>
        <w:contextualSpacing/>
        <w:jc w:val="left"/>
        <w:rPr>
          <w:lang w:val="en-US"/>
        </w:rPr>
      </w:pPr>
      <w:r w:rsidRPr="009E1B38">
        <w:rPr>
          <w:lang w:val="en-US"/>
        </w:rPr>
        <w:t xml:space="preserve">The third paragraph of Article 7 titled </w:t>
      </w:r>
      <w:r w:rsidRPr="009E1B38">
        <w:rPr>
          <w:i/>
          <w:lang w:val="en-US"/>
        </w:rPr>
        <w:t>"Scope of non-eligible consumer and electricity supply"</w:t>
      </w:r>
      <w:r w:rsidRPr="009E1B38">
        <w:rPr>
          <w:lang w:val="en-US"/>
        </w:rPr>
        <w:t xml:space="preserve"> has been repealed.</w:t>
      </w:r>
    </w:p>
    <w:p w14:paraId="49A6C64E" w14:textId="77777777" w:rsidR="00171C59" w:rsidRPr="009E1B38" w:rsidRDefault="00171C59" w:rsidP="00171C59">
      <w:pPr>
        <w:ind w:left="709"/>
        <w:contextualSpacing/>
        <w:jc w:val="left"/>
        <w:rPr>
          <w:rFonts w:ascii="Times New Roman" w:hAnsi="Times New Roman"/>
        </w:rPr>
      </w:pPr>
    </w:p>
    <w:p w14:paraId="1E1284FD" w14:textId="77777777" w:rsidR="00171C59" w:rsidRPr="009E1B38" w:rsidRDefault="00171C59" w:rsidP="003C5E4D">
      <w:pPr>
        <w:pStyle w:val="P68B1DB1-Normal2"/>
        <w:numPr>
          <w:ilvl w:val="0"/>
          <w:numId w:val="19"/>
        </w:numPr>
        <w:spacing w:after="160" w:line="259" w:lineRule="auto"/>
        <w:ind w:left="709" w:firstLine="0"/>
        <w:contextualSpacing/>
        <w:jc w:val="left"/>
        <w:rPr>
          <w:lang w:val="en-US"/>
        </w:rPr>
      </w:pPr>
      <w:r w:rsidRPr="009E1B38">
        <w:rPr>
          <w:lang w:val="en-US"/>
        </w:rPr>
        <w:t xml:space="preserve">The second paragraph of Article 12 titled </w:t>
      </w:r>
      <w:r w:rsidRPr="009E1B38">
        <w:rPr>
          <w:i/>
          <w:lang w:val="en-US"/>
        </w:rPr>
        <w:t>"Preparing a bilateral agreement</w:t>
      </w:r>
      <w:r w:rsidRPr="009E1B38">
        <w:rPr>
          <w:lang w:val="en-US"/>
        </w:rPr>
        <w:t>" has been amended as follows.</w:t>
      </w:r>
    </w:p>
    <w:p w14:paraId="4784B1E8" w14:textId="77777777" w:rsidR="00171C59" w:rsidRPr="009E1B38" w:rsidRDefault="00171C59" w:rsidP="00171C59">
      <w:pPr>
        <w:ind w:left="709"/>
        <w:contextualSpacing/>
        <w:jc w:val="left"/>
        <w:rPr>
          <w:rFonts w:ascii="Times New Roman" w:hAnsi="Times New Roman"/>
        </w:rPr>
      </w:pPr>
    </w:p>
    <w:p w14:paraId="48A9DC82" w14:textId="77777777" w:rsidR="00171C59" w:rsidRPr="009E1B38" w:rsidRDefault="00171C59" w:rsidP="00171C59">
      <w:pPr>
        <w:pStyle w:val="P68B1DB1-Normal7"/>
        <w:ind w:left="709"/>
        <w:jc w:val="left"/>
        <w:rPr>
          <w:lang w:val="en-US"/>
        </w:rPr>
      </w:pPr>
      <w:r w:rsidRPr="009E1B38">
        <w:rPr>
          <w:lang w:val="en-US"/>
        </w:rPr>
        <w:t>“(2) Bilateral agreements may be drawn up in writing or remotely. The bilateral agreement drawn up in writing shall be signed by handwritten signature or secure electronic signature. A certified copy of the bilateral agreement and its annexes as "the same as the original" must be submitted to the eligible consumer on paper or with a permanent data storage on the day of the preparation of the agreement.</w:t>
      </w:r>
    </w:p>
    <w:p w14:paraId="377D4F27" w14:textId="6ADB1CDD" w:rsidR="00171C59" w:rsidRPr="009E1B38" w:rsidRDefault="00171C59" w:rsidP="003C5E4D">
      <w:pPr>
        <w:pStyle w:val="P68B1DB1-Normal2"/>
        <w:numPr>
          <w:ilvl w:val="0"/>
          <w:numId w:val="20"/>
        </w:numPr>
        <w:spacing w:after="160" w:line="259" w:lineRule="auto"/>
        <w:ind w:left="709" w:firstLine="0"/>
        <w:contextualSpacing/>
        <w:jc w:val="left"/>
        <w:rPr>
          <w:i/>
          <w:lang w:val="en-US"/>
        </w:rPr>
      </w:pPr>
      <w:r w:rsidRPr="009E1B38">
        <w:rPr>
          <w:lang w:val="en-US"/>
        </w:rPr>
        <w:t xml:space="preserve">The second paragraph of Article 17 titled </w:t>
      </w:r>
      <w:r w:rsidRPr="009E1B38">
        <w:rPr>
          <w:i/>
          <w:lang w:val="en-US"/>
        </w:rPr>
        <w:t xml:space="preserve">"The termination of the bilateral agreement </w:t>
      </w:r>
      <w:r w:rsidR="009E1B38" w:rsidRPr="009E1B38">
        <w:rPr>
          <w:i/>
          <w:lang w:val="en-US"/>
        </w:rPr>
        <w:t>process</w:t>
      </w:r>
      <w:r w:rsidR="009E1B38" w:rsidRPr="009E1B38">
        <w:rPr>
          <w:lang w:val="en-US"/>
        </w:rPr>
        <w:t>”</w:t>
      </w:r>
      <w:r w:rsidRPr="009E1B38">
        <w:rPr>
          <w:lang w:val="en-US"/>
        </w:rPr>
        <w:t xml:space="preserve"> has been amended as follows.</w:t>
      </w:r>
    </w:p>
    <w:p w14:paraId="5D526288" w14:textId="77777777" w:rsidR="00171C59" w:rsidRPr="009E1B38" w:rsidRDefault="00171C59" w:rsidP="00171C59">
      <w:pPr>
        <w:ind w:left="709"/>
        <w:contextualSpacing/>
        <w:jc w:val="left"/>
        <w:rPr>
          <w:rFonts w:ascii="Times New Roman" w:hAnsi="Times New Roman"/>
          <w:i/>
        </w:rPr>
      </w:pPr>
    </w:p>
    <w:p w14:paraId="3C9AF3AB" w14:textId="77777777" w:rsidR="00171C59" w:rsidRPr="009E1B38" w:rsidRDefault="00171C59" w:rsidP="00171C59">
      <w:pPr>
        <w:pStyle w:val="P68B1DB1-Normal7"/>
        <w:ind w:left="709"/>
        <w:jc w:val="left"/>
        <w:rPr>
          <w:lang w:val="en-US"/>
        </w:rPr>
      </w:pPr>
      <w:r w:rsidRPr="009E1B38">
        <w:rPr>
          <w:lang w:val="en-US"/>
        </w:rPr>
        <w:t>“(2) If the bilateral agreement is terminated due to evacuation, the supplier shall inform the distribution company. The distribution company shall receive the latest index values within 1 day following the notification in the urban and suburban distribution region and within 2 days following the notification in the rural distribution region and shall disconnect the electricity of the place of use. These values shall be reported to the supplier company within the day following the receiving of the index values."</w:t>
      </w:r>
    </w:p>
    <w:p w14:paraId="1F82AF0E"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The first and second paragraphs of Article 21 titled </w:t>
      </w:r>
      <w:r w:rsidRPr="009E1B38">
        <w:rPr>
          <w:i/>
          <w:lang w:val="en-US"/>
        </w:rPr>
        <w:t>"Retail sales contract application"</w:t>
      </w:r>
      <w:r w:rsidRPr="009E1B38">
        <w:rPr>
          <w:lang w:val="en-US"/>
        </w:rPr>
        <w:t xml:space="preserve"> have been amended as follows.</w:t>
      </w:r>
    </w:p>
    <w:p w14:paraId="73826DF2" w14:textId="77777777" w:rsidR="00171C59" w:rsidRPr="009E1B38" w:rsidRDefault="00171C59" w:rsidP="00171C59">
      <w:pPr>
        <w:ind w:left="709"/>
        <w:contextualSpacing/>
        <w:jc w:val="left"/>
        <w:rPr>
          <w:rFonts w:ascii="Times New Roman" w:hAnsi="Times New Roman"/>
        </w:rPr>
      </w:pPr>
    </w:p>
    <w:p w14:paraId="6DC0D027" w14:textId="77777777" w:rsidR="00171C59" w:rsidRPr="009E1B38" w:rsidRDefault="00171C59" w:rsidP="00171C59">
      <w:pPr>
        <w:pStyle w:val="P68B1DB1-Normal7"/>
        <w:ind w:left="709"/>
        <w:jc w:val="left"/>
        <w:rPr>
          <w:lang w:val="en-US"/>
        </w:rPr>
      </w:pPr>
      <w:r w:rsidRPr="009E1B38">
        <w:rPr>
          <w:lang w:val="en-US"/>
        </w:rPr>
        <w:t>“(1) Real or legal entities who want to purchase electricity and/or capacity from the retail sales tariff or final source supply tariff, shall apply to the relevant authorized supplier company in writing or through the corporate communication channels of the company or through the e-Government gateway. During the application, information and documents determined by the provisions of this article shall be submitted. The information and documents available in the supply company and the distribution company that are in charge of the place of use, which is subject to the contract, shall not also be requested from the applicant. If requested by the supply company in charge, the distribution company shall be obliged to provide information about the place of use and meter and measurement systems. Application cannot be made through the corporate communication channels of the company or through the e-Government gateway for the places where there is a valid retail contract in the place of use.</w:t>
      </w:r>
    </w:p>
    <w:p w14:paraId="18FE5019" w14:textId="77777777" w:rsidR="00171C59" w:rsidRPr="009E1B38" w:rsidRDefault="00171C59" w:rsidP="00171C59">
      <w:pPr>
        <w:pStyle w:val="P68B1DB1-Normal7"/>
        <w:ind w:left="709"/>
        <w:jc w:val="left"/>
        <w:rPr>
          <w:lang w:val="en-US"/>
        </w:rPr>
      </w:pPr>
      <w:r w:rsidRPr="009E1B38">
        <w:rPr>
          <w:lang w:val="en-US"/>
        </w:rPr>
        <w:t>(2) All applications within the scope of the first paragraph shall be recorded. If the applications are made out of business hours of the company, the assigned supply company shall conclude the duly filed applications on the next business day, and in other cases, on the same day."</w:t>
      </w:r>
    </w:p>
    <w:p w14:paraId="6F538028"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Article 22 titled </w:t>
      </w:r>
      <w:r w:rsidRPr="009E1B38">
        <w:rPr>
          <w:i/>
          <w:lang w:val="en-US"/>
        </w:rPr>
        <w:t>"Signing of the retail contract"</w:t>
      </w:r>
      <w:r w:rsidRPr="009E1B38">
        <w:rPr>
          <w:lang w:val="en-US"/>
        </w:rPr>
        <w:t xml:space="preserve"> has been amended as follows.</w:t>
      </w:r>
    </w:p>
    <w:p w14:paraId="71687DC2" w14:textId="77777777" w:rsidR="00171C59" w:rsidRPr="009E1B38" w:rsidRDefault="00171C59" w:rsidP="00171C59">
      <w:pPr>
        <w:ind w:left="709"/>
        <w:contextualSpacing/>
        <w:jc w:val="left"/>
        <w:rPr>
          <w:rFonts w:ascii="Times New Roman" w:hAnsi="Times New Roman"/>
        </w:rPr>
      </w:pPr>
    </w:p>
    <w:p w14:paraId="50AD65CD" w14:textId="77777777" w:rsidR="00171C59" w:rsidRPr="009E1B38" w:rsidRDefault="00171C59" w:rsidP="00171C59">
      <w:pPr>
        <w:pStyle w:val="P68B1DB1-Normal8"/>
        <w:ind w:left="709"/>
        <w:jc w:val="left"/>
        <w:rPr>
          <w:lang w:val="en-US"/>
        </w:rPr>
      </w:pPr>
      <w:r w:rsidRPr="009E1B38">
        <w:rPr>
          <w:lang w:val="en-US"/>
        </w:rPr>
        <w:t>"ARTICLE 22</w:t>
      </w:r>
    </w:p>
    <w:p w14:paraId="272739B9" w14:textId="77777777" w:rsidR="00171C59" w:rsidRPr="009E1B38" w:rsidRDefault="00171C59" w:rsidP="00171C59">
      <w:pPr>
        <w:pStyle w:val="P68B1DB1-Normal7"/>
        <w:ind w:left="709"/>
        <w:jc w:val="left"/>
        <w:rPr>
          <w:lang w:val="en-US"/>
        </w:rPr>
      </w:pPr>
      <w:r w:rsidRPr="009E1B38">
        <w:rPr>
          <w:lang w:val="en-US"/>
        </w:rPr>
        <w:t>(1) The retail contract may be drawn up in writing or remotely. A certified copy of the drawn up contract as "the same as original" shall be submitted or sent to the relevant consumer on paper or with a permanent data storage on the day of the preparation of the contract. Retail sales contract drawn up in writing shall be signed with handwritten signature or secure electronic signature. The burden of proof regarding the preparation of the contract belongs to the supply company in charge. The assigned supply company shall notify the distribution company within the same day by recording the drawn up contracts. If the consumer accepts, the signed contract sample may be sent via e-mail for the written applications made to the consumer services center."</w:t>
      </w:r>
    </w:p>
    <w:p w14:paraId="26DE364A"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lastRenderedPageBreak/>
        <w:t>The second and fourth paragraphs of Article 24 have been amended as follows.</w:t>
      </w:r>
    </w:p>
    <w:p w14:paraId="35D584AF" w14:textId="77777777" w:rsidR="00171C59" w:rsidRPr="009E1B38" w:rsidRDefault="00171C59" w:rsidP="00171C59">
      <w:pPr>
        <w:ind w:left="709"/>
        <w:contextualSpacing/>
        <w:jc w:val="left"/>
        <w:rPr>
          <w:rFonts w:ascii="Times New Roman" w:hAnsi="Times New Roman"/>
        </w:rPr>
      </w:pPr>
    </w:p>
    <w:p w14:paraId="5B4FF235" w14:textId="77777777" w:rsidR="00171C59" w:rsidRPr="009E1B38" w:rsidRDefault="00171C59" w:rsidP="00171C59">
      <w:pPr>
        <w:pStyle w:val="P68B1DB1-Normal7"/>
        <w:ind w:left="709"/>
        <w:jc w:val="left"/>
        <w:rPr>
          <w:lang w:val="en-US"/>
        </w:rPr>
      </w:pPr>
      <w:r w:rsidRPr="009E1B38">
        <w:rPr>
          <w:lang w:val="en-US"/>
        </w:rPr>
        <w:t>“(2) Application for termination of retail sales contract shall be made through corporate communication channels of the company or e-Government gateway, with secure electronic signature or in writing by using Annex-4/B form. ANNEX-4/B form is signed with handwritten signature or secure electronic signature. In the applications made through the corporate communication channels of the company or through the e-Government gateway, the signature shall not be included in the Annex-4/B form; the transaction shall be made using the verification code. The supply company in charge shall notify the distribution company within the same day if the application for the termination of the retail contract is made within the company's business hours, and if the application is made out of the company's business hours, within the next business day. The distribution company shall receive the latest index values within 1 day following the notification in the urban and suburban distribution region and within 2 days following the notification in the rural distribution region, and shall disconnect the electricity of the place of use. These values shall be reported to the supply company within the day at the latest, following the receipt of the index values. The contract expires on the date of power outage.”</w:t>
      </w:r>
    </w:p>
    <w:p w14:paraId="250BC3C8" w14:textId="77777777" w:rsidR="00171C59" w:rsidRPr="009E1B38" w:rsidRDefault="00171C59" w:rsidP="00171C59">
      <w:pPr>
        <w:pStyle w:val="P68B1DB1-Normal7"/>
        <w:ind w:left="709"/>
        <w:jc w:val="left"/>
        <w:rPr>
          <w:lang w:val="en-US"/>
        </w:rPr>
      </w:pPr>
      <w:r w:rsidRPr="009E1B38">
        <w:rPr>
          <w:lang w:val="en-US"/>
        </w:rPr>
        <w:t>"(4) ANNEX-4/A form, filled in by the consumers who want to make a supplier change, shall be submitted to the supply company in charge within 10 days from the date of MMS finalization by the consumer or the new supplier of the consumer. If the supplier submits the ANNEX-4/A form, the burden of proof of notification to the current supplier of the consumer shall belong to the new supplier. The retail contract shall be terminated on the date of commencement of electricity and/or capacity supply. In case of transition to the new supplier through MMS without the submission of the Annex-4/A form to the supply company in charge, the retail sales contract shall be deemed to have expired on the date of commencement of electrical energy and/or capacity supply. In case the bilateral agreement is drawn up remotely, signature in Annex-4/A form shall not be required. ANNEX-4/A form is sent to the supply company in charge in writing or with a permanent data storage."</w:t>
      </w:r>
    </w:p>
    <w:p w14:paraId="4F62920B"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Article 26 titled </w:t>
      </w:r>
      <w:r w:rsidRPr="009E1B38">
        <w:rPr>
          <w:i/>
          <w:lang w:val="en-US"/>
        </w:rPr>
        <w:t>"Calculation of security deposit"</w:t>
      </w:r>
      <w:r w:rsidRPr="009E1B38">
        <w:rPr>
          <w:lang w:val="en-US"/>
        </w:rPr>
        <w:t xml:space="preserve"> has been amended as follows.</w:t>
      </w:r>
    </w:p>
    <w:p w14:paraId="1389874A" w14:textId="77777777" w:rsidR="00171C59" w:rsidRPr="009E1B38" w:rsidRDefault="00171C59" w:rsidP="00171C59">
      <w:pPr>
        <w:ind w:left="709"/>
        <w:contextualSpacing/>
        <w:jc w:val="left"/>
        <w:rPr>
          <w:rFonts w:ascii="Times New Roman" w:hAnsi="Times New Roman"/>
        </w:rPr>
      </w:pPr>
    </w:p>
    <w:p w14:paraId="1E17ECD0" w14:textId="77777777" w:rsidR="00171C59" w:rsidRPr="009E1B38" w:rsidRDefault="00171C59" w:rsidP="00171C59">
      <w:pPr>
        <w:pStyle w:val="P68B1DB1-Normal8"/>
        <w:ind w:left="709"/>
        <w:jc w:val="left"/>
        <w:rPr>
          <w:lang w:val="en-US"/>
        </w:rPr>
      </w:pPr>
      <w:r w:rsidRPr="009E1B38">
        <w:rPr>
          <w:lang w:val="en-US"/>
        </w:rPr>
        <w:t>"ARTICLE 26</w:t>
      </w:r>
    </w:p>
    <w:p w14:paraId="16E4B39E" w14:textId="77777777" w:rsidR="00171C59" w:rsidRPr="009E1B38" w:rsidRDefault="00171C59" w:rsidP="00171C59">
      <w:pPr>
        <w:pStyle w:val="P68B1DB1-Normal7"/>
        <w:ind w:left="709"/>
        <w:jc w:val="left"/>
        <w:rPr>
          <w:lang w:val="en-US"/>
        </w:rPr>
      </w:pPr>
      <w:r w:rsidRPr="009E1B38">
        <w:rPr>
          <w:lang w:val="en-US"/>
        </w:rPr>
        <w:t>(1) The security deposit of the consumer, which signs the contract with the supply company in charge, shall be calculated over the unit price determined per kW for the consumer groups, by taking into account the power of the facility or place of use.</w:t>
      </w:r>
    </w:p>
    <w:p w14:paraId="5ECB75E2" w14:textId="77777777" w:rsidR="00171C59" w:rsidRPr="009E1B38" w:rsidRDefault="00171C59" w:rsidP="00171C59">
      <w:pPr>
        <w:pStyle w:val="P68B1DB1-Normal7"/>
        <w:spacing w:after="0"/>
        <w:ind w:left="709"/>
        <w:jc w:val="left"/>
        <w:rPr>
          <w:lang w:val="en-US"/>
        </w:rPr>
      </w:pPr>
      <w:r w:rsidRPr="009E1B38">
        <w:rPr>
          <w:lang w:val="en-US"/>
        </w:rPr>
        <w:t>(2) According to the tariff class to which the consumer is subject, the amount of power (kW) that will be the basis for the calculation of the consumer's security deposit shall be determined by taking the followings into account;</w:t>
      </w:r>
    </w:p>
    <w:p w14:paraId="3E7655DD" w14:textId="77777777" w:rsidR="00171C59" w:rsidRPr="009E1B38" w:rsidRDefault="00171C59" w:rsidP="00171C59">
      <w:pPr>
        <w:pStyle w:val="P68B1DB1-Normal7"/>
        <w:spacing w:after="0"/>
        <w:ind w:left="709"/>
        <w:jc w:val="left"/>
        <w:rPr>
          <w:lang w:val="en-US"/>
        </w:rPr>
      </w:pPr>
      <w:r w:rsidRPr="009E1B38">
        <w:rPr>
          <w:lang w:val="en-US"/>
        </w:rPr>
        <w:t>a) Connection power of consumers subject to single term tariff class,</w:t>
      </w:r>
    </w:p>
    <w:p w14:paraId="5CC8D54D" w14:textId="77777777" w:rsidR="00171C59" w:rsidRPr="009E1B38" w:rsidRDefault="00171C59" w:rsidP="00171C59">
      <w:pPr>
        <w:pStyle w:val="P68B1DB1-Normal7"/>
        <w:spacing w:after="0"/>
        <w:ind w:left="709"/>
        <w:jc w:val="left"/>
        <w:rPr>
          <w:lang w:val="en-US"/>
        </w:rPr>
      </w:pPr>
      <w:r w:rsidRPr="009E1B38">
        <w:rPr>
          <w:lang w:val="en-US"/>
        </w:rPr>
        <w:t>b) Contract power (requested power) of consumers subject to double term tariff class.</w:t>
      </w:r>
    </w:p>
    <w:p w14:paraId="1FABD8E5" w14:textId="0E3EBA56" w:rsidR="00171C59" w:rsidRPr="009E1B38" w:rsidRDefault="00171C59" w:rsidP="00171C59">
      <w:pPr>
        <w:pStyle w:val="P68B1DB1-Normal7"/>
        <w:ind w:left="709"/>
        <w:jc w:val="left"/>
        <w:rPr>
          <w:lang w:val="en-US"/>
        </w:rPr>
      </w:pPr>
    </w:p>
    <w:p w14:paraId="1EAC8E94" w14:textId="77777777" w:rsidR="00171C59" w:rsidRPr="009E1B38" w:rsidRDefault="00171C59" w:rsidP="00171C59">
      <w:pPr>
        <w:pStyle w:val="P68B1DB1-Normal7"/>
        <w:spacing w:after="0"/>
        <w:ind w:left="709"/>
        <w:jc w:val="left"/>
        <w:rPr>
          <w:lang w:val="en-US"/>
        </w:rPr>
      </w:pPr>
      <w:r w:rsidRPr="009E1B38">
        <w:rPr>
          <w:lang w:val="en-US"/>
        </w:rPr>
        <w:t>(3) In the calculations made within the scope of the second paragraph;</w:t>
      </w:r>
    </w:p>
    <w:p w14:paraId="5CE67EE2" w14:textId="77777777" w:rsidR="00171C59" w:rsidRPr="009E1B38" w:rsidRDefault="00171C59" w:rsidP="00171C59">
      <w:pPr>
        <w:pStyle w:val="P68B1DB1-Normal7"/>
        <w:spacing w:after="0"/>
        <w:ind w:left="709"/>
        <w:jc w:val="left"/>
        <w:rPr>
          <w:lang w:val="en-US"/>
        </w:rPr>
      </w:pPr>
      <w:r w:rsidRPr="009E1B38">
        <w:rPr>
          <w:lang w:val="en-US"/>
        </w:rPr>
        <w:t>a) Installed power is the total power specified in the electrical project of a place of use. Furthermore, it is the total power of transformers of consumers with special transformers.</w:t>
      </w:r>
    </w:p>
    <w:p w14:paraId="119E8A02" w14:textId="77777777" w:rsidR="00171C59" w:rsidRPr="009E1B38" w:rsidRDefault="00171C59" w:rsidP="00171C59">
      <w:pPr>
        <w:pStyle w:val="P68B1DB1-Normal7"/>
        <w:spacing w:after="0"/>
        <w:ind w:left="709"/>
        <w:jc w:val="left"/>
        <w:rPr>
          <w:lang w:val="en-US"/>
        </w:rPr>
      </w:pPr>
      <w:r w:rsidRPr="009E1B38">
        <w:rPr>
          <w:lang w:val="en-US"/>
        </w:rPr>
        <w:t>b) Connection power is the power calculated by multiplying the installed power by the utilization factor. The utilization factor is taken as 0.60. Cos φ=1 for consumers with special transformers.</w:t>
      </w:r>
    </w:p>
    <w:p w14:paraId="0A212368" w14:textId="77777777" w:rsidR="00171C59" w:rsidRPr="009E1B38" w:rsidRDefault="00171C59" w:rsidP="00171C59">
      <w:pPr>
        <w:pStyle w:val="P68B1DB1-Normal7"/>
        <w:spacing w:after="0"/>
        <w:ind w:left="709"/>
        <w:jc w:val="left"/>
        <w:rPr>
          <w:lang w:val="en-US"/>
        </w:rPr>
      </w:pPr>
      <w:r w:rsidRPr="009E1B38">
        <w:rPr>
          <w:lang w:val="en-US"/>
        </w:rPr>
        <w:lastRenderedPageBreak/>
        <w:t>c) Fractional numbers up to 2 digits in the decimal part of the connection power and the installed power are also taken into consideration.</w:t>
      </w:r>
    </w:p>
    <w:p w14:paraId="3457F47F" w14:textId="77777777" w:rsidR="00171C59" w:rsidRPr="009E1B38" w:rsidRDefault="00171C59" w:rsidP="00171C59">
      <w:pPr>
        <w:pStyle w:val="P68B1DB1-Normal7"/>
        <w:ind w:left="709"/>
        <w:jc w:val="left"/>
        <w:rPr>
          <w:lang w:val="en-US"/>
        </w:rPr>
      </w:pPr>
      <w:r w:rsidRPr="009E1B38">
        <w:rPr>
          <w:lang w:val="en-US"/>
        </w:rPr>
        <w:t>ç) Connection power cannot be less than 5 kW.</w:t>
      </w:r>
    </w:p>
    <w:p w14:paraId="2D4B69F4" w14:textId="77777777" w:rsidR="00171C59" w:rsidRPr="009E1B38" w:rsidRDefault="00171C59" w:rsidP="00171C59">
      <w:pPr>
        <w:pStyle w:val="P68B1DB1-Normal7"/>
        <w:ind w:left="709"/>
        <w:jc w:val="left"/>
        <w:rPr>
          <w:lang w:val="en-US"/>
        </w:rPr>
      </w:pPr>
      <w:r w:rsidRPr="009E1B38">
        <w:rPr>
          <w:lang w:val="en-US"/>
        </w:rPr>
        <w:t>(4) The security deposit shall be determined by the decision of the Board, taking into account the changes of CPI rates published by TurkStat. If the Board deems it necessary, it may determine different security deposits for each authorized supply company.</w:t>
      </w:r>
    </w:p>
    <w:p w14:paraId="412C89DC" w14:textId="77777777" w:rsidR="00171C59" w:rsidRPr="009E1B38" w:rsidRDefault="00171C59" w:rsidP="00171C59">
      <w:pPr>
        <w:pStyle w:val="P68B1DB1-Normal7"/>
        <w:ind w:left="709"/>
        <w:jc w:val="left"/>
        <w:rPr>
          <w:lang w:val="en-US"/>
        </w:rPr>
      </w:pPr>
      <w:r w:rsidRPr="009E1B38">
        <w:rPr>
          <w:lang w:val="en-US"/>
        </w:rPr>
        <w:t>(5) Fifty percent more of the security deposit for the current year shall be applied to those who will purchase electricity by re-signing a retail contract from the consumers, whose contract of retail sale has been terminated due to the fact that their contract power or connection power is below 100 kW, and that they have not paid their debt.</w:t>
      </w:r>
    </w:p>
    <w:p w14:paraId="64B19D0E" w14:textId="77777777" w:rsidR="00171C59" w:rsidRPr="009E1B38" w:rsidRDefault="00171C59" w:rsidP="00171C59">
      <w:pPr>
        <w:pStyle w:val="P68B1DB1-Normal7"/>
        <w:spacing w:after="0"/>
        <w:ind w:left="709"/>
        <w:jc w:val="left"/>
        <w:rPr>
          <w:lang w:val="en-US"/>
        </w:rPr>
      </w:pPr>
      <w:r w:rsidRPr="009E1B38">
        <w:rPr>
          <w:lang w:val="en-US"/>
        </w:rPr>
        <w:t>(6) For the security deposit to be applied to the consumers, other than the residential consumer group whose contract or connection power is 100 kW or more after the effective date of this Regulation, in the following situations;</w:t>
      </w:r>
    </w:p>
    <w:p w14:paraId="0CE2FDA7" w14:textId="77777777" w:rsidR="00171C59" w:rsidRPr="009E1B38" w:rsidRDefault="00171C59" w:rsidP="00171C59">
      <w:pPr>
        <w:pStyle w:val="P68B1DB1-Normal7"/>
        <w:spacing w:after="0"/>
        <w:ind w:left="709"/>
        <w:jc w:val="left"/>
        <w:rPr>
          <w:lang w:val="en-US"/>
        </w:rPr>
      </w:pPr>
      <w:r w:rsidRPr="009E1B38">
        <w:rPr>
          <w:lang w:val="en-US"/>
        </w:rPr>
        <w:t>a) To make a retail contract for the first time,</w:t>
      </w:r>
    </w:p>
    <w:p w14:paraId="7B29A1CB" w14:textId="77777777" w:rsidR="00171C59" w:rsidRPr="009E1B38" w:rsidRDefault="00171C59" w:rsidP="00171C59">
      <w:pPr>
        <w:pStyle w:val="P68B1DB1-Normal7"/>
        <w:spacing w:after="0"/>
        <w:ind w:left="709"/>
        <w:jc w:val="left"/>
        <w:rPr>
          <w:lang w:val="en-US"/>
        </w:rPr>
      </w:pPr>
      <w:r w:rsidRPr="009E1B38">
        <w:rPr>
          <w:lang w:val="en-US"/>
        </w:rPr>
        <w:t>b) To conclude a retail sales contract again due to the termination of the retail sales contract due to not paying the debt,</w:t>
      </w:r>
    </w:p>
    <w:p w14:paraId="0730D672" w14:textId="77777777" w:rsidR="00171C59" w:rsidRPr="009E1B38" w:rsidRDefault="00171C59" w:rsidP="00171C59">
      <w:pPr>
        <w:pStyle w:val="P68B1DB1-Normal7"/>
        <w:ind w:left="709"/>
        <w:jc w:val="left"/>
        <w:rPr>
          <w:lang w:val="en-US"/>
        </w:rPr>
      </w:pPr>
      <w:r w:rsidRPr="009E1B38">
        <w:rPr>
          <w:lang w:val="en-US"/>
        </w:rPr>
        <w:t>c) To conclude a retail sales contract within the scope of final source supply with consumers whose bilateral agreement is terminated for any reason,</w:t>
      </w:r>
    </w:p>
    <w:p w14:paraId="779F83E4" w14:textId="77777777" w:rsidR="00171C59" w:rsidRPr="009E1B38" w:rsidRDefault="00171C59" w:rsidP="00171C59">
      <w:pPr>
        <w:pStyle w:val="P68B1DB1-Normal7"/>
        <w:ind w:left="709"/>
        <w:jc w:val="left"/>
        <w:rPr>
          <w:lang w:val="en-US"/>
        </w:rPr>
      </w:pPr>
      <w:r w:rsidRPr="009E1B38">
        <w:rPr>
          <w:lang w:val="en-US"/>
        </w:rPr>
        <w:t>If applicable, the daily consumption average of the highest 2-month consumption of the relevant consumer in the last 12 months following the contract date, shall be calculated. The security deposit shall be re-determined for one time only, with the average consumption amount of 60 days in total, and the single-time unit prices which are approved according to the tariffs that are subject to the regulation on the date of the retail contract. If the consumer does not have information regarding the amount of consumption in the last 12 months before the contract date, the said information shall be obtained from the relevant distribution company. The relevant company shall be obliged to respond to the request, submitted by the authorized supply company, within 3 business days. If the consumption information does not include the last 12 months or a retail contract is made for the first time, the security deposit shall be determined according to the first paragraph until the consumption information is provided. Regardless of the consumption invoice, the calculated amount of difference shall be paid by the consumer to the supply company in charge within 15 days following the notification made in writing and with a permanent data storage. CPI update, regarding the cash security deposit, which is calculated and collected in accordance with the first paragraph, shall be made if the said amount is paid to the consumer."</w:t>
      </w:r>
    </w:p>
    <w:p w14:paraId="3D93AFAC"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Article 27 titled </w:t>
      </w:r>
      <w:r w:rsidRPr="009E1B38">
        <w:rPr>
          <w:i/>
          <w:lang w:val="en-US"/>
        </w:rPr>
        <w:t>"Providing the security deposit"</w:t>
      </w:r>
      <w:r w:rsidRPr="009E1B38">
        <w:rPr>
          <w:lang w:val="en-US"/>
        </w:rPr>
        <w:t xml:space="preserve"> has been amended as follows.</w:t>
      </w:r>
    </w:p>
    <w:p w14:paraId="65C73E69" w14:textId="77777777" w:rsidR="00171C59" w:rsidRPr="009E1B38" w:rsidRDefault="00171C59" w:rsidP="00171C59">
      <w:pPr>
        <w:ind w:left="709"/>
        <w:contextualSpacing/>
        <w:jc w:val="left"/>
        <w:rPr>
          <w:rFonts w:ascii="Times New Roman" w:hAnsi="Times New Roman"/>
        </w:rPr>
      </w:pPr>
    </w:p>
    <w:p w14:paraId="27B235B0" w14:textId="77777777" w:rsidR="00171C59" w:rsidRPr="009E1B38" w:rsidRDefault="00171C59" w:rsidP="00171C59">
      <w:pPr>
        <w:pStyle w:val="P68B1DB1-Normal8"/>
        <w:ind w:left="709"/>
        <w:jc w:val="left"/>
        <w:rPr>
          <w:lang w:val="en-US"/>
        </w:rPr>
      </w:pPr>
      <w:r w:rsidRPr="009E1B38">
        <w:rPr>
          <w:lang w:val="en-US"/>
        </w:rPr>
        <w:t>"ARTICLE 27</w:t>
      </w:r>
    </w:p>
    <w:p w14:paraId="7AC257DB" w14:textId="77777777" w:rsidR="00171C59" w:rsidRPr="009E1B38" w:rsidRDefault="00171C59" w:rsidP="00171C59">
      <w:pPr>
        <w:pStyle w:val="P68B1DB1-Normal7"/>
        <w:ind w:left="709"/>
        <w:jc w:val="left"/>
        <w:rPr>
          <w:lang w:val="en-US"/>
        </w:rPr>
      </w:pPr>
      <w:r w:rsidRPr="009E1B38">
        <w:rPr>
          <w:lang w:val="en-US"/>
        </w:rPr>
        <w:t xml:space="preserve">(1) The security deposit may be given in cash or as an indefinite and final letter of guarantee issued by the financial institutions, which are approved by the Banking Regulation and Supervision Agency. However, consumers in the residential consumer group only give the security deposit in cash against receipt. Security deposit shall not be requested from the consumers who make a contract with the contracted banks of the supply company in charge to pay the invoices with Direct Debiting System (DDS). In the event that the consumer's DDS contract is terminated, the security deposit, calculated by </w:t>
      </w:r>
      <w:r w:rsidRPr="009E1B38">
        <w:rPr>
          <w:lang w:val="en-US"/>
        </w:rPr>
        <w:lastRenderedPageBreak/>
        <w:t>the consumer in accordance to Article 26 within 15 days from the date of termination, shall be given to the supply company in charge in cash or as letter of guarantee.</w:t>
      </w:r>
    </w:p>
    <w:p w14:paraId="0CB1723C" w14:textId="77777777" w:rsidR="00171C59" w:rsidRPr="009E1B38" w:rsidRDefault="00171C59" w:rsidP="00171C59">
      <w:pPr>
        <w:pStyle w:val="P68B1DB1-Normal7"/>
        <w:ind w:left="709"/>
        <w:jc w:val="left"/>
        <w:rPr>
          <w:lang w:val="en-US"/>
        </w:rPr>
      </w:pPr>
      <w:r w:rsidRPr="009E1B38">
        <w:rPr>
          <w:lang w:val="en-US"/>
        </w:rPr>
        <w:t>(2) The entire security deposit to be given in cash must be paid in advance. However, upon the request of the consumer, the security deposit shall be collected in two equal installments to be reflected on the invoice for the consumers in the residential consumer group, and the first installment for the other consumer groups shall be reflected on the second installment invoice. The supply company in charge shall be obliged to ask the consumer whether there is an installment request within the scope of this paragraph.</w:t>
      </w:r>
    </w:p>
    <w:p w14:paraId="0E781D13" w14:textId="77777777" w:rsidR="00171C59" w:rsidRPr="009E1B38" w:rsidRDefault="00171C59" w:rsidP="00171C59">
      <w:pPr>
        <w:pStyle w:val="P68B1DB1-Normal7"/>
        <w:ind w:left="709"/>
        <w:jc w:val="left"/>
        <w:rPr>
          <w:lang w:val="en-US"/>
        </w:rPr>
      </w:pPr>
      <w:r w:rsidRPr="009E1B38">
        <w:rPr>
          <w:lang w:val="en-US"/>
        </w:rPr>
        <w:t>(3) Security deposit collection to be given in cash may be paid in several means such as company teller, post, electronic fund transfer, and money order.</w:t>
      </w:r>
    </w:p>
    <w:p w14:paraId="31001B00" w14:textId="77777777" w:rsidR="00171C59" w:rsidRPr="009E1B38" w:rsidRDefault="00171C59" w:rsidP="00171C59">
      <w:pPr>
        <w:pStyle w:val="P68B1DB1-Normal7"/>
        <w:ind w:left="709"/>
        <w:jc w:val="left"/>
        <w:rPr>
          <w:lang w:val="en-US"/>
        </w:rPr>
      </w:pPr>
      <w:r w:rsidRPr="009E1B38">
        <w:rPr>
          <w:lang w:val="en-US"/>
        </w:rPr>
        <w:t>(4) Upon request of the consumers other than the residential consumer group who have previously given the security deposit in cash, the cash security deposits shall be replaced with a letter of guarantee and the updated security deposit shall be returned to the consumer within 5 working days. Upon request, the letter of guarantee shall be returned within 5 business days, or the updated security deposit shall be repaid within the same period, to the consumers who have a DDS contract under the first paragraph.</w:t>
      </w:r>
    </w:p>
    <w:p w14:paraId="6C189235" w14:textId="77777777" w:rsidR="00171C59" w:rsidRPr="009E1B38" w:rsidRDefault="00171C59" w:rsidP="00171C59">
      <w:pPr>
        <w:pStyle w:val="P68B1DB1-Normal7"/>
        <w:ind w:left="709"/>
        <w:jc w:val="left"/>
        <w:rPr>
          <w:lang w:val="en-US"/>
        </w:rPr>
      </w:pPr>
      <w:r w:rsidRPr="009E1B38">
        <w:rPr>
          <w:lang w:val="en-US"/>
        </w:rPr>
        <w:t>(5) In case of a change in the security unit prices of the consumer groups of the consumers who give the security deposit as a letter of guarantee, the security deposit shall be recalculated by the company from the effective date of the change, by taking into account the new unit prices and the connection or contract power. Consumers shall, according to their preferences, give the calculated difference amount or total amount to the supply company in charge as cash or letter of guarantee, within 15 days following the notification made in writing and with a permanent data storage.</w:t>
      </w:r>
    </w:p>
    <w:p w14:paraId="05ADF8D6" w14:textId="77777777" w:rsidR="00171C59" w:rsidRPr="009E1B38" w:rsidRDefault="00171C59" w:rsidP="00171C59">
      <w:pPr>
        <w:pStyle w:val="P68B1DB1-Normal7"/>
        <w:ind w:left="709"/>
        <w:jc w:val="left"/>
        <w:rPr>
          <w:lang w:val="en-US"/>
        </w:rPr>
      </w:pPr>
      <w:r w:rsidRPr="009E1B38">
        <w:rPr>
          <w:lang w:val="en-US"/>
        </w:rPr>
        <w:t>(6) In the event that the security deposit or the security deposit difference is not paid within the time limit in accordance with this article, the delay increase shall not be applied, the transaction shall be made in accordance as per the provisions of Article 35."</w:t>
      </w:r>
    </w:p>
    <w:p w14:paraId="7E2FEDB3"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The second and fifth paragraphs of Article 28 have been amended as follows.</w:t>
      </w:r>
    </w:p>
    <w:p w14:paraId="0FBEE291" w14:textId="77777777" w:rsidR="00171C59" w:rsidRPr="009E1B38" w:rsidRDefault="00171C59" w:rsidP="00171C59">
      <w:pPr>
        <w:ind w:left="709"/>
        <w:contextualSpacing/>
        <w:jc w:val="left"/>
        <w:rPr>
          <w:rFonts w:ascii="Times New Roman" w:hAnsi="Times New Roman"/>
        </w:rPr>
      </w:pPr>
    </w:p>
    <w:p w14:paraId="290695F1" w14:textId="77777777" w:rsidR="00171C59" w:rsidRPr="009E1B38" w:rsidRDefault="00171C59" w:rsidP="00171C59">
      <w:pPr>
        <w:pStyle w:val="P68B1DB1-Normal7"/>
        <w:ind w:left="709"/>
        <w:jc w:val="left"/>
        <w:rPr>
          <w:lang w:val="en-US"/>
        </w:rPr>
      </w:pPr>
      <w:r w:rsidRPr="009E1B38">
        <w:rPr>
          <w:lang w:val="en-US"/>
        </w:rPr>
        <w:t>"(2) After the power increase made for the places of use within the scope of the sixth paragraph of Article 26, the security deposit difference shall be recalculated by considering the method specified in the sixth paragraph of Article 26, according to the average daily consumption of the highest 2-month consumption of the first twelve months following the power increase."</w:t>
      </w:r>
    </w:p>
    <w:p w14:paraId="7CB2FA0A" w14:textId="77777777" w:rsidR="00171C59" w:rsidRPr="009E1B38" w:rsidRDefault="00171C59" w:rsidP="00171C59">
      <w:pPr>
        <w:pStyle w:val="P68B1DB1-Normal7"/>
        <w:ind w:left="709"/>
        <w:jc w:val="left"/>
        <w:rPr>
          <w:lang w:val="en-US"/>
        </w:rPr>
      </w:pPr>
      <w:r w:rsidRPr="009E1B38">
        <w:rPr>
          <w:lang w:val="en-US"/>
        </w:rPr>
        <w:t>“(5) Consumers in the residential consumer group shall give the difference security deposit in cash. According to their preferences consumers shall give the calculated difference amount or total amount to the supply company in charge as cash or letter of guarantee, within 15 days following the notification made in writing and with a permanent data storage."</w:t>
      </w:r>
    </w:p>
    <w:p w14:paraId="792F5A60"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Paragraph (c) of the first paragraph of Article 29 titled </w:t>
      </w:r>
      <w:r w:rsidRPr="009E1B38">
        <w:rPr>
          <w:i/>
          <w:lang w:val="en-US"/>
        </w:rPr>
        <w:t>"Refund of security deposit"</w:t>
      </w:r>
      <w:r w:rsidRPr="009E1B38">
        <w:rPr>
          <w:lang w:val="en-US"/>
        </w:rPr>
        <w:t xml:space="preserve"> has been amended as follows, and the following paragraphs have been added to the same article.</w:t>
      </w:r>
    </w:p>
    <w:p w14:paraId="28AB01BF" w14:textId="77777777" w:rsidR="00171C59" w:rsidRPr="009E1B38" w:rsidRDefault="00171C59" w:rsidP="00171C59">
      <w:pPr>
        <w:ind w:left="709"/>
        <w:contextualSpacing/>
        <w:jc w:val="left"/>
        <w:rPr>
          <w:rFonts w:ascii="Times New Roman" w:hAnsi="Times New Roman"/>
        </w:rPr>
      </w:pPr>
    </w:p>
    <w:p w14:paraId="436ED361" w14:textId="77777777" w:rsidR="00171C59" w:rsidRPr="009E1B38" w:rsidRDefault="00171C59" w:rsidP="00171C59">
      <w:pPr>
        <w:pStyle w:val="P68B1DB1-Normal7"/>
        <w:ind w:left="709"/>
        <w:jc w:val="left"/>
        <w:rPr>
          <w:lang w:val="en-US"/>
        </w:rPr>
      </w:pPr>
      <w:r w:rsidRPr="009E1B38">
        <w:rPr>
          <w:lang w:val="en-US"/>
        </w:rPr>
        <w:t xml:space="preserve">"c) In the calculation of the update rate, CPI announced by TURKSTAT for the two months, before the month in which the security deposit is collected, shall be taken as the starting index, and CPI </w:t>
      </w:r>
      <w:r w:rsidRPr="009E1B38">
        <w:rPr>
          <w:lang w:val="en-US"/>
        </w:rPr>
        <w:lastRenderedPageBreak/>
        <w:t>announced by TURKSTAT for the month in which the contract is terminated, expired or the prepaid meter is installed, shall be taken as the termination index. The update rate is the division of the termination index by the initial index."</w:t>
      </w:r>
    </w:p>
    <w:p w14:paraId="0DB005A9" w14:textId="77777777" w:rsidR="00171C59" w:rsidRPr="009E1B38" w:rsidRDefault="00171C59" w:rsidP="00171C59">
      <w:pPr>
        <w:pStyle w:val="P68B1DB1-Normal7"/>
        <w:ind w:left="709"/>
        <w:jc w:val="left"/>
        <w:rPr>
          <w:lang w:val="en-US"/>
        </w:rPr>
      </w:pPr>
      <w:r w:rsidRPr="009E1B38">
        <w:rPr>
          <w:lang w:val="en-US"/>
        </w:rPr>
        <w:t>"(4) Within the scope of the first paragraph, consumers whose current contact information is received via ANNEX-4/A and ANNEX-4/B forms, or whose retail contract is terminated, shall be informed about the amount of the refund, and that the said amount is ready to be returned to the consumer, with a permanent data storage of the security deposit payment.</w:t>
      </w:r>
    </w:p>
    <w:p w14:paraId="34D5DA92" w14:textId="77777777" w:rsidR="00171C59" w:rsidRPr="009E1B38" w:rsidRDefault="00171C59" w:rsidP="00171C59">
      <w:pPr>
        <w:pStyle w:val="P68B1DB1-Normal7"/>
        <w:ind w:left="709"/>
        <w:jc w:val="left"/>
        <w:rPr>
          <w:lang w:val="en-US"/>
        </w:rPr>
      </w:pPr>
      <w:r w:rsidRPr="009E1B38">
        <w:rPr>
          <w:lang w:val="en-US"/>
        </w:rPr>
        <w:t>(5) For all consumers who do not receive the refund of the security deposit, the authorized supply companies shall establish a security deposit inquiry area on the website, titled consumers who do not receive the refund of the security deposit, in a way that it can be easily seen on the website and can be inquired with the Turkish identity number or tax number. In the said inquiry area, details about how the return can be received shall be provided. It shall be ensured that inquiry can be made for at least 10 years for the consumers whose contract expires, and without any time limit for the consumers whose retail sales contract continues."</w:t>
      </w:r>
    </w:p>
    <w:p w14:paraId="0B2ED308"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The third paragraph of Article 33 titled </w:t>
      </w:r>
      <w:r w:rsidRPr="009E1B38">
        <w:rPr>
          <w:i/>
          <w:lang w:val="en-US"/>
        </w:rPr>
        <w:t>"Invoicing basis and period"</w:t>
      </w:r>
      <w:r w:rsidRPr="009E1B38">
        <w:rPr>
          <w:lang w:val="en-US"/>
        </w:rPr>
        <w:t xml:space="preserve"> has been amended as follows.</w:t>
      </w:r>
    </w:p>
    <w:p w14:paraId="1E629208" w14:textId="77777777" w:rsidR="00171C59" w:rsidRPr="009E1B38" w:rsidRDefault="00171C59" w:rsidP="00171C59">
      <w:pPr>
        <w:ind w:left="709"/>
        <w:contextualSpacing/>
        <w:jc w:val="left"/>
        <w:rPr>
          <w:rFonts w:ascii="Times New Roman" w:hAnsi="Times New Roman"/>
        </w:rPr>
      </w:pPr>
    </w:p>
    <w:p w14:paraId="4688F241" w14:textId="77777777" w:rsidR="00171C59" w:rsidRPr="009E1B38" w:rsidRDefault="00171C59" w:rsidP="00171C59">
      <w:pPr>
        <w:pStyle w:val="P68B1DB1-Normal7"/>
        <w:ind w:left="709"/>
        <w:jc w:val="left"/>
        <w:rPr>
          <w:lang w:val="en-US"/>
        </w:rPr>
      </w:pPr>
      <w:r w:rsidRPr="009E1B38">
        <w:rPr>
          <w:lang w:val="en-US"/>
        </w:rPr>
        <w:t>"(3) Within the scope of the second paragraph of Article 32, equal amount of installments shall be made equal to the number of months, without applying the maturity difference in the reading period in which monthly reading is not possible, excluding periodic usage. For places of use that have continuous consumption throughout the year, even though they are in a seasonal use area, equal installments shall be made equal to the number of months in the reading period, in which the monthly reading is not possible, without applying the maturity difference. In case the consumer requests, the payment shall be made in advance. In the event that the place of use of the consumers in the residential consumer group, is recorded with a report by the distribution company through photographing the place of use, no installment shall be made. A copy of the relevant report is sent to the supplier on the same day."</w:t>
      </w:r>
    </w:p>
    <w:p w14:paraId="0EC28E0B"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The fourth paragraph of Article 35 titled </w:t>
      </w:r>
      <w:r w:rsidRPr="009E1B38">
        <w:rPr>
          <w:i/>
          <w:lang w:val="en-US"/>
        </w:rPr>
        <w:t>"Overdue Debts"</w:t>
      </w:r>
      <w:r w:rsidRPr="009E1B38">
        <w:rPr>
          <w:lang w:val="en-US"/>
        </w:rPr>
        <w:t xml:space="preserve"> and sub-clause (2) of clause (a) of the fifth paragraph have been amended as follows and the following paragraph has been added to the same article.</w:t>
      </w:r>
    </w:p>
    <w:p w14:paraId="58CFFB16" w14:textId="77777777" w:rsidR="00171C59" w:rsidRPr="009E1B38" w:rsidRDefault="00171C59" w:rsidP="00171C59">
      <w:pPr>
        <w:ind w:left="709"/>
        <w:contextualSpacing/>
        <w:jc w:val="left"/>
        <w:rPr>
          <w:rFonts w:ascii="Times New Roman" w:hAnsi="Times New Roman"/>
        </w:rPr>
      </w:pPr>
    </w:p>
    <w:p w14:paraId="3DE05295" w14:textId="77777777" w:rsidR="00171C59" w:rsidRPr="009E1B38" w:rsidRDefault="00171C59" w:rsidP="00171C59">
      <w:pPr>
        <w:pStyle w:val="P68B1DB1-Normal7"/>
        <w:ind w:left="709"/>
        <w:jc w:val="left"/>
        <w:rPr>
          <w:lang w:val="en-US"/>
        </w:rPr>
      </w:pPr>
      <w:r w:rsidRPr="009E1B38">
        <w:rPr>
          <w:lang w:val="en-US"/>
        </w:rPr>
        <w:t>"(4) If the consumer fails to make the stipulated payments within the period specified in the second notification, upon the notification of the supply company in charge, the power of the place of use shall be disconnected by issuing a disconnection notification by the distribution company within 5 working days at the latest from the date of notification, and a copy of the disconnection notification made on site shall be left at the place of use. The disconnection notification must include the disconnection date, time, seal or time stamp information, index values and the registration number or the code determined by the company of the employee who cuts off the electricity. The disconnection notification shall also be notified to the consumer and his supplier with a permanent data storage. It is the responsibility of the distribution company to prove the disconnection by photographing the meter or with the internal information report of the meter."</w:t>
      </w:r>
    </w:p>
    <w:p w14:paraId="61CD04EE" w14:textId="77777777" w:rsidR="00171C59" w:rsidRPr="009E1B38" w:rsidRDefault="00171C59" w:rsidP="00171C59">
      <w:pPr>
        <w:pStyle w:val="P68B1DB1-Normal7"/>
        <w:ind w:left="709"/>
        <w:jc w:val="left"/>
        <w:rPr>
          <w:lang w:val="en-US"/>
        </w:rPr>
      </w:pPr>
      <w:r w:rsidRPr="009E1B38">
        <w:rPr>
          <w:lang w:val="en-US"/>
        </w:rPr>
        <w:t xml:space="preserve">"2) If the updated security deposit is lower than the total invoice amount including the applied delay increase as of the due date, the updated security deposit shall be deducted from the total invoice amount </w:t>
      </w:r>
      <w:r w:rsidRPr="009E1B38">
        <w:rPr>
          <w:lang w:val="en-US"/>
        </w:rPr>
        <w:lastRenderedPageBreak/>
        <w:t>and the consumer shall be notified in writing and/or with a permanent data storage within the same day. In the notification, it shall be stated that the updated security deposit does not meet the total invoice amount; and if the difference amount and security deposit are paid within 15 days from the date of notification, the electricity will be re-connected; and if the debt is not paid, the contract can be terminated and the overdue debt shall be collected through legal means."</w:t>
      </w:r>
    </w:p>
    <w:p w14:paraId="11430065" w14:textId="77777777" w:rsidR="00171C59" w:rsidRPr="009E1B38" w:rsidRDefault="00171C59" w:rsidP="00171C59">
      <w:pPr>
        <w:pStyle w:val="P68B1DB1-Normal7"/>
        <w:ind w:left="709"/>
        <w:jc w:val="left"/>
        <w:rPr>
          <w:lang w:val="en-US"/>
        </w:rPr>
      </w:pPr>
      <w:r w:rsidRPr="009E1B38">
        <w:rPr>
          <w:lang w:val="en-US"/>
        </w:rPr>
        <w:t>“(10) Transactions made within the scope of this article shall not be applied to consumers, whose total debt amount is lower than the connecting/disconnecting fee determined by the Board Decision for the relevant year.”</w:t>
      </w:r>
    </w:p>
    <w:p w14:paraId="5272E5AD"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Clause (b) of the fifth paragraph and the sixth paragraph of the Article 36 titled </w:t>
      </w:r>
      <w:r w:rsidRPr="009E1B38">
        <w:rPr>
          <w:i/>
          <w:lang w:val="en-US"/>
        </w:rPr>
        <w:t>​​"Error detection in invoices and elements of invoicing"</w:t>
      </w:r>
      <w:r w:rsidRPr="009E1B38">
        <w:rPr>
          <w:lang w:val="en-US"/>
        </w:rPr>
        <w:t xml:space="preserve"> have been amended as follows, and the following paragraph has been added to the same article.</w:t>
      </w:r>
    </w:p>
    <w:p w14:paraId="1CE20686" w14:textId="77777777" w:rsidR="00171C59" w:rsidRPr="009E1B38" w:rsidRDefault="00171C59" w:rsidP="00171C59">
      <w:pPr>
        <w:ind w:left="709"/>
        <w:contextualSpacing/>
        <w:jc w:val="left"/>
        <w:rPr>
          <w:rFonts w:ascii="Times New Roman" w:hAnsi="Times New Roman"/>
        </w:rPr>
      </w:pPr>
    </w:p>
    <w:p w14:paraId="26211301" w14:textId="77777777" w:rsidR="00171C59" w:rsidRPr="009E1B38" w:rsidRDefault="00171C59" w:rsidP="00171C59">
      <w:pPr>
        <w:pStyle w:val="P68B1DB1-Normal7"/>
        <w:ind w:left="709"/>
        <w:jc w:val="left"/>
        <w:rPr>
          <w:lang w:val="en-US"/>
        </w:rPr>
      </w:pPr>
      <w:r w:rsidRPr="009E1B38">
        <w:rPr>
          <w:lang w:val="en-US"/>
        </w:rPr>
        <w:t>"b) In case the transaction to be made for the correction of the misdetection is in favor of the consumer, the differences in consumption, together with the late fee, shall be fully returned by the supplier to the relevant consumer in cash within 3 working days at the latest upon the request of the consumer, and in other cases, by offsetting. Late fee shall be imposed until the date of issuance of the payment notification that includes the offsetting. The misdetecting party shall be responsible for the payment of the late fee. In case of misdetection by the distribution company, it shall pay the late fee to the supplier so that it will be paid to the consumer."</w:t>
      </w:r>
    </w:p>
    <w:p w14:paraId="5DE2DC69" w14:textId="77777777" w:rsidR="00171C59" w:rsidRPr="009E1B38" w:rsidRDefault="00171C59" w:rsidP="00171C59">
      <w:pPr>
        <w:pStyle w:val="P68B1DB1-Normal7"/>
        <w:ind w:left="709"/>
        <w:jc w:val="left"/>
        <w:rPr>
          <w:lang w:val="en-US"/>
        </w:rPr>
      </w:pPr>
      <w:r w:rsidRPr="009E1B38">
        <w:rPr>
          <w:lang w:val="en-US"/>
        </w:rPr>
        <w:t>"(6) Within the scope of this article, refunds to be made to consumers due to errors caused by the distribution company shall be made in accordance with the ninth paragraph of Article 37."</w:t>
      </w:r>
    </w:p>
    <w:p w14:paraId="632E9A2F" w14:textId="77777777" w:rsidR="00171C59" w:rsidRPr="009E1B38" w:rsidRDefault="00171C59" w:rsidP="00171C59">
      <w:pPr>
        <w:pStyle w:val="P68B1DB1-Normal7"/>
        <w:ind w:left="709"/>
        <w:jc w:val="left"/>
        <w:rPr>
          <w:lang w:val="en-US"/>
        </w:rPr>
      </w:pPr>
      <w:r w:rsidRPr="009E1B38">
        <w:rPr>
          <w:lang w:val="en-US"/>
        </w:rPr>
        <w:t>“(7) The invoices to be issued within the scope of this article, shall include detailed information about the cause and amount of the error and consumers shall be informed via text message.”</w:t>
      </w:r>
    </w:p>
    <w:p w14:paraId="0DDDE873"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Clause (b) of the first paragraph and the second, third, seventh, eighth and ninth paragraphs of Article 37 titled </w:t>
      </w:r>
      <w:r w:rsidRPr="009E1B38">
        <w:rPr>
          <w:i/>
          <w:lang w:val="en-US"/>
        </w:rPr>
        <w:t>"Determination of the amount of consumption in case of misrecording of the consumption by the meter"</w:t>
      </w:r>
      <w:r w:rsidRPr="009E1B38">
        <w:rPr>
          <w:lang w:val="en-US"/>
        </w:rPr>
        <w:t xml:space="preserve"> have been amended as follows and the following paragraph has been added to the same article.</w:t>
      </w:r>
    </w:p>
    <w:p w14:paraId="152B426C" w14:textId="77777777" w:rsidR="00171C59" w:rsidRPr="009E1B38" w:rsidRDefault="00171C59" w:rsidP="00171C59">
      <w:pPr>
        <w:ind w:left="709"/>
        <w:contextualSpacing/>
        <w:jc w:val="left"/>
        <w:rPr>
          <w:rFonts w:ascii="Times New Roman" w:hAnsi="Times New Roman"/>
        </w:rPr>
      </w:pPr>
    </w:p>
    <w:p w14:paraId="379FD704" w14:textId="77777777" w:rsidR="00171C59" w:rsidRPr="009E1B38" w:rsidRDefault="00171C59" w:rsidP="00171C59">
      <w:pPr>
        <w:pStyle w:val="P68B1DB1-Normal7"/>
        <w:ind w:left="709"/>
        <w:jc w:val="left"/>
        <w:rPr>
          <w:lang w:val="en-US"/>
        </w:rPr>
      </w:pPr>
      <w:r w:rsidRPr="009E1B38">
        <w:rPr>
          <w:lang w:val="en-US"/>
        </w:rPr>
        <w:t>"b) If it is caused by the meter, and this situation is technically determined in the meter inspection report received from the provincial directorate of industry and technology"</w:t>
      </w:r>
    </w:p>
    <w:p w14:paraId="0A088D9F" w14:textId="77777777" w:rsidR="00171C59" w:rsidRPr="009E1B38" w:rsidRDefault="00171C59" w:rsidP="00171C59">
      <w:pPr>
        <w:pStyle w:val="P68B1DB1-Normal7"/>
        <w:ind w:left="709"/>
        <w:jc w:val="left"/>
        <w:rPr>
          <w:lang w:val="en-US"/>
        </w:rPr>
      </w:pPr>
      <w:r w:rsidRPr="009E1B38">
        <w:rPr>
          <w:lang w:val="en-US"/>
        </w:rPr>
        <w:t>"(2) In the calculations made within the scope of this article; if available, the calculation shall be made by taking into account the previous healthy consumption values of the consumer recorded in the same period, otherwise, by taking into account the daily average consumption values of the first two consumption periods of the payment notification after the meter change date. In the event that these two determinations cannot be made, the consumption of the previous period shall be calculated by taking into account the consumption of the places of use with similar characteristics. In the calculations for the consumers whose purpose of use is agricultural irrigation, the product can be determined according to the on-site determinations with the documents obtained from the provincial/district directorates of agriculture and official institutions, and the calculation can be made in accordance with the product characteristics.</w:t>
      </w:r>
    </w:p>
    <w:p w14:paraId="052DC616" w14:textId="77777777" w:rsidR="00171C59" w:rsidRPr="009E1B38" w:rsidRDefault="00171C59" w:rsidP="00171C59">
      <w:pPr>
        <w:pStyle w:val="P68B1DB1-Normal7"/>
        <w:ind w:left="709"/>
        <w:jc w:val="left"/>
        <w:rPr>
          <w:lang w:val="en-US"/>
        </w:rPr>
      </w:pPr>
      <w:r w:rsidRPr="009E1B38">
        <w:rPr>
          <w:lang w:val="en-US"/>
        </w:rPr>
        <w:lastRenderedPageBreak/>
        <w:t>(3) In the event that the invoice issued within the scope of this article is in favor of the distribution company and/or supplier, and the correct findings and documents are found, the duration of the invoice shall not exceed 180 days. In the absence of such findings and documents, the latest date of transaction, such as the meter control, sealing, connecting-disconnecting and meter change procedures conducted by the distribution company in the meter location, shall be taken as the beginning of the period of the invoice. However, this period cannot exceed 90 days."</w:t>
      </w:r>
    </w:p>
    <w:p w14:paraId="4814EBBF" w14:textId="77777777" w:rsidR="00171C59" w:rsidRPr="009E1B38" w:rsidRDefault="00171C59" w:rsidP="00171C59">
      <w:pPr>
        <w:pStyle w:val="P68B1DB1-Normal7"/>
        <w:ind w:left="709"/>
        <w:jc w:val="left"/>
        <w:rPr>
          <w:lang w:val="en-US"/>
        </w:rPr>
      </w:pPr>
      <w:r w:rsidRPr="009E1B38">
        <w:rPr>
          <w:lang w:val="en-US"/>
        </w:rPr>
        <w:t>"(7) If it is determined by the calculations within the scope of this article that overconsumption has been recorded, the differences in consumption, together with the unit prices of the period of use and the late fee, shall be fully returned to the relevant consumer by the supplier in cash within 3 business days upon the request of the consumer in accordance with the payment method preferred by the consumer. In other cases, it shall be returned to the relevant consumer by offsetting. Late fee shall be imposed until the date of issuance of the payment notification that includes the offsetting. The default interest, calculated under this paragraph, shall be paid to the supplier by the distribution company.</w:t>
      </w:r>
    </w:p>
    <w:p w14:paraId="65A4C93D" w14:textId="77777777" w:rsidR="00171C59" w:rsidRPr="009E1B38" w:rsidRDefault="00171C59" w:rsidP="00171C59">
      <w:pPr>
        <w:pStyle w:val="P68B1DB1-Normal7"/>
        <w:ind w:left="709"/>
        <w:jc w:val="left"/>
        <w:rPr>
          <w:lang w:val="en-US"/>
        </w:rPr>
      </w:pPr>
      <w:r w:rsidRPr="009E1B38">
        <w:rPr>
          <w:lang w:val="en-US"/>
        </w:rPr>
        <w:t>(8) For the calculations within the scope of this article, the form in ANNEX-7 shall be issued and ANNEX-7 form shall be sent to the consumer by the relevant supply company together with the payment notification/invoice, or before the payment notification/invoice is sent. A sample of the meter inspection report or technical determination report shall be sent to the consumer together with the Annex-7 form. In addition, consumers shall be informed by the supplier with a permanent data storage.</w:t>
      </w:r>
    </w:p>
    <w:p w14:paraId="7DC9149B" w14:textId="4140F934" w:rsidR="00171C59" w:rsidRPr="009E1B38" w:rsidRDefault="00171C59" w:rsidP="00171C59">
      <w:pPr>
        <w:pStyle w:val="P68B1DB1-Normal7"/>
        <w:ind w:left="709"/>
        <w:jc w:val="left"/>
        <w:rPr>
          <w:lang w:val="en-US"/>
        </w:rPr>
      </w:pPr>
      <w:r w:rsidRPr="009E1B38">
        <w:rPr>
          <w:lang w:val="en-US"/>
        </w:rPr>
        <w:t xml:space="preserve">(9) Corrections and invoicing procedures, regarding the returns to be made to the consumers within the scope of this </w:t>
      </w:r>
      <w:r w:rsidR="009E1B38" w:rsidRPr="009E1B38">
        <w:rPr>
          <w:lang w:val="en-US"/>
        </w:rPr>
        <w:t>article, which</w:t>
      </w:r>
      <w:r w:rsidRPr="009E1B38">
        <w:rPr>
          <w:lang w:val="en-US"/>
        </w:rPr>
        <w:t xml:space="preserve"> cannot be conducted in accordance with the provisions of the legislation on Balancing and Settlement shall be carried out by the distribution company. The distribution company shall calculate the consumption amount to be refunded within the scope of tariffs subject to regulation, with the approved fees and late fee, for the relevant consumer group, and shall make the full refund to the consumer in cash within 3 business days, according to the payment method preferred by the consumer."</w:t>
      </w:r>
    </w:p>
    <w:p w14:paraId="26286A48" w14:textId="77777777" w:rsidR="00171C59" w:rsidRPr="009E1B38" w:rsidRDefault="00171C59" w:rsidP="00171C59">
      <w:pPr>
        <w:pStyle w:val="P68B1DB1-Normal7"/>
        <w:ind w:left="709"/>
        <w:jc w:val="left"/>
        <w:rPr>
          <w:lang w:val="en-US"/>
        </w:rPr>
      </w:pPr>
      <w:r w:rsidRPr="009E1B38">
        <w:rPr>
          <w:lang w:val="en-US"/>
        </w:rPr>
        <w:t>"(11) The invoices to be issued within the scope of this article shall be issued separately from the normal consumption invoice."</w:t>
      </w:r>
    </w:p>
    <w:p w14:paraId="77821C40"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Clause (b) of the second paragraph and the seventh paragraph of Article 43 titled </w:t>
      </w:r>
      <w:r w:rsidRPr="009E1B38">
        <w:rPr>
          <w:i/>
          <w:lang w:val="en-US"/>
        </w:rPr>
        <w:t>"Illegal electrical energy detection process"</w:t>
      </w:r>
      <w:r w:rsidRPr="009E1B38">
        <w:rPr>
          <w:lang w:val="en-US"/>
        </w:rPr>
        <w:t xml:space="preserve"> have been amended as follows, and the sixth paragraph of this article has been repealed.</w:t>
      </w:r>
    </w:p>
    <w:p w14:paraId="5582CA1F" w14:textId="77777777" w:rsidR="00171C59" w:rsidRPr="009E1B38" w:rsidRDefault="00171C59" w:rsidP="00171C59">
      <w:pPr>
        <w:ind w:left="709"/>
        <w:contextualSpacing/>
        <w:jc w:val="left"/>
        <w:rPr>
          <w:rFonts w:ascii="Times New Roman" w:hAnsi="Times New Roman"/>
        </w:rPr>
      </w:pPr>
    </w:p>
    <w:p w14:paraId="1590DF4E" w14:textId="77777777" w:rsidR="00171C59" w:rsidRPr="009E1B38" w:rsidRDefault="00171C59" w:rsidP="00171C59">
      <w:pPr>
        <w:pStyle w:val="P68B1DB1-Normal7"/>
        <w:ind w:left="709"/>
        <w:jc w:val="left"/>
        <w:rPr>
          <w:lang w:val="en-US"/>
        </w:rPr>
      </w:pPr>
      <w:r w:rsidRPr="009E1B38">
        <w:rPr>
          <w:lang w:val="en-US"/>
        </w:rPr>
        <w:t>“b) A meter change report containing all the information in ANNEX-6 regarding the installed and removed meters shall be issued, and a copy of this report shall be left at the place of use. If the contact information is available, consumers shall be informed by text message. In addition, within the scope of the seventh paragraph, the meters shall be photographed in such a way that their serial numbers can be seen."</w:t>
      </w:r>
    </w:p>
    <w:p w14:paraId="71D37738" w14:textId="77777777" w:rsidR="00171C59" w:rsidRPr="009E1B38" w:rsidRDefault="00171C59" w:rsidP="00171C59">
      <w:pPr>
        <w:pStyle w:val="P68B1DB1-Normal7"/>
        <w:ind w:left="709"/>
        <w:jc w:val="left"/>
        <w:rPr>
          <w:lang w:val="en-US"/>
        </w:rPr>
      </w:pPr>
      <w:r w:rsidRPr="009E1B38">
        <w:rPr>
          <w:lang w:val="en-US"/>
        </w:rPr>
        <w:t>"(7) Detections and procedures conducted within the scope of this article shall be photographed in a way that shall include the place of use."</w:t>
      </w:r>
    </w:p>
    <w:p w14:paraId="58918EE9"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The first paragraph of Article 47 titled </w:t>
      </w:r>
      <w:r w:rsidRPr="009E1B38">
        <w:rPr>
          <w:i/>
          <w:lang w:val="en-US"/>
        </w:rPr>
        <w:t>"Prepayment"</w:t>
      </w:r>
      <w:r w:rsidRPr="009E1B38">
        <w:rPr>
          <w:lang w:val="en-US"/>
        </w:rPr>
        <w:t xml:space="preserve"> has been amended as follows.</w:t>
      </w:r>
    </w:p>
    <w:p w14:paraId="63246C51" w14:textId="77777777" w:rsidR="00171C59" w:rsidRPr="009E1B38" w:rsidRDefault="00171C59" w:rsidP="00171C59">
      <w:pPr>
        <w:ind w:left="709"/>
        <w:contextualSpacing/>
        <w:jc w:val="left"/>
        <w:rPr>
          <w:rFonts w:ascii="Times New Roman" w:hAnsi="Times New Roman"/>
        </w:rPr>
      </w:pPr>
    </w:p>
    <w:p w14:paraId="075C39F1" w14:textId="090C54FF" w:rsidR="00171C59" w:rsidRPr="009E1B38" w:rsidRDefault="00171C59" w:rsidP="00171C59">
      <w:pPr>
        <w:pStyle w:val="P68B1DB1-Normal7"/>
        <w:ind w:left="709"/>
        <w:jc w:val="left"/>
        <w:rPr>
          <w:lang w:val="en-US"/>
        </w:rPr>
      </w:pPr>
      <w:r w:rsidRPr="009E1B38">
        <w:rPr>
          <w:lang w:val="en-US"/>
        </w:rPr>
        <w:lastRenderedPageBreak/>
        <w:t xml:space="preserve">“(1) The illegal electricity consumption invoice shall be sent to the consumers within 3 business days at the latest from the detection date of illegal electricity. Except for illegal electricity invoiced issued by using meter values within the scope of clause (a) and clause (ç) of the first paragraph of Article 42, illegal electricity invoices shall be sent by registered mail with return receipt. In addition, </w:t>
      </w:r>
      <w:r w:rsidR="009E1B38" w:rsidRPr="009E1B38">
        <w:rPr>
          <w:lang w:val="en-US"/>
        </w:rPr>
        <w:t>if</w:t>
      </w:r>
      <w:r w:rsidRPr="009E1B38">
        <w:rPr>
          <w:lang w:val="en-US"/>
        </w:rPr>
        <w:t xml:space="preserve"> the contact information is available, consumers shall be informed by text message. The consumer who is detected to have consumed illegal electricity, shall be obliged to pay the invoiced amount until the due date. The invoice can be paid by credit card. At least 10 days shall be given for payment of the invoice sent to the consumer. An objection to the invoice shall not eliminate the payment obligation. The cost of invoices sent by registered mail with return receipt shall be covered by the relevant consumer. The said cost shall be added to the invoice which is sent to the relevant consumer."</w:t>
      </w:r>
    </w:p>
    <w:p w14:paraId="78279635"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The third paragraph of Article 49 titled </w:t>
      </w:r>
      <w:r w:rsidRPr="009E1B38">
        <w:rPr>
          <w:i/>
          <w:lang w:val="en-US"/>
        </w:rPr>
        <w:t>"Disconnection and connection of electricity"</w:t>
      </w:r>
      <w:r w:rsidRPr="009E1B38">
        <w:rPr>
          <w:lang w:val="en-US"/>
        </w:rPr>
        <w:t xml:space="preserve"> has been amended as follows and the following paragraphs have been added to the same article.</w:t>
      </w:r>
    </w:p>
    <w:p w14:paraId="21BA7048" w14:textId="77777777" w:rsidR="00171C59" w:rsidRPr="009E1B38" w:rsidRDefault="00171C59" w:rsidP="00171C59">
      <w:pPr>
        <w:ind w:left="709"/>
        <w:contextualSpacing/>
        <w:jc w:val="left"/>
        <w:rPr>
          <w:rFonts w:ascii="Times New Roman" w:hAnsi="Times New Roman"/>
        </w:rPr>
      </w:pPr>
    </w:p>
    <w:p w14:paraId="08724BE8" w14:textId="5D95411F" w:rsidR="00171C59" w:rsidRPr="009E1B38" w:rsidRDefault="00171C59" w:rsidP="00171C59">
      <w:pPr>
        <w:pStyle w:val="P68B1DB1-Normal7"/>
        <w:spacing w:after="0"/>
        <w:ind w:left="709"/>
        <w:jc w:val="left"/>
        <w:rPr>
          <w:lang w:val="en-US"/>
        </w:rPr>
      </w:pPr>
      <w:r w:rsidRPr="009E1B38">
        <w:rPr>
          <w:lang w:val="en-US"/>
        </w:rPr>
        <w:t xml:space="preserve">"(3) Upon the fulfillment of the relevant obligations for the place of use, where the electricity has been cut within the scope of this article, the supplier shall notify the </w:t>
      </w:r>
      <w:r w:rsidR="009E1B38" w:rsidRPr="009E1B38">
        <w:rPr>
          <w:lang w:val="en-US"/>
        </w:rPr>
        <w:t>distribution</w:t>
      </w:r>
      <w:r w:rsidRPr="009E1B38">
        <w:rPr>
          <w:lang w:val="en-US"/>
        </w:rPr>
        <w:t xml:space="preserve"> company within the same day, for the cases concerning the supplier. From the moment the notification is made, or from the moment the obligation towards the distribution company is fulfilled, the distribution company shall reconnect the electricity</w:t>
      </w:r>
    </w:p>
    <w:p w14:paraId="23D6BD47" w14:textId="77777777" w:rsidR="00171C59" w:rsidRPr="009E1B38" w:rsidRDefault="00171C59" w:rsidP="00171C59">
      <w:pPr>
        <w:pStyle w:val="P68B1DB1-Normal7"/>
        <w:spacing w:after="0"/>
        <w:ind w:left="709"/>
        <w:jc w:val="left"/>
        <w:rPr>
          <w:lang w:val="en-US"/>
        </w:rPr>
      </w:pPr>
      <w:r w:rsidRPr="009E1B38">
        <w:rPr>
          <w:lang w:val="en-US"/>
        </w:rPr>
        <w:t>a) within 24 hours in urban and suburban distribution area,</w:t>
      </w:r>
    </w:p>
    <w:p w14:paraId="002816E7" w14:textId="77777777" w:rsidR="00171C59" w:rsidRPr="009E1B38" w:rsidRDefault="00171C59" w:rsidP="00171C59">
      <w:pPr>
        <w:pStyle w:val="P68B1DB1-Normal7"/>
        <w:spacing w:after="0"/>
        <w:ind w:left="709"/>
        <w:jc w:val="left"/>
        <w:rPr>
          <w:lang w:val="en-US"/>
        </w:rPr>
      </w:pPr>
      <w:r w:rsidRPr="009E1B38">
        <w:rPr>
          <w:lang w:val="en-US"/>
        </w:rPr>
        <w:t>b) within 48 hours in the rural distribution area.</w:t>
      </w:r>
    </w:p>
    <w:p w14:paraId="1D0341AF" w14:textId="177F35AF" w:rsidR="00171C59" w:rsidRPr="009E1B38" w:rsidRDefault="00171C59" w:rsidP="00171C59">
      <w:pPr>
        <w:pStyle w:val="P68B1DB1-Normal7"/>
        <w:spacing w:after="0"/>
        <w:ind w:left="709"/>
        <w:jc w:val="left"/>
        <w:rPr>
          <w:lang w:val="en-US"/>
        </w:rPr>
      </w:pPr>
      <w:r w:rsidRPr="009E1B38">
        <w:rPr>
          <w:lang w:val="en-US"/>
        </w:rPr>
        <w:t>After the connection process to be made, the notification of connection shall be left to the consumer in writing. It is mandatory to include the date and time of the connection and the last index value in the notification of connection. In addition, if found, notification shall be made by text message."</w:t>
      </w:r>
    </w:p>
    <w:p w14:paraId="20FB9F09" w14:textId="77777777" w:rsidR="00171C59" w:rsidRPr="009E1B38" w:rsidRDefault="00171C59" w:rsidP="00171C59">
      <w:pPr>
        <w:spacing w:after="0"/>
        <w:ind w:left="709"/>
        <w:jc w:val="left"/>
        <w:rPr>
          <w:rFonts w:ascii="Times New Roman" w:hAnsi="Times New Roman"/>
          <w:i/>
        </w:rPr>
      </w:pPr>
    </w:p>
    <w:p w14:paraId="7010D091" w14:textId="77777777" w:rsidR="00171C59" w:rsidRPr="009E1B38" w:rsidRDefault="00171C59" w:rsidP="00171C59">
      <w:pPr>
        <w:pStyle w:val="P68B1DB1-Normal7"/>
        <w:ind w:left="709"/>
        <w:jc w:val="left"/>
        <w:rPr>
          <w:lang w:val="en-US"/>
        </w:rPr>
      </w:pPr>
      <w:r w:rsidRPr="009E1B38">
        <w:rPr>
          <w:lang w:val="en-US"/>
        </w:rPr>
        <w:t>“(5) The data of the disconnection process within the scope of this article shall be stored with the time stamp provided by TÜBITAK Public Certification Center following the disconnection.</w:t>
      </w:r>
    </w:p>
    <w:p w14:paraId="501E42A3" w14:textId="77777777" w:rsidR="00171C59" w:rsidRPr="009E1B38" w:rsidRDefault="00171C59" w:rsidP="00171C59">
      <w:pPr>
        <w:pStyle w:val="P68B1DB1-Normal7"/>
        <w:ind w:left="709"/>
        <w:jc w:val="left"/>
        <w:rPr>
          <w:lang w:val="en-US"/>
        </w:rPr>
      </w:pPr>
      <w:r w:rsidRPr="009E1B38">
        <w:rPr>
          <w:lang w:val="en-US"/>
        </w:rPr>
        <w:t>(6) The disconnection process for the overdue debts shall be conducted between 08: 00-15:00 on Monday, Tuesday, Wednesday and Thursday. Disconnection shall not be conducted on official, religious and general holidays, and one day before the aforementioned.</w:t>
      </w:r>
    </w:p>
    <w:p w14:paraId="33EF39B6"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The first paragraph of Article 51 titled </w:t>
      </w:r>
      <w:r w:rsidRPr="009E1B38">
        <w:rPr>
          <w:i/>
          <w:lang w:val="en-US"/>
        </w:rPr>
        <w:t>"Meter control"</w:t>
      </w:r>
      <w:r w:rsidRPr="009E1B38">
        <w:rPr>
          <w:lang w:val="en-US"/>
        </w:rPr>
        <w:t xml:space="preserve"> has been amended as follows.</w:t>
      </w:r>
    </w:p>
    <w:p w14:paraId="7B85D46E" w14:textId="77777777" w:rsidR="00171C59" w:rsidRPr="009E1B38" w:rsidRDefault="00171C59" w:rsidP="00171C59">
      <w:pPr>
        <w:ind w:left="709"/>
        <w:contextualSpacing/>
        <w:jc w:val="left"/>
        <w:rPr>
          <w:rFonts w:ascii="Times New Roman" w:hAnsi="Times New Roman"/>
        </w:rPr>
      </w:pPr>
    </w:p>
    <w:p w14:paraId="58336D94" w14:textId="77777777" w:rsidR="00171C59" w:rsidRPr="009E1B38" w:rsidRDefault="00171C59" w:rsidP="00171C59">
      <w:pPr>
        <w:pStyle w:val="P68B1DB1-Normal7"/>
        <w:ind w:left="709"/>
        <w:jc w:val="left"/>
        <w:rPr>
          <w:lang w:val="en-US"/>
        </w:rPr>
      </w:pPr>
      <w:r w:rsidRPr="009E1B38">
        <w:rPr>
          <w:lang w:val="en-US"/>
        </w:rPr>
        <w:t>“(1) In case of a meter fault or a suspicion of the measurement accuracy, the control of the meter may be requested by the relevant legal entity or consumer. This request shall be met by the distribution license holder legal entity, within the framework of the provisions of the Law on Weights and Measurements dated 11/1/1989 and numbered 3516. If it is determined that the meter records the correct consumption, the meter control fee shall be covered by the requestor. The meter shall be removed and replaced by the relevant distribution company within 10 business days from the request of the consumer for meter control. A copy of the meter replacement report shall be left at the place of use and consumers shall be informed by text message if contact information is available."</w:t>
      </w:r>
    </w:p>
    <w:p w14:paraId="47FFBD14"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 xml:space="preserve">The following paragraph has been added to Article 52 titled </w:t>
      </w:r>
      <w:r w:rsidRPr="009E1B38">
        <w:rPr>
          <w:i/>
          <w:lang w:val="en-US"/>
        </w:rPr>
        <w:t>"Protection of consumers</w:t>
      </w:r>
      <w:r w:rsidRPr="009E1B38">
        <w:rPr>
          <w:lang w:val="en-US"/>
        </w:rPr>
        <w:t xml:space="preserve"> ".</w:t>
      </w:r>
    </w:p>
    <w:p w14:paraId="39057AD6" w14:textId="77777777" w:rsidR="00171C59" w:rsidRPr="009E1B38" w:rsidRDefault="00171C59" w:rsidP="00171C59">
      <w:pPr>
        <w:ind w:left="709"/>
        <w:contextualSpacing/>
        <w:jc w:val="left"/>
        <w:rPr>
          <w:rFonts w:ascii="Times New Roman" w:hAnsi="Times New Roman"/>
        </w:rPr>
      </w:pPr>
    </w:p>
    <w:p w14:paraId="22464407" w14:textId="77777777" w:rsidR="00171C59" w:rsidRPr="009E1B38" w:rsidRDefault="00171C59" w:rsidP="00171C59">
      <w:pPr>
        <w:pStyle w:val="P68B1DB1-Normal7"/>
        <w:ind w:left="709"/>
        <w:jc w:val="left"/>
        <w:rPr>
          <w:lang w:val="en-US"/>
        </w:rPr>
      </w:pPr>
      <w:r w:rsidRPr="009E1B38">
        <w:rPr>
          <w:lang w:val="en-US"/>
        </w:rPr>
        <w:lastRenderedPageBreak/>
        <w:t>“(7) Electricity of consumers over 65 years of age who are in the residential consumer group with a retail contract on their behalf, disabled consumers who submit the health board report stating that they are more than 40 percent disabled to the supply company in charge, and consumers in the Martyr Families and War Veterans residential sub-consumer group, can be disconnected in case of proof that they have been informed by the supply company in charge that the invoices of a single place of use are not paid on time for at least three consecutive periods during the year and that the disconnection shall be conducted. If installment is requested for the payment of the debt, the installment shall be made by the suppliers. The installment period is a maximum of four months."</w:t>
      </w:r>
    </w:p>
    <w:p w14:paraId="7CAC83AD" w14:textId="77777777" w:rsidR="00171C59" w:rsidRPr="009E1B38" w:rsidRDefault="00171C59" w:rsidP="003C5E4D">
      <w:pPr>
        <w:pStyle w:val="P68B1DB1-Normal2"/>
        <w:numPr>
          <w:ilvl w:val="0"/>
          <w:numId w:val="20"/>
        </w:numPr>
        <w:spacing w:after="160" w:line="259" w:lineRule="auto"/>
        <w:ind w:left="709" w:firstLine="0"/>
        <w:contextualSpacing/>
        <w:jc w:val="left"/>
        <w:rPr>
          <w:lang w:val="en-US"/>
        </w:rPr>
      </w:pPr>
      <w:r w:rsidRPr="009E1B38">
        <w:rPr>
          <w:lang w:val="en-US"/>
        </w:rPr>
        <w:t>ANNEX-2/B, ANNEX-3, ANNEX-4/A, ANNEX-4/B and ANNEX-7 in the annex of the same Regulation have been amended as attached.</w:t>
      </w:r>
    </w:p>
    <w:p w14:paraId="01447A77" w14:textId="77777777" w:rsidR="00171C59" w:rsidRPr="009E1B38" w:rsidRDefault="00171C59" w:rsidP="00171C59">
      <w:pPr>
        <w:pStyle w:val="ListeParagraf"/>
        <w:spacing w:after="0"/>
        <w:ind w:left="709"/>
        <w:jc w:val="left"/>
        <w:rPr>
          <w:rFonts w:ascii="Times New Roman" w:hAnsi="Times New Roman"/>
          <w:i/>
        </w:rPr>
      </w:pPr>
    </w:p>
    <w:p w14:paraId="3B1AC906" w14:textId="77777777" w:rsidR="00171C59" w:rsidRPr="009E1B38" w:rsidRDefault="00171C59" w:rsidP="003C5E4D">
      <w:pPr>
        <w:pStyle w:val="P68B1DB1-Normal2"/>
        <w:numPr>
          <w:ilvl w:val="0"/>
          <w:numId w:val="16"/>
        </w:numPr>
        <w:spacing w:after="160" w:line="259" w:lineRule="auto"/>
        <w:ind w:left="709" w:firstLine="0"/>
        <w:contextualSpacing/>
        <w:jc w:val="left"/>
        <w:rPr>
          <w:b/>
          <w:lang w:val="en-US"/>
        </w:rPr>
      </w:pPr>
      <w:r w:rsidRPr="009E1B38">
        <w:rPr>
          <w:lang w:val="en-US"/>
        </w:rPr>
        <w:t xml:space="preserve">In the Amending Regulation and Regulation on </w:t>
      </w:r>
      <w:r w:rsidRPr="009E1B38">
        <w:rPr>
          <w:b/>
          <w:lang w:val="en-US"/>
        </w:rPr>
        <w:t>Electricity Market Consumer Services</w:t>
      </w:r>
      <w:r w:rsidRPr="009E1B38">
        <w:rPr>
          <w:lang w:val="en-US"/>
        </w:rPr>
        <w:t>, published in the Official Gazette dated 20.02.2021 and numbered 31401,</w:t>
      </w:r>
    </w:p>
    <w:p w14:paraId="0D9EC1F4" w14:textId="77777777" w:rsidR="00171C59" w:rsidRPr="009E1B38" w:rsidRDefault="00171C59" w:rsidP="00171C59">
      <w:pPr>
        <w:ind w:left="709"/>
        <w:contextualSpacing/>
        <w:jc w:val="left"/>
        <w:rPr>
          <w:rFonts w:ascii="Times New Roman" w:hAnsi="Times New Roman"/>
          <w:b/>
        </w:rPr>
      </w:pPr>
    </w:p>
    <w:p w14:paraId="1E835342" w14:textId="77777777" w:rsidR="00171C59" w:rsidRPr="009E1B38" w:rsidRDefault="00171C59" w:rsidP="003C5E4D">
      <w:pPr>
        <w:pStyle w:val="P68B1DB1-Normal2"/>
        <w:numPr>
          <w:ilvl w:val="0"/>
          <w:numId w:val="21"/>
        </w:numPr>
        <w:spacing w:after="160" w:line="259" w:lineRule="auto"/>
        <w:ind w:left="709" w:firstLine="0"/>
        <w:contextualSpacing/>
        <w:jc w:val="left"/>
        <w:rPr>
          <w:b/>
          <w:lang w:val="en-US"/>
        </w:rPr>
      </w:pPr>
      <w:r w:rsidRPr="009E1B38">
        <w:rPr>
          <w:lang w:val="en-US"/>
        </w:rPr>
        <w:t xml:space="preserve">The fifth paragraph of Article 133 titled </w:t>
      </w:r>
      <w:r w:rsidRPr="009E1B38">
        <w:rPr>
          <w:i/>
          <w:lang w:val="en-US"/>
        </w:rPr>
        <w:t>"Objections"</w:t>
      </w:r>
      <w:r w:rsidRPr="009E1B38">
        <w:rPr>
          <w:lang w:val="en-US"/>
        </w:rPr>
        <w:t xml:space="preserve"> has been amended as follows.</w:t>
      </w:r>
    </w:p>
    <w:p w14:paraId="2F1DC57F" w14:textId="77777777" w:rsidR="00171C59" w:rsidRPr="009E1B38" w:rsidRDefault="00171C59" w:rsidP="00171C59">
      <w:pPr>
        <w:ind w:left="709"/>
        <w:contextualSpacing/>
        <w:jc w:val="left"/>
        <w:rPr>
          <w:rFonts w:ascii="Times New Roman" w:hAnsi="Times New Roman"/>
          <w:b/>
        </w:rPr>
      </w:pPr>
    </w:p>
    <w:p w14:paraId="242E6DA8" w14:textId="77777777" w:rsidR="00171C59" w:rsidRPr="009E1B38" w:rsidRDefault="00171C59" w:rsidP="00171C59">
      <w:pPr>
        <w:pStyle w:val="P68B1DB1-Normal7"/>
        <w:ind w:left="709"/>
        <w:contextualSpacing/>
        <w:jc w:val="left"/>
        <w:rPr>
          <w:lang w:val="en-US"/>
        </w:rPr>
      </w:pPr>
      <w:r w:rsidRPr="009E1B38">
        <w:rPr>
          <w:lang w:val="en-US"/>
        </w:rPr>
        <w:t>"(5) In the event that the objection applications for the invoice period have not been made in writing within 60 days from the date of invoice notification, and which have been made for invoices more than 12 months before the date of application, shall be evaluated and finalized by the Market Operator within 3 months following the objection application, or in the event that other errors are detected by the Market Operator, the necessary correction process shall be carried out. The correction made shall be notified to the market participant in writing or via MMS."</w:t>
      </w:r>
    </w:p>
    <w:p w14:paraId="24319BAD" w14:textId="77777777" w:rsidR="00171C59" w:rsidRPr="009E1B38" w:rsidRDefault="00171C59" w:rsidP="003C5E4D">
      <w:pPr>
        <w:pStyle w:val="P68B1DB1-ListeParagraf5"/>
        <w:numPr>
          <w:ilvl w:val="0"/>
          <w:numId w:val="16"/>
        </w:numPr>
        <w:spacing w:after="160" w:line="259" w:lineRule="auto"/>
        <w:ind w:left="709" w:firstLine="0"/>
        <w:jc w:val="left"/>
        <w:rPr>
          <w:b/>
          <w:lang w:val="en-US"/>
        </w:rPr>
      </w:pPr>
      <w:r w:rsidRPr="009E1B38">
        <w:rPr>
          <w:lang w:val="en-US"/>
        </w:rPr>
        <w:t>In the Amending Regulation and the</w:t>
      </w:r>
      <w:r w:rsidRPr="009E1B38">
        <w:rPr>
          <w:color w:val="FF0000"/>
          <w:lang w:val="en-US"/>
        </w:rPr>
        <w:t xml:space="preserve"> </w:t>
      </w:r>
      <w:r w:rsidRPr="009E1B38">
        <w:rPr>
          <w:b/>
          <w:lang w:val="en-US"/>
        </w:rPr>
        <w:t>Regulation on the Organizational Structure and Working Principles of Energy Exchange Istanbul</w:t>
      </w:r>
      <w:r w:rsidRPr="009E1B38">
        <w:rPr>
          <w:lang w:val="en-US"/>
        </w:rPr>
        <w:t>, published in the Official Gazette dated 04.03.2021 and numbered 31413</w:t>
      </w:r>
    </w:p>
    <w:p w14:paraId="1E2E06EE" w14:textId="77777777" w:rsidR="00171C59" w:rsidRPr="009E1B38" w:rsidRDefault="00171C59" w:rsidP="00171C59">
      <w:pPr>
        <w:pStyle w:val="ListeParagraf"/>
        <w:spacing w:after="0"/>
        <w:ind w:left="709"/>
        <w:jc w:val="left"/>
        <w:rPr>
          <w:rFonts w:ascii="Times New Roman" w:hAnsi="Times New Roman"/>
        </w:rPr>
      </w:pPr>
    </w:p>
    <w:p w14:paraId="66CC8C16" w14:textId="77777777" w:rsidR="00171C59" w:rsidRPr="009E1B38" w:rsidRDefault="00171C59" w:rsidP="003C5E4D">
      <w:pPr>
        <w:pStyle w:val="P68B1DB1-ListeParagraf5"/>
        <w:numPr>
          <w:ilvl w:val="0"/>
          <w:numId w:val="22"/>
        </w:numPr>
        <w:spacing w:after="160" w:line="259" w:lineRule="auto"/>
        <w:ind w:left="709" w:firstLine="0"/>
        <w:jc w:val="left"/>
        <w:rPr>
          <w:b/>
          <w:lang w:val="en-US"/>
        </w:rPr>
      </w:pPr>
      <w:r w:rsidRPr="009E1B38">
        <w:rPr>
          <w:lang w:val="en-US"/>
        </w:rPr>
        <w:t xml:space="preserve">the clauses (g), (ğ), (h) and (m) of the first paragraph of Article 4 titled </w:t>
      </w:r>
      <w:r w:rsidRPr="009E1B38">
        <w:rPr>
          <w:i/>
          <w:lang w:val="en-US"/>
        </w:rPr>
        <w:t>"Definitions and abbreviations"</w:t>
      </w:r>
      <w:r w:rsidRPr="009E1B38">
        <w:rPr>
          <w:lang w:val="en-US"/>
        </w:rPr>
        <w:t xml:space="preserve"> have been amended as follows, the clause (i) has been repealed and the following clauses have been added to the same paragraph.</w:t>
      </w:r>
    </w:p>
    <w:p w14:paraId="5027079A" w14:textId="77777777" w:rsidR="00171C59" w:rsidRPr="009E1B38" w:rsidRDefault="00171C59" w:rsidP="00171C59">
      <w:pPr>
        <w:pStyle w:val="P68B1DB1-Normal7"/>
        <w:spacing w:after="0"/>
        <w:ind w:left="709"/>
        <w:jc w:val="left"/>
        <w:rPr>
          <w:lang w:val="en-US"/>
        </w:rPr>
      </w:pPr>
      <w:r w:rsidRPr="009E1B38">
        <w:rPr>
          <w:lang w:val="en-US"/>
        </w:rPr>
        <w:t>"g) Organized wholesale electricity markets: Electricity markets such as day ahead market, intraday market and other electricity markets requiring future date physical delivery, which are organized and operated by a central intermediary legal entity holding a market operation license, and where electricity energy, capacity or retail purchase is realized and standardized electricity contracts, and the markets operated by Istanbul Stock Exchange where byproducts based on electricity energy and/or capacity are exchanged, and balancing power market and ancillary services market organized and operated by Turkish Electricity Transmission Corporation,</w:t>
      </w:r>
    </w:p>
    <w:p w14:paraId="045B7019" w14:textId="77777777" w:rsidR="00171C59" w:rsidRPr="009E1B38" w:rsidRDefault="00171C59" w:rsidP="00171C59">
      <w:pPr>
        <w:pStyle w:val="P68B1DB1-Normal7"/>
        <w:spacing w:after="0"/>
        <w:ind w:left="709"/>
        <w:jc w:val="left"/>
        <w:rPr>
          <w:lang w:val="en-US"/>
        </w:rPr>
      </w:pPr>
      <w:r w:rsidRPr="009E1B38">
        <w:rPr>
          <w:lang w:val="en-US"/>
        </w:rPr>
        <w:t>ğ) Market operation activity: Organized wholesale electricity markets, other energy markets, YEK-G (Renewable Energy Source Guarantees of Origin) system and operation of the organized YEK-G market, and financial settlements of the activities carried out in these markets and other financial transactions related to these activities,</w:t>
      </w:r>
    </w:p>
    <w:p w14:paraId="42E817B1" w14:textId="77777777" w:rsidR="00171C59" w:rsidRPr="009E1B38" w:rsidRDefault="00171C59" w:rsidP="00171C59">
      <w:pPr>
        <w:pStyle w:val="P68B1DB1-Normal7"/>
        <w:spacing w:after="0"/>
        <w:ind w:left="709"/>
        <w:jc w:val="left"/>
        <w:rPr>
          <w:lang w:val="en-US"/>
        </w:rPr>
      </w:pPr>
      <w:r w:rsidRPr="009E1B38">
        <w:rPr>
          <w:lang w:val="en-US"/>
        </w:rPr>
        <w:t xml:space="preserve">h) Market participant: License holder legal entities defined in the Electricity Market Balancing and Settlement Regulation published in the Official Gazette dated 14/4/2009 and numbered 27200 and different categories established for these legal entities; license holder legal entities participating in the </w:t>
      </w:r>
      <w:r w:rsidRPr="009E1B38">
        <w:rPr>
          <w:lang w:val="en-US"/>
        </w:rPr>
        <w:lastRenderedPageBreak/>
        <w:t>organized YEK-G market defined in the Regulation on Renewable Energy Source Guarantee of origin in the Electricity Market published in the Official Gazette dated 14/11/2020 and numbered 31304; and license holder legal entities defined in the Regulation on Organized Wholesale Natural Gas Sales Market published in the Official Gazette dated 31/3/2017 and numbered 30024,"</w:t>
      </w:r>
    </w:p>
    <w:p w14:paraId="5CE1CC5F" w14:textId="77777777" w:rsidR="00171C59" w:rsidRPr="009E1B38" w:rsidRDefault="00171C59" w:rsidP="00171C59">
      <w:pPr>
        <w:pStyle w:val="P68B1DB1-Normal7"/>
        <w:spacing w:after="0"/>
        <w:ind w:left="709"/>
        <w:jc w:val="left"/>
        <w:rPr>
          <w:lang w:val="en-US"/>
        </w:rPr>
      </w:pPr>
      <w:r w:rsidRPr="009E1B38">
        <w:rPr>
          <w:lang w:val="en-US"/>
        </w:rPr>
        <w:t>"m) Settlement: Calculation of receivables and payables arising from the YEK-G system and the organized YEK-G market, operated in accordance with the Regulation on Renewable Energy Source or in the Electricity Market and the balancing mechanism and/or energy imbalance defined in the Regulation on Electricity Market Balancing and Settlement Regulation and the Organized Wholesale Gas Sales Market Regulation; and preparation of relevant receivables and payables notifications,"</w:t>
      </w:r>
    </w:p>
    <w:p w14:paraId="5D6A4801" w14:textId="77777777" w:rsidR="00171C59" w:rsidRPr="009E1B38" w:rsidRDefault="00171C59" w:rsidP="00171C59">
      <w:pPr>
        <w:pStyle w:val="P68B1DB1-Normal7"/>
        <w:spacing w:after="0"/>
        <w:ind w:left="709"/>
        <w:jc w:val="left"/>
        <w:rPr>
          <w:lang w:val="en-US"/>
        </w:rPr>
      </w:pPr>
      <w:r w:rsidRPr="009E1B38">
        <w:rPr>
          <w:lang w:val="en-US"/>
        </w:rPr>
        <w:t>“n) BOTAŞ: Petroleum Pipeline Corporation,</w:t>
      </w:r>
    </w:p>
    <w:p w14:paraId="515932FE" w14:textId="77777777" w:rsidR="00171C59" w:rsidRPr="009E1B38" w:rsidRDefault="00171C59" w:rsidP="00171C59">
      <w:pPr>
        <w:pStyle w:val="P68B1DB1-Normal7"/>
        <w:spacing w:after="0"/>
        <w:ind w:left="709"/>
        <w:jc w:val="left"/>
        <w:rPr>
          <w:lang w:val="en-US"/>
        </w:rPr>
      </w:pPr>
      <w:r w:rsidRPr="009E1B38">
        <w:rPr>
          <w:lang w:val="en-US"/>
        </w:rPr>
        <w:t>o) Other energy markets: Other energy markets that are allowed to be operated by the Authority, however, out of the scope of the market operation license,</w:t>
      </w:r>
    </w:p>
    <w:p w14:paraId="660611F0" w14:textId="77777777" w:rsidR="00171C59" w:rsidRPr="009E1B38" w:rsidRDefault="00171C59" w:rsidP="00171C59">
      <w:pPr>
        <w:pStyle w:val="P68B1DB1-Normal7"/>
        <w:spacing w:after="0"/>
        <w:ind w:left="709"/>
        <w:jc w:val="left"/>
        <w:rPr>
          <w:lang w:val="en-US"/>
        </w:rPr>
      </w:pPr>
      <w:r w:rsidRPr="009E1B38">
        <w:rPr>
          <w:lang w:val="en-US"/>
        </w:rPr>
        <w:t>ö) Organized YEK-G market: The market organized and operated by the Market Operator and in which the purchase and sale of the YEK-G is carried out among the market participants,</w:t>
      </w:r>
    </w:p>
    <w:p w14:paraId="11EB11F6" w14:textId="77777777" w:rsidR="00171C59" w:rsidRPr="009E1B38" w:rsidRDefault="00171C59" w:rsidP="00171C59">
      <w:pPr>
        <w:pStyle w:val="P68B1DB1-Normal7"/>
        <w:spacing w:after="0"/>
        <w:ind w:left="709"/>
        <w:jc w:val="left"/>
        <w:rPr>
          <w:lang w:val="en-US"/>
        </w:rPr>
      </w:pPr>
      <w:r w:rsidRPr="009E1B38">
        <w:rPr>
          <w:lang w:val="en-US"/>
        </w:rPr>
        <w:t>p) Organized wholesale natural gas sales market: The markets regulated by the Board, in which the purchase-sale and balancing transactions of natural gas are carried out by the licensees benefiting from the natural gas system, and the natural gas markets requiring future physical delivery, and other natural gas market transactions determined by the Board,</w:t>
      </w:r>
    </w:p>
    <w:p w14:paraId="021CC1D1" w14:textId="64F0F8A5" w:rsidR="00171C59" w:rsidRPr="009E1B38" w:rsidRDefault="00171C59" w:rsidP="00171C59">
      <w:pPr>
        <w:pStyle w:val="P68B1DB1-Normal7"/>
        <w:ind w:left="709"/>
        <w:jc w:val="left"/>
        <w:rPr>
          <w:lang w:val="en-US"/>
        </w:rPr>
      </w:pPr>
      <w:r w:rsidRPr="009E1B38">
        <w:rPr>
          <w:lang w:val="en-US"/>
        </w:rPr>
        <w:t xml:space="preserve">r) YEK-G system: The system including the issuance, transfer, </w:t>
      </w:r>
      <w:r w:rsidR="00A32D13" w:rsidRPr="009E1B38">
        <w:rPr>
          <w:lang w:val="en-US"/>
        </w:rPr>
        <w:t>amortization</w:t>
      </w:r>
      <w:r w:rsidRPr="009E1B38">
        <w:rPr>
          <w:lang w:val="en-US"/>
        </w:rPr>
        <w:t xml:space="preserve"> in favor of consumers, repealing or cancellation of YEK-G for electricity energy generated in generation facilities registered in the system, which is to be established within the scope of Regulation on Renewable Energy Source Guarantee of Origin Certificate in the Electricity Market and managed by the Market Operator,"</w:t>
      </w:r>
    </w:p>
    <w:p w14:paraId="2444324A" w14:textId="77777777" w:rsidR="00171C59" w:rsidRPr="009E1B38" w:rsidRDefault="00171C59" w:rsidP="003C5E4D">
      <w:pPr>
        <w:pStyle w:val="P68B1DB1-ListeParagraf5"/>
        <w:numPr>
          <w:ilvl w:val="0"/>
          <w:numId w:val="22"/>
        </w:numPr>
        <w:spacing w:after="160" w:line="259" w:lineRule="auto"/>
        <w:ind w:left="709" w:firstLine="0"/>
        <w:jc w:val="left"/>
        <w:rPr>
          <w:lang w:val="en-US"/>
        </w:rPr>
      </w:pPr>
      <w:r w:rsidRPr="009E1B38">
        <w:rPr>
          <w:lang w:val="en-US"/>
        </w:rPr>
        <w:t xml:space="preserve">The third paragraph of Article 5 titled </w:t>
      </w:r>
      <w:r w:rsidRPr="009E1B38">
        <w:rPr>
          <w:i/>
          <w:lang w:val="en-US"/>
        </w:rPr>
        <w:t>"Structure of the Board"</w:t>
      </w:r>
      <w:r w:rsidRPr="009E1B38">
        <w:rPr>
          <w:lang w:val="en-US"/>
        </w:rPr>
        <w:t xml:space="preserve"> has been amended as follows.</w:t>
      </w:r>
    </w:p>
    <w:p w14:paraId="6749FFAC" w14:textId="77777777" w:rsidR="00171C59" w:rsidRPr="009E1B38" w:rsidRDefault="00171C59" w:rsidP="00171C59">
      <w:pPr>
        <w:pStyle w:val="P68B1DB1-Normal7"/>
        <w:ind w:left="709"/>
        <w:jc w:val="left"/>
        <w:rPr>
          <w:lang w:val="en-US"/>
        </w:rPr>
      </w:pPr>
      <w:r w:rsidRPr="009E1B38">
        <w:rPr>
          <w:lang w:val="en-US"/>
        </w:rPr>
        <w:t>"(3) The Board shall take decisions in cases clearly stipulated in the Turkish Commercial Code and the Articles of Association."</w:t>
      </w:r>
    </w:p>
    <w:p w14:paraId="1CE26292" w14:textId="77777777" w:rsidR="00171C59" w:rsidRPr="009E1B38" w:rsidRDefault="00171C59" w:rsidP="003C5E4D">
      <w:pPr>
        <w:pStyle w:val="P68B1DB1-ListeParagraf5"/>
        <w:numPr>
          <w:ilvl w:val="0"/>
          <w:numId w:val="22"/>
        </w:numPr>
        <w:spacing w:after="160" w:line="259" w:lineRule="auto"/>
        <w:ind w:left="709" w:firstLine="0"/>
        <w:jc w:val="left"/>
        <w:rPr>
          <w:lang w:val="en-US"/>
        </w:rPr>
      </w:pPr>
      <w:r w:rsidRPr="009E1B38">
        <w:rPr>
          <w:lang w:val="en-US"/>
        </w:rPr>
        <w:t xml:space="preserve">The first paragraph of Article 6 titled </w:t>
      </w:r>
      <w:r w:rsidRPr="009E1B38">
        <w:rPr>
          <w:i/>
          <w:lang w:val="en-US"/>
        </w:rPr>
        <w:t>"Structure of the Steering Committee"</w:t>
      </w:r>
      <w:r w:rsidRPr="009E1B38">
        <w:rPr>
          <w:lang w:val="en-US"/>
        </w:rPr>
        <w:t xml:space="preserve"> has been amended as follows.</w:t>
      </w:r>
    </w:p>
    <w:p w14:paraId="33EC42E5" w14:textId="77777777" w:rsidR="00171C59" w:rsidRPr="009E1B38" w:rsidRDefault="00171C59" w:rsidP="00171C59">
      <w:pPr>
        <w:pStyle w:val="P68B1DB1-Normal7"/>
        <w:ind w:left="709"/>
        <w:jc w:val="left"/>
        <w:rPr>
          <w:lang w:val="en-US"/>
        </w:rPr>
      </w:pPr>
      <w:r w:rsidRPr="009E1B38">
        <w:rPr>
          <w:lang w:val="en-US"/>
        </w:rPr>
        <w:t>"(1) The representation and management of the company shall be carried out by the Steering Committee, which consists of 7 (seven) members to be elected by the Board within the framework of the provisions of the Turkish Commercial Code and the Articles of Association."</w:t>
      </w:r>
    </w:p>
    <w:p w14:paraId="09CF2C74" w14:textId="77777777" w:rsidR="00171C59" w:rsidRPr="009E1B38" w:rsidRDefault="00171C59" w:rsidP="003C5E4D">
      <w:pPr>
        <w:pStyle w:val="P68B1DB1-ListeParagraf5"/>
        <w:numPr>
          <w:ilvl w:val="0"/>
          <w:numId w:val="22"/>
        </w:numPr>
        <w:spacing w:after="160" w:line="259" w:lineRule="auto"/>
        <w:ind w:left="709" w:firstLine="0"/>
        <w:jc w:val="left"/>
        <w:rPr>
          <w:lang w:val="en-US"/>
        </w:rPr>
      </w:pPr>
      <w:r w:rsidRPr="009E1B38">
        <w:rPr>
          <w:lang w:val="en-US"/>
        </w:rPr>
        <w:t xml:space="preserve">The first paragraph, the first sentence of the second paragraph, the clauses (ç) and (k) of the third paragraph and the first sentence of the fourth paragraph and the clauses (g), (ğ) and (o) of the same paragraph of the article titled </w:t>
      </w:r>
      <w:r w:rsidRPr="009E1B38">
        <w:rPr>
          <w:i/>
          <w:lang w:val="en-US"/>
        </w:rPr>
        <w:t>"Duties and powers of the Steering Committee"</w:t>
      </w:r>
      <w:r w:rsidRPr="009E1B38">
        <w:rPr>
          <w:lang w:val="en-US"/>
        </w:rPr>
        <w:t xml:space="preserve"> have been amended as follows, and the following clause has been added to the same paragraph, and the clause (j) of the fourth paragraph of the same article and the sixth paragraph have been repealed.</w:t>
      </w:r>
    </w:p>
    <w:p w14:paraId="6BE908C6" w14:textId="77777777" w:rsidR="00171C59" w:rsidRPr="009E1B38" w:rsidRDefault="00171C59" w:rsidP="00171C59">
      <w:pPr>
        <w:pStyle w:val="P68B1DB1-Normal7"/>
        <w:ind w:left="709"/>
        <w:jc w:val="left"/>
        <w:rPr>
          <w:lang w:val="en-US"/>
        </w:rPr>
      </w:pPr>
      <w:r w:rsidRPr="009E1B38">
        <w:rPr>
          <w:lang w:val="en-US"/>
        </w:rPr>
        <w:t>"(1) The Steering Committee is authorized to take decisions on all kinds of works and transactions required for the realization of the activities of the Company, except for those left under the authority of the Board, in accordance with the Turkish Commercial Code and the Articles of Association."</w:t>
      </w:r>
    </w:p>
    <w:p w14:paraId="66027B54" w14:textId="77777777" w:rsidR="00171C59" w:rsidRPr="009E1B38" w:rsidRDefault="00171C59" w:rsidP="00171C59">
      <w:pPr>
        <w:pStyle w:val="P68B1DB1-Normal7"/>
        <w:ind w:left="709"/>
        <w:jc w:val="left"/>
        <w:rPr>
          <w:lang w:val="en-US"/>
        </w:rPr>
      </w:pPr>
      <w:r w:rsidRPr="009E1B38">
        <w:rPr>
          <w:lang w:val="en-US"/>
        </w:rPr>
        <w:t>"As per the relevant provisions of the Turkish Commercial Code, the non-transferable and indispensable duties and powers of the Steering Committee are as follows:"</w:t>
      </w:r>
    </w:p>
    <w:p w14:paraId="084238D6" w14:textId="77777777" w:rsidR="00171C59" w:rsidRPr="009E1B38" w:rsidRDefault="00171C59" w:rsidP="00171C59">
      <w:pPr>
        <w:pStyle w:val="P68B1DB1-Normal7"/>
        <w:spacing w:after="0"/>
        <w:ind w:left="709"/>
        <w:jc w:val="left"/>
        <w:rPr>
          <w:lang w:val="en-US"/>
        </w:rPr>
      </w:pPr>
      <w:r w:rsidRPr="009E1B38">
        <w:rPr>
          <w:lang w:val="en-US"/>
        </w:rPr>
        <w:t>"ç) To establish pledges or mortgages on the assets of the Company, provided that it is not contrary to the provisions of the Regulation on Electricity Market License published in the Official Gazette dated 2/11/2013 and numbered 28809."</w:t>
      </w:r>
    </w:p>
    <w:p w14:paraId="6F8B0BC2" w14:textId="77777777" w:rsidR="00171C59" w:rsidRPr="009E1B38" w:rsidRDefault="00171C59" w:rsidP="00171C59">
      <w:pPr>
        <w:spacing w:after="0"/>
        <w:ind w:left="709"/>
        <w:jc w:val="left"/>
        <w:rPr>
          <w:rFonts w:ascii="Times New Roman" w:hAnsi="Times New Roman"/>
          <w:i/>
        </w:rPr>
      </w:pPr>
    </w:p>
    <w:p w14:paraId="444EFD26" w14:textId="77777777" w:rsidR="00171C59" w:rsidRPr="009E1B38" w:rsidRDefault="00171C59" w:rsidP="00171C59">
      <w:pPr>
        <w:pStyle w:val="P68B1DB1-Normal7"/>
        <w:spacing w:after="0"/>
        <w:ind w:left="709"/>
        <w:jc w:val="left"/>
        <w:rPr>
          <w:lang w:val="en-US"/>
        </w:rPr>
      </w:pPr>
      <w:r w:rsidRPr="009E1B38">
        <w:rPr>
          <w:lang w:val="en-US"/>
        </w:rPr>
        <w:t>"k) To submit the decisions regarding the creation of new products to be traded in the energy markets, within the scope of the market operation license and other operated energy markets and the organized YEK-G market to the approval of the Authority."</w:t>
      </w:r>
    </w:p>
    <w:p w14:paraId="25527565" w14:textId="77777777" w:rsidR="00171C59" w:rsidRPr="009E1B38" w:rsidRDefault="00171C59" w:rsidP="00171C59">
      <w:pPr>
        <w:spacing w:after="0"/>
        <w:ind w:left="709"/>
        <w:jc w:val="left"/>
        <w:rPr>
          <w:rFonts w:ascii="Times New Roman" w:hAnsi="Times New Roman"/>
          <w:i/>
        </w:rPr>
      </w:pPr>
    </w:p>
    <w:p w14:paraId="676E6E51" w14:textId="77777777" w:rsidR="00171C59" w:rsidRPr="009E1B38" w:rsidRDefault="00171C59" w:rsidP="00171C59">
      <w:pPr>
        <w:pStyle w:val="P68B1DB1-Normal7"/>
        <w:ind w:left="709"/>
        <w:jc w:val="left"/>
        <w:rPr>
          <w:lang w:val="en-US"/>
        </w:rPr>
      </w:pPr>
      <w:r w:rsidRPr="009E1B38">
        <w:rPr>
          <w:lang w:val="en-US"/>
        </w:rPr>
        <w:t>"Except for the non-transferable and indispensable duties and powers determined in the second and third paragraphs of this article, the main duties and powers of the Steering Committee within the framework of the provisions of the Articles of Association and the Turkish Commercial Code, are as follows:"</w:t>
      </w:r>
    </w:p>
    <w:p w14:paraId="128B1656" w14:textId="05588C9B" w:rsidR="00171C59" w:rsidRPr="009E1B38" w:rsidRDefault="00171C59" w:rsidP="00171C59">
      <w:pPr>
        <w:pStyle w:val="P68B1DB1-Normal7"/>
        <w:spacing w:after="0"/>
        <w:ind w:left="709"/>
        <w:jc w:val="left"/>
        <w:rPr>
          <w:lang w:val="en-US"/>
        </w:rPr>
      </w:pPr>
      <w:r w:rsidRPr="009E1B38">
        <w:rPr>
          <w:lang w:val="en-US"/>
        </w:rPr>
        <w:t xml:space="preserve">“g) To decide on the acquisition or development of market surveillance systems, in order to ensure the effective and efficient realization of market surveillance activities, in line with the proposal of the </w:t>
      </w:r>
      <w:r w:rsidR="00A32D13">
        <w:rPr>
          <w:lang w:val="en-US"/>
        </w:rPr>
        <w:t xml:space="preserve">Head of </w:t>
      </w:r>
      <w:r w:rsidRPr="009E1B38">
        <w:rPr>
          <w:lang w:val="en-US"/>
        </w:rPr>
        <w:t>Market Surveillance.</w:t>
      </w:r>
    </w:p>
    <w:p w14:paraId="7CE48CD9" w14:textId="77777777" w:rsidR="00171C59" w:rsidRPr="009E1B38" w:rsidRDefault="00171C59" w:rsidP="00171C59">
      <w:pPr>
        <w:pStyle w:val="P68B1DB1-Normal7"/>
        <w:spacing w:after="0"/>
        <w:ind w:left="709"/>
        <w:jc w:val="left"/>
        <w:rPr>
          <w:lang w:val="en-US"/>
        </w:rPr>
      </w:pPr>
      <w:r w:rsidRPr="009E1B38">
        <w:rPr>
          <w:lang w:val="en-US"/>
        </w:rPr>
        <w:t>ğ) To submit the procedures and principles or updates to be made regarding the energy markets, other energy markets, YEK-G system and organized YEK-G market, within the scope of market operation license, for the approval of the Authority."</w:t>
      </w:r>
    </w:p>
    <w:p w14:paraId="66FC5618" w14:textId="77777777" w:rsidR="00171C59" w:rsidRPr="009E1B38" w:rsidRDefault="00171C59" w:rsidP="00171C59">
      <w:pPr>
        <w:pStyle w:val="P68B1DB1-Normal7"/>
        <w:spacing w:after="0"/>
        <w:ind w:left="709"/>
        <w:jc w:val="left"/>
        <w:rPr>
          <w:lang w:val="en-US"/>
        </w:rPr>
      </w:pPr>
      <w:r w:rsidRPr="009E1B38">
        <w:rPr>
          <w:lang w:val="en-US"/>
        </w:rPr>
        <w:t>“o) To submit legislative proposals to the Authority regarding the execution of market surveillance activities.”</w:t>
      </w:r>
    </w:p>
    <w:p w14:paraId="797FBAE5" w14:textId="3BAF7660" w:rsidR="00171C59" w:rsidRPr="009E1B38" w:rsidRDefault="00171C59" w:rsidP="00171C59">
      <w:pPr>
        <w:pStyle w:val="P68B1DB1-Normal7"/>
        <w:ind w:left="709"/>
        <w:jc w:val="left"/>
        <w:rPr>
          <w:lang w:val="en-US"/>
        </w:rPr>
      </w:pPr>
      <w:r w:rsidRPr="009E1B38">
        <w:rPr>
          <w:lang w:val="en-US"/>
        </w:rPr>
        <w:t xml:space="preserve">“ö) To examine the reports prepared by the </w:t>
      </w:r>
      <w:r w:rsidR="00A32D13">
        <w:rPr>
          <w:lang w:val="en-US"/>
        </w:rPr>
        <w:t xml:space="preserve">Head of </w:t>
      </w:r>
      <w:r w:rsidR="00A32D13" w:rsidRPr="009E1B38">
        <w:rPr>
          <w:lang w:val="en-US"/>
        </w:rPr>
        <w:t xml:space="preserve">Market Surveillance </w:t>
      </w:r>
      <w:r w:rsidRPr="009E1B38">
        <w:rPr>
          <w:lang w:val="en-US"/>
        </w:rPr>
        <w:t>and to take the necessary measures.”</w:t>
      </w:r>
    </w:p>
    <w:p w14:paraId="3431DDC6" w14:textId="77777777" w:rsidR="00171C59" w:rsidRPr="009E1B38" w:rsidRDefault="00171C59" w:rsidP="003C5E4D">
      <w:pPr>
        <w:pStyle w:val="P68B1DB1-ListeParagraf5"/>
        <w:numPr>
          <w:ilvl w:val="0"/>
          <w:numId w:val="22"/>
        </w:numPr>
        <w:spacing w:after="160" w:line="259" w:lineRule="auto"/>
        <w:ind w:left="709" w:firstLine="0"/>
        <w:jc w:val="left"/>
        <w:rPr>
          <w:lang w:val="en-US"/>
        </w:rPr>
      </w:pPr>
      <w:bookmarkStart w:id="45" w:name="_Hlk92360841"/>
      <w:r w:rsidRPr="009E1B38">
        <w:rPr>
          <w:lang w:val="en-US"/>
        </w:rPr>
        <w:t xml:space="preserve">Article 11 titled </w:t>
      </w:r>
      <w:r w:rsidRPr="009E1B38">
        <w:rPr>
          <w:i/>
          <w:lang w:val="en-US"/>
        </w:rPr>
        <w:t>"Market Monitoring Committee"</w:t>
      </w:r>
      <w:r w:rsidRPr="009E1B38">
        <w:rPr>
          <w:lang w:val="en-US"/>
        </w:rPr>
        <w:t xml:space="preserve"> has been repealed.</w:t>
      </w:r>
    </w:p>
    <w:bookmarkEnd w:id="45"/>
    <w:p w14:paraId="7815D50F" w14:textId="77777777" w:rsidR="00171C59" w:rsidRPr="009E1B38" w:rsidRDefault="00171C59" w:rsidP="00171C59">
      <w:pPr>
        <w:pStyle w:val="ListeParagraf"/>
        <w:ind w:left="709"/>
        <w:jc w:val="left"/>
        <w:rPr>
          <w:rFonts w:ascii="Times New Roman" w:hAnsi="Times New Roman"/>
        </w:rPr>
      </w:pPr>
    </w:p>
    <w:p w14:paraId="789BA25F" w14:textId="77777777" w:rsidR="00171C59" w:rsidRPr="009E1B38" w:rsidRDefault="00171C59" w:rsidP="003C5E4D">
      <w:pPr>
        <w:pStyle w:val="P68B1DB1-ListeParagraf5"/>
        <w:numPr>
          <w:ilvl w:val="0"/>
          <w:numId w:val="22"/>
        </w:numPr>
        <w:spacing w:after="160" w:line="259" w:lineRule="auto"/>
        <w:ind w:left="709" w:firstLine="0"/>
        <w:jc w:val="left"/>
        <w:rPr>
          <w:lang w:val="en-US"/>
        </w:rPr>
      </w:pPr>
      <w:r w:rsidRPr="009E1B38">
        <w:rPr>
          <w:lang w:val="en-US"/>
        </w:rPr>
        <w:t xml:space="preserve">First paragraph and the clauses (ç), (e), (f), (h) and (j) of the second paragraph of Article 13 titled </w:t>
      </w:r>
      <w:r w:rsidRPr="009E1B38">
        <w:rPr>
          <w:i/>
          <w:lang w:val="en-US"/>
        </w:rPr>
        <w:t>"Duties and powers of the General Director"</w:t>
      </w:r>
      <w:r w:rsidRPr="009E1B38">
        <w:rPr>
          <w:lang w:val="en-US"/>
        </w:rPr>
        <w:t xml:space="preserve"> are amended as follows.</w:t>
      </w:r>
    </w:p>
    <w:p w14:paraId="05B11585" w14:textId="77777777" w:rsidR="00171C59" w:rsidRPr="009E1B38" w:rsidRDefault="00171C59" w:rsidP="00171C59">
      <w:pPr>
        <w:pStyle w:val="P68B1DB1-Normal7"/>
        <w:ind w:left="709"/>
        <w:jc w:val="left"/>
        <w:rPr>
          <w:lang w:val="en-US"/>
        </w:rPr>
      </w:pPr>
      <w:r w:rsidRPr="009E1B38">
        <w:rPr>
          <w:lang w:val="en-US"/>
        </w:rPr>
        <w:t>"(1) The General Director is obliged to manage the Company diligently and prudently in line with the decisions of the Board and the Steering Committee, and within the framework of the provisions of the Turkish Commercial Code, the Electricity Market Law and other relevant legislation and the Articles of Association."</w:t>
      </w:r>
    </w:p>
    <w:p w14:paraId="75933E4B" w14:textId="77777777" w:rsidR="00171C59" w:rsidRPr="009E1B38" w:rsidRDefault="00171C59" w:rsidP="00171C59">
      <w:pPr>
        <w:pStyle w:val="P68B1DB1-Normal7"/>
        <w:spacing w:after="0"/>
        <w:ind w:left="709"/>
        <w:jc w:val="left"/>
        <w:rPr>
          <w:lang w:val="en-US"/>
        </w:rPr>
      </w:pPr>
      <w:r w:rsidRPr="009E1B38">
        <w:rPr>
          <w:lang w:val="en-US"/>
        </w:rPr>
        <w:t>"ç) To evaluate and submit to the Steering Committee the procedures and principles prepared or updated for the energy markets included in the market operation license, other energy markets, YEK-G system and organized YEK-G market."</w:t>
      </w:r>
    </w:p>
    <w:p w14:paraId="2CC9BF2E" w14:textId="77777777" w:rsidR="00171C59" w:rsidRPr="009E1B38" w:rsidRDefault="00171C59" w:rsidP="00171C59">
      <w:pPr>
        <w:pStyle w:val="P68B1DB1-Normal7"/>
        <w:spacing w:after="0"/>
        <w:ind w:left="709"/>
        <w:jc w:val="left"/>
        <w:rPr>
          <w:lang w:val="en-US"/>
        </w:rPr>
      </w:pPr>
      <w:r w:rsidRPr="009E1B38">
        <w:rPr>
          <w:lang w:val="en-US"/>
        </w:rPr>
        <w:t>"e) Evaluating new products and transactions in energy markets, other energy markets, YEK-G system and organized YEK-G market included in market operation license and submitting them to the Board of Directors.</w:t>
      </w:r>
    </w:p>
    <w:p w14:paraId="52B80BF8" w14:textId="77777777" w:rsidR="00171C59" w:rsidRPr="009E1B38" w:rsidRDefault="00171C59" w:rsidP="00171C59">
      <w:pPr>
        <w:pStyle w:val="P68B1DB1-Normal7"/>
        <w:spacing w:after="0"/>
        <w:ind w:left="709"/>
        <w:jc w:val="left"/>
        <w:rPr>
          <w:lang w:val="en-US"/>
        </w:rPr>
      </w:pPr>
      <w:r w:rsidRPr="009E1B38">
        <w:rPr>
          <w:lang w:val="en-US"/>
        </w:rPr>
        <w:t>f) To submit for the approval of the Steering Committee the acquisition, development, decommissioning or replacement of the necessary information technology systems, in order to ensure the execution of the transactions in the energy markets included in the market operation license, other energy markets, YEK-G system and organized YEK-G market."</w:t>
      </w:r>
    </w:p>
    <w:p w14:paraId="79B01523" w14:textId="77777777" w:rsidR="00171C59" w:rsidRPr="009E1B38" w:rsidRDefault="00171C59" w:rsidP="00171C59">
      <w:pPr>
        <w:pStyle w:val="P68B1DB1-Normal7"/>
        <w:spacing w:after="0"/>
        <w:ind w:left="709"/>
        <w:jc w:val="left"/>
        <w:rPr>
          <w:lang w:val="en-US"/>
        </w:rPr>
      </w:pPr>
      <w:r w:rsidRPr="009E1B38">
        <w:rPr>
          <w:lang w:val="en-US"/>
        </w:rPr>
        <w:t>"h) To buy services related to the activities within the scope of energy markets included in the market operation license, other energy markets and YEK-G system and organized YEK-G market."</w:t>
      </w:r>
    </w:p>
    <w:p w14:paraId="7327DD11" w14:textId="77777777" w:rsidR="00171C59" w:rsidRPr="009E1B38" w:rsidRDefault="00171C59" w:rsidP="00171C59">
      <w:pPr>
        <w:pStyle w:val="P68B1DB1-Normal7"/>
        <w:ind w:left="709"/>
        <w:jc w:val="left"/>
        <w:rPr>
          <w:lang w:val="en-US"/>
        </w:rPr>
      </w:pPr>
      <w:r w:rsidRPr="009E1B38">
        <w:rPr>
          <w:lang w:val="en-US"/>
        </w:rPr>
        <w:t>“j) To examine market surveillance reports and to ensure that relevant necessary measures are taken in accordance with the relevant legislation and agreements signed between the Company and market participants.”</w:t>
      </w:r>
    </w:p>
    <w:p w14:paraId="5B58D108" w14:textId="77777777" w:rsidR="00171C59" w:rsidRPr="009E1B38" w:rsidRDefault="00171C59" w:rsidP="003C5E4D">
      <w:pPr>
        <w:pStyle w:val="P68B1DB1-ListeParagraf5"/>
        <w:numPr>
          <w:ilvl w:val="0"/>
          <w:numId w:val="22"/>
        </w:numPr>
        <w:spacing w:after="160" w:line="259" w:lineRule="auto"/>
        <w:ind w:left="709" w:firstLine="0"/>
        <w:jc w:val="left"/>
        <w:rPr>
          <w:i/>
          <w:lang w:val="en-US"/>
        </w:rPr>
      </w:pPr>
      <w:r w:rsidRPr="009E1B38">
        <w:rPr>
          <w:lang w:val="en-US"/>
        </w:rPr>
        <w:lastRenderedPageBreak/>
        <w:t xml:space="preserve">The first paragraph of Article 14 titled </w:t>
      </w:r>
      <w:r w:rsidRPr="009E1B38">
        <w:rPr>
          <w:i/>
          <w:lang w:val="en-US"/>
        </w:rPr>
        <w:t>"Service units and their duties"</w:t>
      </w:r>
      <w:r w:rsidRPr="009E1B38">
        <w:rPr>
          <w:lang w:val="en-US"/>
        </w:rPr>
        <w:t xml:space="preserve"> has been amended as follows.</w:t>
      </w:r>
    </w:p>
    <w:p w14:paraId="7958037C" w14:textId="77777777" w:rsidR="00171C59" w:rsidRPr="009E1B38" w:rsidRDefault="00171C59" w:rsidP="00171C59">
      <w:pPr>
        <w:pStyle w:val="P68B1DB1-Normal7"/>
        <w:spacing w:after="0"/>
        <w:ind w:left="709"/>
        <w:jc w:val="left"/>
        <w:rPr>
          <w:lang w:val="en-US"/>
        </w:rPr>
      </w:pPr>
      <w:r w:rsidRPr="009E1B38">
        <w:rPr>
          <w:lang w:val="en-US"/>
        </w:rPr>
        <w:t>“(1) The service units of the company are as follows:</w:t>
      </w:r>
    </w:p>
    <w:p w14:paraId="408A953F" w14:textId="3549AA82" w:rsidR="00171C59" w:rsidRPr="009E1B38" w:rsidRDefault="00171C59" w:rsidP="00171C59">
      <w:pPr>
        <w:pStyle w:val="P68B1DB1-Normal7"/>
        <w:spacing w:after="0"/>
        <w:ind w:left="709"/>
        <w:jc w:val="left"/>
        <w:rPr>
          <w:lang w:val="en-US"/>
        </w:rPr>
      </w:pPr>
      <w:r w:rsidRPr="009E1B38">
        <w:rPr>
          <w:lang w:val="en-US"/>
        </w:rPr>
        <w:t xml:space="preserve">a) </w:t>
      </w:r>
      <w:r w:rsidR="00A32D13">
        <w:rPr>
          <w:lang w:val="en-US"/>
        </w:rPr>
        <w:t>Market Operations Department.</w:t>
      </w:r>
    </w:p>
    <w:p w14:paraId="1F8C6CA1" w14:textId="3A00EB4F" w:rsidR="00171C59" w:rsidRPr="009E1B38" w:rsidRDefault="00171C59" w:rsidP="00171C59">
      <w:pPr>
        <w:pStyle w:val="P68B1DB1-Normal7"/>
        <w:spacing w:after="0"/>
        <w:ind w:left="709"/>
        <w:jc w:val="left"/>
        <w:rPr>
          <w:lang w:val="en-US"/>
        </w:rPr>
      </w:pPr>
      <w:r w:rsidRPr="009E1B38">
        <w:rPr>
          <w:lang w:val="en-US"/>
        </w:rPr>
        <w:t>b) Strategy Development</w:t>
      </w:r>
      <w:r w:rsidR="00A32D13">
        <w:rPr>
          <w:lang w:val="en-US"/>
        </w:rPr>
        <w:t xml:space="preserve"> Department</w:t>
      </w:r>
      <w:r w:rsidRPr="009E1B38">
        <w:rPr>
          <w:lang w:val="en-US"/>
        </w:rPr>
        <w:t>.</w:t>
      </w:r>
    </w:p>
    <w:p w14:paraId="69300EB0" w14:textId="45A44A88" w:rsidR="00171C59" w:rsidRPr="009E1B38" w:rsidRDefault="00171C59" w:rsidP="00171C59">
      <w:pPr>
        <w:pStyle w:val="P68B1DB1-Normal7"/>
        <w:spacing w:after="0"/>
        <w:ind w:left="709"/>
        <w:jc w:val="left"/>
        <w:rPr>
          <w:lang w:val="en-US"/>
        </w:rPr>
      </w:pPr>
      <w:r w:rsidRPr="009E1B38">
        <w:rPr>
          <w:lang w:val="en-US"/>
        </w:rPr>
        <w:t xml:space="preserve">c) Information Technologies </w:t>
      </w:r>
      <w:r w:rsidR="00A32D13">
        <w:rPr>
          <w:lang w:val="en-US"/>
        </w:rPr>
        <w:t>Department</w:t>
      </w:r>
    </w:p>
    <w:p w14:paraId="73B06A99" w14:textId="2F2E04AD" w:rsidR="00171C59" w:rsidRPr="009E1B38" w:rsidRDefault="00171C59" w:rsidP="00171C59">
      <w:pPr>
        <w:pStyle w:val="P68B1DB1-Normal7"/>
        <w:spacing w:after="0"/>
        <w:ind w:left="709"/>
        <w:jc w:val="left"/>
        <w:rPr>
          <w:lang w:val="en-US"/>
        </w:rPr>
      </w:pPr>
      <w:r w:rsidRPr="009E1B38">
        <w:rPr>
          <w:lang w:val="en-US"/>
        </w:rPr>
        <w:t>ç) Internal Control and Risk Management</w:t>
      </w:r>
      <w:r w:rsidR="00A32D13" w:rsidRPr="00A32D13">
        <w:rPr>
          <w:lang w:val="en-US"/>
        </w:rPr>
        <w:t xml:space="preserve"> </w:t>
      </w:r>
      <w:r w:rsidR="00A32D13">
        <w:rPr>
          <w:lang w:val="en-US"/>
        </w:rPr>
        <w:t>Department</w:t>
      </w:r>
      <w:r w:rsidRPr="009E1B38">
        <w:rPr>
          <w:lang w:val="en-US"/>
        </w:rPr>
        <w:t>.</w:t>
      </w:r>
    </w:p>
    <w:p w14:paraId="51F668AA" w14:textId="1FE1FF1E" w:rsidR="00171C59" w:rsidRPr="009E1B38" w:rsidRDefault="00171C59" w:rsidP="00171C59">
      <w:pPr>
        <w:pStyle w:val="P68B1DB1-Normal7"/>
        <w:spacing w:after="0"/>
        <w:ind w:left="709"/>
        <w:jc w:val="left"/>
        <w:rPr>
          <w:lang w:val="en-US"/>
        </w:rPr>
      </w:pPr>
      <w:r w:rsidRPr="009E1B38">
        <w:rPr>
          <w:lang w:val="en-US"/>
        </w:rPr>
        <w:t>d) Finance and Support Services</w:t>
      </w:r>
      <w:r w:rsidR="00A32D13">
        <w:rPr>
          <w:lang w:val="en-US"/>
        </w:rPr>
        <w:t xml:space="preserve"> Department</w:t>
      </w:r>
      <w:r w:rsidRPr="009E1B38">
        <w:rPr>
          <w:lang w:val="en-US"/>
        </w:rPr>
        <w:t>.</w:t>
      </w:r>
    </w:p>
    <w:p w14:paraId="751A2FF9" w14:textId="41D77355" w:rsidR="00171C59" w:rsidRPr="009E1B38" w:rsidRDefault="00171C59" w:rsidP="00171C59">
      <w:pPr>
        <w:pStyle w:val="P68B1DB1-Normal7"/>
        <w:spacing w:after="0"/>
        <w:ind w:left="709"/>
        <w:jc w:val="left"/>
        <w:rPr>
          <w:lang w:val="en-US"/>
        </w:rPr>
      </w:pPr>
      <w:r w:rsidRPr="009E1B38">
        <w:rPr>
          <w:lang w:val="en-US"/>
        </w:rPr>
        <w:t>e) Market Surveillance</w:t>
      </w:r>
      <w:r w:rsidR="00A32D13">
        <w:rPr>
          <w:lang w:val="en-US"/>
        </w:rPr>
        <w:t xml:space="preserve"> Department</w:t>
      </w:r>
      <w:r w:rsidRPr="009E1B38">
        <w:rPr>
          <w:lang w:val="en-US"/>
        </w:rPr>
        <w:t>.</w:t>
      </w:r>
    </w:p>
    <w:p w14:paraId="08AF6B15" w14:textId="4908B737" w:rsidR="00171C59" w:rsidRPr="009E1B38" w:rsidRDefault="00171C59" w:rsidP="00171C59">
      <w:pPr>
        <w:pStyle w:val="P68B1DB1-Normal7"/>
        <w:ind w:left="709"/>
        <w:jc w:val="left"/>
        <w:rPr>
          <w:lang w:val="en-US"/>
        </w:rPr>
      </w:pPr>
      <w:r w:rsidRPr="009E1B38">
        <w:rPr>
          <w:lang w:val="en-US"/>
        </w:rPr>
        <w:t>f) Legal Consultancy</w:t>
      </w:r>
      <w:r w:rsidR="00A32D13">
        <w:rPr>
          <w:lang w:val="en-US"/>
        </w:rPr>
        <w:t xml:space="preserve"> Department.</w:t>
      </w:r>
    </w:p>
    <w:p w14:paraId="4CABAF6A" w14:textId="50413C0E" w:rsidR="00171C59" w:rsidRPr="009E1B38" w:rsidRDefault="00171C59" w:rsidP="003C5E4D">
      <w:pPr>
        <w:pStyle w:val="P68B1DB1-ListeParagraf5"/>
        <w:numPr>
          <w:ilvl w:val="0"/>
          <w:numId w:val="22"/>
        </w:numPr>
        <w:spacing w:after="160" w:line="259" w:lineRule="auto"/>
        <w:ind w:left="709" w:firstLine="0"/>
        <w:jc w:val="left"/>
        <w:rPr>
          <w:lang w:val="en-US"/>
        </w:rPr>
      </w:pPr>
      <w:r w:rsidRPr="009E1B38">
        <w:rPr>
          <w:lang w:val="en-US"/>
        </w:rPr>
        <w:t xml:space="preserve">In the first paragraph of Article 15 titled </w:t>
      </w:r>
      <w:r w:rsidRPr="009E1B38">
        <w:rPr>
          <w:i/>
          <w:lang w:val="en-US"/>
        </w:rPr>
        <w:t>“</w:t>
      </w:r>
      <w:r w:rsidR="00A32D13">
        <w:rPr>
          <w:i/>
          <w:lang w:val="en-US"/>
        </w:rPr>
        <w:t>Department Heads</w:t>
      </w:r>
      <w:r w:rsidRPr="009E1B38">
        <w:rPr>
          <w:i/>
          <w:lang w:val="en-US"/>
        </w:rPr>
        <w:t xml:space="preserve">” </w:t>
      </w:r>
      <w:r w:rsidRPr="009E1B38">
        <w:rPr>
          <w:lang w:val="en-US"/>
        </w:rPr>
        <w:t xml:space="preserve">the phrase </w:t>
      </w:r>
      <w:r w:rsidR="00A32D13">
        <w:rPr>
          <w:i/>
          <w:lang w:val="en-US"/>
        </w:rPr>
        <w:t>"and Head of Market Surveillance</w:t>
      </w:r>
      <w:r w:rsidRPr="009E1B38">
        <w:rPr>
          <w:i/>
          <w:lang w:val="en-US"/>
        </w:rPr>
        <w:t>"</w:t>
      </w:r>
      <w:r w:rsidRPr="009E1B38">
        <w:rPr>
          <w:lang w:val="en-US"/>
        </w:rPr>
        <w:t xml:space="preserve"> has been added after the phrase </w:t>
      </w:r>
      <w:r w:rsidRPr="009E1B38">
        <w:rPr>
          <w:i/>
          <w:lang w:val="en-US"/>
        </w:rPr>
        <w:t>"</w:t>
      </w:r>
      <w:r w:rsidR="00A32D13">
        <w:rPr>
          <w:i/>
          <w:lang w:val="en-US"/>
        </w:rPr>
        <w:t xml:space="preserve">Head of </w:t>
      </w:r>
      <w:r w:rsidRPr="009E1B38">
        <w:rPr>
          <w:i/>
          <w:lang w:val="en-US"/>
        </w:rPr>
        <w:t>Inter</w:t>
      </w:r>
      <w:r w:rsidR="00A32D13">
        <w:rPr>
          <w:i/>
          <w:lang w:val="en-US"/>
        </w:rPr>
        <w:t>nal Control and Risk Management</w:t>
      </w:r>
      <w:r w:rsidRPr="009E1B38">
        <w:rPr>
          <w:i/>
          <w:lang w:val="en-US"/>
        </w:rPr>
        <w:t>"</w:t>
      </w:r>
      <w:r w:rsidRPr="009E1B38">
        <w:rPr>
          <w:lang w:val="en-US"/>
        </w:rPr>
        <w:t>.</w:t>
      </w:r>
    </w:p>
    <w:p w14:paraId="7175447B" w14:textId="77777777" w:rsidR="00171C59" w:rsidRPr="009E1B38" w:rsidRDefault="00171C59" w:rsidP="00171C59">
      <w:pPr>
        <w:pStyle w:val="ListeParagraf"/>
        <w:ind w:left="709"/>
        <w:jc w:val="left"/>
        <w:rPr>
          <w:rFonts w:ascii="Times New Roman" w:hAnsi="Times New Roman"/>
        </w:rPr>
      </w:pPr>
    </w:p>
    <w:p w14:paraId="3AD10DC2" w14:textId="0039ADEB" w:rsidR="00171C59" w:rsidRPr="009E1B38" w:rsidRDefault="00171C59" w:rsidP="003C5E4D">
      <w:pPr>
        <w:pStyle w:val="P68B1DB1-ListeParagraf5"/>
        <w:numPr>
          <w:ilvl w:val="0"/>
          <w:numId w:val="22"/>
        </w:numPr>
        <w:spacing w:after="160" w:line="259" w:lineRule="auto"/>
        <w:ind w:left="709" w:firstLine="0"/>
        <w:jc w:val="left"/>
        <w:rPr>
          <w:lang w:val="en-US"/>
        </w:rPr>
      </w:pPr>
      <w:r w:rsidRPr="009E1B38">
        <w:rPr>
          <w:lang w:val="en-US"/>
        </w:rPr>
        <w:t xml:space="preserve">The clause (b), (ç), (d), (e), (g), (ğ) and (m) of the first paragraph of Article 16 titled </w:t>
      </w:r>
      <w:r w:rsidRPr="009E1B38">
        <w:rPr>
          <w:i/>
          <w:lang w:val="en-US"/>
        </w:rPr>
        <w:t xml:space="preserve">"Market Operations </w:t>
      </w:r>
      <w:r w:rsidR="00A32D13">
        <w:rPr>
          <w:i/>
          <w:lang w:val="en-US"/>
        </w:rPr>
        <w:t>Department</w:t>
      </w:r>
      <w:r w:rsidRPr="009E1B38">
        <w:rPr>
          <w:i/>
          <w:lang w:val="en-US"/>
        </w:rPr>
        <w:t>"</w:t>
      </w:r>
      <w:r w:rsidRPr="009E1B38">
        <w:rPr>
          <w:lang w:val="en-US"/>
        </w:rPr>
        <w:t xml:space="preserve"> have been amended as follows.</w:t>
      </w:r>
    </w:p>
    <w:p w14:paraId="010994B0" w14:textId="77777777" w:rsidR="00171C59" w:rsidRPr="009E1B38" w:rsidRDefault="00171C59" w:rsidP="00171C59">
      <w:pPr>
        <w:pStyle w:val="P68B1DB1-Normal7"/>
        <w:spacing w:after="0"/>
        <w:ind w:left="709"/>
        <w:jc w:val="left"/>
        <w:rPr>
          <w:lang w:val="en-US"/>
        </w:rPr>
      </w:pPr>
      <w:r w:rsidRPr="009E1B38">
        <w:rPr>
          <w:lang w:val="en-US"/>
        </w:rPr>
        <w:t>"b) To carry out registration procedures so that market participants can carry out activities in the markets operated within TEİAŞ and the Company, and to share the relevant registration information with TEİAŞ and BOTAŞ."</w:t>
      </w:r>
    </w:p>
    <w:p w14:paraId="6799C2CE" w14:textId="77777777" w:rsidR="00171C59" w:rsidRPr="009E1B38" w:rsidRDefault="00171C59" w:rsidP="00171C59">
      <w:pPr>
        <w:pStyle w:val="P68B1DB1-Normal7"/>
        <w:spacing w:after="0"/>
        <w:ind w:left="709"/>
        <w:jc w:val="left"/>
        <w:rPr>
          <w:lang w:val="en-US"/>
        </w:rPr>
      </w:pPr>
      <w:r w:rsidRPr="009E1B38">
        <w:rPr>
          <w:lang w:val="en-US"/>
        </w:rPr>
        <w:t>“ç) To notify the relevant market participant of the trade results, payment information, collateral information and other relevant data regarding the energy markets included in the market operation license, other energy markets, YEK-G system and organized YEK-G market.</w:t>
      </w:r>
    </w:p>
    <w:p w14:paraId="10D352C0" w14:textId="77777777" w:rsidR="00171C59" w:rsidRPr="009E1B38" w:rsidRDefault="00171C59" w:rsidP="00171C59">
      <w:pPr>
        <w:pStyle w:val="P68B1DB1-Normal7"/>
        <w:spacing w:after="0"/>
        <w:ind w:left="709"/>
        <w:jc w:val="left"/>
        <w:rPr>
          <w:lang w:val="en-US"/>
        </w:rPr>
      </w:pPr>
      <w:r w:rsidRPr="009E1B38">
        <w:rPr>
          <w:lang w:val="en-US"/>
        </w:rPr>
        <w:t>d) To examine and conclude the objections that may arise in the transactions realized in the energy markets included in the market operation license, other energy markets, YEK-G system and organized YEK-G market.</w:t>
      </w:r>
    </w:p>
    <w:p w14:paraId="161A3CA3" w14:textId="77777777" w:rsidR="00171C59" w:rsidRPr="009E1B38" w:rsidRDefault="00171C59" w:rsidP="00171C59">
      <w:pPr>
        <w:pStyle w:val="P68B1DB1-Normal7"/>
        <w:spacing w:after="0"/>
        <w:ind w:left="709"/>
        <w:jc w:val="left"/>
        <w:rPr>
          <w:lang w:val="en-US"/>
        </w:rPr>
      </w:pPr>
      <w:r w:rsidRPr="009E1B38">
        <w:rPr>
          <w:lang w:val="en-US"/>
        </w:rPr>
        <w:t>e) To perform collateral calculations related to energy markets included in market operation license, other energy markets, YEK-G system and organized YEK-G market, to accept cash and/or non-cash collaterals to be deposited by market participants."</w:t>
      </w:r>
    </w:p>
    <w:p w14:paraId="0794E520" w14:textId="77777777" w:rsidR="00171C59" w:rsidRPr="009E1B38" w:rsidRDefault="00171C59" w:rsidP="00171C59">
      <w:pPr>
        <w:pStyle w:val="P68B1DB1-Normal7"/>
        <w:spacing w:after="0"/>
        <w:ind w:left="709"/>
        <w:jc w:val="left"/>
        <w:rPr>
          <w:lang w:val="en-US"/>
        </w:rPr>
      </w:pPr>
      <w:r w:rsidRPr="009E1B38">
        <w:rPr>
          <w:lang w:val="en-US"/>
        </w:rPr>
        <w:t>"g) To carry out financial settlement procedures, to calculate the amounts of receivables and debts to be accrued, and to prepare relevant receivables-debt notifications related to organized wholesale electricity markets and organized wholesale natural gas sales market in the scope of their duty, and organized wholesale electricity markets operated by TEİAŞ within the scope of market operation license and imbalance calculations.</w:t>
      </w:r>
    </w:p>
    <w:p w14:paraId="7626C108" w14:textId="77777777" w:rsidR="00171C59" w:rsidRPr="009E1B38" w:rsidRDefault="00171C59" w:rsidP="00171C59">
      <w:pPr>
        <w:pStyle w:val="P68B1DB1-Normal7"/>
        <w:spacing w:after="0"/>
        <w:ind w:left="709"/>
        <w:jc w:val="left"/>
        <w:rPr>
          <w:lang w:val="en-US"/>
        </w:rPr>
      </w:pPr>
      <w:r w:rsidRPr="009E1B38">
        <w:rPr>
          <w:lang w:val="en-US"/>
        </w:rPr>
        <w:t>ğ) To provide the necessary communication between İstanbul Stock Exchange, Istanbul Settlement and Custody Bank Inc. (Takasbank), TEİAŞ, BOTAŞ and other relevant parties, in order to carry out the settlement, collateral, payment and collection."</w:t>
      </w:r>
    </w:p>
    <w:p w14:paraId="47C849E4" w14:textId="4A9AA770" w:rsidR="00171C59" w:rsidRPr="009E1B38" w:rsidRDefault="00171C59" w:rsidP="00171C59">
      <w:pPr>
        <w:pStyle w:val="P68B1DB1-Normal7"/>
        <w:ind w:left="709"/>
        <w:jc w:val="left"/>
        <w:rPr>
          <w:lang w:val="en-US"/>
        </w:rPr>
      </w:pPr>
      <w:r w:rsidRPr="009E1B38">
        <w:rPr>
          <w:lang w:val="en-US"/>
        </w:rPr>
        <w:t xml:space="preserve">"m) To submit suggestions to other relevant </w:t>
      </w:r>
      <w:r w:rsidR="00A32D13">
        <w:rPr>
          <w:lang w:val="en-US"/>
        </w:rPr>
        <w:t>Departments</w:t>
      </w:r>
      <w:r w:rsidRPr="009E1B38">
        <w:rPr>
          <w:lang w:val="en-US"/>
        </w:rPr>
        <w:t xml:space="preserve"> for the development of solutions that support the effective development of energy markets included in the market operation license, other energy markets, YEK-G system and organized YEK-G market."</w:t>
      </w:r>
    </w:p>
    <w:p w14:paraId="69C77E93" w14:textId="67041655" w:rsidR="00171C59" w:rsidRPr="009E1B38" w:rsidRDefault="00171C59" w:rsidP="003C5E4D">
      <w:pPr>
        <w:pStyle w:val="P68B1DB1-ListeParagraf5"/>
        <w:numPr>
          <w:ilvl w:val="0"/>
          <w:numId w:val="19"/>
        </w:numPr>
        <w:spacing w:after="160" w:line="259" w:lineRule="auto"/>
        <w:ind w:left="709" w:firstLine="0"/>
        <w:jc w:val="left"/>
        <w:rPr>
          <w:lang w:val="en-US"/>
        </w:rPr>
      </w:pPr>
      <w:r w:rsidRPr="009E1B38">
        <w:rPr>
          <w:lang w:val="en-US"/>
        </w:rPr>
        <w:t xml:space="preserve">The clauses (f), (ğ) and (h) of the first paragraph of Article 17 titled </w:t>
      </w:r>
      <w:r w:rsidRPr="009E1B38">
        <w:rPr>
          <w:i/>
          <w:lang w:val="en-US"/>
        </w:rPr>
        <w:t>"Strategy Development</w:t>
      </w:r>
      <w:r w:rsidR="00A32D13">
        <w:rPr>
          <w:i/>
          <w:lang w:val="en-US"/>
        </w:rPr>
        <w:t xml:space="preserve"> Department</w:t>
      </w:r>
      <w:r w:rsidRPr="009E1B38">
        <w:rPr>
          <w:i/>
          <w:lang w:val="en-US"/>
        </w:rPr>
        <w:t>"</w:t>
      </w:r>
      <w:r w:rsidRPr="009E1B38">
        <w:rPr>
          <w:lang w:val="en-US"/>
        </w:rPr>
        <w:t xml:space="preserve"> have been amended as follows.</w:t>
      </w:r>
    </w:p>
    <w:p w14:paraId="254FC9EF" w14:textId="77777777" w:rsidR="00171C59" w:rsidRPr="009E1B38" w:rsidRDefault="00171C59" w:rsidP="00171C59">
      <w:pPr>
        <w:pStyle w:val="P68B1DB1-Normal7"/>
        <w:spacing w:after="0"/>
        <w:ind w:left="709"/>
        <w:jc w:val="left"/>
        <w:rPr>
          <w:lang w:val="en-US"/>
        </w:rPr>
      </w:pPr>
      <w:r w:rsidRPr="009E1B38">
        <w:rPr>
          <w:lang w:val="en-US"/>
        </w:rPr>
        <w:t>"f) In cooperation with the relevant units, to prepare, update and submit to the General Director the principles and procedures regarding the energy markets, other energy markets, YEK-G system and organized YEK-G market,"</w:t>
      </w:r>
    </w:p>
    <w:p w14:paraId="0102AB52" w14:textId="77777777" w:rsidR="00171C59" w:rsidRPr="009E1B38" w:rsidRDefault="00171C59" w:rsidP="00171C59">
      <w:pPr>
        <w:pStyle w:val="P68B1DB1-Normal7"/>
        <w:spacing w:after="0"/>
        <w:ind w:left="709"/>
        <w:jc w:val="left"/>
        <w:rPr>
          <w:lang w:val="en-US"/>
        </w:rPr>
      </w:pPr>
      <w:r w:rsidRPr="009E1B38">
        <w:rPr>
          <w:lang w:val="en-US"/>
        </w:rPr>
        <w:lastRenderedPageBreak/>
        <w:t>“ğ) To carry out new product development studies to be subject to trade in energy markets included in market operation license, other energy markets, and YEK-G system and organized YEK-G market,</w:t>
      </w:r>
    </w:p>
    <w:p w14:paraId="5E7325EE" w14:textId="77777777" w:rsidR="00171C59" w:rsidRPr="009E1B38" w:rsidRDefault="00171C59" w:rsidP="00171C59">
      <w:pPr>
        <w:pStyle w:val="P68B1DB1-Normal7"/>
        <w:ind w:left="709"/>
        <w:jc w:val="left"/>
        <w:rPr>
          <w:lang w:val="en-US"/>
        </w:rPr>
      </w:pPr>
      <w:r w:rsidRPr="009E1B38">
        <w:rPr>
          <w:lang w:val="en-US"/>
        </w:rPr>
        <w:t>h) To carry out studies for the establishment of new organized wholesale energy markets in order to develop the market, and in line with the opinions of the relevant units, to develop solutions to support the effective development of the energy markets included in market operation license, other energy markets, YEK-G system and organized YEK-G market,"</w:t>
      </w:r>
    </w:p>
    <w:p w14:paraId="0282FDB2" w14:textId="0E7C83A8" w:rsidR="00171C59" w:rsidRPr="009E1B38" w:rsidRDefault="00171C59" w:rsidP="003C5E4D">
      <w:pPr>
        <w:pStyle w:val="P68B1DB1-ListeParagraf5"/>
        <w:numPr>
          <w:ilvl w:val="0"/>
          <w:numId w:val="19"/>
        </w:numPr>
        <w:spacing w:after="160" w:line="259" w:lineRule="auto"/>
        <w:ind w:left="709" w:firstLine="0"/>
        <w:jc w:val="left"/>
        <w:rPr>
          <w:lang w:val="en-US"/>
        </w:rPr>
      </w:pPr>
      <w:r w:rsidRPr="009E1B38">
        <w:rPr>
          <w:lang w:val="en-US"/>
        </w:rPr>
        <w:t xml:space="preserve">Clause (ğ) of Article 17/A titled </w:t>
      </w:r>
      <w:r w:rsidRPr="009E1B38">
        <w:rPr>
          <w:i/>
          <w:lang w:val="en-US"/>
        </w:rPr>
        <w:t>“Information Technologies</w:t>
      </w:r>
      <w:r w:rsidR="00A32D13">
        <w:rPr>
          <w:i/>
          <w:lang w:val="en-US"/>
        </w:rPr>
        <w:t xml:space="preserve"> Department</w:t>
      </w:r>
      <w:r w:rsidRPr="009E1B38">
        <w:rPr>
          <w:i/>
          <w:lang w:val="en-US"/>
        </w:rPr>
        <w:t>”</w:t>
      </w:r>
      <w:r w:rsidRPr="009E1B38">
        <w:rPr>
          <w:lang w:val="en-US"/>
        </w:rPr>
        <w:t xml:space="preserve"> has been amended as follows.</w:t>
      </w:r>
    </w:p>
    <w:p w14:paraId="764B599F" w14:textId="77777777" w:rsidR="00171C59" w:rsidRPr="009E1B38" w:rsidRDefault="00171C59" w:rsidP="00171C59">
      <w:pPr>
        <w:pStyle w:val="P68B1DB1-Normal7"/>
        <w:ind w:left="709"/>
        <w:jc w:val="left"/>
        <w:rPr>
          <w:lang w:val="en-US"/>
        </w:rPr>
      </w:pPr>
      <w:r w:rsidRPr="009E1B38">
        <w:rPr>
          <w:lang w:val="en-US"/>
        </w:rPr>
        <w:t>“ğ) To follow the innovations and legislative changes related to energy markets included in the market operation license, other energy markets, YEK-G system and organized YEK-G market, and to obtain information technology systems and necessary hardware to meet changing requirements, to develop software and/or to purchase it from external suppliers and to ensure its integration with existing systems, and to provide test systems for users,”</w:t>
      </w:r>
    </w:p>
    <w:p w14:paraId="43BA1F4D" w14:textId="77777777" w:rsidR="00171C59" w:rsidRPr="009E1B38" w:rsidRDefault="00171C59" w:rsidP="003C5E4D">
      <w:pPr>
        <w:pStyle w:val="P68B1DB1-ListeParagraf5"/>
        <w:numPr>
          <w:ilvl w:val="0"/>
          <w:numId w:val="19"/>
        </w:numPr>
        <w:spacing w:after="160" w:line="259" w:lineRule="auto"/>
        <w:ind w:left="709" w:firstLine="0"/>
        <w:jc w:val="left"/>
        <w:rPr>
          <w:lang w:val="en-US"/>
        </w:rPr>
      </w:pPr>
      <w:r w:rsidRPr="009E1B38">
        <w:rPr>
          <w:lang w:val="en-US"/>
        </w:rPr>
        <w:t>The following article has been added after Article 18.</w:t>
      </w:r>
    </w:p>
    <w:p w14:paraId="564FA52A" w14:textId="6E3EEDB4" w:rsidR="00171C59" w:rsidRPr="009E1B38" w:rsidRDefault="00171C59" w:rsidP="00171C59">
      <w:pPr>
        <w:pStyle w:val="P68B1DB1-Normal8"/>
        <w:ind w:left="709"/>
        <w:jc w:val="left"/>
        <w:rPr>
          <w:lang w:val="en-US"/>
        </w:rPr>
      </w:pPr>
      <w:r w:rsidRPr="009E1B38">
        <w:rPr>
          <w:lang w:val="en-US"/>
        </w:rPr>
        <w:t>"e) Market Surveillance</w:t>
      </w:r>
      <w:r w:rsidR="00A32D13">
        <w:rPr>
          <w:lang w:val="en-US"/>
        </w:rPr>
        <w:t xml:space="preserve"> Department</w:t>
      </w:r>
      <w:r w:rsidRPr="009E1B38">
        <w:rPr>
          <w:lang w:val="en-US"/>
        </w:rPr>
        <w:t>.</w:t>
      </w:r>
    </w:p>
    <w:p w14:paraId="48800E14" w14:textId="77777777" w:rsidR="00171C59" w:rsidRPr="009E1B38" w:rsidRDefault="00171C59" w:rsidP="00171C59">
      <w:pPr>
        <w:pStyle w:val="P68B1DB1-Normal8"/>
        <w:ind w:left="709"/>
        <w:jc w:val="left"/>
        <w:rPr>
          <w:lang w:val="en-US"/>
        </w:rPr>
      </w:pPr>
      <w:r w:rsidRPr="009E1B38">
        <w:rPr>
          <w:lang w:val="en-US"/>
        </w:rPr>
        <w:t>ARTICLE 18/A</w:t>
      </w:r>
    </w:p>
    <w:p w14:paraId="73A8FC97" w14:textId="124AD538" w:rsidR="00171C59" w:rsidRPr="009E1B38" w:rsidRDefault="00171C59" w:rsidP="00171C59">
      <w:pPr>
        <w:pStyle w:val="P68B1DB1-Normal7"/>
        <w:ind w:left="709"/>
        <w:jc w:val="left"/>
        <w:rPr>
          <w:lang w:val="en-US"/>
        </w:rPr>
      </w:pPr>
      <w:r w:rsidRPr="009E1B38">
        <w:rPr>
          <w:lang w:val="en-US"/>
        </w:rPr>
        <w:t>(1) The Market Surveillance</w:t>
      </w:r>
      <w:r w:rsidR="00A32D13">
        <w:rPr>
          <w:lang w:val="en-US"/>
        </w:rPr>
        <w:t xml:space="preserve"> Department</w:t>
      </w:r>
      <w:r w:rsidRPr="009E1B38">
        <w:rPr>
          <w:lang w:val="en-US"/>
        </w:rPr>
        <w:t xml:space="preserve"> consists of </w:t>
      </w:r>
      <w:r w:rsidR="00A32D13">
        <w:rPr>
          <w:lang w:val="en-US"/>
        </w:rPr>
        <w:t xml:space="preserve">the Head of </w:t>
      </w:r>
      <w:r w:rsidRPr="009E1B38">
        <w:rPr>
          <w:lang w:val="en-US"/>
        </w:rPr>
        <w:t xml:space="preserve">Market Surveillance and sufficient number of personnel. The </w:t>
      </w:r>
      <w:r w:rsidR="00A32D13">
        <w:rPr>
          <w:lang w:val="en-US"/>
        </w:rPr>
        <w:t xml:space="preserve">Head of </w:t>
      </w:r>
      <w:r w:rsidRPr="009E1B38">
        <w:rPr>
          <w:lang w:val="en-US"/>
        </w:rPr>
        <w:t>Market Surveillance is administratively accountable to the General Director and the Steering Committee for his/her activities.</w:t>
      </w:r>
    </w:p>
    <w:p w14:paraId="34EF1934" w14:textId="5A91AE43" w:rsidR="00171C59" w:rsidRPr="009E1B38" w:rsidRDefault="00171C59" w:rsidP="00171C59">
      <w:pPr>
        <w:pStyle w:val="P68B1DB1-Normal7"/>
        <w:ind w:left="709"/>
        <w:jc w:val="left"/>
        <w:rPr>
          <w:lang w:val="en-US"/>
        </w:rPr>
      </w:pPr>
      <w:r w:rsidRPr="009E1B38">
        <w:rPr>
          <w:lang w:val="en-US"/>
        </w:rPr>
        <w:t>(2) The Market Surveillance</w:t>
      </w:r>
      <w:r w:rsidR="00A32D13">
        <w:rPr>
          <w:lang w:val="en-US"/>
        </w:rPr>
        <w:t xml:space="preserve"> Department</w:t>
      </w:r>
      <w:r w:rsidRPr="009E1B38">
        <w:rPr>
          <w:lang w:val="en-US"/>
        </w:rPr>
        <w:t xml:space="preserve"> carries out its activities on a confidential basis and independently of the Company and market participants. The Steering Committee takes the necessary administrative and financial measures in order that the </w:t>
      </w:r>
      <w:r w:rsidR="00A32D13">
        <w:rPr>
          <w:lang w:val="en-US"/>
        </w:rPr>
        <w:t>Department</w:t>
      </w:r>
      <w:r w:rsidRPr="009E1B38">
        <w:rPr>
          <w:lang w:val="en-US"/>
        </w:rPr>
        <w:t xml:space="preserve"> can carry out its activities independently.</w:t>
      </w:r>
    </w:p>
    <w:p w14:paraId="53A6AC8B" w14:textId="4C6901E5" w:rsidR="00171C59" w:rsidRPr="009E1B38" w:rsidRDefault="00171C59" w:rsidP="00171C59">
      <w:pPr>
        <w:pStyle w:val="P68B1DB1-Normal7"/>
        <w:spacing w:after="0"/>
        <w:ind w:left="709"/>
        <w:jc w:val="left"/>
        <w:rPr>
          <w:lang w:val="en-US"/>
        </w:rPr>
      </w:pPr>
      <w:r w:rsidRPr="009E1B38">
        <w:rPr>
          <w:lang w:val="en-US"/>
        </w:rPr>
        <w:t xml:space="preserve">(3) The duties and powers of the </w:t>
      </w:r>
      <w:r w:rsidR="00A32D13" w:rsidRPr="009E1B38">
        <w:rPr>
          <w:lang w:val="en-US"/>
        </w:rPr>
        <w:t>Market Surveillance</w:t>
      </w:r>
      <w:r w:rsidR="00A32D13">
        <w:rPr>
          <w:lang w:val="en-US"/>
        </w:rPr>
        <w:t xml:space="preserve"> Department</w:t>
      </w:r>
      <w:r w:rsidR="00A32D13" w:rsidRPr="009E1B38">
        <w:rPr>
          <w:lang w:val="en-US"/>
        </w:rPr>
        <w:t xml:space="preserve"> </w:t>
      </w:r>
      <w:r w:rsidRPr="009E1B38">
        <w:rPr>
          <w:lang w:val="en-US"/>
        </w:rPr>
        <w:t>are as follows:</w:t>
      </w:r>
    </w:p>
    <w:p w14:paraId="3C36235E" w14:textId="77777777" w:rsidR="00171C59" w:rsidRPr="009E1B38" w:rsidRDefault="00171C59" w:rsidP="00171C59">
      <w:pPr>
        <w:pStyle w:val="P68B1DB1-Normal7"/>
        <w:spacing w:after="0"/>
        <w:ind w:left="709"/>
        <w:jc w:val="left"/>
        <w:rPr>
          <w:lang w:val="en-US"/>
        </w:rPr>
      </w:pPr>
      <w:r w:rsidRPr="009E1B38">
        <w:rPr>
          <w:lang w:val="en-US"/>
        </w:rPr>
        <w:t>a) To ensure the formation of prices within the framework of supply and demand, without discrimination between equal parties, and to carry out market surveillance activities in accordance with other national or international market surveillance procedures and practices.</w:t>
      </w:r>
    </w:p>
    <w:p w14:paraId="03F7A2F2" w14:textId="77777777" w:rsidR="00171C59" w:rsidRPr="009E1B38" w:rsidRDefault="00171C59" w:rsidP="00171C59">
      <w:pPr>
        <w:pStyle w:val="P68B1DB1-Normal7"/>
        <w:spacing w:after="0"/>
        <w:ind w:left="709"/>
        <w:jc w:val="left"/>
        <w:rPr>
          <w:lang w:val="en-US"/>
        </w:rPr>
      </w:pPr>
      <w:r w:rsidRPr="009E1B38">
        <w:rPr>
          <w:lang w:val="en-US"/>
        </w:rPr>
        <w:t>b) To submit to the Steering Committee studies on the purchase or development of automatized market surveillance systems that will minimize human intervention, in order to ensure the effective and efficient realization of market surveillance activities.</w:t>
      </w:r>
    </w:p>
    <w:p w14:paraId="4E32D091" w14:textId="77777777" w:rsidR="00171C59" w:rsidRPr="009E1B38" w:rsidRDefault="00171C59" w:rsidP="00171C59">
      <w:pPr>
        <w:pStyle w:val="P68B1DB1-Normal7"/>
        <w:spacing w:after="0"/>
        <w:ind w:left="709"/>
        <w:jc w:val="left"/>
        <w:rPr>
          <w:lang w:val="en-US"/>
        </w:rPr>
      </w:pPr>
      <w:r w:rsidRPr="009E1B38">
        <w:rPr>
          <w:lang w:val="en-US"/>
        </w:rPr>
        <w:t>c) To report the results, obtained with market surveillance activities, to the Chairman of the Steering Committee to be submitted to the Authority.</w:t>
      </w:r>
    </w:p>
    <w:p w14:paraId="0E781C6D" w14:textId="77777777" w:rsidR="00171C59" w:rsidRPr="009E1B38" w:rsidRDefault="00171C59" w:rsidP="00171C59">
      <w:pPr>
        <w:pStyle w:val="P68B1DB1-Normal7"/>
        <w:spacing w:after="0"/>
        <w:ind w:left="709"/>
        <w:jc w:val="left"/>
        <w:rPr>
          <w:lang w:val="en-US"/>
        </w:rPr>
      </w:pPr>
      <w:r w:rsidRPr="009E1B38">
        <w:rPr>
          <w:lang w:val="en-US"/>
        </w:rPr>
        <w:t>ç) In case of detection of transactions that possibly or definitely lead to market abuse by the systems used under market surveillance, to take the necessary measures in the relevant legislation and contracts, and to submit the detailed data related to these transactions to the Authority as soon as possible.</w:t>
      </w:r>
    </w:p>
    <w:p w14:paraId="30E73B98" w14:textId="77777777" w:rsidR="00171C59" w:rsidRPr="009E1B38" w:rsidRDefault="00171C59" w:rsidP="00171C59">
      <w:pPr>
        <w:pStyle w:val="P68B1DB1-Normal7"/>
        <w:spacing w:after="0"/>
        <w:ind w:left="709"/>
        <w:jc w:val="left"/>
        <w:rPr>
          <w:lang w:val="en-US"/>
        </w:rPr>
      </w:pPr>
      <w:r w:rsidRPr="009E1B38">
        <w:rPr>
          <w:lang w:val="en-US"/>
        </w:rPr>
        <w:t>d) To submit to the Steering Committee the monthly market surveillance activity report, which shall not contain information regarding trade secrets of market participants, to be submitted to the Authority.</w:t>
      </w:r>
    </w:p>
    <w:p w14:paraId="31E60053" w14:textId="77777777" w:rsidR="00171C59" w:rsidRPr="009E1B38" w:rsidRDefault="00171C59" w:rsidP="00171C59">
      <w:pPr>
        <w:pStyle w:val="P68B1DB1-Normal7"/>
        <w:spacing w:after="0"/>
        <w:ind w:left="709"/>
        <w:jc w:val="left"/>
        <w:rPr>
          <w:lang w:val="en-US"/>
        </w:rPr>
      </w:pPr>
      <w:r w:rsidRPr="009E1B38">
        <w:rPr>
          <w:lang w:val="en-US"/>
        </w:rPr>
        <w:t>e) To make suggestions to the Steering Committee on issues that will contribute to market development as a result of market surveillance activities.</w:t>
      </w:r>
    </w:p>
    <w:p w14:paraId="5FA73C47" w14:textId="77777777" w:rsidR="00171C59" w:rsidRPr="009E1B38" w:rsidRDefault="00171C59" w:rsidP="00171C59">
      <w:pPr>
        <w:pStyle w:val="P68B1DB1-Normal7"/>
        <w:spacing w:after="0"/>
        <w:ind w:left="709"/>
        <w:jc w:val="left"/>
        <w:rPr>
          <w:lang w:val="en-US"/>
        </w:rPr>
      </w:pPr>
      <w:r w:rsidRPr="009E1B38">
        <w:rPr>
          <w:lang w:val="en-US"/>
        </w:rPr>
        <w:t>f) To evaluate the reliability, performance, reporting capacity and flexibility of market surveillance systems and to submit reports to the Steering Committee.</w:t>
      </w:r>
    </w:p>
    <w:p w14:paraId="2DC05E9D" w14:textId="77777777" w:rsidR="00171C59" w:rsidRPr="009E1B38" w:rsidRDefault="00171C59" w:rsidP="00171C59">
      <w:pPr>
        <w:pStyle w:val="P68B1DB1-Normal7"/>
        <w:ind w:left="709"/>
        <w:jc w:val="left"/>
        <w:rPr>
          <w:lang w:val="en-US"/>
        </w:rPr>
      </w:pPr>
      <w:r w:rsidRPr="009E1B38">
        <w:rPr>
          <w:lang w:val="en-US"/>
        </w:rPr>
        <w:lastRenderedPageBreak/>
        <w:t>g) To carry out studies on sharing information with the public, to submit suggestions to the Steering Committee about the information to be published."</w:t>
      </w:r>
    </w:p>
    <w:p w14:paraId="47FA7950" w14:textId="063B3625" w:rsidR="00171C59" w:rsidRPr="009E1B38" w:rsidRDefault="00171C59" w:rsidP="003C5E4D">
      <w:pPr>
        <w:pStyle w:val="P68B1DB1-Normal2"/>
        <w:numPr>
          <w:ilvl w:val="0"/>
          <w:numId w:val="16"/>
        </w:numPr>
        <w:spacing w:after="160" w:line="259" w:lineRule="auto"/>
        <w:ind w:left="709" w:firstLine="0"/>
        <w:contextualSpacing/>
        <w:jc w:val="left"/>
        <w:rPr>
          <w:lang w:val="en-US"/>
        </w:rPr>
      </w:pPr>
      <w:r w:rsidRPr="009E1B38">
        <w:rPr>
          <w:lang w:val="en-US"/>
        </w:rPr>
        <w:t xml:space="preserve">In the </w:t>
      </w:r>
      <w:bookmarkStart w:id="46" w:name="_Hlk78207740"/>
      <w:r w:rsidRPr="009E1B38">
        <w:rPr>
          <w:lang w:val="en-US"/>
        </w:rPr>
        <w:t>Amending Regulation and</w:t>
      </w:r>
      <w:r w:rsidRPr="009E1B38">
        <w:rPr>
          <w:b/>
          <w:lang w:val="en-US"/>
        </w:rPr>
        <w:t xml:space="preserve"> </w:t>
      </w:r>
      <w:bookmarkEnd w:id="46"/>
      <w:r w:rsidRPr="009E1B38">
        <w:rPr>
          <w:b/>
          <w:lang w:val="en-US"/>
        </w:rPr>
        <w:t>the Regulation on Electricity Market Ancillary Services </w:t>
      </w:r>
      <w:r w:rsidRPr="009E1B38">
        <w:rPr>
          <w:lang w:val="en-US"/>
        </w:rPr>
        <w:t xml:space="preserve"> published in the Official Gazette, dated 01.04.2021 and numbered 31441,</w:t>
      </w:r>
    </w:p>
    <w:p w14:paraId="6F0CC874" w14:textId="77777777" w:rsidR="00171C59" w:rsidRPr="009E1B38" w:rsidRDefault="00171C59" w:rsidP="00171C59">
      <w:pPr>
        <w:ind w:left="709"/>
        <w:contextualSpacing/>
        <w:jc w:val="left"/>
        <w:rPr>
          <w:rFonts w:ascii="Times New Roman" w:hAnsi="Times New Roman"/>
        </w:rPr>
      </w:pPr>
    </w:p>
    <w:p w14:paraId="5872F48A" w14:textId="77777777" w:rsidR="00171C59" w:rsidRPr="009E1B38" w:rsidRDefault="00171C59" w:rsidP="003C5E4D">
      <w:pPr>
        <w:pStyle w:val="P68B1DB1-Normal2"/>
        <w:numPr>
          <w:ilvl w:val="0"/>
          <w:numId w:val="24"/>
        </w:numPr>
        <w:spacing w:after="160" w:line="259" w:lineRule="auto"/>
        <w:ind w:left="709" w:firstLine="0"/>
        <w:contextualSpacing/>
        <w:jc w:val="left"/>
        <w:rPr>
          <w:b/>
          <w:lang w:val="en-US"/>
        </w:rPr>
      </w:pPr>
      <w:r w:rsidRPr="009E1B38">
        <w:rPr>
          <w:lang w:val="en-US"/>
        </w:rPr>
        <w:t xml:space="preserve">Clause (b) of the third paragraph of Article 10 titled </w:t>
      </w:r>
      <w:r w:rsidRPr="009E1B38">
        <w:rPr>
          <w:i/>
          <w:lang w:val="en-US"/>
        </w:rPr>
        <w:t>“Application for registration of ancillary service market participants”</w:t>
      </w:r>
      <w:r w:rsidRPr="009E1B38">
        <w:rPr>
          <w:lang w:val="en-US"/>
        </w:rPr>
        <w:t xml:space="preserve"> has been amended as follows.</w:t>
      </w:r>
    </w:p>
    <w:p w14:paraId="4D1C2946" w14:textId="77777777" w:rsidR="00171C59" w:rsidRPr="009E1B38" w:rsidRDefault="00171C59" w:rsidP="00171C59">
      <w:pPr>
        <w:ind w:left="709"/>
        <w:contextualSpacing/>
        <w:jc w:val="left"/>
        <w:rPr>
          <w:rFonts w:ascii="Times New Roman" w:hAnsi="Times New Roman"/>
          <w:b/>
        </w:rPr>
      </w:pPr>
    </w:p>
    <w:p w14:paraId="4C6845C9" w14:textId="77777777" w:rsidR="00171C59" w:rsidRPr="009E1B38" w:rsidRDefault="00171C59" w:rsidP="00171C59">
      <w:pPr>
        <w:pStyle w:val="P68B1DB1-Normal7"/>
        <w:ind w:left="709"/>
        <w:jc w:val="left"/>
        <w:rPr>
          <w:lang w:val="en-US"/>
        </w:rPr>
      </w:pPr>
      <w:r w:rsidRPr="009E1B38">
        <w:rPr>
          <w:lang w:val="en-US"/>
        </w:rPr>
        <w:t>"b) Authorization documents and registration certificate or power of attorney of the persons who are the signatories of the documents,"</w:t>
      </w:r>
    </w:p>
    <w:p w14:paraId="574A0450" w14:textId="77777777" w:rsidR="00171C59" w:rsidRPr="009E1B38" w:rsidRDefault="00171C59" w:rsidP="003C5E4D">
      <w:pPr>
        <w:pStyle w:val="P68B1DB1-Normal2"/>
        <w:numPr>
          <w:ilvl w:val="0"/>
          <w:numId w:val="24"/>
        </w:numPr>
        <w:spacing w:after="160" w:line="259" w:lineRule="auto"/>
        <w:ind w:left="709" w:firstLine="0"/>
        <w:contextualSpacing/>
        <w:jc w:val="left"/>
        <w:rPr>
          <w:lang w:val="en-US"/>
        </w:rPr>
      </w:pPr>
      <w:r w:rsidRPr="009E1B38">
        <w:rPr>
          <w:lang w:val="en-US"/>
        </w:rPr>
        <w:t>The clause (ç) of the third paragraph of Article 41 titled "</w:t>
      </w:r>
      <w:r w:rsidRPr="009E1B38">
        <w:rPr>
          <w:i/>
          <w:lang w:val="en-US"/>
        </w:rPr>
        <w:t>Ancillary service agreements of reactive power control service</w:t>
      </w:r>
      <w:r w:rsidRPr="009E1B38">
        <w:rPr>
          <w:lang w:val="en-US"/>
        </w:rPr>
        <w:t>" has been been amended as follows.</w:t>
      </w:r>
    </w:p>
    <w:p w14:paraId="4D94582A" w14:textId="77777777" w:rsidR="00171C59" w:rsidRPr="009E1B38" w:rsidRDefault="00171C59" w:rsidP="00171C59">
      <w:pPr>
        <w:ind w:left="709"/>
        <w:contextualSpacing/>
        <w:jc w:val="left"/>
        <w:rPr>
          <w:rFonts w:ascii="Times New Roman" w:hAnsi="Times New Roman"/>
        </w:rPr>
      </w:pPr>
    </w:p>
    <w:p w14:paraId="4F071AB3" w14:textId="77777777" w:rsidR="00171C59" w:rsidRPr="009E1B38" w:rsidRDefault="00171C59" w:rsidP="00171C59">
      <w:pPr>
        <w:pStyle w:val="P68B1DB1-Normal7"/>
        <w:ind w:left="709"/>
        <w:jc w:val="left"/>
        <w:rPr>
          <w:lang w:val="en-US"/>
        </w:rPr>
      </w:pPr>
      <w:r w:rsidRPr="009E1B38">
        <w:rPr>
          <w:lang w:val="en-US"/>
        </w:rPr>
        <w:t>“ç) The generation license of the generation plants within the scope of the agreement, and the registration certificate or power of attorney of the personnel authorized to sign the agreement on behalf of the legal entity,”</w:t>
      </w:r>
    </w:p>
    <w:p w14:paraId="5E981DE4" w14:textId="77777777" w:rsidR="00171C59" w:rsidRPr="009E1B38" w:rsidRDefault="00171C59" w:rsidP="003C5E4D">
      <w:pPr>
        <w:pStyle w:val="P68B1DB1-Normal2"/>
        <w:numPr>
          <w:ilvl w:val="0"/>
          <w:numId w:val="24"/>
        </w:numPr>
        <w:spacing w:after="160" w:line="259" w:lineRule="auto"/>
        <w:ind w:left="709" w:firstLine="0"/>
        <w:contextualSpacing/>
        <w:jc w:val="left"/>
        <w:rPr>
          <w:lang w:val="en-US"/>
        </w:rPr>
      </w:pPr>
      <w:r w:rsidRPr="009E1B38">
        <w:rPr>
          <w:lang w:val="en-US"/>
        </w:rPr>
        <w:t xml:space="preserve">Clause (d) of the second paragraph of Article 49 titled </w:t>
      </w:r>
      <w:r w:rsidRPr="009E1B38">
        <w:rPr>
          <w:i/>
          <w:lang w:val="en-US"/>
        </w:rPr>
        <w:t>"Ancillary service agreements regarding black start"</w:t>
      </w:r>
      <w:r w:rsidRPr="009E1B38">
        <w:rPr>
          <w:lang w:val="en-US"/>
        </w:rPr>
        <w:t xml:space="preserve"> has been amended as follows.</w:t>
      </w:r>
    </w:p>
    <w:p w14:paraId="0CBF9E01" w14:textId="77777777" w:rsidR="00171C59" w:rsidRPr="009E1B38" w:rsidRDefault="00171C59" w:rsidP="00171C59">
      <w:pPr>
        <w:ind w:left="709"/>
        <w:contextualSpacing/>
        <w:jc w:val="left"/>
        <w:rPr>
          <w:rFonts w:ascii="Times New Roman" w:hAnsi="Times New Roman"/>
        </w:rPr>
      </w:pPr>
    </w:p>
    <w:p w14:paraId="2E1D4E9A" w14:textId="7E72B70E" w:rsidR="00171C59" w:rsidRPr="009E1B38" w:rsidRDefault="00171C59" w:rsidP="00171C59">
      <w:pPr>
        <w:pStyle w:val="P68B1DB1-Normal2"/>
        <w:ind w:left="709"/>
        <w:jc w:val="left"/>
        <w:rPr>
          <w:lang w:val="en-US"/>
        </w:rPr>
      </w:pPr>
      <w:r w:rsidRPr="009E1B38">
        <w:rPr>
          <w:lang w:val="en-US"/>
        </w:rPr>
        <w:t xml:space="preserve">"d) Registration certificate or power of attorney of the personnel authorized to sign the agreement on behalf of </w:t>
      </w:r>
      <w:r w:rsidR="00906CBE" w:rsidRPr="009E1B38">
        <w:rPr>
          <w:lang w:val="en-US"/>
        </w:rPr>
        <w:t>the ancillary</w:t>
      </w:r>
      <w:r w:rsidRPr="009E1B38">
        <w:rPr>
          <w:lang w:val="en-US"/>
        </w:rPr>
        <w:t xml:space="preserve"> service unit and legal entity of </w:t>
      </w:r>
      <w:r w:rsidR="00906CBE" w:rsidRPr="009E1B38">
        <w:rPr>
          <w:lang w:val="en-US"/>
        </w:rPr>
        <w:t>the ancillary service</w:t>
      </w:r>
      <w:r w:rsidRPr="009E1B38">
        <w:rPr>
          <w:lang w:val="en-US"/>
        </w:rPr>
        <w:t xml:space="preserve"> unit within the scope of the agreement."</w:t>
      </w:r>
    </w:p>
    <w:p w14:paraId="355D334D" w14:textId="77777777" w:rsidR="00171C59" w:rsidRPr="009E1B38" w:rsidRDefault="00171C59" w:rsidP="003C5E4D">
      <w:pPr>
        <w:pStyle w:val="P68B1DB1-ListeParagraf5"/>
        <w:numPr>
          <w:ilvl w:val="0"/>
          <w:numId w:val="16"/>
        </w:numPr>
        <w:spacing w:after="160" w:line="259" w:lineRule="auto"/>
        <w:ind w:left="709" w:firstLine="0"/>
        <w:jc w:val="left"/>
        <w:rPr>
          <w:b/>
          <w:lang w:val="en-US"/>
        </w:rPr>
      </w:pPr>
      <w:r w:rsidRPr="009E1B38">
        <w:rPr>
          <w:lang w:val="en-US"/>
        </w:rPr>
        <w:t xml:space="preserve">In the Amending Regulation and the </w:t>
      </w:r>
      <w:r w:rsidRPr="009E1B38">
        <w:rPr>
          <w:b/>
          <w:lang w:val="en-US"/>
        </w:rPr>
        <w:t>Regulation on Auction Regarding Prelicense Applications for the Establishment of a Wind or Solar Energy Based Generation Plants</w:t>
      </w:r>
      <w:r w:rsidRPr="009E1B38">
        <w:rPr>
          <w:lang w:val="en-US"/>
        </w:rPr>
        <w:t>, published in the Official Gazette dated 01.04.2021 and numbered 31441</w:t>
      </w:r>
    </w:p>
    <w:p w14:paraId="5385E424" w14:textId="77777777" w:rsidR="00171C59" w:rsidRPr="009E1B38" w:rsidRDefault="00171C59" w:rsidP="00171C59">
      <w:pPr>
        <w:pStyle w:val="ListeParagraf"/>
        <w:ind w:left="709"/>
        <w:jc w:val="left"/>
        <w:rPr>
          <w:rFonts w:ascii="Times New Roman" w:hAnsi="Times New Roman"/>
          <w:b/>
        </w:rPr>
      </w:pPr>
    </w:p>
    <w:p w14:paraId="528E2ABE" w14:textId="77777777" w:rsidR="00171C59" w:rsidRPr="009E1B38" w:rsidRDefault="00171C59" w:rsidP="003C5E4D">
      <w:pPr>
        <w:pStyle w:val="P68B1DB1-ListeParagraf5"/>
        <w:numPr>
          <w:ilvl w:val="0"/>
          <w:numId w:val="25"/>
        </w:numPr>
        <w:spacing w:after="160" w:line="259" w:lineRule="auto"/>
        <w:ind w:left="709" w:firstLine="0"/>
        <w:jc w:val="left"/>
        <w:rPr>
          <w:b/>
          <w:lang w:val="en-US"/>
        </w:rPr>
      </w:pPr>
      <w:r w:rsidRPr="009E1B38">
        <w:rPr>
          <w:lang w:val="en-US"/>
        </w:rPr>
        <w:t xml:space="preserve">clause (a) of the second paragraph of Article 6 titled </w:t>
      </w:r>
      <w:r w:rsidRPr="009E1B38">
        <w:rPr>
          <w:i/>
          <w:lang w:val="en-US"/>
        </w:rPr>
        <w:t>"Application principles"</w:t>
      </w:r>
      <w:r w:rsidRPr="009E1B38">
        <w:rPr>
          <w:lang w:val="en-US"/>
        </w:rPr>
        <w:t xml:space="preserve"> has been amended as follows.</w:t>
      </w:r>
    </w:p>
    <w:p w14:paraId="330AA9EB" w14:textId="77777777" w:rsidR="00171C59" w:rsidRPr="009E1B38" w:rsidRDefault="00171C59" w:rsidP="00171C59">
      <w:pPr>
        <w:pStyle w:val="P68B1DB1-Normal2"/>
        <w:ind w:left="709"/>
        <w:jc w:val="left"/>
        <w:rPr>
          <w:i/>
          <w:lang w:val="en-US"/>
        </w:rPr>
      </w:pPr>
      <w:r w:rsidRPr="009E1B38">
        <w:rPr>
          <w:lang w:val="en-US"/>
        </w:rPr>
        <w:t>"</w:t>
      </w:r>
      <w:r w:rsidRPr="009E1B38">
        <w:rPr>
          <w:i/>
          <w:lang w:val="en-US"/>
        </w:rPr>
        <w:t>a) Registration certificate or power of attorney of the person(s) authorized to represent and bind the company,"</w:t>
      </w:r>
    </w:p>
    <w:p w14:paraId="3B256F9E" w14:textId="77777777" w:rsidR="00171C59" w:rsidRPr="009E1B38" w:rsidRDefault="00171C59" w:rsidP="003C5E4D">
      <w:pPr>
        <w:pStyle w:val="P68B1DB1-ListeParagraf5"/>
        <w:numPr>
          <w:ilvl w:val="0"/>
          <w:numId w:val="23"/>
        </w:numPr>
        <w:spacing w:after="160" w:line="259" w:lineRule="auto"/>
        <w:ind w:left="709" w:firstLine="0"/>
        <w:jc w:val="left"/>
        <w:rPr>
          <w:lang w:val="en-US"/>
        </w:rPr>
      </w:pPr>
      <w:bookmarkStart w:id="47" w:name="_Hlk92808171"/>
      <w:bookmarkStart w:id="48" w:name="_Hlk94360229"/>
      <w:r w:rsidRPr="009E1B38">
        <w:rPr>
          <w:lang w:val="en-US"/>
        </w:rPr>
        <w:t xml:space="preserve">In the Amending Regulation and </w:t>
      </w:r>
      <w:r w:rsidRPr="009E1B38">
        <w:rPr>
          <w:b/>
          <w:lang w:val="en-US"/>
        </w:rPr>
        <w:t>Regulation on Renewable Energy Source Areas</w:t>
      </w:r>
      <w:r w:rsidRPr="009E1B38">
        <w:rPr>
          <w:lang w:val="en-US"/>
        </w:rPr>
        <w:t>, published in the Official Gazette dated 09.04.2021 and numbered 31449,</w:t>
      </w:r>
      <w:bookmarkEnd w:id="47"/>
      <w:r w:rsidRPr="009E1B38">
        <w:rPr>
          <w:lang w:val="en-US"/>
        </w:rPr>
        <w:t xml:space="preserve"> clause (a) of the sixth paragraph of Article 7 titled </w:t>
      </w:r>
      <w:r w:rsidRPr="009E1B38">
        <w:rPr>
          <w:i/>
          <w:lang w:val="en-US"/>
        </w:rPr>
        <w:t>"RES Area Usage Auction"</w:t>
      </w:r>
      <w:r w:rsidRPr="009E1B38">
        <w:rPr>
          <w:lang w:val="en-US"/>
        </w:rPr>
        <w:t xml:space="preserve">, and the phrase </w:t>
      </w:r>
      <w:r w:rsidRPr="009E1B38">
        <w:rPr>
          <w:i/>
          <w:lang w:val="en-US"/>
        </w:rPr>
        <w:t>"circular of signature"</w:t>
      </w:r>
      <w:r w:rsidRPr="009E1B38">
        <w:rPr>
          <w:lang w:val="en-US"/>
        </w:rPr>
        <w:t xml:space="preserve"> in the fifth paragraph of Article 9 titled </w:t>
      </w:r>
      <w:r w:rsidRPr="009E1B38">
        <w:rPr>
          <w:i/>
          <w:lang w:val="en-US"/>
        </w:rPr>
        <w:t>"Review of applications"</w:t>
      </w:r>
      <w:r w:rsidRPr="009E1B38">
        <w:rPr>
          <w:lang w:val="en-US"/>
        </w:rPr>
        <w:t xml:space="preserve"> has been replaced with </w:t>
      </w:r>
      <w:r w:rsidRPr="009E1B38">
        <w:rPr>
          <w:i/>
          <w:lang w:val="en-US"/>
        </w:rPr>
        <w:t>"registry certificate"</w:t>
      </w:r>
      <w:bookmarkEnd w:id="48"/>
      <w:r w:rsidRPr="009E1B38">
        <w:rPr>
          <w:lang w:val="en-US"/>
        </w:rPr>
        <w:t>.</w:t>
      </w:r>
    </w:p>
    <w:p w14:paraId="2637D2AC" w14:textId="77777777" w:rsidR="00171C59" w:rsidRPr="009E1B38" w:rsidRDefault="00171C59" w:rsidP="00171C59">
      <w:pPr>
        <w:pStyle w:val="ListeParagraf"/>
        <w:spacing w:after="0" w:line="240" w:lineRule="atLeast"/>
        <w:ind w:left="709"/>
        <w:jc w:val="left"/>
        <w:rPr>
          <w:rFonts w:ascii="Times New Roman" w:hAnsi="Times New Roman"/>
          <w:i/>
        </w:rPr>
      </w:pPr>
    </w:p>
    <w:p w14:paraId="4699D4E5" w14:textId="77777777" w:rsidR="00171C59" w:rsidRPr="009E1B38" w:rsidRDefault="00171C59" w:rsidP="003C5E4D">
      <w:pPr>
        <w:pStyle w:val="ListeParagraf"/>
        <w:numPr>
          <w:ilvl w:val="0"/>
          <w:numId w:val="101"/>
        </w:numPr>
        <w:spacing w:after="160" w:line="259" w:lineRule="auto"/>
        <w:ind w:left="709" w:firstLine="0"/>
        <w:jc w:val="left"/>
        <w:rPr>
          <w:rFonts w:ascii="Times New Roman" w:hAnsi="Times New Roman"/>
        </w:rPr>
      </w:pPr>
      <w:r w:rsidRPr="009E1B38">
        <w:rPr>
          <w:rFonts w:ascii="Times New Roman" w:hAnsi="Times New Roman"/>
        </w:rPr>
        <w:t xml:space="preserve">In the Amendment Regulation published in the Official Gazette dated 24.04.2021 and numbered 31464 and </w:t>
      </w:r>
      <w:r w:rsidRPr="009E1B38">
        <w:rPr>
          <w:rFonts w:ascii="Times New Roman" w:hAnsi="Times New Roman"/>
          <w:b/>
        </w:rPr>
        <w:t>the Electricity Market Import and Export Regulation</w:t>
      </w:r>
    </w:p>
    <w:p w14:paraId="168928D0" w14:textId="77777777" w:rsidR="00171C59" w:rsidRPr="009E1B38" w:rsidRDefault="00171C59" w:rsidP="00171C59">
      <w:pPr>
        <w:pStyle w:val="ListeParagraf"/>
        <w:ind w:left="709"/>
        <w:jc w:val="left"/>
        <w:rPr>
          <w:rFonts w:ascii="Times New Roman" w:hAnsi="Times New Roman"/>
          <w:b/>
        </w:rPr>
      </w:pPr>
    </w:p>
    <w:p w14:paraId="26EF8250"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rPr>
      </w:pPr>
      <w:r w:rsidRPr="009E1B38">
        <w:rPr>
          <w:rFonts w:ascii="Times New Roman" w:hAnsi="Times New Roman"/>
        </w:rPr>
        <w:lastRenderedPageBreak/>
        <w:t xml:space="preserve">The clauses (a), (ğ), (ı), (i), (j), (l), (n), (ş), (u), (ü), (z), (ee), (ff), (ll), (mm) and (nn) of the first paragraph of Article 4titled </w:t>
      </w:r>
      <w:r w:rsidRPr="009E1B38">
        <w:rPr>
          <w:rFonts w:ascii="Times New Roman" w:hAnsi="Times New Roman"/>
          <w:i/>
        </w:rPr>
        <w:t>"Definitions and abbreviations"</w:t>
      </w:r>
      <w:r w:rsidRPr="009E1B38">
        <w:rPr>
          <w:rFonts w:ascii="Times New Roman" w:hAnsi="Times New Roman"/>
        </w:rPr>
        <w:t xml:space="preserve"> have been amended as follows, and the words </w:t>
      </w:r>
      <w:r w:rsidRPr="009E1B38">
        <w:rPr>
          <w:rFonts w:ascii="Times New Roman" w:hAnsi="Times New Roman"/>
          <w:i/>
        </w:rPr>
        <w:t>" Presidential decree, Presidential decision , "</w:t>
      </w:r>
      <w:r w:rsidRPr="009E1B38">
        <w:rPr>
          <w:rFonts w:ascii="Times New Roman" w:hAnsi="Times New Roman"/>
        </w:rPr>
        <w:t xml:space="preserve"> have been added after the phrase </w:t>
      </w:r>
      <w:r w:rsidRPr="009E1B38">
        <w:rPr>
          <w:rFonts w:ascii="Times New Roman" w:hAnsi="Times New Roman"/>
          <w:i/>
        </w:rPr>
        <w:t>"law ,"</w:t>
      </w:r>
      <w:r w:rsidRPr="009E1B38">
        <w:rPr>
          <w:rFonts w:ascii="Times New Roman" w:hAnsi="Times New Roman"/>
        </w:rPr>
        <w:t xml:space="preserve"> in subparagraph and the following clause has been added at the end of the same paragraph.</w:t>
      </w:r>
    </w:p>
    <w:p w14:paraId="4D670D3B" w14:textId="77777777" w:rsidR="00171C59" w:rsidRPr="009E1B38" w:rsidRDefault="00171C59" w:rsidP="00171C59">
      <w:pPr>
        <w:pStyle w:val="ListeParagraf"/>
        <w:ind w:left="709"/>
        <w:jc w:val="left"/>
        <w:rPr>
          <w:rFonts w:ascii="Times New Roman" w:hAnsi="Times New Roman"/>
        </w:rPr>
      </w:pPr>
    </w:p>
    <w:p w14:paraId="057365E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Reduction: According to the Electricity Network Regulation published in the Official Gazette dated 28/5/2014 and numbered 29013, the Physical Transmission Rights allocated to market participants by the System Operator in emergency situations where the System Operator must act quickly are reduced before the exchange program is given,"</w:t>
      </w:r>
    </w:p>
    <w:p w14:paraId="371A189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“ğ) Interconnection Operation Agreement: The agreement made between the System Operator and the transmission or distribution company of the other country where the interconnection is established and containing the ​procedures and principles related to the operation of the interconnection line,”</w:t>
      </w:r>
    </w:p>
    <w:p w14:paraId="7F2EAE2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"ı) Interconnection Usage Agreement: The agreement between the license holder legal entity and the System Operator, which receives services through international interconnection lines operated by the System Operator, and includes the principles and procedures related to the use of the interconnection line,"</w:t>
      </w:r>
    </w:p>
    <w:p w14:paraId="3CDCD33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“i) ENTSO-E (the European Network of Transmission System Operators): The international organization established as a non-profit international organization and as specified in the European Union's Regulation on Transboundary Electricity Trade No. 714/2009 for the purpose of completing integration in the internal electricity market at Community level, improving cross-border electricity trade, ensuring optimal management, coordinated operation of the European electricity transmission network and maintaining cooperation between all Transmission System Operators to ensure security of supply,”</w:t>
      </w:r>
    </w:p>
    <w:p w14:paraId="7E9F709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"j) Tender documents: Documents prepared by the System Operator or the international organizations to which the party is a party in accordance with the fourth paragraph of Article 8 of the Law and related to the allocation of line capacity and the use of these capacities,"</w:t>
      </w:r>
    </w:p>
    <w:p w14:paraId="45AF56F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"l) Secondary Physical Transmission Right Market: The mechanism that allows the transfer of the Physical Transmission Rights allocated to a physical transmission right holder in tenders or through the transfer of the Physical Transmission Right to another supply company or a generation license holder in the direction of export in synchronous parallel connections,"</w:t>
      </w:r>
    </w:p>
    <w:p w14:paraId="72A8940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"n) Intercompensation Mechanism between Transmission System Operators : The mechanism foreseeing the payment of a price determined by taking into account the long-term forward costs, losses, new infrastructure investments and an appropriate ratio of existing infrastructure costs to the Transmission System Operator used as the transmission system transit, based on the physical flows in the national transmission systems where the cross-border physical flow starts (source) and ends (destination) in relation to the cross-border physical flows between the Transmission System Operators connected synchronously to each other,"</w:t>
      </w:r>
    </w:p>
    <w:p w14:paraId="4844B1C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"ş) Restriction Management Fee: In case of restriction on the allocation of interconnection line capacity to be used for electricity transmission within the framework of import and/or export activity, the fee paid to the System Operator in accordance with the provisions of this Regulation or to the international organizations to which it is a party in accordance with the fourth paragraph of Article 8 of the Law,"</w:t>
      </w:r>
    </w:p>
    <w:p w14:paraId="0E641CD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"u) Utilization Factor: The ratio of the total energy transferred over the line as a result of the actual use of the interconnection lines for which capacity is allocated in a certain period of time to the total amount of energy (%) that should be transferred over the line if all the allocated capacity is used in the same period of time,"</w:t>
      </w:r>
    </w:p>
    <w:p w14:paraId="31B35B3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“ü) Available Capacity (KAK): The amount of electrical energy power in megawatts (MW) found as a result of subtracting the Allocated Capacity from the Net Transfer Capacity calculated on the basis of a specific interconnection line or limit, and made available to market participants,”</w:t>
      </w:r>
    </w:p>
    <w:p w14:paraId="48C02C0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“z) Net Transfer Capacity (NTK): The maximum amount of transferable electrical energy power in megawatts (MW) calculated on the basis of an interconnection line or border, taking into account all the safety criteria applied in both electrical systems between the national electrical system and the neighboring country electrical system and the uncertainties that may occur in the future,</w:t>
      </w:r>
    </w:p>
    <w:p w14:paraId="0F65952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"ee) System Operator: The relevant distribution company for the network below 36 kV, TEİAŞ for the network above 36 kV,"</w:t>
      </w:r>
    </w:p>
    <w:p w14:paraId="4717009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"ff) Allocated Capacity (TEK): The sum of the capacity amounts in megawatts (MW) allocated by international agreements made before the entry into force of this Regulation or allocated within the scope of this Regulation or allocated due to the construction of the line by the users,"</w:t>
      </w:r>
    </w:p>
    <w:p w14:paraId="587F308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"ll) Physical Transmission Right (FİH): The right to use the interconnection capacity expressed in megawatts (MW) for electricity transfers,"</w:t>
      </w:r>
    </w:p>
    <w:p w14:paraId="2276367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"mm) Transfer of Physical Transmission Rights: Transfer of the Physical Transmission Rights through the Secondary Physical Transmission Rights Market, except for the capacity allocated to the relevant legal entity due to the interconnection lines built by legal entities,"</w:t>
      </w:r>
    </w:p>
    <w:p w14:paraId="2C14314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"nn) Physical Transmission Right Holder: The cross-border tender participant who has the Physical Transmission Right through the Tender or Secondary Physical Transmission Right Market or the legal entity who has the supply or generation license with the Physical Transmission Right through the capacity allocation to the relevant legal entity due to the interconnection lines built by legal entities,"</w:t>
      </w:r>
    </w:p>
    <w:p w14:paraId="1DB30D3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"üü) EÜAŞ: Electricity Generation Corporation"</w:t>
      </w:r>
    </w:p>
    <w:p w14:paraId="790DE491" w14:textId="77777777" w:rsidR="00171C59" w:rsidRPr="009E1B38" w:rsidRDefault="00171C59" w:rsidP="00171C59">
      <w:pPr>
        <w:pStyle w:val="ListeParagraf"/>
        <w:ind w:left="709"/>
        <w:jc w:val="left"/>
        <w:rPr>
          <w:rFonts w:ascii="Times New Roman" w:hAnsi="Times New Roman"/>
        </w:rPr>
      </w:pPr>
    </w:p>
    <w:p w14:paraId="250691BA"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i/>
        </w:rPr>
      </w:pPr>
      <w:r w:rsidRPr="009E1B38">
        <w:rPr>
          <w:rFonts w:ascii="Times New Roman" w:hAnsi="Times New Roman"/>
        </w:rPr>
        <w:t>Clause (c) of the first paragraph of Article 5titled</w:t>
      </w:r>
      <w:r w:rsidRPr="009E1B38">
        <w:rPr>
          <w:rFonts w:ascii="Times New Roman" w:hAnsi="Times New Roman"/>
          <w:i/>
        </w:rPr>
        <w:t xml:space="preserve"> "Legal entities that may engage in import and/or export activities” </w:t>
      </w:r>
      <w:r w:rsidRPr="009E1B38">
        <w:rPr>
          <w:rFonts w:ascii="Times New Roman" w:hAnsi="Times New Roman"/>
        </w:rPr>
        <w:t>has been amended as follows.</w:t>
      </w:r>
    </w:p>
    <w:p w14:paraId="08115A93" w14:textId="77777777" w:rsidR="00171C59" w:rsidRPr="009E1B38" w:rsidRDefault="00171C59" w:rsidP="00171C59">
      <w:pPr>
        <w:pStyle w:val="ListeParagraf"/>
        <w:ind w:left="709"/>
        <w:jc w:val="left"/>
        <w:rPr>
          <w:rFonts w:ascii="Times New Roman" w:hAnsi="Times New Roman"/>
          <w:i/>
        </w:rPr>
      </w:pPr>
    </w:p>
    <w:p w14:paraId="1CCC704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Electricity energy export activity in a way that shall not exceed total installed power of generation facilities owned by generation license holder legal entities,"</w:t>
      </w:r>
    </w:p>
    <w:p w14:paraId="69FB1F97" w14:textId="77777777" w:rsidR="00171C59" w:rsidRPr="009E1B38" w:rsidRDefault="00171C59" w:rsidP="00171C59">
      <w:pPr>
        <w:pStyle w:val="ListeParagraf"/>
        <w:ind w:left="709"/>
        <w:jc w:val="left"/>
        <w:rPr>
          <w:rFonts w:ascii="Times New Roman" w:hAnsi="Times New Roman"/>
          <w:i/>
        </w:rPr>
      </w:pPr>
    </w:p>
    <w:p w14:paraId="61F7C39D"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i/>
        </w:rPr>
      </w:pPr>
      <w:r w:rsidRPr="009E1B38">
        <w:rPr>
          <w:rFonts w:ascii="Times New Roman" w:hAnsi="Times New Roman"/>
        </w:rPr>
        <w:t>Article 7 titled</w:t>
      </w:r>
      <w:r w:rsidRPr="009E1B38">
        <w:rPr>
          <w:rFonts w:ascii="Times New Roman" w:hAnsi="Times New Roman"/>
          <w:i/>
        </w:rPr>
        <w:t xml:space="preserve"> "Applications to be made for import and/or export activities in synchronous parallel connections" </w:t>
      </w:r>
      <w:r w:rsidRPr="009E1B38">
        <w:rPr>
          <w:rFonts w:ascii="Times New Roman" w:hAnsi="Times New Roman"/>
        </w:rPr>
        <w:t>has been amended as follows.</w:t>
      </w:r>
    </w:p>
    <w:p w14:paraId="79183D1E" w14:textId="77777777" w:rsidR="00171C59" w:rsidRPr="009E1B38" w:rsidRDefault="00171C59" w:rsidP="00171C59">
      <w:pPr>
        <w:pStyle w:val="ListeParagraf"/>
        <w:ind w:left="709"/>
        <w:jc w:val="left"/>
        <w:rPr>
          <w:rFonts w:ascii="Times New Roman" w:hAnsi="Times New Roman"/>
        </w:rPr>
      </w:pPr>
    </w:p>
    <w:p w14:paraId="31ED94FF"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7</w:t>
      </w:r>
    </w:p>
    <w:p w14:paraId="0279C019" w14:textId="77777777" w:rsidR="00171C59" w:rsidRPr="009E1B38" w:rsidRDefault="00171C59" w:rsidP="00171C59">
      <w:pPr>
        <w:pStyle w:val="ListeParagraf"/>
        <w:ind w:left="709"/>
        <w:jc w:val="left"/>
        <w:rPr>
          <w:rFonts w:ascii="Times New Roman" w:hAnsi="Times New Roman"/>
          <w:b/>
          <w:i/>
        </w:rPr>
      </w:pPr>
    </w:p>
    <w:p w14:paraId="13CB412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Interconnection lines that can be imported and/or exported for electrical energy shall be announced by the System Operator in line with the opinion of the Ministry.</w:t>
      </w:r>
    </w:p>
    <w:p w14:paraId="778FF067" w14:textId="77777777" w:rsidR="00171C59" w:rsidRPr="009E1B38" w:rsidRDefault="00171C59" w:rsidP="00171C59">
      <w:pPr>
        <w:pStyle w:val="ListeParagraf"/>
        <w:ind w:left="709"/>
        <w:jc w:val="left"/>
        <w:rPr>
          <w:rFonts w:ascii="Times New Roman" w:hAnsi="Times New Roman"/>
          <w:i/>
        </w:rPr>
      </w:pPr>
    </w:p>
    <w:p w14:paraId="680691D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The supply licensee companies wishing to carry out activities for import and/or export by using the interconnection line capacity for synchronous parallel connections may participate in the tenders regarding the capacity allocations announced by the System Operator or the international organizations to which they are a party in accordance with the fourth paragraph of Article 8 of the Law and may import and/or export electricity for the allocated amount and duration if they are entitled to capacity allocation.</w:t>
      </w:r>
    </w:p>
    <w:p w14:paraId="5F15804E" w14:textId="77777777" w:rsidR="00171C59" w:rsidRPr="009E1B38" w:rsidRDefault="00171C59" w:rsidP="00171C59">
      <w:pPr>
        <w:pStyle w:val="ListeParagraf"/>
        <w:ind w:left="709"/>
        <w:jc w:val="left"/>
        <w:rPr>
          <w:rFonts w:ascii="Times New Roman" w:hAnsi="Times New Roman"/>
          <w:i/>
        </w:rPr>
      </w:pPr>
    </w:p>
    <w:p w14:paraId="56E807B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Generation license holding companies wishing to carry out activities for export by using interconnection line capacity for synchronous parallel connections may participate in the tenders regarding capacity allocations announced by the System Operator or international organizations to which they are a party in accordance with the fourth paragraph of Article 8 of the Law and in case they are entitled to capacity allocation, they may export electricity for the allocated amount and duration.</w:t>
      </w:r>
    </w:p>
    <w:p w14:paraId="1E7C564A" w14:textId="77777777" w:rsidR="00171C59" w:rsidRPr="009E1B38" w:rsidRDefault="00171C59" w:rsidP="00171C59">
      <w:pPr>
        <w:pStyle w:val="ListeParagraf"/>
        <w:ind w:left="709"/>
        <w:jc w:val="left"/>
        <w:rPr>
          <w:rFonts w:ascii="Times New Roman" w:hAnsi="Times New Roman"/>
          <w:i/>
        </w:rPr>
      </w:pPr>
    </w:p>
    <w:p w14:paraId="23071CD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(4) Security deposit to be given within the scope of import and/or export by using interconnection line capacity for synchronous parallel connections shall be determined and announced by the System Operator.</w:t>
      </w:r>
      <w:r w:rsidRPr="009E1B38">
        <w:rPr>
          <w:rFonts w:ascii="Times New Roman" w:hAnsi="Times New Roman"/>
        </w:rPr>
        <w:t xml:space="preserve"> </w:t>
      </w:r>
      <w:r w:rsidRPr="009E1B38">
        <w:rPr>
          <w:rFonts w:ascii="Times New Roman" w:hAnsi="Times New Roman"/>
          <w:i/>
        </w:rPr>
        <w:t>Companies wishing to import/export using the interconnection line capacity for synchronous parallel connections and having this right shall submit the letter of guarantee in the specified amount to the System Operator.</w:t>
      </w:r>
    </w:p>
    <w:p w14:paraId="62E93FC9" w14:textId="77777777" w:rsidR="00171C59" w:rsidRPr="009E1B38" w:rsidRDefault="00171C59" w:rsidP="00171C59">
      <w:pPr>
        <w:pStyle w:val="ListeParagraf"/>
        <w:ind w:left="709"/>
        <w:jc w:val="left"/>
        <w:rPr>
          <w:rFonts w:ascii="Times New Roman" w:hAnsi="Times New Roman"/>
          <w:i/>
        </w:rPr>
      </w:pPr>
    </w:p>
    <w:p w14:paraId="2940F54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(5) Persons who have obtained Physical Transmission Rights in countries with synchronous parallel connection must agree with the legal entities specified in the first paragraph of Article 5 in order to carry out cross-border electricity trade with Türkiye. "</w:t>
      </w:r>
    </w:p>
    <w:p w14:paraId="3C0DCCC1" w14:textId="77777777" w:rsidR="00171C59" w:rsidRPr="009E1B38" w:rsidRDefault="00171C59" w:rsidP="00171C59">
      <w:pPr>
        <w:pStyle w:val="ListeParagraf"/>
        <w:ind w:left="709"/>
        <w:jc w:val="left"/>
        <w:rPr>
          <w:rFonts w:ascii="Times New Roman" w:hAnsi="Times New Roman"/>
          <w:i/>
        </w:rPr>
      </w:pPr>
    </w:p>
    <w:p w14:paraId="7874D18A"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i/>
        </w:rPr>
      </w:pPr>
      <w:r w:rsidRPr="009E1B38">
        <w:rPr>
          <w:rFonts w:ascii="Times New Roman" w:hAnsi="Times New Roman"/>
        </w:rPr>
        <w:t>Article 8 titled</w:t>
      </w:r>
      <w:r w:rsidRPr="009E1B38">
        <w:rPr>
          <w:rFonts w:ascii="Times New Roman" w:hAnsi="Times New Roman"/>
          <w:i/>
        </w:rPr>
        <w:t xml:space="preserve"> "Applications to be made for import and/or export activity in synchronous non-parallel connections" </w:t>
      </w:r>
      <w:r w:rsidRPr="009E1B38">
        <w:rPr>
          <w:rFonts w:ascii="Times New Roman" w:hAnsi="Times New Roman"/>
        </w:rPr>
        <w:t>has been amended as follows.</w:t>
      </w:r>
    </w:p>
    <w:p w14:paraId="34979BA3" w14:textId="77777777" w:rsidR="00171C59" w:rsidRPr="009E1B38" w:rsidRDefault="00171C59" w:rsidP="00171C59">
      <w:pPr>
        <w:pStyle w:val="ListeParagraf"/>
        <w:ind w:left="709"/>
        <w:jc w:val="left"/>
        <w:rPr>
          <w:rFonts w:ascii="Times New Roman" w:hAnsi="Times New Roman"/>
        </w:rPr>
      </w:pPr>
    </w:p>
    <w:p w14:paraId="373A8379"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8</w:t>
      </w:r>
    </w:p>
    <w:p w14:paraId="5AD288D4" w14:textId="77777777" w:rsidR="00171C59" w:rsidRPr="009E1B38" w:rsidRDefault="00171C59" w:rsidP="00171C59">
      <w:pPr>
        <w:pStyle w:val="ListeParagraf"/>
        <w:ind w:left="709"/>
        <w:jc w:val="left"/>
        <w:rPr>
          <w:rFonts w:ascii="Times New Roman" w:hAnsi="Times New Roman"/>
          <w:b/>
          <w:i/>
        </w:rPr>
      </w:pPr>
    </w:p>
    <w:p w14:paraId="59D81EF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It is obligatory to submit the following information and documents to the Authority in applications for license modification made to carry out import activities in synchronous non-parallel connections:</w:t>
      </w:r>
    </w:p>
    <w:p w14:paraId="5329679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The country from which an import will be made</w:t>
      </w:r>
    </w:p>
    <w:p w14:paraId="7677CE9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The type or types of fuel used in the generation of electrical energy foreseen to be imported.</w:t>
      </w:r>
    </w:p>
    <w:p w14:paraId="6D3E572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Maximum power of electrical energy foreseen to be imported in megawatts (MW), annual amount in kilowatt hours (kWh).</w:t>
      </w:r>
    </w:p>
    <w:p w14:paraId="0BA2E97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The date of commencement and duration of activity foreseen for import activity.</w:t>
      </w:r>
    </w:p>
    <w:p w14:paraId="03E3097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Delivery points of electrical energy foreseen to be imported at the border of the country.</w:t>
      </w:r>
    </w:p>
    <w:p w14:paraId="37EE090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 The method to be used in import.</w:t>
      </w:r>
    </w:p>
    <w:p w14:paraId="41DCDDE8" w14:textId="2898EC6E"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f) Specifies that the relevant interconnection line covering the title of the relevant company and the information within the scope of this paragraph and made with the Ministry and/or authorized institution regarding the importation of electrical energy in the opposite country can be used; preliminary agreement, protocol or letter of intent and preliminary agreement, protocol or letter of intent made with the addressee company regarding the supply or supply of the said energy. In addition, a letter of commitment to be given by the applicant stating that the Agreement in question is valid if an Agreement in force for the period for which the application is to be made is submitted, although the date of signature is old.</w:t>
      </w:r>
    </w:p>
    <w:p w14:paraId="5139E5F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g) Document showing that the license amendment fee has been deposited.</w:t>
      </w:r>
    </w:p>
    <w:p w14:paraId="353943E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It is obligatory to submit the following information and documents to the Authority in applications for license amendment made to carry out export activities in synchronous non-parallel connections:</w:t>
      </w:r>
    </w:p>
    <w:p w14:paraId="70EDB2D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The country to which an export will be made</w:t>
      </w:r>
    </w:p>
    <w:p w14:paraId="69F3442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Maximum power of electrical energy foreseen to be exported in megawatts (MW) and annual amount in kilowatt hours (kWh).</w:t>
      </w:r>
    </w:p>
    <w:p w14:paraId="348AD98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The date of commencement and duration of activity foreseen for export activity.</w:t>
      </w:r>
    </w:p>
    <w:p w14:paraId="4DC8A4F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Delivery points of electrical energy foreseen to be exported at the border of the country.</w:t>
      </w:r>
    </w:p>
    <w:p w14:paraId="256DF1D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Method to be used in export.</w:t>
      </w:r>
    </w:p>
    <w:p w14:paraId="05E3E24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 A preliminary agreement, protocol or letter of intent made with the Ministry and/or authorized institution regarding the export of electrical energy in the opposite country and containing the title of the relevant company and the information specified in this paragraph and indicating that the relevant interconnection line can be used.</w:t>
      </w:r>
      <w:r w:rsidRPr="009E1B38">
        <w:rPr>
          <w:rFonts w:ascii="Times New Roman" w:hAnsi="Times New Roman"/>
        </w:rPr>
        <w:t xml:space="preserve"> </w:t>
      </w:r>
      <w:r w:rsidRPr="009E1B38">
        <w:rPr>
          <w:rFonts w:ascii="Times New Roman" w:hAnsi="Times New Roman"/>
          <w:i/>
        </w:rPr>
        <w:t>In addition, a letter of commitment to be given by the applicant stating that the Agreement in question is valid if an Agreement in force for the period for which the application is to be made is submitted, although the date of signature is old.</w:t>
      </w:r>
    </w:p>
    <w:p w14:paraId="126DA75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f) Document showing that the license amendment fee has been deposited.</w:t>
      </w:r>
    </w:p>
    <w:p w14:paraId="13B8DE97" w14:textId="77777777" w:rsidR="00171C59" w:rsidRPr="009E1B38" w:rsidRDefault="00171C59" w:rsidP="00171C59">
      <w:pPr>
        <w:pStyle w:val="ListeParagraf"/>
        <w:ind w:left="709"/>
        <w:jc w:val="left"/>
        <w:rPr>
          <w:rFonts w:ascii="Times New Roman" w:hAnsi="Times New Roman"/>
          <w:i/>
        </w:rPr>
      </w:pPr>
    </w:p>
    <w:p w14:paraId="36400C9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The preliminary agreement, protocol or letter of intent with the Ministry and/or the competent Authority regarding the import/export of electrical energy in the opposite country must be approved by the Turkish Consulate in the country in question or in accordance with the provisions of the Convention on the Elimination of the Obligation to Certify Foreign Official Documents, which was prepared within the framework of the Hague Conference on Private Laws of States dated 20/6/1984 and numbered 3028.</w:t>
      </w:r>
    </w:p>
    <w:p w14:paraId="5230C0FF" w14:textId="77777777" w:rsidR="00171C59" w:rsidRPr="009E1B38" w:rsidRDefault="00171C59" w:rsidP="00171C59">
      <w:pPr>
        <w:pStyle w:val="ListeParagraf"/>
        <w:ind w:left="709"/>
        <w:jc w:val="left"/>
        <w:rPr>
          <w:rFonts w:ascii="Times New Roman" w:hAnsi="Times New Roman"/>
          <w:i/>
        </w:rPr>
      </w:pPr>
    </w:p>
    <w:p w14:paraId="3368C7E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In the event that the information and documents specified under this article are submitted to the Authority wholly;</w:t>
      </w:r>
    </w:p>
    <w:p w14:paraId="55CAF8B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In case an application is made by legal entities holding a supply license or generation license for legal entities holding a generation license in import and/or export activities for legal entities holding a supply license from countries or countries with international interconnection requirement via existing or future lines, the opinion of the System Operator regarding technical issues shall be taken by the Authority with the opinion of the Ministry.</w:t>
      </w:r>
    </w:p>
    <w:p w14:paraId="66B5272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If the opinions are positive, the application shall be announced on the website of the Authority.</w:t>
      </w:r>
      <w:r w:rsidRPr="009E1B38">
        <w:rPr>
          <w:rFonts w:ascii="Times New Roman" w:hAnsi="Times New Roman"/>
        </w:rPr>
        <w:t xml:space="preserve"> </w:t>
      </w:r>
      <w:r w:rsidRPr="009E1B38">
        <w:rPr>
          <w:rFonts w:ascii="Times New Roman" w:hAnsi="Times New Roman"/>
          <w:i/>
        </w:rPr>
        <w:t>Within fifteen days following the announcement, legal entities with a supply license wishing to engage in import and/or export activities by using the same line and legal entities with a generation license wishing to engage in export activities by using the same line may also apply to the Authority.</w:t>
      </w:r>
      <w:r w:rsidRPr="009E1B38">
        <w:rPr>
          <w:rFonts w:ascii="Times New Roman" w:hAnsi="Times New Roman"/>
        </w:rPr>
        <w:t xml:space="preserve"> </w:t>
      </w:r>
      <w:r w:rsidRPr="009E1B38">
        <w:rPr>
          <w:rFonts w:ascii="Times New Roman" w:hAnsi="Times New Roman"/>
          <w:i/>
        </w:rPr>
        <w:t>New applications for the same line are not accepted until the applications made on time are finalized.</w:t>
      </w:r>
    </w:p>
    <w:p w14:paraId="4EAAE6D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In case of more than one license amendment application for the same line and in case of restriction, the applications shall be notified to the relevant System Operator and applicants to be finalized in accordance with the provisions of this Regulation.</w:t>
      </w:r>
      <w:r w:rsidRPr="009E1B38">
        <w:rPr>
          <w:rFonts w:ascii="Times New Roman" w:hAnsi="Times New Roman"/>
        </w:rPr>
        <w:t xml:space="preserve"> </w:t>
      </w:r>
      <w:r w:rsidRPr="009E1B38">
        <w:rPr>
          <w:rFonts w:ascii="Times New Roman" w:hAnsi="Times New Roman"/>
          <w:i/>
        </w:rPr>
        <w:t>The System Operator shall finalize the procedures related to the competition and capacity allocation between the applicants within forty-five days within the framework of the provisions of this Regulation and shall notify the Authority of the result in order to ensure that the Board decision is taken.</w:t>
      </w:r>
      <w:r w:rsidRPr="009E1B38">
        <w:rPr>
          <w:rFonts w:ascii="Times New Roman" w:hAnsi="Times New Roman"/>
        </w:rPr>
        <w:t xml:space="preserve"> </w:t>
      </w:r>
      <w:r w:rsidRPr="009E1B38">
        <w:rPr>
          <w:rFonts w:ascii="Times New Roman" w:hAnsi="Times New Roman"/>
          <w:i/>
        </w:rPr>
        <w:t>In the event that the applicant who won the competition does not apply to the Authority for license amendment together with the documents specified in the ninth article within the period, this situation shall be notified to the System Operator and the procedure shall be initiated for the decision of the Board about the second legal entity in the competition.</w:t>
      </w:r>
    </w:p>
    <w:p w14:paraId="0D67B03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If it is not possible to operate the electricity of the national electricity system in parallel with the electricity system of the country where it will be imported or exported, the opinion of the Ministry shall be taken as a basis regarding which of the import or export activities shall be carried out. "</w:t>
      </w:r>
    </w:p>
    <w:p w14:paraId="5DE0C29D" w14:textId="77777777" w:rsidR="00171C59" w:rsidRPr="009E1B38" w:rsidRDefault="00171C59" w:rsidP="00171C59">
      <w:pPr>
        <w:pStyle w:val="ListeParagraf"/>
        <w:ind w:left="709"/>
        <w:jc w:val="left"/>
        <w:rPr>
          <w:rFonts w:ascii="Times New Roman" w:hAnsi="Times New Roman"/>
        </w:rPr>
      </w:pPr>
    </w:p>
    <w:p w14:paraId="1296F28E"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i/>
        </w:rPr>
      </w:pPr>
      <w:r w:rsidRPr="009E1B38">
        <w:rPr>
          <w:rFonts w:ascii="Times New Roman" w:hAnsi="Times New Roman"/>
        </w:rPr>
        <w:t>The first paragraph of Article 9titled</w:t>
      </w:r>
      <w:r w:rsidRPr="009E1B38">
        <w:rPr>
          <w:rFonts w:ascii="Times New Roman" w:hAnsi="Times New Roman"/>
          <w:i/>
        </w:rPr>
        <w:t xml:space="preserve"> "Examination, evaluation and finalization of applications in synchronous non-parallel connections" </w:t>
      </w:r>
      <w:r w:rsidRPr="009E1B38">
        <w:rPr>
          <w:rFonts w:ascii="Times New Roman" w:hAnsi="Times New Roman"/>
        </w:rPr>
        <w:t>has been amended as follows</w:t>
      </w:r>
      <w:r w:rsidRPr="009E1B38">
        <w:rPr>
          <w:rFonts w:ascii="Times New Roman" w:hAnsi="Times New Roman"/>
          <w:i/>
        </w:rPr>
        <w:t>.</w:t>
      </w:r>
    </w:p>
    <w:p w14:paraId="43E3EC2E" w14:textId="77777777" w:rsidR="00171C59" w:rsidRPr="009E1B38" w:rsidRDefault="00171C59" w:rsidP="00171C59">
      <w:pPr>
        <w:pStyle w:val="ListeParagraf"/>
        <w:ind w:left="709"/>
        <w:jc w:val="left"/>
        <w:rPr>
          <w:rFonts w:ascii="Times New Roman" w:hAnsi="Times New Roman"/>
          <w:i/>
        </w:rPr>
      </w:pPr>
    </w:p>
    <w:p w14:paraId="19E87C3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The license holder legal entity approved by the Board decision to engage in import and/or export activities for synchronous non-parallel connections shall be notified in writing that if appropriate agreements and interconnection utilization agreement are submitted to the Authority in relation to the import and/or export activities foreseen during the application, an operating permit shall be granted and this obligation shall be fulfilled within thirty days.</w:t>
      </w:r>
      <w:r w:rsidRPr="009E1B38">
        <w:rPr>
          <w:rFonts w:ascii="Times New Roman" w:hAnsi="Times New Roman"/>
        </w:rPr>
        <w:t xml:space="preserve"> </w:t>
      </w:r>
      <w:r w:rsidRPr="009E1B38">
        <w:rPr>
          <w:rFonts w:ascii="Times New Roman" w:hAnsi="Times New Roman"/>
          <w:i/>
        </w:rPr>
        <w:t>This period may be extended by the decision of the Board.</w:t>
      </w:r>
      <w:r w:rsidRPr="009E1B38">
        <w:rPr>
          <w:rFonts w:ascii="Times New Roman" w:hAnsi="Times New Roman"/>
        </w:rPr>
        <w:t xml:space="preserve"> </w:t>
      </w:r>
      <w:r w:rsidRPr="009E1B38">
        <w:rPr>
          <w:rFonts w:ascii="Times New Roman" w:hAnsi="Times New Roman"/>
          <w:i/>
        </w:rPr>
        <w:t>The agreements to be submitted must be approved by the Turkish Consulate in the country in question or in accordance with the provisions of the Convention on the Elimination of the Obligation to Certify Foreign Official Documents prepared within the framework of the Hague Conference on Private Law of States and adopted by Law No. 3028.</w:t>
      </w:r>
      <w:r w:rsidRPr="009E1B38">
        <w:rPr>
          <w:rFonts w:ascii="Times New Roman" w:hAnsi="Times New Roman"/>
        </w:rPr>
        <w:t xml:space="preserve"> </w:t>
      </w:r>
      <w:r w:rsidRPr="009E1B38">
        <w:rPr>
          <w:rFonts w:ascii="Times New Roman" w:hAnsi="Times New Roman"/>
          <w:i/>
        </w:rPr>
        <w:t>In the event that the obligations are fulfilled, the provisions regarding the permitting of import and/or export activities are compiled into the license of the relevant legal entity by the Authority and notified to the relevant System Operator to be published on the website. "</w:t>
      </w:r>
    </w:p>
    <w:p w14:paraId="06F1820E" w14:textId="77777777" w:rsidR="00171C59" w:rsidRPr="009E1B38" w:rsidRDefault="00171C59" w:rsidP="00171C59">
      <w:pPr>
        <w:pStyle w:val="ListeParagraf"/>
        <w:ind w:left="709"/>
        <w:jc w:val="left"/>
        <w:rPr>
          <w:rFonts w:ascii="Times New Roman" w:hAnsi="Times New Roman"/>
          <w:i/>
        </w:rPr>
      </w:pPr>
    </w:p>
    <w:p w14:paraId="7A16F82C"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rPr>
      </w:pPr>
      <w:r w:rsidRPr="009E1B38">
        <w:rPr>
          <w:rFonts w:ascii="Times New Roman" w:hAnsi="Times New Roman"/>
        </w:rPr>
        <w:lastRenderedPageBreak/>
        <w:t>Article 10 titled</w:t>
      </w:r>
      <w:r w:rsidRPr="009E1B38">
        <w:rPr>
          <w:rFonts w:ascii="Times New Roman" w:hAnsi="Times New Roman"/>
          <w:i/>
        </w:rPr>
        <w:t xml:space="preserve"> "The process related to the balancing mechanism in import and export activities" </w:t>
      </w:r>
      <w:r w:rsidRPr="009E1B38">
        <w:rPr>
          <w:rFonts w:ascii="Times New Roman" w:hAnsi="Times New Roman"/>
        </w:rPr>
        <w:t>has been amended as follows.</w:t>
      </w:r>
    </w:p>
    <w:p w14:paraId="5E3BACD0" w14:textId="77777777" w:rsidR="00171C59" w:rsidRPr="009E1B38" w:rsidRDefault="00171C59" w:rsidP="00171C59">
      <w:pPr>
        <w:ind w:left="709"/>
        <w:jc w:val="left"/>
        <w:rPr>
          <w:rFonts w:ascii="Times New Roman" w:hAnsi="Times New Roman"/>
        </w:rPr>
      </w:pPr>
    </w:p>
    <w:p w14:paraId="32619914" w14:textId="77777777" w:rsidR="00171C59" w:rsidRPr="009E1B38" w:rsidRDefault="00171C59" w:rsidP="003C5E4D">
      <w:pPr>
        <w:pStyle w:val="ListeParagraf"/>
        <w:numPr>
          <w:ilvl w:val="0"/>
          <w:numId w:val="101"/>
        </w:numPr>
        <w:spacing w:after="160" w:line="259" w:lineRule="auto"/>
        <w:ind w:left="709" w:firstLine="0"/>
        <w:jc w:val="left"/>
        <w:rPr>
          <w:rFonts w:ascii="Times New Roman" w:hAnsi="Times New Roman"/>
        </w:rPr>
      </w:pPr>
      <w:r w:rsidRPr="009E1B38">
        <w:rPr>
          <w:rFonts w:ascii="Times New Roman" w:hAnsi="Times New Roman"/>
        </w:rPr>
        <w:t xml:space="preserve">The Amendment Regulation published in the Official Gazette dated 24.04.2021 and numbered 31464 and </w:t>
      </w:r>
      <w:r w:rsidRPr="009E1B38">
        <w:rPr>
          <w:rFonts w:ascii="Times New Roman" w:hAnsi="Times New Roman"/>
          <w:b/>
        </w:rPr>
        <w:t>the Electricity Market Import and Export Regulation</w:t>
      </w:r>
    </w:p>
    <w:p w14:paraId="653A7539" w14:textId="77777777" w:rsidR="00171C59" w:rsidRPr="009E1B38" w:rsidRDefault="00171C59" w:rsidP="00171C59">
      <w:pPr>
        <w:pStyle w:val="ListeParagraf"/>
        <w:ind w:left="709"/>
        <w:jc w:val="left"/>
        <w:rPr>
          <w:rFonts w:ascii="Times New Roman" w:hAnsi="Times New Roman"/>
          <w:b/>
        </w:rPr>
      </w:pPr>
    </w:p>
    <w:p w14:paraId="0EAFE733"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rPr>
      </w:pPr>
      <w:r w:rsidRPr="009E1B38">
        <w:rPr>
          <w:rFonts w:ascii="Times New Roman" w:hAnsi="Times New Roman"/>
        </w:rPr>
        <w:t xml:space="preserve">The clauses (a), (ğ), (ı), (i), (j), (l), (n), (ş), (u), (ü), (z), (ee), (ff), (ll), (mm) and (nn) of the first paragraph of Article 4titled </w:t>
      </w:r>
      <w:r w:rsidRPr="009E1B38">
        <w:rPr>
          <w:rFonts w:ascii="Times New Roman" w:hAnsi="Times New Roman"/>
          <w:i/>
        </w:rPr>
        <w:t>"Definitions and abbreviations"</w:t>
      </w:r>
      <w:r w:rsidRPr="009E1B38">
        <w:rPr>
          <w:rFonts w:ascii="Times New Roman" w:hAnsi="Times New Roman"/>
        </w:rPr>
        <w:t xml:space="preserve"> have been amended as follows, and the words </w:t>
      </w:r>
      <w:r w:rsidRPr="009E1B38">
        <w:rPr>
          <w:rFonts w:ascii="Times New Roman" w:hAnsi="Times New Roman"/>
          <w:i/>
        </w:rPr>
        <w:t>" Presidential decree, Presidential decision , "</w:t>
      </w:r>
      <w:r w:rsidRPr="009E1B38">
        <w:rPr>
          <w:rFonts w:ascii="Times New Roman" w:hAnsi="Times New Roman"/>
        </w:rPr>
        <w:t xml:space="preserve"> have been added after the phrase </w:t>
      </w:r>
      <w:r w:rsidRPr="009E1B38">
        <w:rPr>
          <w:rFonts w:ascii="Times New Roman" w:hAnsi="Times New Roman"/>
          <w:i/>
        </w:rPr>
        <w:t>"law ,"</w:t>
      </w:r>
      <w:r w:rsidRPr="009E1B38">
        <w:rPr>
          <w:rFonts w:ascii="Times New Roman" w:hAnsi="Times New Roman"/>
        </w:rPr>
        <w:t xml:space="preserve"> in subparagraph and the following clause has been added at the end of the same paragraph.</w:t>
      </w:r>
    </w:p>
    <w:p w14:paraId="0D453AB1" w14:textId="77777777" w:rsidR="00171C59" w:rsidRPr="009E1B38" w:rsidRDefault="00171C59" w:rsidP="00171C59">
      <w:pPr>
        <w:pStyle w:val="ListeParagraf"/>
        <w:ind w:left="709"/>
        <w:jc w:val="left"/>
        <w:rPr>
          <w:rFonts w:ascii="Times New Roman" w:hAnsi="Times New Roman"/>
        </w:rPr>
      </w:pPr>
    </w:p>
    <w:p w14:paraId="33E93D6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Reduction: According to the Electricity Network Regulation published in the Official Gazette dated 28/5/2014 and numbered 29013, the Physical Transmission Rights allocated to market participants by the System Operator in emergency situations where the System Operator must act quickly are reduced before the exchange program is given,"</w:t>
      </w:r>
    </w:p>
    <w:p w14:paraId="15E4FBC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“ğ) Interconnection Operation Agreement: The agreement made between the System Operator and the transmission or distribution company of the other country where the interconnection is established and containing the ​procedures and principles related to the operation of the interconnection line,”</w:t>
      </w:r>
    </w:p>
    <w:p w14:paraId="0C9C8C1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"ı) Interconnection Usage Agreement: The agreement between the license holder legal entity and the System Operator, which receives services through international interconnection lines operated by the System Operator, and includes the principles and procedures related to the use of the interconnection line,"</w:t>
      </w:r>
    </w:p>
    <w:p w14:paraId="6CB8078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“i) ENTSO-E (the European Network of Transmission System Operators): The international organization established as a non-profit international organization and as specified in the European Union's Regulation on Transboundary Electricity Trade No. 714/2009 for the purpose of completing integration in the internal electricity market at Community level, improving cross-border electricity trade, ensuring optimal management, coordinated operation of the European electricity transmission network and maintaining cooperation between all Transmission System Operators to ensure security of supply,”</w:t>
      </w:r>
    </w:p>
    <w:p w14:paraId="6B06B65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"j) Tender documents: Documents prepared by the System Operator or the international organizations to which the party is a party in accordance with the fourth paragraph of Article 8 of the Law and related to the allocation of line capacity and the use of these capacities,"</w:t>
      </w:r>
    </w:p>
    <w:p w14:paraId="7B8D124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"l) Secondary Physical Transmission Right Market: The mechanism that allows the transfer of the Physical Transmission Rights allocated to a physical transmission right holder in tenders or through the transfer of the Physical Transmission Right to another supply company or a generation license holder in the direction of export in synchronous parallel connections,"</w:t>
      </w:r>
    </w:p>
    <w:p w14:paraId="6E02E0F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"n) Intercompensation Mechanism between Transmission System Operators : The mechanism foreseeing the payment of a price determined by taking into account the long-term forward costs, losses, new infrastructure investments and an appropriate ratio of existing infrastructure costs to the Transmission System Operator used as the transmission system transit, based on the physical flows in the national transmission systems where the cross-border physical flow starts (source) and ends (destination) in relation to the cross-border physical flows between the Transmission System Operators connected synchronously to each other,"</w:t>
      </w:r>
    </w:p>
    <w:p w14:paraId="7F7D665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"ş) Restriction Management Fee: In case of restriction on the allocation of interconnection line capacity to be used for electricity transmission within the framework of import and/or export activity, the fee paid to the System Operator in accordance with the provisions of this Regulation or to the international organizations to which it is a party in accordance with the fourth paragraph of Article 8 of the Law,"</w:t>
      </w:r>
    </w:p>
    <w:p w14:paraId="08CB957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"u) Utilization Factor: The ratio of the total energy transferred over the line as a result of the actual use of the interconnection lines for which capacity is allocated in a certain period of time to the total amount of energy (%) that should be transferred over the line if all the allocated capacity is used in the same period of time,"</w:t>
      </w:r>
    </w:p>
    <w:p w14:paraId="053092F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“ü) Available Capacity (KAK): The amount of electrical energy power in megawatts (MW) found as a result of subtracting the Allocated Capacity from the Net Transfer Capacity calculated on the basis of a specific interconnection line or limit, and made available to market participants,”</w:t>
      </w:r>
    </w:p>
    <w:p w14:paraId="3383378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“z) Net Transfer Capacity (NTK): The maximum amount of transferable electrical energy power in megawatts (MW) calculated on the basis of an interconnection line or border, taking into account all the safety criteria applied in both electrical systems between the national electrical system and the neighboring country electrical system and the uncertainties that may occur in the future,</w:t>
      </w:r>
    </w:p>
    <w:p w14:paraId="4BF5B3B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"ee) System Operator: The relevant distribution company for the network below 36 kV, TEİAŞ for the network above 36 kV,"</w:t>
      </w:r>
    </w:p>
    <w:p w14:paraId="2BFC81D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"ff) Allocated Capacity (TEK): The sum of the capacity amounts in megawatts (MW) allocated by international agreements made before the entry into force of this Regulation or allocated within the scope of this Regulation or allocated due to the construction of the line by the users,"</w:t>
      </w:r>
    </w:p>
    <w:p w14:paraId="110E19C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"ll) Physical Transmission Right (FİH): The right to use the interconnection capacity expressed in megawatts (MW) for electricity transfers,"</w:t>
      </w:r>
    </w:p>
    <w:p w14:paraId="6500C19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"mm) Transfer of Physical Transmission Rights: Transfer of the Physical Transmission Rights through the Secondary Physical Transmission Rights Market, except for the capacity allocated to the relevant legal entity due to the interconnection lines built by legal entities,"</w:t>
      </w:r>
    </w:p>
    <w:p w14:paraId="69106C5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"nn) Physical Transmission Right Holder: The cross-border tender participant who has the Physical Transmission Right through the Tender or Secondary Physical Transmission Right Market or the legal entity who has the supply or generation license with the Physical Transmission Right through the capacity allocation to the relevant legal entity due to the interconnection lines built by legal entities,"</w:t>
      </w:r>
    </w:p>
    <w:p w14:paraId="36192A4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"üü) EÜAŞ: Electricity Generation Corporation"</w:t>
      </w:r>
    </w:p>
    <w:p w14:paraId="7E78F755" w14:textId="77777777" w:rsidR="00171C59" w:rsidRPr="009E1B38" w:rsidRDefault="00171C59" w:rsidP="00171C59">
      <w:pPr>
        <w:pStyle w:val="ListeParagraf"/>
        <w:ind w:left="709"/>
        <w:jc w:val="left"/>
        <w:rPr>
          <w:rFonts w:ascii="Times New Roman" w:hAnsi="Times New Roman"/>
        </w:rPr>
      </w:pPr>
    </w:p>
    <w:p w14:paraId="01B56188"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i/>
        </w:rPr>
      </w:pPr>
      <w:r w:rsidRPr="009E1B38">
        <w:rPr>
          <w:rFonts w:ascii="Times New Roman" w:hAnsi="Times New Roman"/>
        </w:rPr>
        <w:t>Clause (c) of the first paragraph of Article 5titled</w:t>
      </w:r>
      <w:r w:rsidRPr="009E1B38">
        <w:rPr>
          <w:rFonts w:ascii="Times New Roman" w:hAnsi="Times New Roman"/>
          <w:i/>
        </w:rPr>
        <w:t xml:space="preserve"> "Legal entities that may engage in import and/or export activities” </w:t>
      </w:r>
      <w:r w:rsidRPr="009E1B38">
        <w:rPr>
          <w:rFonts w:ascii="Times New Roman" w:hAnsi="Times New Roman"/>
        </w:rPr>
        <w:t>has been amended as follows.</w:t>
      </w:r>
    </w:p>
    <w:p w14:paraId="266B5661" w14:textId="77777777" w:rsidR="00171C59" w:rsidRPr="009E1B38" w:rsidRDefault="00171C59" w:rsidP="00171C59">
      <w:pPr>
        <w:pStyle w:val="ListeParagraf"/>
        <w:ind w:left="709"/>
        <w:jc w:val="left"/>
        <w:rPr>
          <w:rFonts w:ascii="Times New Roman" w:hAnsi="Times New Roman"/>
          <w:i/>
        </w:rPr>
      </w:pPr>
    </w:p>
    <w:p w14:paraId="7EDD950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Electricity energy export activity in a way that shall not exceed total installed power of generation facilities owned by generation license holder legal entities,"</w:t>
      </w:r>
    </w:p>
    <w:p w14:paraId="15AA99C4" w14:textId="77777777" w:rsidR="00171C59" w:rsidRPr="009E1B38" w:rsidRDefault="00171C59" w:rsidP="00171C59">
      <w:pPr>
        <w:pStyle w:val="ListeParagraf"/>
        <w:ind w:left="709"/>
        <w:jc w:val="left"/>
        <w:rPr>
          <w:rFonts w:ascii="Times New Roman" w:hAnsi="Times New Roman"/>
          <w:i/>
        </w:rPr>
      </w:pPr>
    </w:p>
    <w:p w14:paraId="4CD9A97A"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i/>
        </w:rPr>
      </w:pPr>
      <w:r w:rsidRPr="009E1B38">
        <w:rPr>
          <w:rFonts w:ascii="Times New Roman" w:hAnsi="Times New Roman"/>
        </w:rPr>
        <w:t>Article 7 titled</w:t>
      </w:r>
      <w:r w:rsidRPr="009E1B38">
        <w:rPr>
          <w:rFonts w:ascii="Times New Roman" w:hAnsi="Times New Roman"/>
          <w:i/>
        </w:rPr>
        <w:t xml:space="preserve"> "Applications to be made for import and/or export activities in synchronous parallel connections" </w:t>
      </w:r>
      <w:r w:rsidRPr="009E1B38">
        <w:rPr>
          <w:rFonts w:ascii="Times New Roman" w:hAnsi="Times New Roman"/>
        </w:rPr>
        <w:t>has been amended as follows.</w:t>
      </w:r>
    </w:p>
    <w:p w14:paraId="55478CC7" w14:textId="77777777" w:rsidR="00171C59" w:rsidRPr="009E1B38" w:rsidRDefault="00171C59" w:rsidP="00171C59">
      <w:pPr>
        <w:pStyle w:val="ListeParagraf"/>
        <w:ind w:left="709"/>
        <w:jc w:val="left"/>
        <w:rPr>
          <w:rFonts w:ascii="Times New Roman" w:hAnsi="Times New Roman"/>
        </w:rPr>
      </w:pPr>
    </w:p>
    <w:p w14:paraId="34F097DE"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7</w:t>
      </w:r>
    </w:p>
    <w:p w14:paraId="0CFEF6DE" w14:textId="77777777" w:rsidR="00171C59" w:rsidRPr="009E1B38" w:rsidRDefault="00171C59" w:rsidP="00171C59">
      <w:pPr>
        <w:pStyle w:val="ListeParagraf"/>
        <w:ind w:left="709"/>
        <w:jc w:val="left"/>
        <w:rPr>
          <w:rFonts w:ascii="Times New Roman" w:hAnsi="Times New Roman"/>
          <w:b/>
          <w:i/>
        </w:rPr>
      </w:pPr>
    </w:p>
    <w:p w14:paraId="2C51669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Interconnection lines that can be imported and/or exported for electrical energy shall be announced by the System Operator in line with the opinion of the Ministry.</w:t>
      </w:r>
    </w:p>
    <w:p w14:paraId="49DA3ED8" w14:textId="77777777" w:rsidR="00171C59" w:rsidRPr="009E1B38" w:rsidRDefault="00171C59" w:rsidP="00171C59">
      <w:pPr>
        <w:pStyle w:val="ListeParagraf"/>
        <w:ind w:left="709"/>
        <w:jc w:val="left"/>
        <w:rPr>
          <w:rFonts w:ascii="Times New Roman" w:hAnsi="Times New Roman"/>
          <w:i/>
        </w:rPr>
      </w:pPr>
    </w:p>
    <w:p w14:paraId="54A9CBF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The supply licensee companies wishing to carry out activities for import and/or export by using the interconnection line capacity for synchronous parallel connections may participate in the tenders regarding the capacity allocations announced by the System Operator or the international organizations to which they are a party in accordance with the fourth paragraph of Article 8 of the Law and may import and/or export electricity for the allocated amount and duration if they are entitled to capacity allocation.</w:t>
      </w:r>
    </w:p>
    <w:p w14:paraId="1101D6D6" w14:textId="77777777" w:rsidR="00171C59" w:rsidRPr="009E1B38" w:rsidRDefault="00171C59" w:rsidP="00171C59">
      <w:pPr>
        <w:pStyle w:val="ListeParagraf"/>
        <w:ind w:left="709"/>
        <w:jc w:val="left"/>
        <w:rPr>
          <w:rFonts w:ascii="Times New Roman" w:hAnsi="Times New Roman"/>
          <w:i/>
        </w:rPr>
      </w:pPr>
    </w:p>
    <w:p w14:paraId="0E9B940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(3) Generation license holding companies wishing to carry out activities for export by using interconnection line capacity for synchronous parallel connections may participate in the tenders regarding capacity allocations announced by the System Operator or international organizations to which they are a party in accordance with the fourth paragraph of Article 8 of the Law and in case they are entitled to capacity allocation, they may export electricity for the allocated amount and duration.</w:t>
      </w:r>
    </w:p>
    <w:p w14:paraId="0189B00D" w14:textId="77777777" w:rsidR="00171C59" w:rsidRPr="009E1B38" w:rsidRDefault="00171C59" w:rsidP="00171C59">
      <w:pPr>
        <w:pStyle w:val="ListeParagraf"/>
        <w:ind w:left="709"/>
        <w:jc w:val="left"/>
        <w:rPr>
          <w:rFonts w:ascii="Times New Roman" w:hAnsi="Times New Roman"/>
          <w:i/>
        </w:rPr>
      </w:pPr>
    </w:p>
    <w:p w14:paraId="1A33935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Security deposit to be given within the scope of import and/or export by using interconnection line capacity for synchronous parallel connections shall be determined and announced by the System Operator.</w:t>
      </w:r>
      <w:r w:rsidRPr="009E1B38">
        <w:rPr>
          <w:rFonts w:ascii="Times New Roman" w:hAnsi="Times New Roman"/>
        </w:rPr>
        <w:t xml:space="preserve"> </w:t>
      </w:r>
      <w:r w:rsidRPr="009E1B38">
        <w:rPr>
          <w:rFonts w:ascii="Times New Roman" w:hAnsi="Times New Roman"/>
          <w:i/>
        </w:rPr>
        <w:t>Companies wishing to import/export using the interconnection line capacity for synchronous parallel connections and having this right shall submit the letter of guarantee in the specified amount to the System Operator.</w:t>
      </w:r>
    </w:p>
    <w:p w14:paraId="47A8B91D" w14:textId="77777777" w:rsidR="00171C59" w:rsidRPr="009E1B38" w:rsidRDefault="00171C59" w:rsidP="00171C59">
      <w:pPr>
        <w:pStyle w:val="ListeParagraf"/>
        <w:ind w:left="709"/>
        <w:jc w:val="left"/>
        <w:rPr>
          <w:rFonts w:ascii="Times New Roman" w:hAnsi="Times New Roman"/>
          <w:i/>
        </w:rPr>
      </w:pPr>
    </w:p>
    <w:p w14:paraId="2ED2759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(5) Persons who have obtained Physical Transmission Rights in countries with synchronous parallel connection must agree with the legal entities specified in the first paragraph of Article 5 in order to carry out cross-border electricity trade with Türkiye. "</w:t>
      </w:r>
    </w:p>
    <w:p w14:paraId="5AF55713" w14:textId="77777777" w:rsidR="00171C59" w:rsidRPr="009E1B38" w:rsidRDefault="00171C59" w:rsidP="00171C59">
      <w:pPr>
        <w:pStyle w:val="ListeParagraf"/>
        <w:ind w:left="709"/>
        <w:jc w:val="left"/>
        <w:rPr>
          <w:rFonts w:ascii="Times New Roman" w:hAnsi="Times New Roman"/>
          <w:i/>
        </w:rPr>
      </w:pPr>
    </w:p>
    <w:p w14:paraId="111A6978"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i/>
        </w:rPr>
      </w:pPr>
      <w:r w:rsidRPr="009E1B38">
        <w:rPr>
          <w:rFonts w:ascii="Times New Roman" w:hAnsi="Times New Roman"/>
        </w:rPr>
        <w:t>Article 8 titled</w:t>
      </w:r>
      <w:r w:rsidRPr="009E1B38">
        <w:rPr>
          <w:rFonts w:ascii="Times New Roman" w:hAnsi="Times New Roman"/>
          <w:i/>
        </w:rPr>
        <w:t xml:space="preserve"> "Applications to be made for import and/or export activity in synchronous non-parallel connections" </w:t>
      </w:r>
      <w:r w:rsidRPr="009E1B38">
        <w:rPr>
          <w:rFonts w:ascii="Times New Roman" w:hAnsi="Times New Roman"/>
        </w:rPr>
        <w:t>has been amended as follows.</w:t>
      </w:r>
    </w:p>
    <w:p w14:paraId="3D4CD3D8" w14:textId="77777777" w:rsidR="00171C59" w:rsidRPr="009E1B38" w:rsidRDefault="00171C59" w:rsidP="00171C59">
      <w:pPr>
        <w:pStyle w:val="ListeParagraf"/>
        <w:ind w:left="709"/>
        <w:jc w:val="left"/>
        <w:rPr>
          <w:rFonts w:ascii="Times New Roman" w:hAnsi="Times New Roman"/>
        </w:rPr>
      </w:pPr>
    </w:p>
    <w:p w14:paraId="4767E899"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8</w:t>
      </w:r>
    </w:p>
    <w:p w14:paraId="78531B55" w14:textId="77777777" w:rsidR="00171C59" w:rsidRPr="009E1B38" w:rsidRDefault="00171C59" w:rsidP="00171C59">
      <w:pPr>
        <w:pStyle w:val="ListeParagraf"/>
        <w:ind w:left="709"/>
        <w:jc w:val="left"/>
        <w:rPr>
          <w:rFonts w:ascii="Times New Roman" w:hAnsi="Times New Roman"/>
          <w:b/>
          <w:i/>
        </w:rPr>
      </w:pPr>
    </w:p>
    <w:p w14:paraId="274C7F5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It is obligatory to submit the following information and documents to the Authority in applications for license modification made to carry out import activities in synchronous non-parallel connections:</w:t>
      </w:r>
    </w:p>
    <w:p w14:paraId="3CBE295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The country from which an import will be made</w:t>
      </w:r>
    </w:p>
    <w:p w14:paraId="664598D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The type or types of fuel used in the generation of electrical energy foreseen to be imported.</w:t>
      </w:r>
    </w:p>
    <w:p w14:paraId="1704876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Maximum power of electrical energy foreseen to be imported in megawatts (MW), annual amount in kilowatt hours (kWh).</w:t>
      </w:r>
    </w:p>
    <w:p w14:paraId="23CC6A5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The date of commencement and duration of activity foreseen for import activity.</w:t>
      </w:r>
    </w:p>
    <w:p w14:paraId="741779B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Delivery points of electrical energy foreseen to be imported at the border of the country.</w:t>
      </w:r>
    </w:p>
    <w:p w14:paraId="43A56EF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 The method to be used in import.</w:t>
      </w:r>
    </w:p>
    <w:p w14:paraId="3C9E115B" w14:textId="0DB2FA4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f) Specifies that the relevant interconnection line covering the title of the relevant company and the information within the scope of this paragraph and made with the Ministry and/or authorized institution regarding the importation of electrical energy in the opposite country can be used; preliminary agreement, protocol or letter of intent and preliminary agreement, protocol or letter of intent made with the addressee company regarding the supply or supply of the said energy. In addition, a letter of commitment to be given by the applicant stating that the Agreement in question is valid if an Agreement in force for the period for which the application is to be made is submitted, although the date of signature is old.</w:t>
      </w:r>
    </w:p>
    <w:p w14:paraId="170CA8E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g) Document showing that the license amendment fee has been deposited.</w:t>
      </w:r>
    </w:p>
    <w:p w14:paraId="5BB94FE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It is obligatory to submit the following information and documents to the Authority in applications for license amendment made to carry out export activities in synchronous non-parallel connections:</w:t>
      </w:r>
    </w:p>
    <w:p w14:paraId="6F3B5FE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The country to which an export will be made</w:t>
      </w:r>
    </w:p>
    <w:p w14:paraId="53DA2A7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Maximum power of electrical energy foreseen to be exported in megawatts (MW) and annual amount in kilowatt hours (kWh).</w:t>
      </w:r>
    </w:p>
    <w:p w14:paraId="739B9DB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The date of commencement and duration of activity foreseen for export activity.</w:t>
      </w:r>
    </w:p>
    <w:p w14:paraId="33FFA10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Delivery points of electrical energy foreseen to be exported at the border of the country.</w:t>
      </w:r>
    </w:p>
    <w:p w14:paraId="70D127B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Method to be used in export.</w:t>
      </w:r>
    </w:p>
    <w:p w14:paraId="22EE5F3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e) A preliminary agreement, protocol or letter of intent made with the Ministry and/or authorized institution regarding the export of electrical energy in the opposite country and containing the title of the relevant company and the information specified in this paragraph and indicating that the relevant interconnection line can be used.</w:t>
      </w:r>
      <w:r w:rsidRPr="009E1B38">
        <w:rPr>
          <w:rFonts w:ascii="Times New Roman" w:hAnsi="Times New Roman"/>
        </w:rPr>
        <w:t xml:space="preserve"> </w:t>
      </w:r>
      <w:r w:rsidRPr="009E1B38">
        <w:rPr>
          <w:rFonts w:ascii="Times New Roman" w:hAnsi="Times New Roman"/>
          <w:i/>
        </w:rPr>
        <w:t>In addition, a letter of commitment to be given by the applicant stating that the Agreement in question is valid if an Agreement in force for the period for which the application is to be made is submitted, although the date of signature is old.</w:t>
      </w:r>
    </w:p>
    <w:p w14:paraId="2DC7AE0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f) Document showing that the license amendment fee has been deposited.</w:t>
      </w:r>
    </w:p>
    <w:p w14:paraId="606B1ADA" w14:textId="77777777" w:rsidR="00171C59" w:rsidRPr="009E1B38" w:rsidRDefault="00171C59" w:rsidP="00171C59">
      <w:pPr>
        <w:pStyle w:val="ListeParagraf"/>
        <w:ind w:left="709"/>
        <w:jc w:val="left"/>
        <w:rPr>
          <w:rFonts w:ascii="Times New Roman" w:hAnsi="Times New Roman"/>
          <w:i/>
        </w:rPr>
      </w:pPr>
    </w:p>
    <w:p w14:paraId="07F209C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The preliminary agreement, protocol or letter of intent with the Ministry and/or the competent Authority regarding the import/export of electrical energy in the opposite country must be approved by the Turkish Consulate in the country in question or in accordance with the provisions of the Convention on the Elimination of the Obligation to Certify Foreign Official Documents, which was prepared within the framework of the Hague Conference on Private Laws of States dated 20/6/1984 and numbered 3028.</w:t>
      </w:r>
    </w:p>
    <w:p w14:paraId="6B6D859C" w14:textId="77777777" w:rsidR="00171C59" w:rsidRPr="009E1B38" w:rsidRDefault="00171C59" w:rsidP="00171C59">
      <w:pPr>
        <w:pStyle w:val="ListeParagraf"/>
        <w:ind w:left="709"/>
        <w:jc w:val="left"/>
        <w:rPr>
          <w:rFonts w:ascii="Times New Roman" w:hAnsi="Times New Roman"/>
          <w:i/>
        </w:rPr>
      </w:pPr>
    </w:p>
    <w:p w14:paraId="63AB909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In the event that the information and documents specified under this article are submitted to the Authority wholly;</w:t>
      </w:r>
    </w:p>
    <w:p w14:paraId="47D7698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In case an application is made by legal entities holding a supply license or generation license for legal entities holding a generation license in import and/or export activities for legal entities holding a supply license from countries or countries with international interconnection requirement via existing or future lines, the opinion of the System Operator regarding technical issues shall be taken by the Authority with the opinion of the Ministry.</w:t>
      </w:r>
    </w:p>
    <w:p w14:paraId="2DF8CE2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If the opinions are positive, the application shall be announced on the website of the Authority.</w:t>
      </w:r>
      <w:r w:rsidRPr="009E1B38">
        <w:rPr>
          <w:rFonts w:ascii="Times New Roman" w:hAnsi="Times New Roman"/>
        </w:rPr>
        <w:t xml:space="preserve"> </w:t>
      </w:r>
      <w:r w:rsidRPr="009E1B38">
        <w:rPr>
          <w:rFonts w:ascii="Times New Roman" w:hAnsi="Times New Roman"/>
          <w:i/>
        </w:rPr>
        <w:t>Within fifteen days following the announcement, legal entities with a supply license wishing to engage in import and/or export activities by using the same line and legal entities with a generation license wishing to engage in export activities by using the same line may also apply to the Authority.</w:t>
      </w:r>
      <w:r w:rsidRPr="009E1B38">
        <w:rPr>
          <w:rFonts w:ascii="Times New Roman" w:hAnsi="Times New Roman"/>
        </w:rPr>
        <w:t xml:space="preserve"> </w:t>
      </w:r>
      <w:r w:rsidRPr="009E1B38">
        <w:rPr>
          <w:rFonts w:ascii="Times New Roman" w:hAnsi="Times New Roman"/>
          <w:i/>
        </w:rPr>
        <w:t>New applications for the same line are not accepted until the applications made on time are finalized.</w:t>
      </w:r>
    </w:p>
    <w:p w14:paraId="3D0A04D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In case of more than one license amendment application for the same line and in case of restriction, the applications shall be notified to the relevant System Operator and applicants to be finalized in accordance with the provisions of this Regulation.</w:t>
      </w:r>
      <w:r w:rsidRPr="009E1B38">
        <w:rPr>
          <w:rFonts w:ascii="Times New Roman" w:hAnsi="Times New Roman"/>
        </w:rPr>
        <w:t xml:space="preserve"> </w:t>
      </w:r>
      <w:r w:rsidRPr="009E1B38">
        <w:rPr>
          <w:rFonts w:ascii="Times New Roman" w:hAnsi="Times New Roman"/>
          <w:i/>
        </w:rPr>
        <w:t>The System Operator shall finalize the procedures related to the competition and capacity allocation between the applicants within forty-five days within the framework of the provisions of this Regulation and shall notify the Authority of the result in order to ensure that the Board decision is taken.</w:t>
      </w:r>
      <w:r w:rsidRPr="009E1B38">
        <w:rPr>
          <w:rFonts w:ascii="Times New Roman" w:hAnsi="Times New Roman"/>
        </w:rPr>
        <w:t xml:space="preserve"> </w:t>
      </w:r>
      <w:r w:rsidRPr="009E1B38">
        <w:rPr>
          <w:rFonts w:ascii="Times New Roman" w:hAnsi="Times New Roman"/>
          <w:i/>
        </w:rPr>
        <w:t>In the event that the applicant who won the competition does not apply to the Authority for license amendment together with the documents specified in the ninth article within the period, this situation shall be notified to the System Operator and the procedure shall be initiated for the decision of the Board about the second legal entity in the competition.</w:t>
      </w:r>
    </w:p>
    <w:p w14:paraId="44686EF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If it is not possible to operate the electricity of the national electricity system in parallel with the electricity system of the country where it will be imported or exported, the opinion of the Ministry shall be taken as a basis regarding which of the import or export activities shall be carried out. "</w:t>
      </w:r>
    </w:p>
    <w:p w14:paraId="7574EE49" w14:textId="77777777" w:rsidR="00171C59" w:rsidRPr="009E1B38" w:rsidRDefault="00171C59" w:rsidP="00171C59">
      <w:pPr>
        <w:pStyle w:val="ListeParagraf"/>
        <w:ind w:left="709"/>
        <w:jc w:val="left"/>
        <w:rPr>
          <w:rFonts w:ascii="Times New Roman" w:hAnsi="Times New Roman"/>
        </w:rPr>
      </w:pPr>
    </w:p>
    <w:p w14:paraId="21E66573"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i/>
        </w:rPr>
      </w:pPr>
      <w:r w:rsidRPr="009E1B38">
        <w:rPr>
          <w:rFonts w:ascii="Times New Roman" w:hAnsi="Times New Roman"/>
        </w:rPr>
        <w:t>The first paragraph of Article 9titled</w:t>
      </w:r>
      <w:r w:rsidRPr="009E1B38">
        <w:rPr>
          <w:rFonts w:ascii="Times New Roman" w:hAnsi="Times New Roman"/>
          <w:i/>
        </w:rPr>
        <w:t xml:space="preserve"> "Examination, evaluation and finalization of applications in synchronous non-parallel connections" </w:t>
      </w:r>
      <w:r w:rsidRPr="009E1B38">
        <w:rPr>
          <w:rFonts w:ascii="Times New Roman" w:hAnsi="Times New Roman"/>
        </w:rPr>
        <w:t>has been amended as follows</w:t>
      </w:r>
      <w:r w:rsidRPr="009E1B38">
        <w:rPr>
          <w:rFonts w:ascii="Times New Roman" w:hAnsi="Times New Roman"/>
          <w:i/>
        </w:rPr>
        <w:t>.</w:t>
      </w:r>
    </w:p>
    <w:p w14:paraId="1ECEBB3B" w14:textId="77777777" w:rsidR="00171C59" w:rsidRPr="009E1B38" w:rsidRDefault="00171C59" w:rsidP="00171C59">
      <w:pPr>
        <w:pStyle w:val="ListeParagraf"/>
        <w:ind w:left="709"/>
        <w:jc w:val="left"/>
        <w:rPr>
          <w:rFonts w:ascii="Times New Roman" w:hAnsi="Times New Roman"/>
          <w:i/>
        </w:rPr>
      </w:pPr>
    </w:p>
    <w:p w14:paraId="7BF180B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The license holder legal entity approved by the Board decision to engage in import and/or export activities for synchronous non-parallel connections shall be notified in writing that if appropriate agreements and interconnection utilization agreement are submitted to the Authority in relation to the import and/or export activities foreseen during the application, an operating permit shall be granted and this obligation shall be fulfilled within thirty days.</w:t>
      </w:r>
      <w:r w:rsidRPr="009E1B38">
        <w:rPr>
          <w:rFonts w:ascii="Times New Roman" w:hAnsi="Times New Roman"/>
        </w:rPr>
        <w:t xml:space="preserve"> </w:t>
      </w:r>
      <w:r w:rsidRPr="009E1B38">
        <w:rPr>
          <w:rFonts w:ascii="Times New Roman" w:hAnsi="Times New Roman"/>
          <w:i/>
        </w:rPr>
        <w:t>This period may be extended by the decision of the Board.</w:t>
      </w:r>
      <w:r w:rsidRPr="009E1B38">
        <w:rPr>
          <w:rFonts w:ascii="Times New Roman" w:hAnsi="Times New Roman"/>
        </w:rPr>
        <w:t xml:space="preserve"> </w:t>
      </w:r>
      <w:r w:rsidRPr="009E1B38">
        <w:rPr>
          <w:rFonts w:ascii="Times New Roman" w:hAnsi="Times New Roman"/>
          <w:i/>
        </w:rPr>
        <w:t xml:space="preserve">The agreements to be submitted must be approved by the Turkish Consulate in the country in </w:t>
      </w:r>
      <w:r w:rsidRPr="009E1B38">
        <w:rPr>
          <w:rFonts w:ascii="Times New Roman" w:hAnsi="Times New Roman"/>
          <w:i/>
        </w:rPr>
        <w:lastRenderedPageBreak/>
        <w:t>question or in accordance with the provisions of the Convention on the Elimination of the Obligation to Certify Foreign Official Documents prepared within the framework of the Hague Conference on Private Law of States and adopted by Law No. 3028.</w:t>
      </w:r>
      <w:r w:rsidRPr="009E1B38">
        <w:rPr>
          <w:rFonts w:ascii="Times New Roman" w:hAnsi="Times New Roman"/>
        </w:rPr>
        <w:t xml:space="preserve"> </w:t>
      </w:r>
      <w:r w:rsidRPr="009E1B38">
        <w:rPr>
          <w:rFonts w:ascii="Times New Roman" w:hAnsi="Times New Roman"/>
          <w:i/>
        </w:rPr>
        <w:t>In the event that the obligations are fulfilled, the provisions regarding the permitting of import and/or export activities are compiled into the license of the relevant legal entity by the Authority and notified to the relevant System Operator to be published on the website. "</w:t>
      </w:r>
    </w:p>
    <w:p w14:paraId="7AE4458B" w14:textId="77777777" w:rsidR="00171C59" w:rsidRPr="009E1B38" w:rsidRDefault="00171C59" w:rsidP="00171C59">
      <w:pPr>
        <w:pStyle w:val="ListeParagraf"/>
        <w:ind w:left="709"/>
        <w:jc w:val="left"/>
        <w:rPr>
          <w:rFonts w:ascii="Times New Roman" w:hAnsi="Times New Roman"/>
          <w:i/>
        </w:rPr>
      </w:pPr>
    </w:p>
    <w:p w14:paraId="224CEDF1" w14:textId="77777777" w:rsidR="00171C59" w:rsidRPr="009E1B38" w:rsidRDefault="00171C59" w:rsidP="003C5E4D">
      <w:pPr>
        <w:pStyle w:val="ListeParagraf"/>
        <w:numPr>
          <w:ilvl w:val="0"/>
          <w:numId w:val="102"/>
        </w:numPr>
        <w:spacing w:after="160" w:line="259" w:lineRule="auto"/>
        <w:ind w:left="709" w:firstLine="0"/>
        <w:jc w:val="left"/>
        <w:rPr>
          <w:rFonts w:ascii="Times New Roman" w:hAnsi="Times New Roman"/>
          <w:b/>
          <w:i/>
        </w:rPr>
      </w:pPr>
      <w:r w:rsidRPr="009E1B38">
        <w:rPr>
          <w:rFonts w:ascii="Times New Roman" w:hAnsi="Times New Roman"/>
        </w:rPr>
        <w:t>Article 10titled</w:t>
      </w:r>
      <w:r w:rsidRPr="009E1B38">
        <w:rPr>
          <w:rFonts w:ascii="Times New Roman" w:hAnsi="Times New Roman"/>
          <w:i/>
        </w:rPr>
        <w:t xml:space="preserve"> "The process related to the balancing mechanism in import and export activities" </w:t>
      </w:r>
      <w:r w:rsidRPr="009E1B38">
        <w:rPr>
          <w:rFonts w:ascii="Times New Roman" w:hAnsi="Times New Roman"/>
        </w:rPr>
        <w:t>has been amended as follows.</w:t>
      </w:r>
    </w:p>
    <w:p w14:paraId="7C51078B" w14:textId="77777777" w:rsidR="00171C59" w:rsidRPr="009E1B38" w:rsidRDefault="00171C59" w:rsidP="00171C59">
      <w:pPr>
        <w:ind w:left="709"/>
        <w:jc w:val="left"/>
        <w:rPr>
          <w:rFonts w:ascii="Times New Roman" w:hAnsi="Times New Roman"/>
          <w:b/>
          <w:i/>
        </w:rPr>
      </w:pPr>
    </w:p>
    <w:p w14:paraId="4B9B6D43" w14:textId="77777777" w:rsidR="00171C59" w:rsidRPr="009E1B38" w:rsidRDefault="00171C59" w:rsidP="00171C59">
      <w:pPr>
        <w:ind w:left="709"/>
        <w:jc w:val="left"/>
        <w:rPr>
          <w:rFonts w:ascii="Times New Roman" w:hAnsi="Times New Roman"/>
          <w:b/>
          <w:i/>
        </w:rPr>
      </w:pPr>
      <w:r w:rsidRPr="009E1B38">
        <w:rPr>
          <w:rFonts w:ascii="Times New Roman" w:hAnsi="Times New Roman"/>
          <w:b/>
          <w:i/>
        </w:rPr>
        <w:t>ARTICLE 10</w:t>
      </w:r>
    </w:p>
    <w:p w14:paraId="24BB704B" w14:textId="77777777" w:rsidR="00171C59" w:rsidRPr="009E1B38" w:rsidRDefault="00171C59" w:rsidP="003C5E4D">
      <w:pPr>
        <w:pStyle w:val="ListeParagraf"/>
        <w:numPr>
          <w:ilvl w:val="0"/>
          <w:numId w:val="64"/>
        </w:numPr>
        <w:spacing w:line="259" w:lineRule="auto"/>
        <w:ind w:left="709" w:firstLine="0"/>
        <w:jc w:val="left"/>
        <w:rPr>
          <w:rFonts w:ascii="Times New Roman" w:hAnsi="Times New Roman"/>
          <w:i/>
        </w:rPr>
      </w:pPr>
      <w:r w:rsidRPr="009E1B38">
        <w:rPr>
          <w:rFonts w:ascii="Times New Roman" w:hAnsi="Times New Roman"/>
          <w:i/>
        </w:rPr>
        <w:t>Activities related to balancing mechanism covering import and/or export right holder companies having made energy purchase/sale agreement with the persons or organizations having obtained Physical Transmission Right in the tenders conducted in other countries and/or legal entities entitled to allocate line capacity for import and/or export by using interconnection line capacity and settlement procedures shall be carried out in accordance with the provisions of the legislation relating to balancing and settlement. "</w:t>
      </w:r>
    </w:p>
    <w:p w14:paraId="45CFB5A0" w14:textId="77777777" w:rsidR="00171C59" w:rsidRPr="009E1B38" w:rsidRDefault="00171C59" w:rsidP="00171C59">
      <w:pPr>
        <w:pStyle w:val="ListeParagraf"/>
        <w:ind w:left="709"/>
        <w:jc w:val="left"/>
        <w:rPr>
          <w:rFonts w:ascii="Times New Roman" w:hAnsi="Times New Roman"/>
        </w:rPr>
      </w:pPr>
    </w:p>
    <w:p w14:paraId="4C77A6CC"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 xml:space="preserve">Article 11 titled </w:t>
      </w:r>
      <w:r w:rsidRPr="009E1B38">
        <w:rPr>
          <w:rFonts w:ascii="Times New Roman" w:hAnsi="Times New Roman"/>
          <w:i/>
        </w:rPr>
        <w:t>"Termination of import and/or export activity before the period of time in connections other than synchronous parallel connection"</w:t>
      </w:r>
      <w:r w:rsidRPr="009E1B38">
        <w:rPr>
          <w:rFonts w:ascii="Times New Roman" w:hAnsi="Times New Roman"/>
        </w:rPr>
        <w:t xml:space="preserve"> has been amended as follows.</w:t>
      </w:r>
    </w:p>
    <w:p w14:paraId="2546BAA0" w14:textId="77777777" w:rsidR="00171C59" w:rsidRPr="009E1B38" w:rsidRDefault="00171C59" w:rsidP="00171C59">
      <w:pPr>
        <w:pStyle w:val="ListeParagraf"/>
        <w:ind w:left="709"/>
        <w:jc w:val="left"/>
        <w:rPr>
          <w:rFonts w:ascii="Times New Roman" w:hAnsi="Times New Roman"/>
        </w:rPr>
      </w:pPr>
    </w:p>
    <w:p w14:paraId="25724FCA"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11</w:t>
      </w:r>
    </w:p>
    <w:p w14:paraId="2D6BACAF" w14:textId="77777777" w:rsidR="00171C59" w:rsidRPr="009E1B38" w:rsidRDefault="00171C59" w:rsidP="00171C59">
      <w:pPr>
        <w:pStyle w:val="ListeParagraf"/>
        <w:ind w:left="709"/>
        <w:jc w:val="left"/>
        <w:rPr>
          <w:rFonts w:ascii="Times New Roman" w:hAnsi="Times New Roman"/>
        </w:rPr>
      </w:pPr>
    </w:p>
    <w:p w14:paraId="16CC872D" w14:textId="77777777" w:rsidR="00171C59" w:rsidRPr="009E1B38" w:rsidRDefault="00171C59" w:rsidP="003C5E4D">
      <w:pPr>
        <w:pStyle w:val="ListeParagraf"/>
        <w:numPr>
          <w:ilvl w:val="0"/>
          <w:numId w:val="65"/>
        </w:numPr>
        <w:spacing w:line="259" w:lineRule="auto"/>
        <w:ind w:left="709" w:firstLine="0"/>
        <w:jc w:val="left"/>
        <w:rPr>
          <w:rFonts w:ascii="Times New Roman" w:hAnsi="Times New Roman"/>
          <w:i/>
        </w:rPr>
      </w:pPr>
      <w:r w:rsidRPr="009E1B38">
        <w:rPr>
          <w:rFonts w:ascii="Times New Roman" w:hAnsi="Times New Roman"/>
          <w:i/>
        </w:rPr>
        <w:t>In the event that a legal entity engaged in import and/or export activities in connections other than synchronous parallel connections applies to the Authority with a request to terminate its import and/or export activities before the deadline, the request shall be notified to the relevant System Operator by the Authority and the request of the right holder shall be concluded by way of performing license amendment after the Board Decision is taken. "</w:t>
      </w:r>
    </w:p>
    <w:p w14:paraId="3F6A7568" w14:textId="77777777" w:rsidR="00171C59" w:rsidRPr="009E1B38" w:rsidRDefault="00171C59" w:rsidP="00171C59">
      <w:pPr>
        <w:pStyle w:val="ListeParagraf"/>
        <w:ind w:left="709"/>
        <w:jc w:val="left"/>
        <w:rPr>
          <w:rFonts w:ascii="Times New Roman" w:hAnsi="Times New Roman"/>
        </w:rPr>
      </w:pPr>
    </w:p>
    <w:p w14:paraId="7226E920"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 xml:space="preserve">The first, second and third paragraphs of Article 12 titled </w:t>
      </w:r>
      <w:r w:rsidRPr="009E1B38">
        <w:rPr>
          <w:rFonts w:ascii="Times New Roman" w:hAnsi="Times New Roman"/>
          <w:i/>
        </w:rPr>
        <w:t>"Obligations of the license holder legal entity regarding import and/or export activities"</w:t>
      </w:r>
      <w:r w:rsidRPr="009E1B38">
        <w:rPr>
          <w:rFonts w:ascii="Times New Roman" w:hAnsi="Times New Roman"/>
        </w:rPr>
        <w:t xml:space="preserve"> have been amended as follows.</w:t>
      </w:r>
    </w:p>
    <w:p w14:paraId="59CA625D" w14:textId="77777777" w:rsidR="00171C59" w:rsidRPr="009E1B38" w:rsidRDefault="00171C59" w:rsidP="00171C59">
      <w:pPr>
        <w:pStyle w:val="ListeParagraf"/>
        <w:ind w:left="709"/>
        <w:jc w:val="left"/>
        <w:rPr>
          <w:rFonts w:ascii="Times New Roman" w:hAnsi="Times New Roman"/>
        </w:rPr>
      </w:pPr>
    </w:p>
    <w:p w14:paraId="442C7FC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rPr>
        <w:t>“</w:t>
      </w:r>
      <w:r w:rsidRPr="009E1B38">
        <w:rPr>
          <w:rFonts w:ascii="Times New Roman" w:hAnsi="Times New Roman"/>
          <w:i/>
        </w:rPr>
        <w:t>(1)</w:t>
      </w:r>
      <w:r w:rsidRPr="009E1B38">
        <w:rPr>
          <w:rFonts w:ascii="Times New Roman" w:hAnsi="Times New Roman"/>
        </w:rPr>
        <w:t xml:space="preserve"> </w:t>
      </w:r>
      <w:r w:rsidRPr="009E1B38">
        <w:rPr>
          <w:rFonts w:ascii="Times New Roman" w:hAnsi="Times New Roman"/>
          <w:i/>
        </w:rPr>
        <w:t xml:space="preserve">Interconnection Use Agreement is signed between the System Operator and the legal entities entitled to use interconnection line capacity. For synchronous non-parallel connections, standard interconnection utilization agreements approved by the General Provisions Board are used. In the event of a change in the general provisions of this agreement by the Board, the agreement containing the new general provisions between the System Operator and the right holder legal entities shall be signed within one month from the date of notification to be made by the System Operator to the legal entities or, if the System Operator deems appropriate, an additional agreement regarding the provisions amended by the Board shall be signed within one month from the date of notification to be made by the System Operator. Despite the notification of the System Operator, the interconnection use agreements of the legal entities who do not apply to sign the interconnection use agreements within the period are terminated by the System Operator and the interconnection capacity use rights of these persons are terminated. In synchronous parallel connections, standard interconnection usage agreements prepared by the System Operator are signed between the System Operator and the legal entities entitled to use the interconnection line capacity. In the event that new interconnection lines are constructed by legal entities within the scope of Article 21, the Facility Agreement prepared by the relevant System Operator </w:t>
      </w:r>
      <w:r w:rsidRPr="009E1B38">
        <w:rPr>
          <w:rFonts w:ascii="Times New Roman" w:hAnsi="Times New Roman"/>
          <w:i/>
        </w:rPr>
        <w:lastRenderedPageBreak/>
        <w:t>shall be signed between the System Operator and the legal entities entitled to use the interconnection line capacity.</w:t>
      </w:r>
    </w:p>
    <w:p w14:paraId="7A2F922B" w14:textId="77777777" w:rsidR="00171C59" w:rsidRPr="009E1B38" w:rsidRDefault="00171C59" w:rsidP="00171C59">
      <w:pPr>
        <w:pStyle w:val="ListeParagraf"/>
        <w:ind w:left="709"/>
        <w:jc w:val="left"/>
        <w:rPr>
          <w:rFonts w:ascii="Times New Roman" w:hAnsi="Times New Roman"/>
          <w:i/>
        </w:rPr>
      </w:pPr>
    </w:p>
    <w:p w14:paraId="0E076C64" w14:textId="77777777" w:rsidR="00171C59" w:rsidRPr="009E1B38" w:rsidRDefault="00171C59" w:rsidP="003C5E4D">
      <w:pPr>
        <w:pStyle w:val="ListeParagraf"/>
        <w:numPr>
          <w:ilvl w:val="0"/>
          <w:numId w:val="65"/>
        </w:numPr>
        <w:spacing w:line="259" w:lineRule="auto"/>
        <w:ind w:left="709" w:firstLine="0"/>
        <w:jc w:val="left"/>
        <w:rPr>
          <w:rFonts w:ascii="Times New Roman" w:hAnsi="Times New Roman"/>
          <w:i/>
        </w:rPr>
      </w:pPr>
      <w:r w:rsidRPr="009E1B38">
        <w:rPr>
          <w:rFonts w:ascii="Times New Roman" w:hAnsi="Times New Roman"/>
          <w:i/>
        </w:rPr>
        <w:t>Licensee legal entities are obliged to make the notifications specified in the Interconnection Usage Agreement to the System Operator regarding the cross-border electricity trade activities they carry out within the framework of import and/or export activities and to pay the transmission fees calculated over the tariff of the region where the interconnection line is connected to the transformer station in the tariff tables approved by the Board of Licensees, which are allocated capacity from the distribution voltage level, to the relevant System Operator during the allocation period of the distribution fee calculated over the single term tariff of the commercial subscriber group regarding the consumers receiving energy from the private supplier from the medium voltage level in the tariff tables approved by the Board of Licensees.</w:t>
      </w:r>
    </w:p>
    <w:p w14:paraId="4DD5FA0A" w14:textId="77777777" w:rsidR="00171C59" w:rsidRPr="009E1B38" w:rsidRDefault="00171C59" w:rsidP="00171C59">
      <w:pPr>
        <w:pStyle w:val="ListeParagraf"/>
        <w:ind w:left="709"/>
        <w:jc w:val="left"/>
        <w:rPr>
          <w:rFonts w:ascii="Times New Roman" w:hAnsi="Times New Roman"/>
          <w:i/>
        </w:rPr>
      </w:pPr>
    </w:p>
    <w:p w14:paraId="24E636F0" w14:textId="77777777" w:rsidR="00171C59" w:rsidRPr="009E1B38" w:rsidRDefault="00171C59" w:rsidP="003C5E4D">
      <w:pPr>
        <w:pStyle w:val="ListeParagraf"/>
        <w:numPr>
          <w:ilvl w:val="0"/>
          <w:numId w:val="65"/>
        </w:numPr>
        <w:spacing w:line="259" w:lineRule="auto"/>
        <w:ind w:left="709" w:firstLine="0"/>
        <w:jc w:val="left"/>
        <w:rPr>
          <w:rFonts w:ascii="Times New Roman" w:hAnsi="Times New Roman"/>
          <w:i/>
        </w:rPr>
      </w:pPr>
      <w:r w:rsidRPr="009E1B38">
        <w:rPr>
          <w:rFonts w:ascii="Times New Roman" w:hAnsi="Times New Roman"/>
          <w:i/>
        </w:rPr>
        <w:t>If TEİAŞ is included in the compensation mechanism related to transit flows between transmission system operators, it shall make the necessary payments in accordance with the mechanism being applied and collect the payments made to it. Pursuant to the compensation mechanism in question, the payments required to be made by TEİAŞ shall be reflected in the tariffs following the approval of the methodology and tariff by the Board. "</w:t>
      </w:r>
    </w:p>
    <w:p w14:paraId="2ED65ED8" w14:textId="77777777" w:rsidR="00171C59" w:rsidRPr="009E1B38" w:rsidRDefault="00171C59" w:rsidP="00171C59">
      <w:pPr>
        <w:pStyle w:val="ListeParagraf"/>
        <w:ind w:left="709"/>
        <w:jc w:val="left"/>
        <w:rPr>
          <w:rFonts w:ascii="Times New Roman" w:hAnsi="Times New Roman"/>
        </w:rPr>
      </w:pPr>
    </w:p>
    <w:p w14:paraId="71014D26"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 xml:space="preserve">Article 14 titled </w:t>
      </w:r>
      <w:r w:rsidRPr="009E1B38">
        <w:rPr>
          <w:rFonts w:ascii="Times New Roman" w:hAnsi="Times New Roman"/>
          <w:i/>
        </w:rPr>
        <w:t xml:space="preserve">“Regional balancing market transactions in synchronous parallel connections” </w:t>
      </w:r>
      <w:r w:rsidRPr="009E1B38">
        <w:rPr>
          <w:rFonts w:ascii="Times New Roman" w:hAnsi="Times New Roman"/>
        </w:rPr>
        <w:t>has been amended as follows.</w:t>
      </w:r>
    </w:p>
    <w:p w14:paraId="59F98BFC" w14:textId="77777777" w:rsidR="00171C59" w:rsidRPr="009E1B38" w:rsidRDefault="00171C59" w:rsidP="00171C59">
      <w:pPr>
        <w:pStyle w:val="ListeParagraf"/>
        <w:ind w:left="709"/>
        <w:jc w:val="left"/>
        <w:rPr>
          <w:rFonts w:ascii="Times New Roman" w:hAnsi="Times New Roman"/>
        </w:rPr>
      </w:pPr>
    </w:p>
    <w:p w14:paraId="557C3303" w14:textId="77777777" w:rsidR="00171C59" w:rsidRPr="009E1B38" w:rsidRDefault="00171C59" w:rsidP="00171C59">
      <w:pPr>
        <w:pStyle w:val="ListeParagraf"/>
        <w:ind w:left="709"/>
        <w:jc w:val="left"/>
        <w:rPr>
          <w:rFonts w:ascii="Times New Roman" w:hAnsi="Times New Roman"/>
        </w:rPr>
      </w:pPr>
    </w:p>
    <w:p w14:paraId="18BDEC95"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14</w:t>
      </w:r>
    </w:p>
    <w:p w14:paraId="4929D896" w14:textId="77777777" w:rsidR="00171C59" w:rsidRPr="009E1B38" w:rsidRDefault="00171C59" w:rsidP="00171C59">
      <w:pPr>
        <w:pStyle w:val="ListeParagraf"/>
        <w:ind w:left="709"/>
        <w:jc w:val="left"/>
        <w:rPr>
          <w:rFonts w:ascii="Times New Roman" w:hAnsi="Times New Roman"/>
          <w:b/>
          <w:i/>
        </w:rPr>
      </w:pPr>
    </w:p>
    <w:p w14:paraId="6566BEC4" w14:textId="77777777" w:rsidR="00171C59" w:rsidRPr="009E1B38" w:rsidRDefault="00171C59" w:rsidP="003C5E4D">
      <w:pPr>
        <w:pStyle w:val="ListeParagraf"/>
        <w:numPr>
          <w:ilvl w:val="0"/>
          <w:numId w:val="66"/>
        </w:numPr>
        <w:spacing w:line="259" w:lineRule="auto"/>
        <w:ind w:left="709" w:firstLine="0"/>
        <w:jc w:val="left"/>
        <w:rPr>
          <w:rFonts w:ascii="Times New Roman" w:hAnsi="Times New Roman"/>
          <w:i/>
        </w:rPr>
      </w:pPr>
      <w:r w:rsidRPr="009E1B38">
        <w:rPr>
          <w:rFonts w:ascii="Times New Roman" w:hAnsi="Times New Roman"/>
          <w:i/>
        </w:rPr>
        <w:t>System Operator's cross-border electricity exchange with the relevant transmission systems via synchronous parallel connection in relation to the operation of the regional balancing market shall not be considered within the scope of import and/or export activity. "</w:t>
      </w:r>
    </w:p>
    <w:p w14:paraId="31B161F6"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The first paragraph of Article 15 titled</w:t>
      </w:r>
      <w:r w:rsidRPr="009E1B38">
        <w:rPr>
          <w:rFonts w:ascii="Times New Roman" w:hAnsi="Times New Roman"/>
          <w:i/>
        </w:rPr>
        <w:t xml:space="preserve"> "Allocation of interconnection line capacities" </w:t>
      </w:r>
      <w:r w:rsidRPr="009E1B38">
        <w:rPr>
          <w:rFonts w:ascii="Times New Roman" w:hAnsi="Times New Roman"/>
        </w:rPr>
        <w:t>has been amended as follows.</w:t>
      </w:r>
    </w:p>
    <w:p w14:paraId="7D07DE66" w14:textId="77777777" w:rsidR="00171C59" w:rsidRPr="009E1B38" w:rsidRDefault="00171C59" w:rsidP="00171C59">
      <w:pPr>
        <w:pStyle w:val="ListeParagraf"/>
        <w:ind w:left="709"/>
        <w:jc w:val="left"/>
        <w:rPr>
          <w:rFonts w:ascii="Times New Roman" w:hAnsi="Times New Roman"/>
        </w:rPr>
      </w:pPr>
    </w:p>
    <w:p w14:paraId="31EBEC90" w14:textId="77777777" w:rsidR="00171C59" w:rsidRPr="009E1B38" w:rsidRDefault="00171C59" w:rsidP="00171C59">
      <w:pPr>
        <w:ind w:left="709"/>
        <w:jc w:val="left"/>
        <w:rPr>
          <w:rFonts w:ascii="Times New Roman" w:hAnsi="Times New Roman"/>
          <w:i/>
        </w:rPr>
      </w:pPr>
      <w:r w:rsidRPr="009E1B38">
        <w:rPr>
          <w:rFonts w:ascii="Times New Roman" w:hAnsi="Times New Roman"/>
          <w:i/>
        </w:rPr>
        <w:t>“(1) Allocation of interconnection line capacities, monitoring of interconnection line use and constraint management in these lines are carried out by the System Operator.”</w:t>
      </w:r>
    </w:p>
    <w:p w14:paraId="42DF0D61" w14:textId="77777777" w:rsidR="00171C59" w:rsidRPr="009E1B38" w:rsidRDefault="00171C59" w:rsidP="00171C59">
      <w:pPr>
        <w:ind w:left="709"/>
        <w:jc w:val="left"/>
        <w:rPr>
          <w:rFonts w:ascii="Times New Roman" w:hAnsi="Times New Roman"/>
        </w:rPr>
      </w:pPr>
      <w:r w:rsidRPr="009E1B38">
        <w:rPr>
          <w:rFonts w:ascii="Times New Roman" w:hAnsi="Times New Roman"/>
        </w:rPr>
        <w:t>Article 16 titled</w:t>
      </w:r>
      <w:r w:rsidRPr="009E1B38">
        <w:rPr>
          <w:rFonts w:ascii="Times New Roman" w:hAnsi="Times New Roman"/>
          <w:i/>
        </w:rPr>
        <w:t xml:space="preserve"> "Announcement of interconnection line capacities" </w:t>
      </w:r>
      <w:r w:rsidRPr="009E1B38">
        <w:rPr>
          <w:rFonts w:ascii="Times New Roman" w:hAnsi="Times New Roman"/>
        </w:rPr>
        <w:t>has been amended as follows.</w:t>
      </w:r>
    </w:p>
    <w:p w14:paraId="02111D81" w14:textId="77777777" w:rsidR="00171C59" w:rsidRPr="009E1B38" w:rsidRDefault="00171C59" w:rsidP="00171C59">
      <w:pPr>
        <w:ind w:left="709"/>
        <w:jc w:val="left"/>
        <w:rPr>
          <w:rFonts w:ascii="Times New Roman" w:hAnsi="Times New Roman"/>
        </w:rPr>
      </w:pPr>
    </w:p>
    <w:p w14:paraId="65A59A7A"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16</w:t>
      </w:r>
    </w:p>
    <w:p w14:paraId="1D243881" w14:textId="77777777" w:rsidR="00171C59" w:rsidRPr="009E1B38" w:rsidRDefault="00171C59" w:rsidP="00171C59">
      <w:pPr>
        <w:pStyle w:val="ListeParagraf"/>
        <w:ind w:left="709"/>
        <w:jc w:val="left"/>
        <w:rPr>
          <w:rFonts w:ascii="Times New Roman" w:hAnsi="Times New Roman"/>
          <w:b/>
          <w:i/>
        </w:rPr>
      </w:pPr>
    </w:p>
    <w:p w14:paraId="119872D9" w14:textId="77777777" w:rsidR="00171C59" w:rsidRPr="009E1B38" w:rsidRDefault="00171C59" w:rsidP="003C5E4D">
      <w:pPr>
        <w:pStyle w:val="ListeParagraf"/>
        <w:numPr>
          <w:ilvl w:val="0"/>
          <w:numId w:val="67"/>
        </w:numPr>
        <w:spacing w:line="259" w:lineRule="auto"/>
        <w:ind w:left="709" w:firstLine="0"/>
        <w:jc w:val="left"/>
        <w:rPr>
          <w:rFonts w:ascii="Times New Roman" w:hAnsi="Times New Roman"/>
          <w:i/>
        </w:rPr>
      </w:pPr>
      <w:r w:rsidRPr="009E1B38">
        <w:rPr>
          <w:rFonts w:ascii="Times New Roman" w:hAnsi="Times New Roman"/>
          <w:i/>
        </w:rPr>
        <w:t>System Operator announces the information about the capacities by obtaining the necessary permissions and approvals in the event of,</w:t>
      </w:r>
    </w:p>
    <w:p w14:paraId="207ABB56" w14:textId="77777777" w:rsidR="00171C59" w:rsidRPr="009E1B38" w:rsidRDefault="00171C59" w:rsidP="003C5E4D">
      <w:pPr>
        <w:pStyle w:val="ListeParagraf"/>
        <w:numPr>
          <w:ilvl w:val="0"/>
          <w:numId w:val="68"/>
        </w:numPr>
        <w:spacing w:line="259" w:lineRule="auto"/>
        <w:ind w:left="709" w:firstLine="0"/>
        <w:jc w:val="left"/>
        <w:rPr>
          <w:rFonts w:ascii="Times New Roman" w:hAnsi="Times New Roman"/>
          <w:i/>
        </w:rPr>
      </w:pPr>
      <w:r w:rsidRPr="009E1B38">
        <w:rPr>
          <w:rFonts w:ascii="Times New Roman" w:hAnsi="Times New Roman"/>
          <w:i/>
        </w:rPr>
        <w:t>Commissioning of an interconnection line,</w:t>
      </w:r>
    </w:p>
    <w:p w14:paraId="1F71972E" w14:textId="77777777" w:rsidR="00171C59" w:rsidRPr="009E1B38" w:rsidRDefault="00171C59" w:rsidP="003C5E4D">
      <w:pPr>
        <w:pStyle w:val="ListeParagraf"/>
        <w:numPr>
          <w:ilvl w:val="0"/>
          <w:numId w:val="68"/>
        </w:numPr>
        <w:spacing w:line="259" w:lineRule="auto"/>
        <w:ind w:left="709" w:firstLine="0"/>
        <w:jc w:val="left"/>
        <w:rPr>
          <w:rFonts w:ascii="Times New Roman" w:hAnsi="Times New Roman"/>
          <w:i/>
        </w:rPr>
      </w:pPr>
      <w:r w:rsidRPr="009E1B38">
        <w:rPr>
          <w:rFonts w:ascii="Times New Roman" w:hAnsi="Times New Roman"/>
          <w:i/>
        </w:rPr>
        <w:t>Termination of capacity utilization in an interconnection line for a certain reason,</w:t>
      </w:r>
    </w:p>
    <w:p w14:paraId="63C17761" w14:textId="77777777" w:rsidR="00171C59" w:rsidRPr="009E1B38" w:rsidRDefault="00171C59" w:rsidP="003C5E4D">
      <w:pPr>
        <w:pStyle w:val="ListeParagraf"/>
        <w:numPr>
          <w:ilvl w:val="0"/>
          <w:numId w:val="68"/>
        </w:numPr>
        <w:spacing w:line="259" w:lineRule="auto"/>
        <w:ind w:left="709" w:firstLine="0"/>
        <w:jc w:val="left"/>
        <w:rPr>
          <w:rFonts w:ascii="Times New Roman" w:hAnsi="Times New Roman"/>
          <w:i/>
        </w:rPr>
      </w:pPr>
      <w:r w:rsidRPr="009E1B38">
        <w:rPr>
          <w:rFonts w:ascii="Times New Roman" w:hAnsi="Times New Roman"/>
          <w:i/>
        </w:rPr>
        <w:t>Capacity increase likely to occur for any reason in an interconnection line in the enterprise,</w:t>
      </w:r>
    </w:p>
    <w:p w14:paraId="100DC2DF" w14:textId="77777777" w:rsidR="00171C59" w:rsidRPr="009E1B38" w:rsidRDefault="00171C59" w:rsidP="00171C59">
      <w:pPr>
        <w:ind w:left="709"/>
        <w:jc w:val="left"/>
        <w:rPr>
          <w:rFonts w:ascii="Times New Roman" w:hAnsi="Times New Roman"/>
          <w:i/>
        </w:rPr>
      </w:pPr>
    </w:p>
    <w:p w14:paraId="7AF9976F" w14:textId="77777777" w:rsidR="00171C59" w:rsidRPr="009E1B38" w:rsidRDefault="00171C59" w:rsidP="003C5E4D">
      <w:pPr>
        <w:pStyle w:val="ListeParagraf"/>
        <w:numPr>
          <w:ilvl w:val="0"/>
          <w:numId w:val="67"/>
        </w:numPr>
        <w:spacing w:line="259" w:lineRule="auto"/>
        <w:ind w:left="709" w:firstLine="0"/>
        <w:jc w:val="left"/>
        <w:rPr>
          <w:rFonts w:ascii="Times New Roman" w:hAnsi="Times New Roman"/>
          <w:i/>
        </w:rPr>
      </w:pPr>
      <w:r w:rsidRPr="009E1B38">
        <w:rPr>
          <w:rFonts w:ascii="Times New Roman" w:hAnsi="Times New Roman"/>
          <w:i/>
        </w:rPr>
        <w:t>In the announcements made by the System Operator regarding the interconnection lines in the first paragraph,</w:t>
      </w:r>
    </w:p>
    <w:p w14:paraId="543386E4" w14:textId="77777777" w:rsidR="00171C59" w:rsidRPr="009E1B38" w:rsidRDefault="00171C59" w:rsidP="003C5E4D">
      <w:pPr>
        <w:pStyle w:val="ListeParagraf"/>
        <w:numPr>
          <w:ilvl w:val="0"/>
          <w:numId w:val="69"/>
        </w:numPr>
        <w:spacing w:line="259" w:lineRule="auto"/>
        <w:ind w:left="709" w:firstLine="0"/>
        <w:jc w:val="left"/>
        <w:rPr>
          <w:rFonts w:ascii="Times New Roman" w:hAnsi="Times New Roman"/>
          <w:i/>
        </w:rPr>
      </w:pPr>
      <w:r w:rsidRPr="009E1B38">
        <w:rPr>
          <w:rFonts w:ascii="Times New Roman" w:hAnsi="Times New Roman"/>
          <w:i/>
        </w:rPr>
        <w:lastRenderedPageBreak/>
        <w:t>Information on the safety and operational standards of the lines and the methods used for the Net Transfer Capacity (NTC) calculation,</w:t>
      </w:r>
    </w:p>
    <w:p w14:paraId="57CAC58C" w14:textId="77777777" w:rsidR="00171C59" w:rsidRPr="009E1B38" w:rsidRDefault="00171C59" w:rsidP="003C5E4D">
      <w:pPr>
        <w:pStyle w:val="ListeParagraf"/>
        <w:numPr>
          <w:ilvl w:val="0"/>
          <w:numId w:val="69"/>
        </w:numPr>
        <w:spacing w:line="259" w:lineRule="auto"/>
        <w:ind w:left="709" w:firstLine="0"/>
        <w:jc w:val="left"/>
        <w:rPr>
          <w:rFonts w:ascii="Times New Roman" w:hAnsi="Times New Roman"/>
          <w:i/>
        </w:rPr>
      </w:pPr>
      <w:r w:rsidRPr="009E1B38">
        <w:rPr>
          <w:rFonts w:ascii="Times New Roman" w:hAnsi="Times New Roman"/>
          <w:i/>
        </w:rPr>
        <w:t>Allocated capacity values and how these capacities are used,</w:t>
      </w:r>
    </w:p>
    <w:p w14:paraId="19097B35" w14:textId="77777777" w:rsidR="00171C59" w:rsidRPr="009E1B38" w:rsidRDefault="00171C59" w:rsidP="003C5E4D">
      <w:pPr>
        <w:pStyle w:val="ListeParagraf"/>
        <w:numPr>
          <w:ilvl w:val="0"/>
          <w:numId w:val="69"/>
        </w:numPr>
        <w:spacing w:line="259" w:lineRule="auto"/>
        <w:ind w:left="709" w:firstLine="0"/>
        <w:jc w:val="left"/>
        <w:rPr>
          <w:rFonts w:ascii="Times New Roman" w:hAnsi="Times New Roman"/>
          <w:i/>
        </w:rPr>
      </w:pPr>
      <w:r w:rsidRPr="009E1B38">
        <w:rPr>
          <w:rFonts w:ascii="Times New Roman" w:hAnsi="Times New Roman"/>
          <w:i/>
        </w:rPr>
        <w:t>Available capacity values and usage conditions offered to the use of the market, taking the network and environmental conditions into account,</w:t>
      </w:r>
    </w:p>
    <w:p w14:paraId="1BC8509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are included as a minimum.</w:t>
      </w:r>
    </w:p>
    <w:p w14:paraId="6EC84409"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Article 17 titled</w:t>
      </w:r>
      <w:r w:rsidRPr="009E1B38">
        <w:rPr>
          <w:rFonts w:ascii="Times New Roman" w:hAnsi="Times New Roman"/>
          <w:i/>
        </w:rPr>
        <w:t xml:space="preserve"> "Determination of procedures and principles regarding interconnection line capacity allocation" </w:t>
      </w:r>
      <w:r w:rsidRPr="009E1B38">
        <w:rPr>
          <w:rFonts w:ascii="Times New Roman" w:hAnsi="Times New Roman"/>
        </w:rPr>
        <w:t>has been amended as follows.</w:t>
      </w:r>
    </w:p>
    <w:p w14:paraId="13E6FA4B" w14:textId="77777777" w:rsidR="00171C59" w:rsidRPr="009E1B38" w:rsidRDefault="00171C59" w:rsidP="00171C59">
      <w:pPr>
        <w:pStyle w:val="ListeParagraf"/>
        <w:ind w:left="709"/>
        <w:jc w:val="left"/>
        <w:rPr>
          <w:rFonts w:ascii="Times New Roman" w:hAnsi="Times New Roman"/>
          <w:i/>
        </w:rPr>
      </w:pPr>
    </w:p>
    <w:p w14:paraId="1F1CCDD0"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17</w:t>
      </w:r>
    </w:p>
    <w:p w14:paraId="2F1071BD" w14:textId="77777777" w:rsidR="00171C59" w:rsidRPr="009E1B38" w:rsidRDefault="00171C59" w:rsidP="00171C59">
      <w:pPr>
        <w:pStyle w:val="ListeParagraf"/>
        <w:ind w:left="709"/>
        <w:jc w:val="left"/>
        <w:rPr>
          <w:rFonts w:ascii="Times New Roman" w:hAnsi="Times New Roman"/>
          <w:b/>
          <w:i/>
        </w:rPr>
      </w:pPr>
    </w:p>
    <w:p w14:paraId="24E83CF3" w14:textId="77777777" w:rsidR="00171C59" w:rsidRPr="009E1B38" w:rsidRDefault="00171C59" w:rsidP="003C5E4D">
      <w:pPr>
        <w:pStyle w:val="ListeParagraf"/>
        <w:numPr>
          <w:ilvl w:val="0"/>
          <w:numId w:val="70"/>
        </w:numPr>
        <w:spacing w:line="259" w:lineRule="auto"/>
        <w:ind w:left="709" w:firstLine="0"/>
        <w:jc w:val="left"/>
        <w:rPr>
          <w:rFonts w:ascii="Times New Roman" w:hAnsi="Times New Roman"/>
          <w:i/>
        </w:rPr>
      </w:pPr>
      <w:r w:rsidRPr="009E1B38">
        <w:rPr>
          <w:rFonts w:ascii="Times New Roman" w:hAnsi="Times New Roman"/>
          <w:i/>
        </w:rPr>
        <w:t>Net transfer capacities of international interconnection lines, available capacities, allocated capacities, projected allocation period and quantities of available capacities, system constraints and market conditions shall be determined and announced by the System Operator on the basis of boundaries or lines.</w:t>
      </w:r>
    </w:p>
    <w:p w14:paraId="7C76EF3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In determining and implementing interconnection line capacity allocation method,</w:t>
      </w:r>
    </w:p>
    <w:p w14:paraId="79C43957" w14:textId="26381FC1"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System Operator act upon;</w:t>
      </w:r>
    </w:p>
    <w:p w14:paraId="77D8C480" w14:textId="77777777" w:rsidR="00171C59" w:rsidRPr="009E1B38" w:rsidRDefault="00171C59" w:rsidP="003C5E4D">
      <w:pPr>
        <w:pStyle w:val="ListeParagraf"/>
        <w:numPr>
          <w:ilvl w:val="0"/>
          <w:numId w:val="71"/>
        </w:numPr>
        <w:spacing w:line="259" w:lineRule="auto"/>
        <w:ind w:left="709" w:firstLine="0"/>
        <w:jc w:val="left"/>
        <w:rPr>
          <w:rFonts w:ascii="Times New Roman" w:hAnsi="Times New Roman"/>
          <w:i/>
        </w:rPr>
      </w:pPr>
      <w:r w:rsidRPr="009E1B38">
        <w:rPr>
          <w:rFonts w:ascii="Times New Roman" w:hAnsi="Times New Roman"/>
          <w:i/>
        </w:rPr>
        <w:t>Not to discriminate between equal parties,</w:t>
      </w:r>
    </w:p>
    <w:p w14:paraId="51F7531E" w14:textId="77777777" w:rsidR="00171C59" w:rsidRPr="009E1B38" w:rsidRDefault="00171C59" w:rsidP="003C5E4D">
      <w:pPr>
        <w:pStyle w:val="ListeParagraf"/>
        <w:numPr>
          <w:ilvl w:val="0"/>
          <w:numId w:val="71"/>
        </w:numPr>
        <w:spacing w:line="259" w:lineRule="auto"/>
        <w:ind w:left="709" w:firstLine="0"/>
        <w:jc w:val="left"/>
        <w:rPr>
          <w:rFonts w:ascii="Times New Roman" w:hAnsi="Times New Roman"/>
          <w:i/>
        </w:rPr>
      </w:pPr>
      <w:r w:rsidRPr="009E1B38">
        <w:rPr>
          <w:rFonts w:ascii="Times New Roman" w:hAnsi="Times New Roman"/>
          <w:i/>
        </w:rPr>
        <w:t>Development of competition,</w:t>
      </w:r>
    </w:p>
    <w:p w14:paraId="183C800A" w14:textId="5226FE29" w:rsidR="00171C59" w:rsidRPr="009E1B38" w:rsidRDefault="00171C59" w:rsidP="003C5E4D">
      <w:pPr>
        <w:pStyle w:val="ListeParagraf"/>
        <w:numPr>
          <w:ilvl w:val="0"/>
          <w:numId w:val="71"/>
        </w:numPr>
        <w:spacing w:line="259" w:lineRule="auto"/>
        <w:ind w:left="709" w:firstLine="0"/>
        <w:jc w:val="left"/>
        <w:rPr>
          <w:rFonts w:ascii="Times New Roman" w:hAnsi="Times New Roman"/>
          <w:i/>
        </w:rPr>
      </w:pPr>
      <w:r w:rsidRPr="009E1B38">
        <w:rPr>
          <w:rFonts w:ascii="Times New Roman" w:hAnsi="Times New Roman"/>
          <w:i/>
        </w:rPr>
        <w:t>​Transparency</w:t>
      </w:r>
    </w:p>
    <w:p w14:paraId="6408C6D0" w14:textId="77777777" w:rsidR="00171C59" w:rsidRPr="009E1B38" w:rsidRDefault="00171C59" w:rsidP="00171C59">
      <w:pPr>
        <w:ind w:left="709"/>
        <w:jc w:val="left"/>
        <w:rPr>
          <w:rFonts w:ascii="Times New Roman" w:hAnsi="Times New Roman"/>
          <w:i/>
        </w:rPr>
      </w:pPr>
      <w:r w:rsidRPr="009E1B38">
        <w:rPr>
          <w:rFonts w:ascii="Times New Roman" w:hAnsi="Times New Roman"/>
          <w:i/>
        </w:rPr>
        <w:t>principles and, in case of constraints, the interconnection line capacity is made available to market participants through a competition.</w:t>
      </w:r>
    </w:p>
    <w:p w14:paraId="3FC008D5" w14:textId="77777777" w:rsidR="00171C59" w:rsidRPr="009E1B38" w:rsidRDefault="00171C59" w:rsidP="003C5E4D">
      <w:pPr>
        <w:pStyle w:val="ListeParagraf"/>
        <w:numPr>
          <w:ilvl w:val="0"/>
          <w:numId w:val="70"/>
        </w:numPr>
        <w:spacing w:line="259" w:lineRule="auto"/>
        <w:ind w:left="709" w:firstLine="0"/>
        <w:jc w:val="left"/>
        <w:rPr>
          <w:rFonts w:ascii="Times New Roman" w:hAnsi="Times New Roman"/>
          <w:i/>
        </w:rPr>
      </w:pPr>
      <w:r w:rsidRPr="009E1B38">
        <w:rPr>
          <w:rFonts w:ascii="Times New Roman" w:hAnsi="Times New Roman"/>
          <w:i/>
        </w:rPr>
        <w:t>The Board may change the competition method to be applied in accordance with the principles listed in the first paragraph regarding the allocation of capacity for interconnection lines.</w:t>
      </w:r>
    </w:p>
    <w:p w14:paraId="451FA31A" w14:textId="77777777" w:rsidR="00171C59" w:rsidRPr="009E1B38" w:rsidRDefault="00171C59" w:rsidP="00171C59">
      <w:pPr>
        <w:pStyle w:val="ListeParagraf"/>
        <w:ind w:left="709"/>
        <w:jc w:val="left"/>
        <w:rPr>
          <w:rFonts w:ascii="Times New Roman" w:hAnsi="Times New Roman"/>
          <w:i/>
        </w:rPr>
      </w:pPr>
    </w:p>
    <w:p w14:paraId="69C10079" w14:textId="77777777" w:rsidR="00171C59" w:rsidRPr="009E1B38" w:rsidRDefault="00171C59" w:rsidP="003C5E4D">
      <w:pPr>
        <w:pStyle w:val="ListeParagraf"/>
        <w:numPr>
          <w:ilvl w:val="0"/>
          <w:numId w:val="70"/>
        </w:numPr>
        <w:spacing w:line="259" w:lineRule="auto"/>
        <w:ind w:left="709" w:firstLine="0"/>
        <w:jc w:val="left"/>
        <w:rPr>
          <w:rFonts w:ascii="Times New Roman" w:hAnsi="Times New Roman"/>
          <w:i/>
        </w:rPr>
      </w:pPr>
      <w:r w:rsidRPr="009E1B38">
        <w:rPr>
          <w:rFonts w:ascii="Times New Roman" w:hAnsi="Times New Roman"/>
          <w:i/>
        </w:rPr>
        <w:t>The period of allocation of an interconnection line capacity to a user shall not exceed two years at a time, except for the lines established by the licensed legal entities acquiring import and/or export rights.</w:t>
      </w:r>
    </w:p>
    <w:p w14:paraId="2C3C0E9B" w14:textId="77777777" w:rsidR="00171C59" w:rsidRPr="009E1B38" w:rsidRDefault="00171C59" w:rsidP="00171C59">
      <w:pPr>
        <w:pStyle w:val="ListeParagraf"/>
        <w:ind w:left="709"/>
        <w:jc w:val="left"/>
        <w:rPr>
          <w:rFonts w:ascii="Times New Roman" w:hAnsi="Times New Roman"/>
          <w:i/>
        </w:rPr>
      </w:pPr>
    </w:p>
    <w:p w14:paraId="17091253" w14:textId="3CF15CF0" w:rsidR="00171C59" w:rsidRPr="009E1B38" w:rsidRDefault="00171C59" w:rsidP="003C5E4D">
      <w:pPr>
        <w:pStyle w:val="ListeParagraf"/>
        <w:numPr>
          <w:ilvl w:val="0"/>
          <w:numId w:val="70"/>
        </w:numPr>
        <w:spacing w:line="259" w:lineRule="auto"/>
        <w:ind w:left="709" w:firstLine="0"/>
        <w:jc w:val="left"/>
        <w:rPr>
          <w:rFonts w:ascii="Times New Roman" w:hAnsi="Times New Roman"/>
          <w:i/>
        </w:rPr>
      </w:pPr>
      <w:r w:rsidRPr="009E1B38">
        <w:rPr>
          <w:rFonts w:ascii="Times New Roman" w:hAnsi="Times New Roman"/>
          <w:i/>
        </w:rPr>
        <w:t>In the event that the interconnection lines to be newly established are established by the licensed legal entities acquiring import and/or export rights, the procedures and principles regarding the direct allocation of the new capacity to the said legal entity shall be determined by the Board.</w:t>
      </w:r>
    </w:p>
    <w:p w14:paraId="5210AE9A" w14:textId="77777777" w:rsidR="00171C59" w:rsidRPr="009E1B38" w:rsidRDefault="00171C59" w:rsidP="00171C59">
      <w:pPr>
        <w:pStyle w:val="ListeParagraf"/>
        <w:ind w:left="709"/>
        <w:jc w:val="left"/>
        <w:rPr>
          <w:rFonts w:ascii="Times New Roman" w:hAnsi="Times New Roman"/>
          <w:i/>
        </w:rPr>
      </w:pPr>
    </w:p>
    <w:p w14:paraId="6507297A" w14:textId="77777777" w:rsidR="00171C59" w:rsidRPr="009E1B38" w:rsidRDefault="00171C59" w:rsidP="003C5E4D">
      <w:pPr>
        <w:pStyle w:val="ListeParagraf"/>
        <w:numPr>
          <w:ilvl w:val="0"/>
          <w:numId w:val="70"/>
        </w:numPr>
        <w:spacing w:line="259" w:lineRule="auto"/>
        <w:ind w:left="709" w:firstLine="0"/>
        <w:jc w:val="left"/>
        <w:rPr>
          <w:rFonts w:ascii="Times New Roman" w:hAnsi="Times New Roman"/>
          <w:i/>
        </w:rPr>
      </w:pPr>
      <w:r w:rsidRPr="009E1B38">
        <w:rPr>
          <w:rFonts w:ascii="Times New Roman" w:hAnsi="Times New Roman"/>
          <w:i/>
        </w:rPr>
        <w:t>The agreements made by the license holder legal entities to participate in the capacity allocation competition for synchronous parallel lines with legal entities in other countries shall not be taken into account in the interconnection line capacity allocation.</w:t>
      </w:r>
    </w:p>
    <w:p w14:paraId="5ECF1DDC" w14:textId="77777777" w:rsidR="00171C59" w:rsidRPr="009E1B38" w:rsidRDefault="00171C59" w:rsidP="00171C59">
      <w:pPr>
        <w:pStyle w:val="ListeParagraf"/>
        <w:ind w:left="709"/>
        <w:jc w:val="left"/>
        <w:rPr>
          <w:rFonts w:ascii="Times New Roman" w:hAnsi="Times New Roman"/>
          <w:i/>
        </w:rPr>
      </w:pPr>
    </w:p>
    <w:p w14:paraId="4AB97A61" w14:textId="77777777" w:rsidR="00171C59" w:rsidRPr="009E1B38" w:rsidRDefault="00171C59" w:rsidP="003C5E4D">
      <w:pPr>
        <w:pStyle w:val="ListeParagraf"/>
        <w:numPr>
          <w:ilvl w:val="0"/>
          <w:numId w:val="70"/>
        </w:numPr>
        <w:spacing w:line="259" w:lineRule="auto"/>
        <w:ind w:left="709" w:firstLine="0"/>
        <w:jc w:val="left"/>
        <w:rPr>
          <w:rFonts w:ascii="Times New Roman" w:hAnsi="Times New Roman"/>
          <w:i/>
        </w:rPr>
      </w:pPr>
      <w:r w:rsidRPr="009E1B38">
        <w:rPr>
          <w:rFonts w:ascii="Times New Roman" w:hAnsi="Times New Roman"/>
          <w:i/>
        </w:rPr>
        <w:t>During the capacity allocation process, the System Operator shall provide and announce to the legal entities applying for the use of the line the technical information, measurement locations and other information that may be required regarding the interconnection line in question.</w:t>
      </w:r>
    </w:p>
    <w:p w14:paraId="4898C5F0" w14:textId="77777777" w:rsidR="00171C59" w:rsidRPr="009E1B38" w:rsidRDefault="00171C59" w:rsidP="00171C59">
      <w:pPr>
        <w:pStyle w:val="ListeParagraf"/>
        <w:ind w:left="709"/>
        <w:jc w:val="left"/>
        <w:rPr>
          <w:rFonts w:ascii="Times New Roman" w:hAnsi="Times New Roman"/>
          <w:i/>
        </w:rPr>
      </w:pPr>
    </w:p>
    <w:p w14:paraId="27EE54D7" w14:textId="77777777" w:rsidR="00171C59" w:rsidRPr="009E1B38" w:rsidRDefault="00171C59" w:rsidP="003C5E4D">
      <w:pPr>
        <w:pStyle w:val="ListeParagraf"/>
        <w:numPr>
          <w:ilvl w:val="0"/>
          <w:numId w:val="70"/>
        </w:numPr>
        <w:spacing w:line="259" w:lineRule="auto"/>
        <w:ind w:left="709" w:firstLine="0"/>
        <w:jc w:val="left"/>
        <w:rPr>
          <w:rFonts w:ascii="Times New Roman" w:hAnsi="Times New Roman"/>
          <w:i/>
        </w:rPr>
      </w:pPr>
      <w:r w:rsidRPr="009E1B38">
        <w:rPr>
          <w:rFonts w:ascii="Times New Roman" w:hAnsi="Times New Roman"/>
          <w:i/>
        </w:rPr>
        <w:t>It is possible to sell the allocated capacity in synchronous parallel connections in secondary markets to other licensees who are allowed to import and/or export for the interconnection line in question, provided that the System Operator is informed in advance. The procedures and principles regarding the Secondary Physical Transmission Right Market are prepared by TEİAŞ and submitted to the Board for approval.</w:t>
      </w:r>
    </w:p>
    <w:p w14:paraId="7D398EF9" w14:textId="77777777" w:rsidR="00171C59" w:rsidRPr="009E1B38" w:rsidRDefault="00171C59" w:rsidP="00171C59">
      <w:pPr>
        <w:pStyle w:val="ListeParagraf"/>
        <w:ind w:left="709"/>
        <w:jc w:val="left"/>
        <w:rPr>
          <w:rFonts w:ascii="Times New Roman" w:hAnsi="Times New Roman"/>
          <w:i/>
        </w:rPr>
      </w:pPr>
    </w:p>
    <w:p w14:paraId="242EE29E" w14:textId="77777777" w:rsidR="00171C59" w:rsidRPr="009E1B38" w:rsidRDefault="00171C59" w:rsidP="003C5E4D">
      <w:pPr>
        <w:pStyle w:val="ListeParagraf"/>
        <w:numPr>
          <w:ilvl w:val="0"/>
          <w:numId w:val="70"/>
        </w:numPr>
        <w:spacing w:line="259" w:lineRule="auto"/>
        <w:ind w:left="709" w:firstLine="0"/>
        <w:jc w:val="left"/>
        <w:rPr>
          <w:rFonts w:ascii="Times New Roman" w:hAnsi="Times New Roman"/>
          <w:i/>
        </w:rPr>
      </w:pPr>
      <w:r w:rsidRPr="009E1B38">
        <w:rPr>
          <w:rFonts w:ascii="Times New Roman" w:hAnsi="Times New Roman"/>
          <w:i/>
        </w:rPr>
        <w:lastRenderedPageBreak/>
        <w:t>In the event that the relevant legal entities cannot use the allocated capacity rights due to the failure of the System Operator to fulfill its obligations or a reduction occurs in their capacities, the portion of the restriction management fee paid to the System Operator corresponding to the unavailable period shall be paid back to the relevant legal entity. "</w:t>
      </w:r>
    </w:p>
    <w:p w14:paraId="35B87A20" w14:textId="77777777" w:rsidR="00171C59" w:rsidRPr="009E1B38" w:rsidRDefault="00171C59" w:rsidP="00171C59">
      <w:pPr>
        <w:pStyle w:val="ListeParagraf"/>
        <w:ind w:left="709"/>
        <w:jc w:val="left"/>
        <w:rPr>
          <w:rFonts w:ascii="Times New Roman" w:hAnsi="Times New Roman"/>
          <w:i/>
        </w:rPr>
      </w:pPr>
    </w:p>
    <w:p w14:paraId="0131F658"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Article 18 has been amended with its title as follows.</w:t>
      </w:r>
    </w:p>
    <w:p w14:paraId="74C443D7" w14:textId="77777777" w:rsidR="00171C59" w:rsidRPr="009E1B38" w:rsidRDefault="00171C59" w:rsidP="00171C59">
      <w:pPr>
        <w:pStyle w:val="ListeParagraf"/>
        <w:ind w:left="709"/>
        <w:jc w:val="left"/>
        <w:rPr>
          <w:rFonts w:ascii="Times New Roman" w:hAnsi="Times New Roman"/>
        </w:rPr>
      </w:pPr>
    </w:p>
    <w:p w14:paraId="286B7FF3" w14:textId="77777777" w:rsidR="00171C59" w:rsidRPr="009E1B38" w:rsidRDefault="00171C59" w:rsidP="00171C59">
      <w:pPr>
        <w:pStyle w:val="ListeParagraf"/>
        <w:ind w:left="709"/>
        <w:jc w:val="left"/>
        <w:rPr>
          <w:rFonts w:ascii="Times New Roman" w:hAnsi="Times New Roman"/>
        </w:rPr>
      </w:pPr>
    </w:p>
    <w:p w14:paraId="3F18616C"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“Rules on constraint management methods and constraint management fees</w:t>
      </w:r>
    </w:p>
    <w:p w14:paraId="255E4567" w14:textId="77777777" w:rsidR="00171C59" w:rsidRPr="009E1B38" w:rsidRDefault="00171C59" w:rsidP="00171C59">
      <w:pPr>
        <w:pStyle w:val="ListeParagraf"/>
        <w:ind w:left="709"/>
        <w:jc w:val="left"/>
        <w:rPr>
          <w:rFonts w:ascii="Times New Roman" w:hAnsi="Times New Roman"/>
          <w:b/>
        </w:rPr>
      </w:pPr>
    </w:p>
    <w:p w14:paraId="2C9939BD"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18</w:t>
      </w:r>
    </w:p>
    <w:p w14:paraId="0D48DFC7" w14:textId="77777777" w:rsidR="00171C59" w:rsidRPr="009E1B38" w:rsidRDefault="00171C59" w:rsidP="00171C59">
      <w:pPr>
        <w:pStyle w:val="ListeParagraf"/>
        <w:ind w:left="709"/>
        <w:jc w:val="left"/>
        <w:rPr>
          <w:rFonts w:ascii="Times New Roman" w:hAnsi="Times New Roman"/>
          <w:b/>
          <w:i/>
        </w:rPr>
      </w:pPr>
    </w:p>
    <w:p w14:paraId="3FBDA026" w14:textId="77777777" w:rsidR="00171C59" w:rsidRPr="009E1B38" w:rsidRDefault="00171C59" w:rsidP="003C5E4D">
      <w:pPr>
        <w:pStyle w:val="ListeParagraf"/>
        <w:numPr>
          <w:ilvl w:val="0"/>
          <w:numId w:val="72"/>
        </w:numPr>
        <w:spacing w:line="259" w:lineRule="auto"/>
        <w:ind w:left="709" w:firstLine="0"/>
        <w:jc w:val="left"/>
        <w:rPr>
          <w:rFonts w:ascii="Times New Roman" w:hAnsi="Times New Roman"/>
          <w:i/>
        </w:rPr>
      </w:pPr>
      <w:r w:rsidRPr="009E1B38">
        <w:rPr>
          <w:rFonts w:ascii="Times New Roman" w:hAnsi="Times New Roman"/>
          <w:i/>
        </w:rPr>
        <w:t>In capacity allocation of interconnection lines, it is essential to present the highest possible capacity to market participants in a manner that shall not endanger the network safety of national electricity system and electricity systems of neighboring countries and shall comply with the operating standards of national electricity system and electricity systems of neighboring countries.</w:t>
      </w:r>
    </w:p>
    <w:p w14:paraId="68B596E3" w14:textId="77777777" w:rsidR="00171C59" w:rsidRPr="009E1B38" w:rsidRDefault="00171C59" w:rsidP="00171C59">
      <w:pPr>
        <w:pStyle w:val="ListeParagraf"/>
        <w:ind w:left="709"/>
        <w:jc w:val="left"/>
        <w:rPr>
          <w:rFonts w:ascii="Times New Roman" w:hAnsi="Times New Roman"/>
          <w:i/>
        </w:rPr>
      </w:pPr>
    </w:p>
    <w:p w14:paraId="196A6E70" w14:textId="77777777" w:rsidR="00171C59" w:rsidRPr="009E1B38" w:rsidRDefault="00171C59" w:rsidP="003C5E4D">
      <w:pPr>
        <w:pStyle w:val="ListeParagraf"/>
        <w:numPr>
          <w:ilvl w:val="0"/>
          <w:numId w:val="72"/>
        </w:numPr>
        <w:spacing w:line="259" w:lineRule="auto"/>
        <w:ind w:left="709" w:firstLine="0"/>
        <w:jc w:val="left"/>
        <w:rPr>
          <w:rFonts w:ascii="Times New Roman" w:hAnsi="Times New Roman"/>
          <w:i/>
        </w:rPr>
      </w:pPr>
      <w:r w:rsidRPr="009E1B38">
        <w:rPr>
          <w:rFonts w:ascii="Times New Roman" w:hAnsi="Times New Roman"/>
          <w:i/>
        </w:rPr>
        <w:t>In case of less demand than the capacity announced for the interconnection line in the capacity allocation competition to be held, no constraint management fee shall be charged.</w:t>
      </w:r>
    </w:p>
    <w:p w14:paraId="231B8EB7" w14:textId="77777777" w:rsidR="00171C59" w:rsidRPr="009E1B38" w:rsidRDefault="00171C59" w:rsidP="00171C59">
      <w:pPr>
        <w:pStyle w:val="ListeParagraf"/>
        <w:ind w:left="709"/>
        <w:jc w:val="left"/>
        <w:rPr>
          <w:rFonts w:ascii="Times New Roman" w:hAnsi="Times New Roman"/>
          <w:i/>
        </w:rPr>
      </w:pPr>
    </w:p>
    <w:p w14:paraId="733EB5A7" w14:textId="77777777" w:rsidR="00171C59" w:rsidRPr="009E1B38" w:rsidRDefault="00171C59" w:rsidP="00171C59">
      <w:pPr>
        <w:pStyle w:val="ListeParagraf"/>
        <w:ind w:left="709"/>
        <w:jc w:val="left"/>
        <w:rPr>
          <w:rFonts w:ascii="Times New Roman" w:hAnsi="Times New Roman"/>
          <w:i/>
        </w:rPr>
      </w:pPr>
    </w:p>
    <w:p w14:paraId="47CBCA31" w14:textId="77777777" w:rsidR="00171C59" w:rsidRPr="009E1B38" w:rsidRDefault="00171C59" w:rsidP="003C5E4D">
      <w:pPr>
        <w:pStyle w:val="ListeParagraf"/>
        <w:numPr>
          <w:ilvl w:val="0"/>
          <w:numId w:val="72"/>
        </w:numPr>
        <w:spacing w:line="259" w:lineRule="auto"/>
        <w:ind w:left="709" w:firstLine="0"/>
        <w:jc w:val="left"/>
        <w:rPr>
          <w:rFonts w:ascii="Times New Roman" w:hAnsi="Times New Roman"/>
          <w:i/>
        </w:rPr>
      </w:pPr>
      <w:r w:rsidRPr="009E1B38">
        <w:rPr>
          <w:rFonts w:ascii="Times New Roman" w:hAnsi="Times New Roman"/>
          <w:i/>
        </w:rPr>
        <w:t>If an idle capacity arises due to the cancellation of some capacity allocation for any reason during the usage period in the capacity allocation made by means of a competition, this does not affect the rights of other users using the existing interconnection line capacity and constraint management costs.</w:t>
      </w:r>
    </w:p>
    <w:p w14:paraId="7018A3D2" w14:textId="77777777" w:rsidR="00171C59" w:rsidRPr="009E1B38" w:rsidRDefault="00171C59" w:rsidP="00171C59">
      <w:pPr>
        <w:pStyle w:val="ListeParagraf"/>
        <w:ind w:left="709"/>
        <w:jc w:val="left"/>
        <w:rPr>
          <w:rFonts w:ascii="Times New Roman" w:hAnsi="Times New Roman"/>
          <w:i/>
        </w:rPr>
      </w:pPr>
    </w:p>
    <w:p w14:paraId="7C51B050" w14:textId="12872833" w:rsidR="00171C59" w:rsidRPr="009E1B38" w:rsidRDefault="00171C59" w:rsidP="003C5E4D">
      <w:pPr>
        <w:pStyle w:val="ListeParagraf"/>
        <w:numPr>
          <w:ilvl w:val="0"/>
          <w:numId w:val="72"/>
        </w:numPr>
        <w:spacing w:line="259" w:lineRule="auto"/>
        <w:ind w:left="709" w:firstLine="0"/>
        <w:jc w:val="left"/>
        <w:rPr>
          <w:rFonts w:ascii="Times New Roman" w:hAnsi="Times New Roman"/>
          <w:i/>
        </w:rPr>
      </w:pPr>
      <w:r w:rsidRPr="009E1B38">
        <w:rPr>
          <w:rFonts w:ascii="Times New Roman" w:hAnsi="Times New Roman"/>
          <w:i/>
        </w:rPr>
        <w:t>In the event that the interconnection line capacity utilization right is cancelled as a result of the utilization factor evaluation or other obligations or as a result of the cancellation or termination of the license of the right holder legal entity or the termination of the import and/or export activity by the user before the end of the period, the obligation to pay the restriction management fee, if any, shall continue.</w:t>
      </w:r>
    </w:p>
    <w:p w14:paraId="64E5E52C" w14:textId="77777777" w:rsidR="00171C59" w:rsidRPr="009E1B38" w:rsidRDefault="00171C59" w:rsidP="00171C59">
      <w:pPr>
        <w:pStyle w:val="ListeParagraf"/>
        <w:ind w:left="709"/>
        <w:jc w:val="left"/>
        <w:rPr>
          <w:rFonts w:ascii="Times New Roman" w:hAnsi="Times New Roman"/>
        </w:rPr>
      </w:pPr>
    </w:p>
    <w:p w14:paraId="6295A96A"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Article 19 with the title is amended as follows.</w:t>
      </w:r>
    </w:p>
    <w:p w14:paraId="22913EF2" w14:textId="77777777" w:rsidR="00171C59" w:rsidRPr="009E1B38" w:rsidRDefault="00171C59" w:rsidP="00171C59">
      <w:pPr>
        <w:pStyle w:val="ListeParagraf"/>
        <w:ind w:left="709"/>
        <w:jc w:val="left"/>
        <w:rPr>
          <w:rFonts w:ascii="Times New Roman" w:hAnsi="Times New Roman"/>
          <w:b/>
        </w:rPr>
      </w:pPr>
    </w:p>
    <w:p w14:paraId="392891EC"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Use of revenues arising from restriction management fees and compensation mechanism related to transit flows between transmission system operators</w:t>
      </w:r>
    </w:p>
    <w:p w14:paraId="6472D390" w14:textId="77777777" w:rsidR="00171C59" w:rsidRPr="009E1B38" w:rsidRDefault="00171C59" w:rsidP="00171C59">
      <w:pPr>
        <w:pStyle w:val="ListeParagraf"/>
        <w:ind w:left="709"/>
        <w:jc w:val="left"/>
        <w:rPr>
          <w:rFonts w:ascii="Times New Roman" w:hAnsi="Times New Roman"/>
          <w:b/>
        </w:rPr>
      </w:pPr>
    </w:p>
    <w:p w14:paraId="242B2A6F"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19</w:t>
      </w:r>
    </w:p>
    <w:p w14:paraId="2707A61D" w14:textId="77777777" w:rsidR="00171C59" w:rsidRPr="009E1B38" w:rsidRDefault="00171C59" w:rsidP="00171C59">
      <w:pPr>
        <w:pStyle w:val="ListeParagraf"/>
        <w:ind w:left="709"/>
        <w:jc w:val="left"/>
        <w:rPr>
          <w:rFonts w:ascii="Times New Roman" w:hAnsi="Times New Roman"/>
          <w:b/>
          <w:i/>
        </w:rPr>
      </w:pPr>
    </w:p>
    <w:p w14:paraId="6B7C6C71" w14:textId="77777777" w:rsidR="00171C59" w:rsidRPr="009E1B38" w:rsidRDefault="00171C59" w:rsidP="003C5E4D">
      <w:pPr>
        <w:pStyle w:val="ListeParagraf"/>
        <w:numPr>
          <w:ilvl w:val="0"/>
          <w:numId w:val="73"/>
        </w:numPr>
        <w:spacing w:line="259" w:lineRule="auto"/>
        <w:ind w:left="709" w:firstLine="0"/>
        <w:jc w:val="left"/>
        <w:rPr>
          <w:rFonts w:ascii="Times New Roman" w:hAnsi="Times New Roman"/>
          <w:i/>
        </w:rPr>
      </w:pPr>
      <w:r w:rsidRPr="009E1B38">
        <w:rPr>
          <w:rFonts w:ascii="Times New Roman" w:hAnsi="Times New Roman"/>
          <w:i/>
        </w:rPr>
        <w:t>Revenues arising from congestion management fees and compensation mechanism between transmission system operators shall be primarily used as;</w:t>
      </w:r>
    </w:p>
    <w:p w14:paraId="1F5916F3" w14:textId="77777777" w:rsidR="00171C59" w:rsidRPr="009E1B38" w:rsidRDefault="00171C59" w:rsidP="003C5E4D">
      <w:pPr>
        <w:pStyle w:val="ListeParagraf"/>
        <w:numPr>
          <w:ilvl w:val="0"/>
          <w:numId w:val="74"/>
        </w:numPr>
        <w:spacing w:line="259" w:lineRule="auto"/>
        <w:ind w:left="709" w:firstLine="0"/>
        <w:jc w:val="left"/>
        <w:rPr>
          <w:rFonts w:ascii="Times New Roman" w:hAnsi="Times New Roman"/>
          <w:i/>
        </w:rPr>
      </w:pPr>
      <w:r w:rsidRPr="009E1B38">
        <w:rPr>
          <w:rFonts w:ascii="Times New Roman" w:hAnsi="Times New Roman"/>
          <w:i/>
        </w:rPr>
        <w:t>In the establishment of new interconnection lines,</w:t>
      </w:r>
    </w:p>
    <w:p w14:paraId="37D23155" w14:textId="77777777" w:rsidR="00171C59" w:rsidRPr="009E1B38" w:rsidRDefault="00171C59" w:rsidP="003C5E4D">
      <w:pPr>
        <w:pStyle w:val="ListeParagraf"/>
        <w:numPr>
          <w:ilvl w:val="0"/>
          <w:numId w:val="74"/>
        </w:numPr>
        <w:spacing w:line="259" w:lineRule="auto"/>
        <w:ind w:left="709" w:firstLine="0"/>
        <w:jc w:val="left"/>
        <w:rPr>
          <w:rFonts w:ascii="Times New Roman" w:hAnsi="Times New Roman"/>
          <w:i/>
        </w:rPr>
      </w:pPr>
      <w:r w:rsidRPr="009E1B38">
        <w:rPr>
          <w:rFonts w:ascii="Times New Roman" w:hAnsi="Times New Roman"/>
          <w:i/>
        </w:rPr>
        <w:t>In the establishment of the reinforcements of the transmission or distribution systems required to increase the NTC amount of the existing interconnection lines,</w:t>
      </w:r>
    </w:p>
    <w:p w14:paraId="15BB678B" w14:textId="77777777" w:rsidR="00171C59" w:rsidRPr="009E1B38" w:rsidRDefault="00171C59" w:rsidP="003C5E4D">
      <w:pPr>
        <w:pStyle w:val="ListeParagraf"/>
        <w:numPr>
          <w:ilvl w:val="0"/>
          <w:numId w:val="74"/>
        </w:numPr>
        <w:spacing w:line="259" w:lineRule="auto"/>
        <w:ind w:left="709" w:firstLine="0"/>
        <w:jc w:val="left"/>
        <w:rPr>
          <w:rFonts w:ascii="Times New Roman" w:hAnsi="Times New Roman"/>
          <w:i/>
        </w:rPr>
      </w:pPr>
      <w:r w:rsidRPr="009E1B38">
        <w:rPr>
          <w:rFonts w:ascii="Times New Roman" w:hAnsi="Times New Roman"/>
          <w:i/>
        </w:rPr>
        <w:t>For other purposes approved by the Board and related to its financial needs.</w:t>
      </w:r>
    </w:p>
    <w:p w14:paraId="517FF4EB" w14:textId="77777777" w:rsidR="00171C59" w:rsidRPr="009E1B38" w:rsidRDefault="00171C59" w:rsidP="00171C59">
      <w:pPr>
        <w:pStyle w:val="ListeParagraf"/>
        <w:ind w:left="709"/>
        <w:jc w:val="left"/>
        <w:rPr>
          <w:rFonts w:ascii="Times New Roman" w:hAnsi="Times New Roman"/>
          <w:i/>
        </w:rPr>
      </w:pPr>
    </w:p>
    <w:p w14:paraId="34E3C8C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rPr>
        <w:t>Article 20 titled</w:t>
      </w:r>
      <w:r w:rsidRPr="009E1B38">
        <w:rPr>
          <w:rFonts w:ascii="Times New Roman" w:hAnsi="Times New Roman"/>
          <w:i/>
        </w:rPr>
        <w:t xml:space="preserve"> "Rules to be followed in the use of interconnection line capacity" </w:t>
      </w:r>
      <w:r w:rsidRPr="009E1B38">
        <w:rPr>
          <w:rFonts w:ascii="Times New Roman" w:hAnsi="Times New Roman"/>
        </w:rPr>
        <w:t>has been amended as follows.</w:t>
      </w:r>
    </w:p>
    <w:p w14:paraId="2199E88A" w14:textId="77777777" w:rsidR="00171C59" w:rsidRPr="009E1B38" w:rsidRDefault="00171C59" w:rsidP="00171C59">
      <w:pPr>
        <w:ind w:left="709"/>
        <w:jc w:val="left"/>
        <w:rPr>
          <w:rFonts w:ascii="Times New Roman" w:hAnsi="Times New Roman"/>
          <w:b/>
          <w:i/>
        </w:rPr>
      </w:pPr>
      <w:r w:rsidRPr="009E1B38">
        <w:rPr>
          <w:rFonts w:ascii="Times New Roman" w:hAnsi="Times New Roman"/>
          <w:b/>
          <w:i/>
        </w:rPr>
        <w:t>ARTICLE 20</w:t>
      </w:r>
    </w:p>
    <w:p w14:paraId="287AA7BD" w14:textId="77777777" w:rsidR="00171C59" w:rsidRPr="009E1B38" w:rsidRDefault="00171C59" w:rsidP="003C5E4D">
      <w:pPr>
        <w:pStyle w:val="ListeParagraf"/>
        <w:numPr>
          <w:ilvl w:val="0"/>
          <w:numId w:val="75"/>
        </w:numPr>
        <w:spacing w:line="259" w:lineRule="auto"/>
        <w:ind w:left="709" w:firstLine="0"/>
        <w:jc w:val="left"/>
        <w:rPr>
          <w:rFonts w:ascii="Times New Roman" w:hAnsi="Times New Roman"/>
          <w:i/>
        </w:rPr>
      </w:pPr>
      <w:r w:rsidRPr="009E1B38">
        <w:rPr>
          <w:rFonts w:ascii="Times New Roman" w:hAnsi="Times New Roman"/>
          <w:i/>
        </w:rPr>
        <w:lastRenderedPageBreak/>
        <w:t>In synchronous parallel connections; Physical Transmission Right holders who do not notify that they will use all or part of the allocated capacity amounts within the notification period specified in the tender document due to the fact that they have taken over or built an interconnection line in the Secondary Physical Transmission Right Market shall lose their right to use the unused part of the said capacity. The capacity in question may be re-tendered in accordance with the tender periods defined in the tender document. The payment obligations arising from the allocation shall continue, if any, for legal entities who lose their right to use the capacity allocated under this paragraph,</w:t>
      </w:r>
    </w:p>
    <w:p w14:paraId="0481BA95" w14:textId="77777777" w:rsidR="00171C59" w:rsidRPr="009E1B38" w:rsidRDefault="00171C59" w:rsidP="00171C59">
      <w:pPr>
        <w:pStyle w:val="ListeParagraf"/>
        <w:ind w:left="709"/>
        <w:jc w:val="left"/>
        <w:rPr>
          <w:rFonts w:ascii="Times New Roman" w:hAnsi="Times New Roman"/>
          <w:i/>
        </w:rPr>
      </w:pPr>
      <w:bookmarkStart w:id="49" w:name="_GoBack"/>
      <w:bookmarkEnd w:id="49"/>
    </w:p>
    <w:p w14:paraId="7FDF8D17" w14:textId="77777777" w:rsidR="00171C59" w:rsidRPr="009E1B38" w:rsidRDefault="00171C59" w:rsidP="003C5E4D">
      <w:pPr>
        <w:pStyle w:val="ListeParagraf"/>
        <w:numPr>
          <w:ilvl w:val="0"/>
          <w:numId w:val="75"/>
        </w:numPr>
        <w:spacing w:line="259" w:lineRule="auto"/>
        <w:ind w:left="709" w:firstLine="0"/>
        <w:jc w:val="left"/>
        <w:rPr>
          <w:rFonts w:ascii="Times New Roman" w:hAnsi="Times New Roman"/>
          <w:i/>
        </w:rPr>
      </w:pPr>
      <w:r w:rsidRPr="009E1B38">
        <w:rPr>
          <w:rFonts w:ascii="Times New Roman" w:hAnsi="Times New Roman"/>
          <w:i/>
        </w:rPr>
        <w:t>With the exception of interconnection lines and synchronous parallel connections constructed by legal entities and allocated to the relevant legal entity, it is essential that the licensee legal entities entitled to allocate the capacity of the interconnection lines use the interconnection lines at or above the specified usage factor. Usage factor evaluation is not made in capacity allocations of less than six months. In interconnection line capacity allocation, except in case of restriction after allocation, evaluation is made at the end of each month, excluding the first month and the last three months after the start of the capacity utilization period of the line. As a result of the calculation made by the relevant System Operator, if it is determined that the usage factor is below fifty percent for the last month or the average of the last three months is below sixty percent, the System Operator shall notify the Authority of the calculations it has made. In case the interconnection line capacity utilization right is canceled by the Board, it is announced by the System Operator that the interconnection line capacity allocation of the relevant user is canceled and will be allocated for the remaining usage period and/or new usage period. The rights of the relevant user shall continue until the right of use is revoked by the Board. However, the fulfillment of the terms of use subject to cancellation by the relevant user within this period does not provide new rights and does not affect the rights of the new user.</w:t>
      </w:r>
    </w:p>
    <w:p w14:paraId="3E349694" w14:textId="77777777" w:rsidR="00171C59" w:rsidRPr="009E1B38" w:rsidRDefault="00171C59" w:rsidP="00171C59">
      <w:pPr>
        <w:pStyle w:val="ListeParagraf"/>
        <w:ind w:left="709"/>
        <w:jc w:val="left"/>
        <w:rPr>
          <w:rFonts w:ascii="Times New Roman" w:hAnsi="Times New Roman"/>
          <w:i/>
        </w:rPr>
      </w:pPr>
    </w:p>
    <w:p w14:paraId="028182E9" w14:textId="77777777" w:rsidR="00171C59" w:rsidRPr="009E1B38" w:rsidRDefault="00171C59" w:rsidP="003C5E4D">
      <w:pPr>
        <w:pStyle w:val="ListeParagraf"/>
        <w:numPr>
          <w:ilvl w:val="0"/>
          <w:numId w:val="75"/>
        </w:numPr>
        <w:spacing w:line="259" w:lineRule="auto"/>
        <w:ind w:left="709" w:firstLine="0"/>
        <w:jc w:val="left"/>
        <w:rPr>
          <w:rFonts w:ascii="Times New Roman" w:hAnsi="Times New Roman"/>
          <w:i/>
        </w:rPr>
      </w:pPr>
      <w:r w:rsidRPr="009E1B38">
        <w:rPr>
          <w:rFonts w:ascii="Times New Roman" w:hAnsi="Times New Roman"/>
          <w:i/>
        </w:rPr>
        <w:t>Procedures and principles regarding capacity allocation shall be prepared by the System Operator and submitted to the Board for approval and following the approval, the tender documents prepared by the System Operator shall be announced on the website. However, in capacity allocations to be made within the scope of the second paragraph of Article 15, there is no need to approve the procedures and principles, and capacity allocations are made within the framework of the tender documents approved by the Board.</w:t>
      </w:r>
    </w:p>
    <w:p w14:paraId="3D87E1A3" w14:textId="77777777" w:rsidR="00171C59" w:rsidRPr="009E1B38" w:rsidRDefault="00171C59" w:rsidP="00171C59">
      <w:pPr>
        <w:pStyle w:val="ListeParagraf"/>
        <w:ind w:left="709"/>
        <w:jc w:val="left"/>
        <w:rPr>
          <w:rFonts w:ascii="Times New Roman" w:hAnsi="Times New Roman"/>
          <w:i/>
        </w:rPr>
      </w:pPr>
    </w:p>
    <w:p w14:paraId="20E7FE84" w14:textId="77777777" w:rsidR="00171C59" w:rsidRPr="009E1B38" w:rsidRDefault="00171C59" w:rsidP="003C5E4D">
      <w:pPr>
        <w:pStyle w:val="ListeParagraf"/>
        <w:numPr>
          <w:ilvl w:val="0"/>
          <w:numId w:val="75"/>
        </w:numPr>
        <w:spacing w:line="259" w:lineRule="auto"/>
        <w:ind w:left="709" w:firstLine="0"/>
        <w:jc w:val="left"/>
        <w:rPr>
          <w:rFonts w:ascii="Times New Roman" w:hAnsi="Times New Roman"/>
          <w:i/>
        </w:rPr>
      </w:pPr>
      <w:r w:rsidRPr="009E1B38">
        <w:rPr>
          <w:rFonts w:ascii="Times New Roman" w:hAnsi="Times New Roman"/>
          <w:i/>
        </w:rPr>
        <w:t>In order to ensure that the payment obligations of the right holder legal entities are covered, in the event that the collateral determined within the scope of the Interconnection Use Agreement and the new interconnection lines are made by legal entities, the right holder legal entities shall be obliged to provide the relevant System Operator with the collateral determined within the scope of the Facility Agreement in accordance with Article 21. The provisions regarding the return of these guarantees and the recording of income are regulated in the Interconnection Use Agreement and the Facility Agreement.</w:t>
      </w:r>
    </w:p>
    <w:p w14:paraId="7F1BBF54" w14:textId="77777777" w:rsidR="00171C59" w:rsidRPr="009E1B38" w:rsidRDefault="00171C59" w:rsidP="00171C59">
      <w:pPr>
        <w:pStyle w:val="ListeParagraf"/>
        <w:ind w:left="709"/>
        <w:jc w:val="left"/>
        <w:rPr>
          <w:rFonts w:ascii="Times New Roman" w:hAnsi="Times New Roman"/>
          <w:i/>
        </w:rPr>
      </w:pPr>
    </w:p>
    <w:p w14:paraId="6687EE40" w14:textId="77777777" w:rsidR="00171C59" w:rsidRPr="009E1B38" w:rsidRDefault="00171C59" w:rsidP="003C5E4D">
      <w:pPr>
        <w:pStyle w:val="ListeParagraf"/>
        <w:numPr>
          <w:ilvl w:val="0"/>
          <w:numId w:val="75"/>
        </w:numPr>
        <w:spacing w:line="259" w:lineRule="auto"/>
        <w:ind w:left="709" w:firstLine="0"/>
        <w:jc w:val="left"/>
        <w:rPr>
          <w:rFonts w:ascii="Times New Roman" w:hAnsi="Times New Roman"/>
          <w:i/>
        </w:rPr>
      </w:pPr>
      <w:r w:rsidRPr="009E1B38">
        <w:rPr>
          <w:rFonts w:ascii="Times New Roman" w:hAnsi="Times New Roman"/>
          <w:i/>
        </w:rPr>
        <w:t>In cases where the national electricity system does not operate in parallel with other countries, the System Operator shall act by taking into account the provisions of international agreements signed previously, if any, in terms of capacity calculation, line allocation, constraint management and line supervision for the said lines.”</w:t>
      </w:r>
    </w:p>
    <w:p w14:paraId="07CC0D75" w14:textId="77777777" w:rsidR="00171C59" w:rsidRPr="009E1B38" w:rsidRDefault="00171C59" w:rsidP="00171C59">
      <w:pPr>
        <w:pStyle w:val="ListeParagraf"/>
        <w:ind w:left="709"/>
        <w:jc w:val="left"/>
        <w:rPr>
          <w:rFonts w:ascii="Times New Roman" w:hAnsi="Times New Roman"/>
          <w:i/>
        </w:rPr>
      </w:pPr>
    </w:p>
    <w:p w14:paraId="3A2CECD0"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Article 21 titled</w:t>
      </w:r>
      <w:r w:rsidRPr="009E1B38">
        <w:rPr>
          <w:rFonts w:ascii="Times New Roman" w:hAnsi="Times New Roman"/>
          <w:i/>
        </w:rPr>
        <w:t xml:space="preserve"> "Construction of new interconnection lines by legal entities" </w:t>
      </w:r>
      <w:r w:rsidRPr="009E1B38">
        <w:rPr>
          <w:rFonts w:ascii="Times New Roman" w:hAnsi="Times New Roman"/>
        </w:rPr>
        <w:t>has been amended as follows.</w:t>
      </w:r>
    </w:p>
    <w:p w14:paraId="6885C0F3" w14:textId="77777777" w:rsidR="00171C59" w:rsidRPr="009E1B38" w:rsidRDefault="00171C59" w:rsidP="00171C59">
      <w:pPr>
        <w:pStyle w:val="ListeParagraf"/>
        <w:ind w:left="709"/>
        <w:jc w:val="left"/>
        <w:rPr>
          <w:rFonts w:ascii="Times New Roman" w:hAnsi="Times New Roman"/>
        </w:rPr>
      </w:pPr>
    </w:p>
    <w:p w14:paraId="6E481EDD"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21</w:t>
      </w:r>
    </w:p>
    <w:p w14:paraId="5FD4F666" w14:textId="77777777" w:rsidR="00171C59" w:rsidRPr="009E1B38" w:rsidRDefault="00171C59" w:rsidP="00171C59">
      <w:pPr>
        <w:pStyle w:val="ListeParagraf"/>
        <w:ind w:left="709"/>
        <w:jc w:val="left"/>
        <w:rPr>
          <w:rFonts w:ascii="Times New Roman" w:hAnsi="Times New Roman"/>
          <w:b/>
          <w:i/>
        </w:rPr>
      </w:pPr>
    </w:p>
    <w:p w14:paraId="07FD9979" w14:textId="77777777" w:rsidR="00171C59" w:rsidRPr="009E1B38" w:rsidRDefault="00171C59" w:rsidP="003C5E4D">
      <w:pPr>
        <w:pStyle w:val="ListeParagraf"/>
        <w:numPr>
          <w:ilvl w:val="0"/>
          <w:numId w:val="76"/>
        </w:numPr>
        <w:spacing w:line="259" w:lineRule="auto"/>
        <w:ind w:left="709" w:firstLine="0"/>
        <w:jc w:val="left"/>
        <w:rPr>
          <w:rFonts w:ascii="Times New Roman" w:hAnsi="Times New Roman"/>
          <w:i/>
        </w:rPr>
      </w:pPr>
      <w:r w:rsidRPr="009E1B38">
        <w:rPr>
          <w:rFonts w:ascii="Times New Roman" w:hAnsi="Times New Roman"/>
          <w:i/>
        </w:rPr>
        <w:lastRenderedPageBreak/>
        <w:t>Procurement license holder legal entities may construct interconnection facilities and/or make transmission or distribution facilities to increase the existing NTC, provided that all rights and authorizations related to its ownership and operation are in the name and account of the System Operator in order to carry out import and/or purchase export activity and generation license holder legal entities export activity. Capacity allocations to be made within the scope of this article may not exceed ten years provided that they do not exceed the license period of the applicant. The relevant license holder legal entity applies to the System Operator with the information and documents specified in the Procedures and Principles for Capacity Allocation in case the New Interconnection Lines to be Established are Established by Legal Entities.</w:t>
      </w:r>
      <w:r w:rsidRPr="009E1B38">
        <w:rPr>
          <w:rFonts w:ascii="Times New Roman" w:hAnsi="Times New Roman"/>
        </w:rPr>
        <w:t xml:space="preserve"> </w:t>
      </w:r>
      <w:r w:rsidRPr="009E1B38">
        <w:rPr>
          <w:rFonts w:ascii="Times New Roman" w:hAnsi="Times New Roman"/>
          <w:i/>
        </w:rPr>
        <w:t>If necessary, the System Operator may request additional information and documents related to the interconnection line planned to be made from the applicant.</w:t>
      </w:r>
      <w:r w:rsidRPr="009E1B38">
        <w:rPr>
          <w:rFonts w:ascii="Times New Roman" w:hAnsi="Times New Roman"/>
        </w:rPr>
        <w:t xml:space="preserve"> </w:t>
      </w:r>
      <w:r w:rsidRPr="009E1B38">
        <w:rPr>
          <w:rFonts w:ascii="Times New Roman" w:hAnsi="Times New Roman"/>
          <w:i/>
        </w:rPr>
        <w:t>The Ministry's opinion is taken by the System Operator regarding the application. If the application is approved by the System Operator and the opinion of the Ministry is positive, the information regarding the newly planned line is announced on the website of the System Operator for ninety days for applications made from the transmission voltage level and thirty days for applications made from the distribution voltage level in order to receive the applications of other supply and/or generation license holders.</w:t>
      </w:r>
    </w:p>
    <w:p w14:paraId="26F5787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Applications that are not made within the period are not taken into consideration.</w:t>
      </w:r>
    </w:p>
    <w:p w14:paraId="321A7DD0" w14:textId="77777777" w:rsidR="00171C59" w:rsidRPr="009E1B38" w:rsidRDefault="00171C59" w:rsidP="00171C59">
      <w:pPr>
        <w:pStyle w:val="ListeParagraf"/>
        <w:ind w:left="709"/>
        <w:jc w:val="left"/>
        <w:rPr>
          <w:rFonts w:ascii="Times New Roman" w:hAnsi="Times New Roman"/>
          <w:i/>
        </w:rPr>
      </w:pPr>
    </w:p>
    <w:p w14:paraId="3D596A95" w14:textId="77777777" w:rsidR="00171C59" w:rsidRPr="009E1B38" w:rsidRDefault="00171C59" w:rsidP="003C5E4D">
      <w:pPr>
        <w:pStyle w:val="ListeParagraf"/>
        <w:numPr>
          <w:ilvl w:val="0"/>
          <w:numId w:val="76"/>
        </w:numPr>
        <w:spacing w:line="259" w:lineRule="auto"/>
        <w:ind w:left="709" w:firstLine="0"/>
        <w:jc w:val="left"/>
        <w:rPr>
          <w:rFonts w:ascii="Times New Roman" w:hAnsi="Times New Roman"/>
          <w:i/>
        </w:rPr>
      </w:pPr>
      <w:r w:rsidRPr="009E1B38">
        <w:rPr>
          <w:rFonts w:ascii="Times New Roman" w:hAnsi="Times New Roman"/>
          <w:i/>
        </w:rPr>
        <w:t>In the absence of more than one request to establish the same interconnection line and/or to construct transmission or distribution facilities to increase the existing NTC, the relevant legal entity shall be notified to the Authority by the System Operator.</w:t>
      </w:r>
      <w:r w:rsidRPr="009E1B38">
        <w:rPr>
          <w:rFonts w:ascii="Times New Roman" w:hAnsi="Times New Roman"/>
        </w:rPr>
        <w:t xml:space="preserve"> </w:t>
      </w:r>
      <w:r w:rsidRPr="009E1B38">
        <w:rPr>
          <w:rFonts w:ascii="Times New Roman" w:hAnsi="Times New Roman"/>
          <w:i/>
        </w:rPr>
        <w:t>In the event of more than one request, the proposal of the legal entity holding the supply or generation license offering the shortest capacity allocation period for the transmission or distribution facility in line with the connection point and line capacity to be determined by the System Operator in the competition to be organized by the System Operator shall be accepted.</w:t>
      </w:r>
      <w:r w:rsidRPr="009E1B38">
        <w:rPr>
          <w:rFonts w:ascii="Times New Roman" w:hAnsi="Times New Roman"/>
        </w:rPr>
        <w:t xml:space="preserve"> </w:t>
      </w:r>
      <w:r w:rsidRPr="009E1B38">
        <w:rPr>
          <w:rFonts w:ascii="Times New Roman" w:hAnsi="Times New Roman"/>
          <w:i/>
        </w:rPr>
        <w:t>The license holder legal entity entitled to construct the interconnection line planned to be constructed shall be notified to the Authority by the System Operator.</w:t>
      </w:r>
      <w:r w:rsidRPr="009E1B38">
        <w:rPr>
          <w:rFonts w:ascii="Times New Roman" w:hAnsi="Times New Roman"/>
        </w:rPr>
        <w:t xml:space="preserve"> </w:t>
      </w:r>
      <w:r w:rsidRPr="009E1B38">
        <w:rPr>
          <w:rFonts w:ascii="Times New Roman" w:hAnsi="Times New Roman"/>
          <w:i/>
        </w:rPr>
        <w:t>The right holder shall apply to the Authority within twenty days following the notification made to him by the System Operator in order to modify his license by depositing the license modification fee for the relevant year with the agreement or protocol signed with the Ministry and/or the competent Authority regarding the import and/or export of electrical energy in the opposite country defined in Article 8.</w:t>
      </w:r>
      <w:r w:rsidRPr="009E1B38">
        <w:rPr>
          <w:rFonts w:ascii="Times New Roman" w:hAnsi="Times New Roman"/>
        </w:rPr>
        <w:t xml:space="preserve"> </w:t>
      </w:r>
      <w:r w:rsidRPr="009E1B38">
        <w:rPr>
          <w:rFonts w:ascii="Times New Roman" w:hAnsi="Times New Roman"/>
          <w:i/>
        </w:rPr>
        <w:t>If no application is made within the period, the acquired rights shall be forfeited and the procedures specified in this paragraph shall be applied to the second legal entity in the competition.</w:t>
      </w:r>
    </w:p>
    <w:p w14:paraId="2A5A9DB0" w14:textId="77777777" w:rsidR="00171C59" w:rsidRPr="009E1B38" w:rsidRDefault="00171C59" w:rsidP="00171C59">
      <w:pPr>
        <w:pStyle w:val="ListeParagraf"/>
        <w:ind w:left="709"/>
        <w:jc w:val="left"/>
        <w:rPr>
          <w:rFonts w:ascii="Times New Roman" w:hAnsi="Times New Roman"/>
          <w:i/>
        </w:rPr>
      </w:pPr>
    </w:p>
    <w:p w14:paraId="71602E52" w14:textId="77777777" w:rsidR="00171C59" w:rsidRPr="009E1B38" w:rsidRDefault="00171C59" w:rsidP="003C5E4D">
      <w:pPr>
        <w:pStyle w:val="ListeParagraf"/>
        <w:numPr>
          <w:ilvl w:val="0"/>
          <w:numId w:val="76"/>
        </w:numPr>
        <w:spacing w:line="259" w:lineRule="auto"/>
        <w:ind w:left="709" w:firstLine="0"/>
        <w:jc w:val="left"/>
        <w:rPr>
          <w:rFonts w:ascii="Times New Roman" w:hAnsi="Times New Roman"/>
          <w:i/>
        </w:rPr>
      </w:pPr>
      <w:r w:rsidRPr="009E1B38">
        <w:rPr>
          <w:rFonts w:ascii="Times New Roman" w:hAnsi="Times New Roman"/>
          <w:i/>
        </w:rPr>
        <w:t>In the event that the Facility Contract signed with the relevant System Operator is submitted to the Authority, the legal entity approved by the Board decision that it is entitled to allocate capacity to carry out import and/or export activities by establishing the new interconnection line and/or increasing the existing NTC shall be notified in writing that it shall be granted an operating permit and this obligation shall be fulfilled within sixty days.</w:t>
      </w:r>
      <w:r w:rsidRPr="009E1B38">
        <w:rPr>
          <w:rFonts w:ascii="Times New Roman" w:hAnsi="Times New Roman"/>
        </w:rPr>
        <w:t xml:space="preserve"> </w:t>
      </w:r>
      <w:r w:rsidRPr="009E1B38">
        <w:rPr>
          <w:rFonts w:ascii="Times New Roman" w:hAnsi="Times New Roman"/>
          <w:i/>
        </w:rPr>
        <w:t>This period may be extended by the decision of the Board.</w:t>
      </w:r>
      <w:r w:rsidRPr="009E1B38">
        <w:rPr>
          <w:rFonts w:ascii="Times New Roman" w:hAnsi="Times New Roman"/>
        </w:rPr>
        <w:t xml:space="preserve"> </w:t>
      </w:r>
      <w:r w:rsidRPr="009E1B38">
        <w:rPr>
          <w:rFonts w:ascii="Times New Roman" w:hAnsi="Times New Roman"/>
          <w:i/>
        </w:rPr>
        <w:t>The relevant legal entity is obliged to provide a letter of guarantee or cash guarantee to the System Operator at the rate of twenty-five percent of the estimated cost to be calculated by the System Operator under the Facility Agreement.</w:t>
      </w:r>
    </w:p>
    <w:p w14:paraId="11DDE146" w14:textId="77777777" w:rsidR="00171C59" w:rsidRPr="009E1B38" w:rsidRDefault="00171C59" w:rsidP="00171C59">
      <w:pPr>
        <w:pStyle w:val="ListeParagraf"/>
        <w:ind w:left="709"/>
        <w:jc w:val="left"/>
        <w:rPr>
          <w:rFonts w:ascii="Times New Roman" w:hAnsi="Times New Roman"/>
          <w:i/>
        </w:rPr>
      </w:pPr>
    </w:p>
    <w:p w14:paraId="0817FA0C" w14:textId="77777777" w:rsidR="00171C59" w:rsidRPr="009E1B38" w:rsidRDefault="00171C59" w:rsidP="00171C59">
      <w:pPr>
        <w:pStyle w:val="ListeParagraf"/>
        <w:ind w:left="709"/>
        <w:jc w:val="left"/>
        <w:rPr>
          <w:rFonts w:ascii="Times New Roman" w:hAnsi="Times New Roman"/>
          <w:i/>
        </w:rPr>
      </w:pPr>
    </w:p>
    <w:p w14:paraId="1AE05A01" w14:textId="77777777" w:rsidR="00171C59" w:rsidRPr="009E1B38" w:rsidRDefault="00171C59" w:rsidP="003C5E4D">
      <w:pPr>
        <w:pStyle w:val="ListeParagraf"/>
        <w:numPr>
          <w:ilvl w:val="0"/>
          <w:numId w:val="76"/>
        </w:numPr>
        <w:spacing w:line="259" w:lineRule="auto"/>
        <w:ind w:left="709" w:firstLine="0"/>
        <w:jc w:val="left"/>
        <w:rPr>
          <w:rFonts w:ascii="Times New Roman" w:hAnsi="Times New Roman"/>
          <w:i/>
        </w:rPr>
      </w:pPr>
      <w:r w:rsidRPr="009E1B38">
        <w:rPr>
          <w:rFonts w:ascii="Times New Roman" w:hAnsi="Times New Roman"/>
          <w:i/>
        </w:rPr>
        <w:t>In the event that the Facility Contract is submitted to the Authority within the scope of the third paragraph, the information regarding the permitting of import and/or export activities shall be included in the license of the relevant legal entity by the Authority and notified to the System Operator to be published on the website.</w:t>
      </w:r>
      <w:r w:rsidRPr="009E1B38">
        <w:rPr>
          <w:rFonts w:ascii="Times New Roman" w:hAnsi="Times New Roman"/>
        </w:rPr>
        <w:t xml:space="preserve"> </w:t>
      </w:r>
      <w:r w:rsidRPr="009E1B38">
        <w:rPr>
          <w:rFonts w:ascii="Times New Roman" w:hAnsi="Times New Roman"/>
          <w:i/>
        </w:rPr>
        <w:t>Prior to the temporary acceptance of the interconnection line, Interconnection Use Agreement is signed between the System Operator and the right holder.</w:t>
      </w:r>
    </w:p>
    <w:p w14:paraId="2BE9A252" w14:textId="77777777" w:rsidR="00171C59" w:rsidRPr="009E1B38" w:rsidRDefault="00171C59" w:rsidP="00171C59">
      <w:pPr>
        <w:pStyle w:val="ListeParagraf"/>
        <w:ind w:left="709"/>
        <w:jc w:val="left"/>
        <w:rPr>
          <w:rFonts w:ascii="Times New Roman" w:hAnsi="Times New Roman"/>
          <w:i/>
        </w:rPr>
      </w:pPr>
    </w:p>
    <w:p w14:paraId="3D04E1FB" w14:textId="77777777" w:rsidR="00171C59" w:rsidRPr="009E1B38" w:rsidRDefault="00171C59" w:rsidP="003C5E4D">
      <w:pPr>
        <w:pStyle w:val="ListeParagraf"/>
        <w:numPr>
          <w:ilvl w:val="0"/>
          <w:numId w:val="76"/>
        </w:numPr>
        <w:spacing w:line="259" w:lineRule="auto"/>
        <w:ind w:left="709" w:firstLine="0"/>
        <w:jc w:val="left"/>
        <w:rPr>
          <w:rFonts w:ascii="Times New Roman" w:hAnsi="Times New Roman"/>
          <w:i/>
        </w:rPr>
      </w:pPr>
      <w:r w:rsidRPr="009E1B38">
        <w:rPr>
          <w:rFonts w:ascii="Times New Roman" w:hAnsi="Times New Roman"/>
          <w:i/>
        </w:rPr>
        <w:lastRenderedPageBreak/>
        <w:t>In the event that the license is amended to increase or decrease the amount of capacity allocated, the capacity registered in the Interconnection Use Agreement shall be revised to be the same as the capacity included in the license.</w:t>
      </w:r>
      <w:r w:rsidRPr="009E1B38">
        <w:rPr>
          <w:rFonts w:ascii="Times New Roman" w:hAnsi="Times New Roman"/>
        </w:rPr>
        <w:t xml:space="preserve"> </w:t>
      </w:r>
      <w:r w:rsidRPr="009E1B38">
        <w:rPr>
          <w:rFonts w:ascii="Times New Roman" w:hAnsi="Times New Roman"/>
          <w:i/>
        </w:rPr>
        <w:t>The application for a license amendment regarding the reduction of the allocated capacity amount cannot be made until at least 12 months have elapsed from the last amendment regarding the capacity reduction.</w:t>
      </w:r>
      <w:r w:rsidRPr="009E1B38">
        <w:rPr>
          <w:rFonts w:ascii="Times New Roman" w:hAnsi="Times New Roman"/>
        </w:rPr>
        <w:t xml:space="preserve"> </w:t>
      </w:r>
      <w:r w:rsidRPr="009E1B38">
        <w:rPr>
          <w:rFonts w:ascii="Times New Roman" w:hAnsi="Times New Roman"/>
          <w:i/>
        </w:rPr>
        <w:t>If the license is amended to reduce the amount of capacity allocated upon the application of the beneficiary, the rights to the reduced capacity shall be forfeited.</w:t>
      </w:r>
    </w:p>
    <w:p w14:paraId="7F5E2AE1" w14:textId="77777777" w:rsidR="00171C59" w:rsidRPr="009E1B38" w:rsidRDefault="00171C59" w:rsidP="00171C59">
      <w:pPr>
        <w:pStyle w:val="ListeParagraf"/>
        <w:ind w:left="709"/>
        <w:jc w:val="left"/>
        <w:rPr>
          <w:rFonts w:ascii="Times New Roman" w:hAnsi="Times New Roman"/>
          <w:i/>
        </w:rPr>
      </w:pPr>
    </w:p>
    <w:p w14:paraId="5A9FEBA1" w14:textId="77777777" w:rsidR="00171C59" w:rsidRPr="009E1B38" w:rsidRDefault="00171C59" w:rsidP="003C5E4D">
      <w:pPr>
        <w:pStyle w:val="ListeParagraf"/>
        <w:numPr>
          <w:ilvl w:val="0"/>
          <w:numId w:val="76"/>
        </w:numPr>
        <w:spacing w:line="259" w:lineRule="auto"/>
        <w:ind w:left="709" w:firstLine="0"/>
        <w:jc w:val="left"/>
        <w:rPr>
          <w:rFonts w:ascii="Times New Roman" w:hAnsi="Times New Roman"/>
          <w:i/>
        </w:rPr>
      </w:pPr>
      <w:r w:rsidRPr="009E1B38">
        <w:rPr>
          <w:rFonts w:ascii="Times New Roman" w:hAnsi="Times New Roman"/>
          <w:i/>
        </w:rPr>
        <w:t>The right holder legal entities to whom capacity allocation is made from the transmission voltage level within the scope of this article are obliged to pay the transmission costs calculated over the tariff of the region where the interconnection line established in the tariff tables approved by the Board is connected to the transformer station to the relevant System Operator during the capacity allocation period as of the provisional acceptance date of the line.</w:t>
      </w:r>
      <w:r w:rsidRPr="009E1B38">
        <w:rPr>
          <w:rFonts w:ascii="Times New Roman" w:hAnsi="Times New Roman"/>
        </w:rPr>
        <w:t xml:space="preserve"> </w:t>
      </w:r>
      <w:r w:rsidRPr="009E1B38">
        <w:rPr>
          <w:rFonts w:ascii="Times New Roman" w:hAnsi="Times New Roman"/>
          <w:i/>
        </w:rPr>
        <w:t>The right holder legal entities to whom capacity is allocated from the distribution voltage level are obliged to pay the distribution fee calculated over the single term tariff of the commercial subscriber group for the consumers receiving energy from the private supplier from the medium voltage level in the tariff tables approved by the Board to the relevant System Operator during the capacity allocation period from the provisional acceptance date of the line.</w:t>
      </w:r>
      <w:r w:rsidRPr="009E1B38">
        <w:rPr>
          <w:rFonts w:ascii="Times New Roman" w:hAnsi="Times New Roman"/>
        </w:rPr>
        <w:t xml:space="preserve"> </w:t>
      </w:r>
      <w:r w:rsidRPr="009E1B38">
        <w:rPr>
          <w:rFonts w:ascii="Times New Roman" w:hAnsi="Times New Roman"/>
          <w:i/>
        </w:rPr>
        <w:t>In the event that the import or export activity carried out cannot be carried out as a result of a force majeure event meeting the conditions specified in Article 35 of the Electricity Market License Regulation published in the Official Gazette dated 2/11/2013 and numbered 28809, the right holder shall apply to the relevant System Operator.</w:t>
      </w:r>
      <w:r w:rsidRPr="009E1B38">
        <w:rPr>
          <w:rFonts w:ascii="Times New Roman" w:hAnsi="Times New Roman"/>
        </w:rPr>
        <w:t xml:space="preserve"> </w:t>
      </w:r>
      <w:r w:rsidRPr="009E1B38">
        <w:rPr>
          <w:rFonts w:ascii="Times New Roman" w:hAnsi="Times New Roman"/>
          <w:i/>
        </w:rPr>
        <w:t>If the reasons presented in the application are deemed appropriate by the relevant System Operator, the obligations of the right holder affected by the force majeure may be postponed or suspended to the extent that they are affected, and the transmission or distribution fees shall not be paid by the right holder until the effects of the force majeure are eliminated.</w:t>
      </w:r>
    </w:p>
    <w:p w14:paraId="441F5CED" w14:textId="77777777" w:rsidR="00171C59" w:rsidRPr="009E1B38" w:rsidRDefault="00171C59" w:rsidP="00171C59">
      <w:pPr>
        <w:pStyle w:val="ListeParagraf"/>
        <w:ind w:left="709"/>
        <w:jc w:val="left"/>
        <w:rPr>
          <w:rFonts w:ascii="Times New Roman" w:hAnsi="Times New Roman"/>
          <w:i/>
        </w:rPr>
      </w:pPr>
    </w:p>
    <w:p w14:paraId="023CB6FC" w14:textId="77777777" w:rsidR="00171C59" w:rsidRPr="009E1B38" w:rsidRDefault="00171C59" w:rsidP="003C5E4D">
      <w:pPr>
        <w:pStyle w:val="ListeParagraf"/>
        <w:numPr>
          <w:ilvl w:val="0"/>
          <w:numId w:val="76"/>
        </w:numPr>
        <w:spacing w:line="259" w:lineRule="auto"/>
        <w:ind w:left="709" w:firstLine="0"/>
        <w:jc w:val="left"/>
        <w:rPr>
          <w:rFonts w:ascii="Times New Roman" w:hAnsi="Times New Roman"/>
          <w:i/>
        </w:rPr>
      </w:pPr>
      <w:r w:rsidRPr="009E1B38">
        <w:rPr>
          <w:rFonts w:ascii="Times New Roman" w:hAnsi="Times New Roman"/>
          <w:i/>
        </w:rPr>
        <w:t>In the case of allocations made from the transmission voltage level, the Interconnection Use Agreement remains in force, provided that ten percent of the fixed transmission costs for the entire allocated capacity are paid, if the right holder notifies the System Operator that he will not use the entire allocated capacity for one year or more, except in the event that trade is not actually possible.</w:t>
      </w:r>
      <w:r w:rsidRPr="009E1B38">
        <w:rPr>
          <w:rFonts w:ascii="Times New Roman" w:hAnsi="Times New Roman"/>
        </w:rPr>
        <w:t xml:space="preserve"> </w:t>
      </w:r>
      <w:r w:rsidRPr="009E1B38">
        <w:rPr>
          <w:rFonts w:ascii="Times New Roman" w:hAnsi="Times New Roman"/>
          <w:i/>
        </w:rPr>
        <w:t>In this case, the remaining capacity allocation period of the right holder is not affected.</w:t>
      </w:r>
      <w:r w:rsidRPr="009E1B38">
        <w:rPr>
          <w:rFonts w:ascii="Times New Roman" w:hAnsi="Times New Roman"/>
        </w:rPr>
        <w:t xml:space="preserve"> </w:t>
      </w:r>
      <w:r w:rsidRPr="009E1B38">
        <w:rPr>
          <w:rFonts w:ascii="Times New Roman" w:hAnsi="Times New Roman"/>
          <w:i/>
        </w:rPr>
        <w:t>The application starts as of the invoice period following the application date of the right holder to the System Operator.</w:t>
      </w:r>
      <w:r w:rsidRPr="009E1B38">
        <w:rPr>
          <w:rFonts w:ascii="Times New Roman" w:hAnsi="Times New Roman"/>
        </w:rPr>
        <w:t xml:space="preserve"> </w:t>
      </w:r>
      <w:r w:rsidRPr="009E1B38">
        <w:rPr>
          <w:rFonts w:ascii="Times New Roman" w:hAnsi="Times New Roman"/>
          <w:i/>
        </w:rPr>
        <w:t>In this case, all or part of the line capacity allocated to the right holder may be allocated to other legal entities for the duration of the notification that the right holder will not use the capacity, without prejudice to the rights of the right holder to allocate the line capacity.</w:t>
      </w:r>
      <w:r w:rsidRPr="009E1B38">
        <w:rPr>
          <w:rFonts w:ascii="Times New Roman" w:hAnsi="Times New Roman"/>
        </w:rPr>
        <w:t xml:space="preserve"> </w:t>
      </w:r>
      <w:r w:rsidRPr="009E1B38">
        <w:rPr>
          <w:rFonts w:ascii="Times New Roman" w:hAnsi="Times New Roman"/>
          <w:i/>
        </w:rPr>
        <w:t>In the event that the right holder applies to the System Operator to use all or part of the capacity before the expiry of the period notified by the right holder, if the capacity subject to the request has not been allocated to another legal entity, the entire capacity shall be used by the System Operator if a part of the capacity subject to the request has been allocated to another legal entity.</w:t>
      </w:r>
      <w:r w:rsidRPr="009E1B38">
        <w:rPr>
          <w:rFonts w:ascii="Times New Roman" w:hAnsi="Times New Roman"/>
        </w:rPr>
        <w:t xml:space="preserve"> </w:t>
      </w:r>
      <w:r w:rsidRPr="009E1B38">
        <w:rPr>
          <w:rFonts w:ascii="Times New Roman" w:hAnsi="Times New Roman"/>
          <w:i/>
        </w:rPr>
        <w:t>If the entire capacity is allocated to another legal entity, this situation shall be notified to the right holder and the application shall be rejected.</w:t>
      </w:r>
      <w:r w:rsidRPr="009E1B38">
        <w:rPr>
          <w:rFonts w:ascii="Times New Roman" w:hAnsi="Times New Roman"/>
        </w:rPr>
        <w:t xml:space="preserve"> </w:t>
      </w:r>
      <w:r w:rsidRPr="009E1B38">
        <w:rPr>
          <w:rFonts w:ascii="Times New Roman" w:hAnsi="Times New Roman"/>
          <w:i/>
        </w:rPr>
        <w:t>The System Operator shall finalize the application of the right holder within 30 days at the latest.</w:t>
      </w:r>
      <w:r w:rsidRPr="009E1B38">
        <w:rPr>
          <w:rFonts w:ascii="Times New Roman" w:hAnsi="Times New Roman"/>
        </w:rPr>
        <w:t xml:space="preserve"> </w:t>
      </w:r>
      <w:r w:rsidRPr="009E1B38">
        <w:rPr>
          <w:rFonts w:ascii="Times New Roman" w:hAnsi="Times New Roman"/>
          <w:i/>
        </w:rPr>
        <w:t>In the event that all or part of the capacity is used by the right holder in less than one year, the right holder is obliged to pay the missing costs to be calculated over the entire capacity to the System Operator.</w:t>
      </w:r>
      <w:r w:rsidRPr="009E1B38">
        <w:rPr>
          <w:rFonts w:ascii="Times New Roman" w:hAnsi="Times New Roman"/>
        </w:rPr>
        <w:t xml:space="preserve"> </w:t>
      </w:r>
      <w:r w:rsidRPr="009E1B38">
        <w:rPr>
          <w:rFonts w:ascii="Times New Roman" w:hAnsi="Times New Roman"/>
          <w:i/>
        </w:rPr>
        <w:t>In the event that the entire capacity requested by the right holder cannot be used due to the fact that some part of the capacity has been used by other legal entities, the right holder is obliged to pay only the missing costs related to the part used. In the case of allocations made within the scope of synchronous parallel connections, the capacity not notified to the System Operator by the right holder within the notification period to be used may be allocated to other legal entities by the System Operator.</w:t>
      </w:r>
    </w:p>
    <w:p w14:paraId="6E448E94" w14:textId="77777777" w:rsidR="00171C59" w:rsidRPr="009E1B38" w:rsidRDefault="00171C59" w:rsidP="00171C59">
      <w:pPr>
        <w:pStyle w:val="ListeParagraf"/>
        <w:ind w:left="709"/>
        <w:jc w:val="left"/>
        <w:rPr>
          <w:rFonts w:ascii="Times New Roman" w:hAnsi="Times New Roman"/>
          <w:i/>
        </w:rPr>
      </w:pPr>
    </w:p>
    <w:p w14:paraId="571EA3FA" w14:textId="77777777" w:rsidR="00171C59" w:rsidRPr="009E1B38" w:rsidRDefault="00171C59" w:rsidP="003C5E4D">
      <w:pPr>
        <w:pStyle w:val="ListeParagraf"/>
        <w:numPr>
          <w:ilvl w:val="0"/>
          <w:numId w:val="76"/>
        </w:numPr>
        <w:spacing w:line="259" w:lineRule="auto"/>
        <w:ind w:left="709" w:firstLine="0"/>
        <w:jc w:val="left"/>
        <w:rPr>
          <w:rFonts w:ascii="Times New Roman" w:hAnsi="Times New Roman"/>
          <w:i/>
        </w:rPr>
      </w:pPr>
      <w:r w:rsidRPr="009E1B38">
        <w:rPr>
          <w:rFonts w:ascii="Times New Roman" w:hAnsi="Times New Roman"/>
          <w:i/>
        </w:rPr>
        <w:t xml:space="preserve">All rights and authorizations related to the ownership and operation of the new interconnection line to be constructed within the scope of this article from the date of provisional acceptance to the limit </w:t>
      </w:r>
      <w:r w:rsidRPr="009E1B38">
        <w:rPr>
          <w:rFonts w:ascii="Times New Roman" w:hAnsi="Times New Roman"/>
          <w:i/>
        </w:rPr>
        <w:lastRenderedPageBreak/>
        <w:t>belong to the System Operator and the right to use the capacity of the interconnection line belongs to the legal entity establishing the line during the capacity allocation period and the established interconnection line is recorded in the inventory of the System Operator with the provisional acceptance.</w:t>
      </w:r>
      <w:r w:rsidRPr="009E1B38">
        <w:rPr>
          <w:rFonts w:ascii="Times New Roman" w:hAnsi="Times New Roman"/>
        </w:rPr>
        <w:t xml:space="preserve"> </w:t>
      </w:r>
      <w:r w:rsidRPr="009E1B38">
        <w:rPr>
          <w:rFonts w:ascii="Times New Roman" w:hAnsi="Times New Roman"/>
          <w:i/>
        </w:rPr>
        <w:t>The capacity allocation right of the right holder expires at the end of the capacity allocation period and the line capacity can be allocated to other legal entities by the System Operator.</w:t>
      </w:r>
      <w:r w:rsidRPr="009E1B38">
        <w:rPr>
          <w:rFonts w:ascii="Times New Roman" w:hAnsi="Times New Roman"/>
        </w:rPr>
        <w:t xml:space="preserve"> </w:t>
      </w:r>
      <w:r w:rsidRPr="009E1B38">
        <w:rPr>
          <w:rFonts w:ascii="Times New Roman" w:hAnsi="Times New Roman"/>
          <w:i/>
        </w:rPr>
        <w:t>In the event that the license of the right holder is terminated or canceled within the capacity allocation period of the constructed line or the right of use is terminated for reasons not caused by the System Operator, the agreements between the right holder and the System Operator shall be terminated and the right holder shall lose the right of capacity use and other rights, if any, arising from these agreements.</w:t>
      </w:r>
      <w:r w:rsidRPr="009E1B38">
        <w:rPr>
          <w:rFonts w:ascii="Times New Roman" w:hAnsi="Times New Roman"/>
        </w:rPr>
        <w:t xml:space="preserve"> </w:t>
      </w:r>
      <w:r w:rsidRPr="009E1B38">
        <w:rPr>
          <w:rFonts w:ascii="Times New Roman" w:hAnsi="Times New Roman"/>
          <w:i/>
        </w:rPr>
        <w:t>In case of termination of the agreements, the payment obligations of the right holder before the termination of the agreements, if any, shall continue and the line capacity subject to the agreements may be allocated to other legal entities by the System Operator.</w:t>
      </w:r>
    </w:p>
    <w:p w14:paraId="4D858111" w14:textId="77777777" w:rsidR="00171C59" w:rsidRPr="009E1B38" w:rsidRDefault="00171C59" w:rsidP="00171C59">
      <w:pPr>
        <w:pStyle w:val="ListeParagraf"/>
        <w:ind w:left="709"/>
        <w:jc w:val="left"/>
        <w:rPr>
          <w:rFonts w:ascii="Times New Roman" w:hAnsi="Times New Roman"/>
          <w:i/>
        </w:rPr>
      </w:pPr>
    </w:p>
    <w:p w14:paraId="15B53B73" w14:textId="77777777" w:rsidR="00171C59" w:rsidRPr="009E1B38" w:rsidRDefault="00171C59" w:rsidP="003C5E4D">
      <w:pPr>
        <w:pStyle w:val="ListeParagraf"/>
        <w:numPr>
          <w:ilvl w:val="0"/>
          <w:numId w:val="76"/>
        </w:numPr>
        <w:spacing w:line="259" w:lineRule="auto"/>
        <w:ind w:left="709" w:firstLine="0"/>
        <w:jc w:val="left"/>
        <w:rPr>
          <w:rFonts w:ascii="Times New Roman" w:hAnsi="Times New Roman"/>
          <w:i/>
        </w:rPr>
      </w:pPr>
      <w:r w:rsidRPr="009E1B38">
        <w:rPr>
          <w:rFonts w:ascii="Times New Roman" w:hAnsi="Times New Roman"/>
          <w:i/>
        </w:rPr>
        <w:t>If the entire capacity of the new interconnection line to be established within the scope of this article is not allocated to the right holder, the remaining capacity may be allocated to other legal entities by the System Operator.</w:t>
      </w:r>
      <w:r w:rsidRPr="009E1B38">
        <w:rPr>
          <w:rFonts w:ascii="Times New Roman" w:hAnsi="Times New Roman"/>
        </w:rPr>
        <w:t xml:space="preserve"> </w:t>
      </w:r>
      <w:r w:rsidRPr="009E1B38">
        <w:rPr>
          <w:rFonts w:ascii="Times New Roman" w:hAnsi="Times New Roman"/>
          <w:i/>
        </w:rPr>
        <w:t>Regarding the interconnection lines established by legal entities, the relevant legal entity cannot claim rights for the available capacity arising as a result of the increase of NTC by the System Operator.</w:t>
      </w:r>
    </w:p>
    <w:p w14:paraId="64B66F2F" w14:textId="77777777" w:rsidR="00171C59" w:rsidRPr="009E1B38" w:rsidRDefault="00171C59" w:rsidP="00171C59">
      <w:pPr>
        <w:pStyle w:val="ListeParagraf"/>
        <w:ind w:left="709"/>
        <w:jc w:val="left"/>
        <w:rPr>
          <w:rFonts w:ascii="Times New Roman" w:hAnsi="Times New Roman"/>
          <w:i/>
        </w:rPr>
      </w:pPr>
    </w:p>
    <w:p w14:paraId="45D4580F" w14:textId="77777777" w:rsidR="00171C59" w:rsidRPr="009E1B38" w:rsidRDefault="00171C59" w:rsidP="003C5E4D">
      <w:pPr>
        <w:pStyle w:val="ListeParagraf"/>
        <w:numPr>
          <w:ilvl w:val="0"/>
          <w:numId w:val="76"/>
        </w:numPr>
        <w:spacing w:line="259" w:lineRule="auto"/>
        <w:ind w:left="709" w:firstLine="0"/>
        <w:jc w:val="left"/>
        <w:rPr>
          <w:rFonts w:ascii="Times New Roman" w:hAnsi="Times New Roman"/>
          <w:i/>
        </w:rPr>
      </w:pPr>
      <w:r w:rsidRPr="009E1B38">
        <w:rPr>
          <w:rFonts w:ascii="Times New Roman" w:hAnsi="Times New Roman"/>
          <w:i/>
        </w:rPr>
        <w:t>In line with the approval of the Ministry, the Board may allow generation license holders who want to export the electricity generated in the generation plant established in the border provinces via the special direct line to be established without establishing a connection to the transmission or distribution system.</w:t>
      </w:r>
    </w:p>
    <w:p w14:paraId="7E430632" w14:textId="77777777" w:rsidR="00171C59" w:rsidRPr="009E1B38" w:rsidRDefault="00171C59" w:rsidP="00171C59">
      <w:pPr>
        <w:pStyle w:val="ListeParagraf"/>
        <w:ind w:left="709"/>
        <w:jc w:val="left"/>
        <w:rPr>
          <w:rFonts w:ascii="Times New Roman" w:hAnsi="Times New Roman"/>
          <w:i/>
        </w:rPr>
      </w:pPr>
    </w:p>
    <w:p w14:paraId="6C51A8B1" w14:textId="661DEB2A" w:rsidR="00171C59" w:rsidRPr="009E1B38" w:rsidRDefault="00171C59" w:rsidP="003C5E4D">
      <w:pPr>
        <w:pStyle w:val="ListeParagraf"/>
        <w:numPr>
          <w:ilvl w:val="0"/>
          <w:numId w:val="76"/>
        </w:numPr>
        <w:spacing w:line="259" w:lineRule="auto"/>
        <w:ind w:left="709" w:firstLine="0"/>
        <w:jc w:val="left"/>
        <w:rPr>
          <w:rFonts w:ascii="Times New Roman" w:hAnsi="Times New Roman"/>
          <w:i/>
        </w:rPr>
      </w:pPr>
      <w:r w:rsidRPr="009E1B38">
        <w:rPr>
          <w:rFonts w:ascii="Times New Roman" w:hAnsi="Times New Roman"/>
          <w:i/>
        </w:rPr>
        <w:t>ENTSO-E must be informed by TEİAŞ and its approval must be obtained in the use of the relevant interconnection lines if necessary before the construction of new interconnection facilities and/or transmission or distribution facilities that will increase the existing NTC for synchronous non-parallel connections. "</w:t>
      </w:r>
    </w:p>
    <w:p w14:paraId="13C18A4F" w14:textId="77777777" w:rsidR="00171C59" w:rsidRPr="009E1B38" w:rsidRDefault="00171C59" w:rsidP="00171C59">
      <w:pPr>
        <w:pStyle w:val="ListeParagraf"/>
        <w:ind w:left="709"/>
        <w:jc w:val="left"/>
        <w:rPr>
          <w:rFonts w:ascii="Times New Roman" w:hAnsi="Times New Roman"/>
          <w:i/>
        </w:rPr>
      </w:pPr>
    </w:p>
    <w:p w14:paraId="02E3C3DB"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Article 23 titled</w:t>
      </w:r>
      <w:r w:rsidRPr="009E1B38">
        <w:rPr>
          <w:rFonts w:ascii="Times New Roman" w:hAnsi="Times New Roman"/>
          <w:i/>
        </w:rPr>
        <w:t xml:space="preserve"> "Import of electrical energy with export registration" </w:t>
      </w:r>
      <w:r w:rsidRPr="009E1B38">
        <w:rPr>
          <w:rFonts w:ascii="Times New Roman" w:hAnsi="Times New Roman"/>
        </w:rPr>
        <w:t>has been amended as follows.</w:t>
      </w:r>
    </w:p>
    <w:p w14:paraId="76DD6326" w14:textId="77777777" w:rsidR="00171C59" w:rsidRPr="009E1B38" w:rsidRDefault="00171C59" w:rsidP="00171C59">
      <w:pPr>
        <w:ind w:left="709"/>
        <w:jc w:val="left"/>
        <w:rPr>
          <w:rFonts w:ascii="Times New Roman" w:hAnsi="Times New Roman"/>
        </w:rPr>
      </w:pPr>
    </w:p>
    <w:p w14:paraId="2631AAA9" w14:textId="24D3A4C4" w:rsidR="00171C59" w:rsidRPr="009E1B38" w:rsidRDefault="00171C59" w:rsidP="00171C59">
      <w:pPr>
        <w:ind w:left="709"/>
        <w:jc w:val="left"/>
        <w:rPr>
          <w:rFonts w:ascii="Times New Roman" w:hAnsi="Times New Roman"/>
          <w:b/>
          <w:i/>
        </w:rPr>
      </w:pPr>
      <w:r w:rsidRPr="009E1B38">
        <w:rPr>
          <w:rFonts w:ascii="Times New Roman" w:hAnsi="Times New Roman"/>
          <w:b/>
          <w:i/>
        </w:rPr>
        <w:t>ARTICLE 23</w:t>
      </w:r>
    </w:p>
    <w:p w14:paraId="5A6CD78E" w14:textId="77777777" w:rsidR="00171C59" w:rsidRPr="009E1B38" w:rsidRDefault="00171C59" w:rsidP="003C5E4D">
      <w:pPr>
        <w:pStyle w:val="ListeParagraf"/>
        <w:numPr>
          <w:ilvl w:val="0"/>
          <w:numId w:val="77"/>
        </w:numPr>
        <w:spacing w:line="259" w:lineRule="auto"/>
        <w:ind w:left="709" w:firstLine="0"/>
        <w:jc w:val="left"/>
        <w:rPr>
          <w:rFonts w:ascii="Times New Roman" w:hAnsi="Times New Roman"/>
          <w:i/>
        </w:rPr>
      </w:pPr>
      <w:r w:rsidRPr="009E1B38">
        <w:rPr>
          <w:rFonts w:ascii="Times New Roman" w:hAnsi="Times New Roman"/>
          <w:i/>
        </w:rPr>
        <w:t>Until a synchronous parallel connection is established, the Board may allow the importation of electrical energy with export registration within the framework of the opinions of the Ministry and System Operator.</w:t>
      </w:r>
      <w:r w:rsidRPr="009E1B38">
        <w:rPr>
          <w:rFonts w:ascii="Times New Roman" w:hAnsi="Times New Roman"/>
        </w:rPr>
        <w:t xml:space="preserve"> </w:t>
      </w:r>
      <w:r w:rsidRPr="009E1B38">
        <w:rPr>
          <w:rFonts w:ascii="Times New Roman" w:hAnsi="Times New Roman"/>
          <w:i/>
        </w:rPr>
        <w:t>Import of electrical energy with export registration can be possible as a result of the relevant legal entity deserving to allocate this activity separately from all the interconnection lines.</w:t>
      </w:r>
      <w:r w:rsidRPr="009E1B38">
        <w:rPr>
          <w:rFonts w:ascii="Times New Roman" w:hAnsi="Times New Roman"/>
        </w:rPr>
        <w:t xml:space="preserve"> </w:t>
      </w:r>
      <w:r w:rsidRPr="009E1B38">
        <w:rPr>
          <w:rFonts w:ascii="Times New Roman" w:hAnsi="Times New Roman"/>
          <w:i/>
        </w:rPr>
        <w:t>Import and export activities within this scope are subject to financial settlement procedures on the basis of settlement periods. "</w:t>
      </w:r>
    </w:p>
    <w:p w14:paraId="1C964B57" w14:textId="77777777" w:rsidR="00171C59" w:rsidRPr="009E1B38" w:rsidRDefault="00171C59" w:rsidP="00171C59">
      <w:pPr>
        <w:pStyle w:val="ListeParagraf"/>
        <w:ind w:left="709"/>
        <w:jc w:val="left"/>
        <w:rPr>
          <w:rFonts w:ascii="Times New Roman" w:hAnsi="Times New Roman"/>
          <w:i/>
        </w:rPr>
      </w:pPr>
    </w:p>
    <w:p w14:paraId="4CD4F988"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It has been amended as follows with the title of provisional article 2.</w:t>
      </w:r>
    </w:p>
    <w:p w14:paraId="2175C7B3" w14:textId="77777777" w:rsidR="00171C59" w:rsidRPr="009E1B38" w:rsidRDefault="00171C59" w:rsidP="00171C59">
      <w:pPr>
        <w:pStyle w:val="ListeParagraf"/>
        <w:ind w:left="709"/>
        <w:jc w:val="left"/>
        <w:rPr>
          <w:rFonts w:ascii="Times New Roman" w:hAnsi="Times New Roman"/>
        </w:rPr>
      </w:pPr>
    </w:p>
    <w:p w14:paraId="3E7AEA14" w14:textId="77777777" w:rsidR="00171C59" w:rsidRPr="009E1B38" w:rsidRDefault="00171C59" w:rsidP="00171C59">
      <w:pPr>
        <w:pStyle w:val="ListeParagraf"/>
        <w:ind w:left="709"/>
        <w:jc w:val="left"/>
        <w:rPr>
          <w:rFonts w:ascii="Times New Roman" w:hAnsi="Times New Roman"/>
          <w:b/>
        </w:rPr>
      </w:pPr>
      <w:r w:rsidRPr="009E1B38">
        <w:rPr>
          <w:rFonts w:ascii="Times New Roman" w:hAnsi="Times New Roman"/>
          <w:b/>
        </w:rPr>
        <w:t>“Participate in tenders for capacity allocations announced by the system operator for synchronous parallel connections</w:t>
      </w:r>
    </w:p>
    <w:p w14:paraId="0C72E91F" w14:textId="77777777" w:rsidR="00171C59" w:rsidRPr="009E1B38" w:rsidRDefault="00171C59" w:rsidP="00171C59">
      <w:pPr>
        <w:pStyle w:val="ListeParagraf"/>
        <w:ind w:left="709"/>
        <w:jc w:val="left"/>
        <w:rPr>
          <w:rFonts w:ascii="Times New Roman" w:hAnsi="Times New Roman"/>
          <w:i/>
        </w:rPr>
      </w:pPr>
    </w:p>
    <w:p w14:paraId="2F65F44C"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2</w:t>
      </w:r>
    </w:p>
    <w:p w14:paraId="7559DDA0" w14:textId="77777777" w:rsidR="00171C59" w:rsidRPr="009E1B38" w:rsidRDefault="00171C59" w:rsidP="00171C59">
      <w:pPr>
        <w:pStyle w:val="ListeParagraf"/>
        <w:ind w:left="709"/>
        <w:jc w:val="left"/>
        <w:rPr>
          <w:rFonts w:ascii="Times New Roman" w:hAnsi="Times New Roman"/>
          <w:b/>
          <w:i/>
        </w:rPr>
      </w:pPr>
    </w:p>
    <w:p w14:paraId="1398310C" w14:textId="77777777" w:rsidR="00171C59" w:rsidRPr="009E1B38" w:rsidRDefault="00171C59" w:rsidP="003C5E4D">
      <w:pPr>
        <w:pStyle w:val="ListeParagraf"/>
        <w:numPr>
          <w:ilvl w:val="0"/>
          <w:numId w:val="78"/>
        </w:numPr>
        <w:spacing w:after="160" w:line="259" w:lineRule="auto"/>
        <w:ind w:left="709" w:firstLine="0"/>
        <w:jc w:val="left"/>
        <w:rPr>
          <w:rFonts w:ascii="Times New Roman" w:hAnsi="Times New Roman"/>
          <w:i/>
        </w:rPr>
      </w:pPr>
      <w:r w:rsidRPr="009E1B38">
        <w:rPr>
          <w:rFonts w:ascii="Times New Roman" w:hAnsi="Times New Roman"/>
          <w:i/>
        </w:rPr>
        <w:t xml:space="preserve">The provision that they may participate in the tenders related to the capacity allocations announced by the System Operator for synchronous parallel connections to the supply and generation </w:t>
      </w:r>
      <w:r w:rsidRPr="009E1B38">
        <w:rPr>
          <w:rFonts w:ascii="Times New Roman" w:hAnsi="Times New Roman"/>
          <w:i/>
        </w:rPr>
        <w:lastRenderedPageBreak/>
        <w:t>licenses in force as of the date of publication of this article and that they may import and/or export electrical energy during the amount and period gained if they are entitled to line capacity allocation.</w:t>
      </w:r>
      <w:r w:rsidRPr="009E1B38">
        <w:rPr>
          <w:rFonts w:ascii="Times New Roman" w:hAnsi="Times New Roman"/>
        </w:rPr>
        <w:t xml:space="preserve"> </w:t>
      </w:r>
      <w:r w:rsidRPr="009E1B38">
        <w:rPr>
          <w:rFonts w:ascii="Times New Roman" w:hAnsi="Times New Roman"/>
          <w:i/>
        </w:rPr>
        <w:t>License modifications related to the subject are carried out by the Authority without any license modification fee without the need for the applications of the license holder legal entities.</w:t>
      </w:r>
    </w:p>
    <w:p w14:paraId="509E5ED1" w14:textId="77777777" w:rsidR="00171C59" w:rsidRPr="009E1B38" w:rsidRDefault="00171C59" w:rsidP="00171C59">
      <w:pPr>
        <w:pStyle w:val="ListeParagraf"/>
        <w:ind w:left="709"/>
        <w:jc w:val="left"/>
        <w:rPr>
          <w:rFonts w:ascii="Times New Roman" w:hAnsi="Times New Roman"/>
          <w:i/>
        </w:rPr>
      </w:pPr>
    </w:p>
    <w:p w14:paraId="66A86060" w14:textId="77777777" w:rsidR="00171C59" w:rsidRPr="009E1B38" w:rsidRDefault="00171C59" w:rsidP="003C5E4D">
      <w:pPr>
        <w:pStyle w:val="ListeParagraf"/>
        <w:numPr>
          <w:ilvl w:val="0"/>
          <w:numId w:val="78"/>
        </w:numPr>
        <w:spacing w:after="160" w:line="259" w:lineRule="auto"/>
        <w:ind w:left="709" w:firstLine="0"/>
        <w:jc w:val="left"/>
        <w:rPr>
          <w:rFonts w:ascii="Times New Roman" w:hAnsi="Times New Roman"/>
          <w:i/>
        </w:rPr>
      </w:pPr>
      <w:r w:rsidRPr="009E1B38">
        <w:rPr>
          <w:rFonts w:ascii="Times New Roman" w:hAnsi="Times New Roman"/>
          <w:i/>
        </w:rPr>
        <w:t>Licensee legal entities within the scope of the first paragraph shall have the right to participate in the tenders regarding the capacity allocations announced by the System Operator until their licenses are duly issued and to import and/or export electricity energy as much as the amount and period gained in case of entitlement to line capacity allocation. "</w:t>
      </w:r>
    </w:p>
    <w:p w14:paraId="648624A8" w14:textId="77777777" w:rsidR="00171C59" w:rsidRPr="009E1B38" w:rsidRDefault="00171C59" w:rsidP="00171C59">
      <w:pPr>
        <w:pStyle w:val="ListeParagraf"/>
        <w:ind w:left="709"/>
        <w:jc w:val="left"/>
        <w:rPr>
          <w:rFonts w:ascii="Times New Roman" w:hAnsi="Times New Roman"/>
          <w:i/>
        </w:rPr>
      </w:pPr>
    </w:p>
    <w:p w14:paraId="09391C73"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Temporary Article 3 has been amended with the title as follows.</w:t>
      </w:r>
    </w:p>
    <w:p w14:paraId="6F050BF7" w14:textId="77777777" w:rsidR="00171C59" w:rsidRPr="009E1B38" w:rsidRDefault="00171C59" w:rsidP="00171C59">
      <w:pPr>
        <w:pStyle w:val="ListeParagraf"/>
        <w:ind w:left="709"/>
        <w:jc w:val="left"/>
        <w:rPr>
          <w:rFonts w:ascii="Times New Roman" w:hAnsi="Times New Roman"/>
        </w:rPr>
      </w:pPr>
    </w:p>
    <w:p w14:paraId="2FA8F8AB" w14:textId="77777777" w:rsidR="00171C59" w:rsidRPr="009E1B38" w:rsidRDefault="00171C59" w:rsidP="00171C59">
      <w:pPr>
        <w:pStyle w:val="ListeParagraf"/>
        <w:ind w:left="709"/>
        <w:jc w:val="left"/>
        <w:rPr>
          <w:rFonts w:ascii="Times New Roman" w:hAnsi="Times New Roman"/>
          <w:b/>
        </w:rPr>
      </w:pPr>
      <w:r w:rsidRPr="009E1B38">
        <w:rPr>
          <w:rFonts w:ascii="Times New Roman" w:hAnsi="Times New Roman"/>
          <w:b/>
        </w:rPr>
        <w:t>"Procedures and principles regarding capacity allocation and secondary physical transmission right market</w:t>
      </w:r>
    </w:p>
    <w:p w14:paraId="00588E5E" w14:textId="77777777" w:rsidR="00171C59" w:rsidRPr="009E1B38" w:rsidRDefault="00171C59" w:rsidP="00171C59">
      <w:pPr>
        <w:pStyle w:val="ListeParagraf"/>
        <w:ind w:left="709"/>
        <w:jc w:val="left"/>
        <w:rPr>
          <w:rFonts w:ascii="Times New Roman" w:hAnsi="Times New Roman"/>
          <w:b/>
        </w:rPr>
      </w:pPr>
    </w:p>
    <w:p w14:paraId="605A623F"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3</w:t>
      </w:r>
    </w:p>
    <w:p w14:paraId="0677EA47" w14:textId="77777777" w:rsidR="00171C59" w:rsidRPr="009E1B38" w:rsidRDefault="00171C59" w:rsidP="00171C59">
      <w:pPr>
        <w:pStyle w:val="ListeParagraf"/>
        <w:ind w:left="709"/>
        <w:jc w:val="left"/>
        <w:rPr>
          <w:rFonts w:ascii="Times New Roman" w:hAnsi="Times New Roman"/>
          <w:b/>
          <w:i/>
        </w:rPr>
      </w:pPr>
    </w:p>
    <w:p w14:paraId="41634A0F" w14:textId="77777777" w:rsidR="00171C59" w:rsidRPr="009E1B38" w:rsidRDefault="00171C59" w:rsidP="003C5E4D">
      <w:pPr>
        <w:pStyle w:val="ListeParagraf"/>
        <w:numPr>
          <w:ilvl w:val="0"/>
          <w:numId w:val="79"/>
        </w:numPr>
        <w:spacing w:after="160" w:line="259" w:lineRule="auto"/>
        <w:ind w:left="709" w:firstLine="0"/>
        <w:jc w:val="left"/>
        <w:rPr>
          <w:rFonts w:ascii="Times New Roman" w:hAnsi="Times New Roman"/>
          <w:i/>
        </w:rPr>
      </w:pPr>
      <w:r w:rsidRPr="009E1B38">
        <w:rPr>
          <w:rFonts w:ascii="Times New Roman" w:hAnsi="Times New Roman"/>
          <w:i/>
        </w:rPr>
        <w:t>Procedures and Principles Regarding Capacity Allocation for Synchronous Parallel Connections prepared by TEİAŞ, Procedures and Principles Regarding Secondary Physical Transmission Right Market, Procedures and Principles Regarding Capacity Allocation for Synchronous Non-parallel Connections shall be sent to the Authority for approval within 1 month from the date of publication of this article. "</w:t>
      </w:r>
    </w:p>
    <w:p w14:paraId="191CF7FE" w14:textId="77777777" w:rsidR="00171C59" w:rsidRPr="009E1B38" w:rsidRDefault="00171C59" w:rsidP="00171C59">
      <w:pPr>
        <w:pStyle w:val="ListeParagraf"/>
        <w:ind w:left="709"/>
        <w:jc w:val="left"/>
        <w:rPr>
          <w:rFonts w:ascii="Times New Roman" w:hAnsi="Times New Roman"/>
          <w:i/>
        </w:rPr>
      </w:pPr>
    </w:p>
    <w:p w14:paraId="07629D40"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The following provisional articles have been added to the same Regulation.</w:t>
      </w:r>
    </w:p>
    <w:p w14:paraId="6D3748C9" w14:textId="77777777" w:rsidR="00171C59" w:rsidRPr="009E1B38" w:rsidRDefault="00171C59" w:rsidP="00171C59">
      <w:pPr>
        <w:pStyle w:val="ListeParagraf"/>
        <w:ind w:left="709"/>
        <w:jc w:val="left"/>
        <w:rPr>
          <w:rFonts w:ascii="Times New Roman" w:hAnsi="Times New Roman"/>
        </w:rPr>
      </w:pPr>
    </w:p>
    <w:p w14:paraId="7CF02B1F" w14:textId="77777777" w:rsidR="00171C59" w:rsidRPr="009E1B38" w:rsidRDefault="00171C59" w:rsidP="00171C59">
      <w:pPr>
        <w:pStyle w:val="ListeParagraf"/>
        <w:ind w:left="709"/>
        <w:jc w:val="left"/>
        <w:rPr>
          <w:rFonts w:ascii="Times New Roman" w:hAnsi="Times New Roman"/>
          <w:b/>
        </w:rPr>
      </w:pPr>
      <w:r w:rsidRPr="009E1B38">
        <w:rPr>
          <w:rFonts w:ascii="Times New Roman" w:hAnsi="Times New Roman"/>
          <w:b/>
        </w:rPr>
        <w:t>"Interconnection usage agreement to be used in synchronous non-parallel connections</w:t>
      </w:r>
    </w:p>
    <w:p w14:paraId="24B337E1" w14:textId="77777777" w:rsidR="00171C59" w:rsidRPr="009E1B38" w:rsidRDefault="00171C59" w:rsidP="00171C59">
      <w:pPr>
        <w:pStyle w:val="ListeParagraf"/>
        <w:ind w:left="709"/>
        <w:jc w:val="left"/>
        <w:rPr>
          <w:rFonts w:ascii="Times New Roman" w:hAnsi="Times New Roman"/>
          <w:b/>
        </w:rPr>
      </w:pPr>
    </w:p>
    <w:p w14:paraId="0A7370B5"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6</w:t>
      </w:r>
    </w:p>
    <w:p w14:paraId="09B78B8D" w14:textId="77777777" w:rsidR="00171C59" w:rsidRPr="009E1B38" w:rsidRDefault="00171C59" w:rsidP="00171C59">
      <w:pPr>
        <w:pStyle w:val="ListeParagraf"/>
        <w:ind w:left="709"/>
        <w:jc w:val="left"/>
        <w:rPr>
          <w:rFonts w:ascii="Times New Roman" w:hAnsi="Times New Roman"/>
          <w:b/>
          <w:i/>
        </w:rPr>
      </w:pPr>
    </w:p>
    <w:p w14:paraId="617151C0" w14:textId="77777777" w:rsidR="00171C59" w:rsidRPr="009E1B38" w:rsidRDefault="00171C59" w:rsidP="003C5E4D">
      <w:pPr>
        <w:pStyle w:val="ListeParagraf"/>
        <w:numPr>
          <w:ilvl w:val="0"/>
          <w:numId w:val="80"/>
        </w:numPr>
        <w:spacing w:after="160" w:line="259" w:lineRule="auto"/>
        <w:ind w:left="709" w:firstLine="0"/>
        <w:jc w:val="left"/>
        <w:rPr>
          <w:rFonts w:ascii="Times New Roman" w:hAnsi="Times New Roman"/>
          <w:i/>
        </w:rPr>
      </w:pPr>
      <w:r w:rsidRPr="009E1B38">
        <w:rPr>
          <w:rFonts w:ascii="Times New Roman" w:hAnsi="Times New Roman"/>
          <w:i/>
        </w:rPr>
        <w:t>The Interconnection Use Agreement to be used in synchronous non-parallel connections in accordance with the first paragraph of Article 12 of this Regulation shall be approved by the Board within three months from the date of publication of this article. Within fifteen days from the date of notification of the Interconnection Use Agreement approved by the Board to the System Operators, the System Operators shall notify the legal entities to which they have signed the Interconnection Use Agreement to sign the new agreement.</w:t>
      </w:r>
      <w:r w:rsidRPr="009E1B38">
        <w:rPr>
          <w:rFonts w:ascii="Times New Roman" w:hAnsi="Times New Roman"/>
        </w:rPr>
        <w:t xml:space="preserve"> </w:t>
      </w:r>
      <w:r w:rsidRPr="009E1B38">
        <w:rPr>
          <w:rFonts w:ascii="Times New Roman" w:hAnsi="Times New Roman"/>
          <w:i/>
        </w:rPr>
        <w:t>The existing agreements of legal entities who do not sign the Interconnection Use Agreement approved by the Board within one month following the notification date of the notification shall be terminated and notified to the Authority.</w:t>
      </w:r>
      <w:r w:rsidRPr="009E1B38">
        <w:rPr>
          <w:rFonts w:ascii="Times New Roman" w:hAnsi="Times New Roman"/>
        </w:rPr>
        <w:t xml:space="preserve"> </w:t>
      </w:r>
      <w:r w:rsidRPr="009E1B38">
        <w:rPr>
          <w:rFonts w:ascii="Times New Roman" w:hAnsi="Times New Roman"/>
          <w:i/>
        </w:rPr>
        <w:t>Interconnection Use Agreements prepared by System Operators shall be used until Board Approved Interconnection Use Agreement is signed between System Operators and right holder legal entities.</w:t>
      </w:r>
    </w:p>
    <w:p w14:paraId="535A0F10" w14:textId="77777777" w:rsidR="00171C59" w:rsidRPr="009E1B38" w:rsidRDefault="00171C59" w:rsidP="00171C59">
      <w:pPr>
        <w:pStyle w:val="ListeParagraf"/>
        <w:ind w:left="709"/>
        <w:jc w:val="left"/>
        <w:rPr>
          <w:rFonts w:ascii="Times New Roman" w:hAnsi="Times New Roman"/>
          <w:i/>
        </w:rPr>
      </w:pPr>
    </w:p>
    <w:p w14:paraId="4100AA43"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Procedures and Principles for Capacity Allocation in case of Establishment of New Interconnection Lines by Legal Entities</w:t>
      </w:r>
    </w:p>
    <w:p w14:paraId="519090D3" w14:textId="77777777" w:rsidR="00171C59" w:rsidRPr="009E1B38" w:rsidRDefault="00171C59" w:rsidP="00171C59">
      <w:pPr>
        <w:pStyle w:val="ListeParagraf"/>
        <w:ind w:left="709"/>
        <w:jc w:val="left"/>
        <w:rPr>
          <w:rFonts w:ascii="Times New Roman" w:hAnsi="Times New Roman"/>
          <w:b/>
          <w:i/>
        </w:rPr>
      </w:pPr>
    </w:p>
    <w:p w14:paraId="3210C93E"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7</w:t>
      </w:r>
    </w:p>
    <w:p w14:paraId="49051A27" w14:textId="77777777" w:rsidR="00171C59" w:rsidRPr="009E1B38" w:rsidRDefault="00171C59" w:rsidP="00171C59">
      <w:pPr>
        <w:pStyle w:val="ListeParagraf"/>
        <w:ind w:left="709"/>
        <w:jc w:val="left"/>
        <w:rPr>
          <w:rFonts w:ascii="Times New Roman" w:hAnsi="Times New Roman"/>
          <w:b/>
          <w:i/>
        </w:rPr>
      </w:pPr>
    </w:p>
    <w:p w14:paraId="63C920B5" w14:textId="77777777" w:rsidR="00171C59" w:rsidRPr="009E1B38" w:rsidRDefault="00171C59" w:rsidP="003C5E4D">
      <w:pPr>
        <w:pStyle w:val="ListeParagraf"/>
        <w:numPr>
          <w:ilvl w:val="0"/>
          <w:numId w:val="81"/>
        </w:numPr>
        <w:spacing w:after="160" w:line="259" w:lineRule="auto"/>
        <w:ind w:left="709" w:firstLine="0"/>
        <w:jc w:val="left"/>
        <w:rPr>
          <w:rFonts w:ascii="Times New Roman" w:hAnsi="Times New Roman"/>
          <w:i/>
        </w:rPr>
      </w:pPr>
      <w:r w:rsidRPr="009E1B38">
        <w:rPr>
          <w:rFonts w:ascii="Times New Roman" w:hAnsi="Times New Roman"/>
          <w:i/>
        </w:rPr>
        <w:t>The Procedures and Principles Regarding Capacity Allocation in case of Establishment of New Interconnection Lines by Legal Entities to be prepared in accordance with the fourth paragraph of Article 17 of this Regulation shall be approved by the Board within three months as of the date of publication of this article. "</w:t>
      </w:r>
    </w:p>
    <w:p w14:paraId="35F8B817" w14:textId="77777777" w:rsidR="00171C59" w:rsidRPr="009E1B38" w:rsidRDefault="00171C59" w:rsidP="003C5E4D">
      <w:pPr>
        <w:pStyle w:val="ListeParagraf"/>
        <w:numPr>
          <w:ilvl w:val="0"/>
          <w:numId w:val="82"/>
        </w:numPr>
        <w:spacing w:after="160" w:line="259" w:lineRule="auto"/>
        <w:ind w:left="709" w:firstLine="0"/>
        <w:jc w:val="left"/>
        <w:rPr>
          <w:rFonts w:ascii="Times New Roman" w:hAnsi="Times New Roman"/>
          <w:i/>
        </w:rPr>
      </w:pPr>
      <w:r w:rsidRPr="009E1B38">
        <w:rPr>
          <w:rFonts w:ascii="Times New Roman" w:hAnsi="Times New Roman"/>
        </w:rPr>
        <w:lastRenderedPageBreak/>
        <w:t>The Amendment Regulation published in the Official Gazette dated 09.05.2021 and numbered 31479 and</w:t>
      </w:r>
      <w:r w:rsidRPr="009E1B38">
        <w:rPr>
          <w:rFonts w:ascii="Times New Roman" w:hAnsi="Times New Roman"/>
          <w:i/>
        </w:rPr>
        <w:t xml:space="preserve"> </w:t>
      </w:r>
      <w:r w:rsidRPr="009E1B38">
        <w:rPr>
          <w:rFonts w:ascii="Times New Roman" w:hAnsi="Times New Roman"/>
          <w:b/>
        </w:rPr>
        <w:t>the Electricity Market Connection and System Usage Regulation</w:t>
      </w:r>
    </w:p>
    <w:p w14:paraId="21BB1942" w14:textId="77777777" w:rsidR="00171C59" w:rsidRPr="009E1B38" w:rsidRDefault="00171C59" w:rsidP="00171C59">
      <w:pPr>
        <w:pStyle w:val="ListeParagraf"/>
        <w:ind w:left="709"/>
        <w:jc w:val="left"/>
        <w:rPr>
          <w:rFonts w:ascii="Times New Roman" w:hAnsi="Times New Roman"/>
          <w:b/>
        </w:rPr>
      </w:pPr>
    </w:p>
    <w:p w14:paraId="21C4B6B8" w14:textId="77777777" w:rsidR="00171C59" w:rsidRPr="009E1B38" w:rsidRDefault="00171C59" w:rsidP="003C5E4D">
      <w:pPr>
        <w:pStyle w:val="ListeParagraf"/>
        <w:numPr>
          <w:ilvl w:val="0"/>
          <w:numId w:val="83"/>
        </w:numPr>
        <w:spacing w:after="160" w:line="259" w:lineRule="auto"/>
        <w:ind w:left="709" w:firstLine="0"/>
        <w:jc w:val="left"/>
        <w:rPr>
          <w:rFonts w:ascii="Times New Roman" w:hAnsi="Times New Roman"/>
          <w:i/>
        </w:rPr>
      </w:pPr>
      <w:r w:rsidRPr="009E1B38">
        <w:rPr>
          <w:rFonts w:ascii="Times New Roman" w:hAnsi="Times New Roman"/>
        </w:rPr>
        <w:t>The second paragraph of Article 1 titled</w:t>
      </w:r>
      <w:r w:rsidRPr="009E1B38">
        <w:rPr>
          <w:rFonts w:ascii="Times New Roman" w:hAnsi="Times New Roman"/>
          <w:i/>
        </w:rPr>
        <w:t xml:space="preserve"> "Purpose and scope" </w:t>
      </w:r>
      <w:r w:rsidRPr="009E1B38">
        <w:rPr>
          <w:rFonts w:ascii="Times New Roman" w:hAnsi="Times New Roman"/>
        </w:rPr>
        <w:t>has been amended as follows.</w:t>
      </w:r>
    </w:p>
    <w:p w14:paraId="12A27E19" w14:textId="77777777" w:rsidR="00171C59" w:rsidRPr="009E1B38" w:rsidRDefault="00171C59" w:rsidP="00171C59">
      <w:pPr>
        <w:ind w:left="709"/>
        <w:jc w:val="left"/>
        <w:rPr>
          <w:rFonts w:ascii="Times New Roman" w:hAnsi="Times New Roman"/>
          <w:i/>
        </w:rPr>
      </w:pPr>
      <w:r w:rsidRPr="009E1B38">
        <w:rPr>
          <w:rFonts w:ascii="Times New Roman" w:hAnsi="Times New Roman"/>
          <w:i/>
        </w:rPr>
        <w:t>(2)The connection of OIZ participants to the system and the use of the system within the scope of the provisions of the Regulation on Electricity Market Activities of Organized Industrial Zones published in the Official Gazette dated 14/3/2014 and numbered 28941 are outside the scope of this Regulation."</w:t>
      </w:r>
    </w:p>
    <w:p w14:paraId="7ECC42F8" w14:textId="77777777" w:rsidR="00171C59" w:rsidRPr="009E1B38" w:rsidRDefault="00171C59" w:rsidP="003C5E4D">
      <w:pPr>
        <w:pStyle w:val="ListeParagraf"/>
        <w:numPr>
          <w:ilvl w:val="0"/>
          <w:numId w:val="83"/>
        </w:numPr>
        <w:spacing w:after="160" w:line="259" w:lineRule="auto"/>
        <w:ind w:left="709" w:firstLine="0"/>
        <w:jc w:val="left"/>
        <w:rPr>
          <w:rFonts w:ascii="Times New Roman" w:hAnsi="Times New Roman"/>
          <w:i/>
        </w:rPr>
      </w:pPr>
      <w:r w:rsidRPr="009E1B38">
        <w:rPr>
          <w:rFonts w:ascii="Times New Roman" w:hAnsi="Times New Roman"/>
        </w:rPr>
        <w:t xml:space="preserve">The clauses (b), (o)and (y) of the first paragraph of Article 3 titled </w:t>
      </w:r>
      <w:r w:rsidRPr="009E1B38">
        <w:rPr>
          <w:rFonts w:ascii="Times New Roman" w:hAnsi="Times New Roman"/>
          <w:i/>
        </w:rPr>
        <w:t xml:space="preserve">"Definitions and abbreviations" </w:t>
      </w:r>
      <w:r w:rsidRPr="009E1B38">
        <w:rPr>
          <w:rFonts w:ascii="Times New Roman" w:hAnsi="Times New Roman"/>
        </w:rPr>
        <w:t>have been amended as follows,</w:t>
      </w:r>
      <w:r w:rsidRPr="009E1B38">
        <w:rPr>
          <w:rFonts w:ascii="Times New Roman" w:hAnsi="Times New Roman"/>
          <w:i/>
        </w:rPr>
        <w:t xml:space="preserve"> the phrase " Presidential decree, Presidential decision " </w:t>
      </w:r>
      <w:r w:rsidRPr="009E1B38">
        <w:rPr>
          <w:rFonts w:ascii="Times New Roman" w:hAnsi="Times New Roman"/>
        </w:rPr>
        <w:t>has been added after the phrase</w:t>
      </w:r>
      <w:r w:rsidRPr="009E1B38">
        <w:rPr>
          <w:rFonts w:ascii="Times New Roman" w:hAnsi="Times New Roman"/>
          <w:i/>
        </w:rPr>
        <w:t xml:space="preserve"> "law " </w:t>
      </w:r>
      <w:r w:rsidRPr="009E1B38">
        <w:rPr>
          <w:rFonts w:ascii="Times New Roman" w:hAnsi="Times New Roman"/>
        </w:rPr>
        <w:t>in the clause (ı) and the following paragraphs have been added to the same paragraph.</w:t>
      </w:r>
    </w:p>
    <w:p w14:paraId="7D3225A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b)Connection line: The line required to connect the internal installation of the consumers and the switchyard of the producers to the distribution network and within the distance limits specified within the scope of this Regulation; from the entrance point of the building to the distribution network for the connected consumers, from the MV to the distribution network for the connected consumers, from the point where the consumer's switchyard ends to the distribution network, from the point where the switchyard ends for the producers to the distribution network,”</w:t>
      </w:r>
    </w:p>
    <w:p w14:paraId="07DB070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o) OIZ: Organized industrial zones that have acquired legal entity by being established in accordance with the Organized Industrial Zones Law dated 12/4/2000 and numbered 4562,"</w:t>
      </w:r>
    </w:p>
    <w:p w14:paraId="78A97A8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y) Distribution network: Distribution facility excluding the connection lines established to connect the internal installation of consumers and the switchyard of producers to the distribution system,"</w:t>
      </w:r>
    </w:p>
    <w:p w14:paraId="18CE3E8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“ff) Electrical storage facility: The facility that can store electrical energy and give the stored energy to the system,</w:t>
      </w:r>
    </w:p>
    <w:p w14:paraId="3B40637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gg) Independent electricity storage facility: refers to the electricity storage facility directly connected to the network without contact with any generation or consumption facility,</w:t>
      </w:r>
    </w:p>
    <w:p w14:paraId="30353B41" w14:textId="77777777" w:rsidR="00171C59" w:rsidRPr="009E1B38" w:rsidRDefault="00171C59" w:rsidP="003C5E4D">
      <w:pPr>
        <w:pStyle w:val="ListeParagraf"/>
        <w:numPr>
          <w:ilvl w:val="0"/>
          <w:numId w:val="83"/>
        </w:numPr>
        <w:spacing w:after="160" w:line="259" w:lineRule="auto"/>
        <w:ind w:left="709" w:firstLine="0"/>
        <w:jc w:val="left"/>
        <w:rPr>
          <w:rFonts w:ascii="Times New Roman" w:hAnsi="Times New Roman"/>
          <w:i/>
        </w:rPr>
      </w:pPr>
      <w:r w:rsidRPr="009E1B38">
        <w:rPr>
          <w:rFonts w:ascii="Times New Roman" w:hAnsi="Times New Roman"/>
        </w:rPr>
        <w:t>The third and fourth paragraphs of Article 5 titled</w:t>
      </w:r>
      <w:r w:rsidRPr="009E1B38">
        <w:rPr>
          <w:rFonts w:ascii="Times New Roman" w:hAnsi="Times New Roman"/>
          <w:i/>
        </w:rPr>
        <w:t xml:space="preserve"> "Connection opinions given for generation plants" </w:t>
      </w:r>
      <w:r w:rsidRPr="009E1B38">
        <w:rPr>
          <w:rFonts w:ascii="Times New Roman" w:hAnsi="Times New Roman"/>
        </w:rPr>
        <w:t>are amended as follows.</w:t>
      </w:r>
    </w:p>
    <w:p w14:paraId="052EF0B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The following principles shall be applied by TEİAŞ in determining the five-year regional generation plant capacities within the scope of the second paragraph:</w:t>
      </w:r>
    </w:p>
    <w:p w14:paraId="74D5C750" w14:textId="77777777" w:rsidR="00171C59" w:rsidRPr="009E1B38" w:rsidRDefault="00171C59" w:rsidP="003C5E4D">
      <w:pPr>
        <w:pStyle w:val="ListeParagraf"/>
        <w:numPr>
          <w:ilvl w:val="0"/>
          <w:numId w:val="84"/>
        </w:numPr>
        <w:spacing w:after="160" w:line="259" w:lineRule="auto"/>
        <w:ind w:left="709" w:firstLine="0"/>
        <w:jc w:val="left"/>
        <w:rPr>
          <w:rFonts w:ascii="Times New Roman" w:hAnsi="Times New Roman"/>
          <w:i/>
        </w:rPr>
      </w:pPr>
      <w:r w:rsidRPr="009E1B38">
        <w:rPr>
          <w:rFonts w:ascii="Times New Roman" w:hAnsi="Times New Roman"/>
          <w:i/>
        </w:rPr>
        <w:t>While determining the five-year regional generation plant capacity, TEİAŞ shall take into account the capacity of transmission facilities and transformer stations that are included in the investment program within the current and five-year period.</w:t>
      </w:r>
    </w:p>
    <w:p w14:paraId="484C4DA9" w14:textId="77777777" w:rsidR="00171C59" w:rsidRPr="009E1B38" w:rsidRDefault="00171C59" w:rsidP="003C5E4D">
      <w:pPr>
        <w:pStyle w:val="ListeParagraf"/>
        <w:numPr>
          <w:ilvl w:val="0"/>
          <w:numId w:val="84"/>
        </w:numPr>
        <w:spacing w:after="160" w:line="259" w:lineRule="auto"/>
        <w:ind w:left="709" w:firstLine="0"/>
        <w:jc w:val="left"/>
        <w:rPr>
          <w:rFonts w:ascii="Times New Roman" w:hAnsi="Times New Roman"/>
          <w:i/>
        </w:rPr>
      </w:pPr>
      <w:r w:rsidRPr="009E1B38">
        <w:rPr>
          <w:rFonts w:ascii="Times New Roman" w:hAnsi="Times New Roman"/>
          <w:i/>
        </w:rPr>
        <w:t>The five-year regional connected generation plant capacity determined within the scope of clause (a) shall be notified by TEİAŞ to the Authority and distribution companies for each year and on a regional basis until 1 March each year for transmission and distribution voltage levels.</w:t>
      </w:r>
    </w:p>
    <w:p w14:paraId="324C2124" w14:textId="77777777" w:rsidR="00171C59" w:rsidRPr="009E1B38" w:rsidRDefault="00171C59" w:rsidP="00171C59">
      <w:pPr>
        <w:ind w:left="709"/>
        <w:jc w:val="left"/>
        <w:rPr>
          <w:rFonts w:ascii="Times New Roman" w:hAnsi="Times New Roman"/>
          <w:i/>
        </w:rPr>
      </w:pPr>
      <w:r w:rsidRPr="009E1B38">
        <w:rPr>
          <w:rFonts w:ascii="Times New Roman" w:hAnsi="Times New Roman"/>
          <w:i/>
        </w:rPr>
        <w:t>(4) Within the framework of the determination of five-year regional generation plant capacities within the scope of the second paragraph, by the distribution companies;</w:t>
      </w:r>
    </w:p>
    <w:p w14:paraId="2DA02644" w14:textId="77777777" w:rsidR="00171C59" w:rsidRPr="009E1B38" w:rsidRDefault="00171C59" w:rsidP="00171C59">
      <w:pPr>
        <w:ind w:left="709"/>
        <w:jc w:val="left"/>
        <w:rPr>
          <w:rFonts w:ascii="Times New Roman" w:hAnsi="Times New Roman"/>
          <w:i/>
        </w:rPr>
      </w:pPr>
      <w:r w:rsidRPr="009E1B38">
        <w:rPr>
          <w:rFonts w:ascii="Times New Roman" w:hAnsi="Times New Roman"/>
          <w:i/>
        </w:rPr>
        <w:t>a) Considering the notifications made by TEİAŞ within the scope of clause (b) of the third paragraph, the five-year regional generation plant capacities that can be connected to their regions by taking into account the licensed and unlicensed generation plants that are currently connected to the distribution system or whose connection has been given a positive opinion shall be notified to the Authority until April 1 as specified in clause (b) on a regional basis by specifying the connectable capacity for each year.</w:t>
      </w:r>
    </w:p>
    <w:p w14:paraId="73E8BD6A" w14:textId="77777777" w:rsidR="00171C59" w:rsidRPr="009E1B38" w:rsidRDefault="00171C59" w:rsidP="00171C59">
      <w:pPr>
        <w:ind w:left="709"/>
        <w:jc w:val="left"/>
        <w:rPr>
          <w:rFonts w:ascii="Times New Roman" w:hAnsi="Times New Roman"/>
          <w:i/>
        </w:rPr>
      </w:pPr>
      <w:r w:rsidRPr="009E1B38">
        <w:rPr>
          <w:rFonts w:ascii="Times New Roman" w:hAnsi="Times New Roman"/>
          <w:i/>
        </w:rPr>
        <w:t xml:space="preserve">b) On each regional basis, the generation plants, which have been given a positive opinion about the connection with their affiliates, are published in the form of a list by specifying their capacities. It is obligatory to show the connected ones and the generation plants that have been given a positive opinion </w:t>
      </w:r>
      <w:r w:rsidRPr="009E1B38">
        <w:rPr>
          <w:rFonts w:ascii="Times New Roman" w:hAnsi="Times New Roman"/>
          <w:i/>
        </w:rPr>
        <w:lastRenderedPageBreak/>
        <w:t>separately in the list and to include the total capacity information.</w:t>
      </w:r>
      <w:r w:rsidRPr="009E1B38">
        <w:rPr>
          <w:rFonts w:ascii="Times New Roman" w:hAnsi="Times New Roman"/>
        </w:rPr>
        <w:t xml:space="preserve"> </w:t>
      </w:r>
      <w:r w:rsidRPr="009E1B38">
        <w:rPr>
          <w:rFonts w:ascii="Times New Roman" w:hAnsi="Times New Roman"/>
          <w:i/>
        </w:rPr>
        <w:t>In this list, the total capacity of those connected to the network and those who are given a call letter are included separately in relation to unlicensed generation plants. "</w:t>
      </w:r>
    </w:p>
    <w:p w14:paraId="42B78CFC" w14:textId="77777777" w:rsidR="00171C59" w:rsidRPr="009E1B38" w:rsidRDefault="00171C59" w:rsidP="00171C59">
      <w:pPr>
        <w:ind w:left="709"/>
        <w:jc w:val="left"/>
        <w:rPr>
          <w:rFonts w:ascii="Times New Roman" w:hAnsi="Times New Roman"/>
        </w:rPr>
      </w:pPr>
      <w:r w:rsidRPr="009E1B38">
        <w:rPr>
          <w:rFonts w:ascii="Times New Roman" w:hAnsi="Times New Roman"/>
        </w:rPr>
        <w:t>The following articles have been added to come after the 5th article.</w:t>
      </w:r>
    </w:p>
    <w:p w14:paraId="16A87498" w14:textId="77777777" w:rsidR="00171C59" w:rsidRPr="009E1B38" w:rsidRDefault="00171C59" w:rsidP="00171C59">
      <w:pPr>
        <w:ind w:left="709"/>
        <w:jc w:val="left"/>
        <w:rPr>
          <w:rFonts w:ascii="Times New Roman" w:hAnsi="Times New Roman"/>
          <w:b/>
          <w:i/>
        </w:rPr>
      </w:pPr>
      <w:r w:rsidRPr="009E1B38">
        <w:rPr>
          <w:rFonts w:ascii="Times New Roman" w:hAnsi="Times New Roman"/>
          <w:b/>
          <w:i/>
        </w:rPr>
        <w:t>“Connection opinions given for electrical storage facilities</w:t>
      </w:r>
    </w:p>
    <w:p w14:paraId="578DA4EA" w14:textId="77777777" w:rsidR="00171C59" w:rsidRPr="009E1B38" w:rsidRDefault="00171C59" w:rsidP="00171C59">
      <w:pPr>
        <w:ind w:left="709"/>
        <w:jc w:val="left"/>
        <w:rPr>
          <w:rFonts w:ascii="Times New Roman" w:hAnsi="Times New Roman"/>
          <w:b/>
          <w:i/>
        </w:rPr>
      </w:pPr>
    </w:p>
    <w:p w14:paraId="6FFC7999" w14:textId="77777777" w:rsidR="00171C59" w:rsidRPr="009E1B38" w:rsidRDefault="00171C59" w:rsidP="00171C59">
      <w:pPr>
        <w:ind w:left="709"/>
        <w:jc w:val="left"/>
        <w:rPr>
          <w:rFonts w:ascii="Times New Roman" w:hAnsi="Times New Roman"/>
          <w:b/>
          <w:i/>
        </w:rPr>
      </w:pPr>
      <w:r w:rsidRPr="009E1B38">
        <w:rPr>
          <w:rFonts w:ascii="Times New Roman" w:hAnsi="Times New Roman"/>
          <w:b/>
          <w:i/>
        </w:rPr>
        <w:t>ARTICLE 5-A</w:t>
      </w:r>
    </w:p>
    <w:p w14:paraId="43D1E58F" w14:textId="77777777" w:rsidR="00171C59" w:rsidRPr="009E1B38" w:rsidRDefault="00171C59" w:rsidP="003C5E4D">
      <w:pPr>
        <w:pStyle w:val="ListeParagraf"/>
        <w:numPr>
          <w:ilvl w:val="1"/>
          <w:numId w:val="81"/>
        </w:numPr>
        <w:spacing w:after="160" w:line="259" w:lineRule="auto"/>
        <w:ind w:left="709" w:firstLine="0"/>
        <w:jc w:val="left"/>
        <w:rPr>
          <w:rFonts w:ascii="Times New Roman" w:hAnsi="Times New Roman"/>
          <w:i/>
        </w:rPr>
      </w:pPr>
      <w:r w:rsidRPr="009E1B38">
        <w:rPr>
          <w:rFonts w:ascii="Times New Roman" w:hAnsi="Times New Roman"/>
          <w:i/>
        </w:rPr>
        <w:t>Opinions given by TEİAŞ or distribution companies within the scope of this Regulation on the connection of electricity storage facilities to transmission or distribution systems shall be deemed to have been given within the framework of Article 23 of the Law.</w:t>
      </w:r>
    </w:p>
    <w:p w14:paraId="666065E7" w14:textId="77777777" w:rsidR="00171C59" w:rsidRPr="009E1B38" w:rsidRDefault="00171C59" w:rsidP="003C5E4D">
      <w:pPr>
        <w:pStyle w:val="ListeParagraf"/>
        <w:numPr>
          <w:ilvl w:val="1"/>
          <w:numId w:val="81"/>
        </w:numPr>
        <w:spacing w:after="160" w:line="259" w:lineRule="auto"/>
        <w:ind w:left="709" w:firstLine="0"/>
        <w:jc w:val="left"/>
        <w:rPr>
          <w:rFonts w:ascii="Times New Roman" w:hAnsi="Times New Roman"/>
          <w:i/>
        </w:rPr>
      </w:pPr>
      <w:r w:rsidRPr="009E1B38">
        <w:rPr>
          <w:rFonts w:ascii="Times New Roman" w:hAnsi="Times New Roman"/>
          <w:i/>
        </w:rPr>
        <w:t>The electricity storage unit integrated in the generation plant is connected to the network from the connection point to which the generation plant is connected.</w:t>
      </w:r>
    </w:p>
    <w:p w14:paraId="1B324FA6" w14:textId="77777777" w:rsidR="00171C59" w:rsidRPr="009E1B38" w:rsidRDefault="00171C59" w:rsidP="003C5E4D">
      <w:pPr>
        <w:pStyle w:val="ListeParagraf"/>
        <w:numPr>
          <w:ilvl w:val="1"/>
          <w:numId w:val="81"/>
        </w:numPr>
        <w:spacing w:after="160" w:line="259" w:lineRule="auto"/>
        <w:ind w:left="709" w:firstLine="0"/>
        <w:jc w:val="left"/>
        <w:rPr>
          <w:rFonts w:ascii="Times New Roman" w:hAnsi="Times New Roman"/>
          <w:i/>
        </w:rPr>
      </w:pPr>
      <w:r w:rsidRPr="009E1B38">
        <w:rPr>
          <w:rFonts w:ascii="Times New Roman" w:hAnsi="Times New Roman"/>
          <w:i/>
        </w:rPr>
        <w:t>Within the scope of this Regulation; the electricity storage unit integrated in the generation plant shall be considered as a unit of the generation plant and the electricity storage facilities integrated in the consumption facility shall be considered as an element of the consumption facility.</w:t>
      </w:r>
    </w:p>
    <w:p w14:paraId="74264907" w14:textId="77777777" w:rsidR="00171C59" w:rsidRPr="009E1B38" w:rsidRDefault="00171C59" w:rsidP="003C5E4D">
      <w:pPr>
        <w:pStyle w:val="ListeParagraf"/>
        <w:numPr>
          <w:ilvl w:val="1"/>
          <w:numId w:val="81"/>
        </w:numPr>
        <w:spacing w:after="160" w:line="259" w:lineRule="auto"/>
        <w:ind w:left="709" w:firstLine="0"/>
        <w:jc w:val="left"/>
        <w:rPr>
          <w:rFonts w:ascii="Times New Roman" w:hAnsi="Times New Roman"/>
          <w:i/>
        </w:rPr>
      </w:pPr>
      <w:r w:rsidRPr="009E1B38">
        <w:rPr>
          <w:rFonts w:ascii="Times New Roman" w:hAnsi="Times New Roman"/>
          <w:i/>
        </w:rPr>
        <w:t>In case of necessity regarding the facilities related to the transmission facility investments required for the connection of the individual electricity storage facilities to the transmission system, the legal entities shall cover the compulsory costs such as preparation of immovable property supply files, payments required by the immovable property supply, forest and road pass permits and excavation costs.</w:t>
      </w:r>
      <w:r w:rsidRPr="009E1B38">
        <w:rPr>
          <w:rFonts w:ascii="Times New Roman" w:hAnsi="Times New Roman"/>
        </w:rPr>
        <w:t xml:space="preserve"> </w:t>
      </w:r>
      <w:r w:rsidRPr="009E1B38">
        <w:rPr>
          <w:rFonts w:ascii="Times New Roman" w:hAnsi="Times New Roman"/>
          <w:i/>
        </w:rPr>
        <w:t>These facilities shall be transferred to TEİAŞ with token value in return for maintenance and operation responsibility without the need for any action upon completion of provisional acceptance. In the event that individual electrical storage facilities are separated from the transmission system for any reason, the process shall be established within the scope of the provisions of Article 9.</w:t>
      </w:r>
    </w:p>
    <w:p w14:paraId="7BCC7472" w14:textId="77777777" w:rsidR="00171C59" w:rsidRPr="009E1B38" w:rsidRDefault="00171C59" w:rsidP="00171C59">
      <w:pPr>
        <w:pStyle w:val="ListeParagraf"/>
        <w:ind w:left="709"/>
        <w:jc w:val="left"/>
        <w:rPr>
          <w:rFonts w:ascii="Times New Roman" w:hAnsi="Times New Roman"/>
          <w:i/>
        </w:rPr>
      </w:pPr>
    </w:p>
    <w:p w14:paraId="6D9C309F" w14:textId="77777777" w:rsidR="00171C59" w:rsidRPr="009E1B38" w:rsidRDefault="00171C59" w:rsidP="003C5E4D">
      <w:pPr>
        <w:pStyle w:val="ListeParagraf"/>
        <w:numPr>
          <w:ilvl w:val="1"/>
          <w:numId w:val="81"/>
        </w:numPr>
        <w:spacing w:after="160" w:line="259" w:lineRule="auto"/>
        <w:ind w:left="709" w:firstLine="0"/>
        <w:jc w:val="left"/>
        <w:rPr>
          <w:rFonts w:ascii="Times New Roman" w:hAnsi="Times New Roman"/>
          <w:i/>
        </w:rPr>
      </w:pPr>
      <w:r w:rsidRPr="009E1B38">
        <w:rPr>
          <w:rFonts w:ascii="Times New Roman" w:hAnsi="Times New Roman"/>
          <w:i/>
        </w:rPr>
        <w:t>Connection of self-contained electrical storage facilities to the distribution system shall be carried out provided that all facilities required for connection to the distribution system shall be performed by the user and operation, maintenance, repair and renewal works shall belong to the user.</w:t>
      </w:r>
    </w:p>
    <w:p w14:paraId="1C0243AB" w14:textId="77777777" w:rsidR="00171C59" w:rsidRPr="009E1B38" w:rsidRDefault="00171C59" w:rsidP="00171C59">
      <w:pPr>
        <w:pStyle w:val="ListeParagraf"/>
        <w:ind w:left="709"/>
        <w:jc w:val="left"/>
        <w:rPr>
          <w:rFonts w:ascii="Times New Roman" w:hAnsi="Times New Roman"/>
          <w:i/>
        </w:rPr>
      </w:pPr>
    </w:p>
    <w:p w14:paraId="1DEAACFF"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Unlicensed generation facilities</w:t>
      </w:r>
    </w:p>
    <w:p w14:paraId="4EFB7D1D" w14:textId="77777777" w:rsidR="00171C59" w:rsidRPr="009E1B38" w:rsidRDefault="00171C59" w:rsidP="00171C59">
      <w:pPr>
        <w:pStyle w:val="ListeParagraf"/>
        <w:ind w:left="709"/>
        <w:jc w:val="left"/>
        <w:rPr>
          <w:rFonts w:ascii="Times New Roman" w:hAnsi="Times New Roman"/>
          <w:b/>
          <w:i/>
        </w:rPr>
      </w:pPr>
    </w:p>
    <w:p w14:paraId="20FBB082"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5/B</w:t>
      </w:r>
    </w:p>
    <w:p w14:paraId="72AF1F13" w14:textId="77777777" w:rsidR="00171C59" w:rsidRPr="009E1B38" w:rsidRDefault="00171C59" w:rsidP="00171C59">
      <w:pPr>
        <w:pStyle w:val="ListeParagraf"/>
        <w:ind w:left="709"/>
        <w:jc w:val="left"/>
        <w:rPr>
          <w:rFonts w:ascii="Times New Roman" w:hAnsi="Times New Roman"/>
          <w:b/>
          <w:i/>
        </w:rPr>
      </w:pPr>
    </w:p>
    <w:p w14:paraId="4348106A" w14:textId="77777777" w:rsidR="00171C59" w:rsidRPr="009E1B38" w:rsidRDefault="00171C59" w:rsidP="003C5E4D">
      <w:pPr>
        <w:pStyle w:val="ListeParagraf"/>
        <w:numPr>
          <w:ilvl w:val="0"/>
          <w:numId w:val="85"/>
        </w:numPr>
        <w:spacing w:after="160" w:line="259" w:lineRule="auto"/>
        <w:ind w:left="709" w:firstLine="0"/>
        <w:jc w:val="left"/>
        <w:rPr>
          <w:rFonts w:ascii="Times New Roman" w:hAnsi="Times New Roman"/>
          <w:i/>
        </w:rPr>
      </w:pPr>
      <w:r w:rsidRPr="009E1B38">
        <w:rPr>
          <w:rFonts w:ascii="Times New Roman" w:hAnsi="Times New Roman"/>
          <w:i/>
        </w:rPr>
        <w:t>The provisions related to the "connection line" regarding the generation plants in this Regulation shall also apply to unlicensed generation plants.</w:t>
      </w:r>
    </w:p>
    <w:p w14:paraId="3EAA9DBB" w14:textId="77777777" w:rsidR="00171C59" w:rsidRPr="009E1B38" w:rsidRDefault="00171C59" w:rsidP="00171C59">
      <w:pPr>
        <w:pStyle w:val="ListeParagraf"/>
        <w:ind w:left="709"/>
        <w:jc w:val="left"/>
        <w:rPr>
          <w:rFonts w:ascii="Times New Roman" w:hAnsi="Times New Roman"/>
          <w:i/>
        </w:rPr>
      </w:pPr>
    </w:p>
    <w:p w14:paraId="3271E600" w14:textId="77777777" w:rsidR="00171C59" w:rsidRPr="009E1B38" w:rsidRDefault="00171C59" w:rsidP="003C5E4D">
      <w:pPr>
        <w:pStyle w:val="ListeParagraf"/>
        <w:numPr>
          <w:ilvl w:val="0"/>
          <w:numId w:val="85"/>
        </w:numPr>
        <w:spacing w:after="160" w:line="259" w:lineRule="auto"/>
        <w:ind w:left="709" w:firstLine="0"/>
        <w:jc w:val="left"/>
        <w:rPr>
          <w:rFonts w:ascii="Times New Roman" w:hAnsi="Times New Roman"/>
          <w:i/>
        </w:rPr>
      </w:pPr>
      <w:r w:rsidRPr="009E1B38">
        <w:rPr>
          <w:rFonts w:ascii="Times New Roman" w:hAnsi="Times New Roman"/>
          <w:i/>
        </w:rPr>
        <w:t>The provisions of Article 21 shall also be applied to generation plants within the scope of the provisions of the Regulation on Unlicensed Electricity Generation in the Electricity Market published in the Official Gazette dated 12/5/2019 and numbered 30772.</w:t>
      </w:r>
    </w:p>
    <w:p w14:paraId="56916A63" w14:textId="77777777" w:rsidR="00171C59" w:rsidRPr="009E1B38" w:rsidRDefault="00171C59" w:rsidP="00171C59">
      <w:pPr>
        <w:pStyle w:val="ListeParagraf"/>
        <w:ind w:left="709"/>
        <w:jc w:val="left"/>
        <w:rPr>
          <w:rFonts w:ascii="Times New Roman" w:hAnsi="Times New Roman"/>
          <w:i/>
        </w:rPr>
      </w:pPr>
    </w:p>
    <w:p w14:paraId="23AB3062" w14:textId="77777777" w:rsidR="00171C59" w:rsidRPr="009E1B38" w:rsidRDefault="00171C59" w:rsidP="003C5E4D">
      <w:pPr>
        <w:pStyle w:val="ListeParagraf"/>
        <w:numPr>
          <w:ilvl w:val="0"/>
          <w:numId w:val="85"/>
        </w:numPr>
        <w:spacing w:after="160" w:line="259" w:lineRule="auto"/>
        <w:ind w:left="709" w:firstLine="0"/>
        <w:jc w:val="left"/>
        <w:rPr>
          <w:rFonts w:ascii="Times New Roman" w:hAnsi="Times New Roman"/>
          <w:i/>
        </w:rPr>
      </w:pPr>
      <w:r w:rsidRPr="009E1B38">
        <w:rPr>
          <w:rFonts w:ascii="Times New Roman" w:hAnsi="Times New Roman"/>
          <w:i/>
        </w:rPr>
        <w:t xml:space="preserve">In case of necessity regarding the facilities related to the distribution facility and/or transmission facility investments of the generation plants to be established within the scope of the first paragraph (h) of Article 5 of the Regulation on Unlicensed Electricity Generation in the Electricity Market, the compulsory costs such as preparation of immovable supply files, payments required by the immovable supply, forest and road pass permits and excavation cost shall be covered by the applicant real or legal entities. With the completion of the provisional acceptance of these facilities, they are </w:t>
      </w:r>
      <w:r w:rsidRPr="009E1B38">
        <w:rPr>
          <w:rFonts w:ascii="Times New Roman" w:hAnsi="Times New Roman"/>
          <w:i/>
        </w:rPr>
        <w:lastRenderedPageBreak/>
        <w:t>transferred to the relevant network operator in return for the responsibility of maintenance and operation without the need for any action.</w:t>
      </w:r>
    </w:p>
    <w:p w14:paraId="796BDFF6" w14:textId="77777777" w:rsidR="00171C59" w:rsidRPr="009E1B38" w:rsidRDefault="00171C59" w:rsidP="00171C59">
      <w:pPr>
        <w:pStyle w:val="ListeParagraf"/>
        <w:ind w:left="709"/>
        <w:jc w:val="left"/>
        <w:rPr>
          <w:rFonts w:ascii="Times New Roman" w:hAnsi="Times New Roman"/>
          <w:i/>
        </w:rPr>
      </w:pPr>
    </w:p>
    <w:p w14:paraId="3A7BE1B2" w14:textId="77777777" w:rsidR="00171C59" w:rsidRPr="009E1B38" w:rsidRDefault="00171C59" w:rsidP="003C5E4D">
      <w:pPr>
        <w:pStyle w:val="ListeParagraf"/>
        <w:numPr>
          <w:ilvl w:val="0"/>
          <w:numId w:val="85"/>
        </w:numPr>
        <w:spacing w:after="160" w:line="259" w:lineRule="auto"/>
        <w:ind w:left="709" w:firstLine="0"/>
        <w:jc w:val="left"/>
        <w:rPr>
          <w:rFonts w:ascii="Times New Roman" w:hAnsi="Times New Roman"/>
          <w:i/>
        </w:rPr>
      </w:pPr>
      <w:r w:rsidRPr="009E1B38">
        <w:rPr>
          <w:rFonts w:ascii="Times New Roman" w:hAnsi="Times New Roman"/>
          <w:i/>
        </w:rPr>
        <w:t>Regarding the connection of unlicensed generation plants to the system, except for the provisions of this article, the process is established in accordance with the Regulation on Unlicensed Electricity Generation in the Electricity Market. "</w:t>
      </w:r>
    </w:p>
    <w:p w14:paraId="3D8E30EC" w14:textId="77777777" w:rsidR="00171C59" w:rsidRPr="009E1B38" w:rsidRDefault="00171C59" w:rsidP="00171C59">
      <w:pPr>
        <w:pStyle w:val="ListeParagraf"/>
        <w:ind w:left="709"/>
        <w:jc w:val="left"/>
        <w:rPr>
          <w:rFonts w:ascii="Times New Roman" w:hAnsi="Times New Roman"/>
          <w:i/>
        </w:rPr>
      </w:pPr>
    </w:p>
    <w:p w14:paraId="12F79D9C"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The fifth paragraph of Article 6 titled</w:t>
      </w:r>
      <w:r w:rsidRPr="009E1B38">
        <w:rPr>
          <w:rFonts w:ascii="Times New Roman" w:hAnsi="Times New Roman"/>
          <w:i/>
        </w:rPr>
        <w:t xml:space="preserve"> "Connection and system use agreements" </w:t>
      </w:r>
      <w:r w:rsidRPr="009E1B38">
        <w:rPr>
          <w:rFonts w:ascii="Times New Roman" w:hAnsi="Times New Roman"/>
        </w:rPr>
        <w:t>has been amended as follows and the following paragraph has been added to the same article.</w:t>
      </w:r>
    </w:p>
    <w:p w14:paraId="40663546" w14:textId="77777777" w:rsidR="00171C59" w:rsidRPr="009E1B38" w:rsidRDefault="00171C59" w:rsidP="00171C59">
      <w:pPr>
        <w:pStyle w:val="ListeParagraf"/>
        <w:ind w:left="709"/>
        <w:jc w:val="left"/>
        <w:rPr>
          <w:rFonts w:ascii="Times New Roman" w:hAnsi="Times New Roman"/>
        </w:rPr>
      </w:pPr>
    </w:p>
    <w:p w14:paraId="2C16A2D6" w14:textId="77777777" w:rsidR="00171C59" w:rsidRPr="009E1B38" w:rsidRDefault="00171C59" w:rsidP="003C5E4D">
      <w:pPr>
        <w:pStyle w:val="ListeParagraf"/>
        <w:numPr>
          <w:ilvl w:val="0"/>
          <w:numId w:val="85"/>
        </w:numPr>
        <w:spacing w:after="160" w:line="259" w:lineRule="auto"/>
        <w:ind w:left="709" w:firstLine="0"/>
        <w:jc w:val="left"/>
        <w:rPr>
          <w:rFonts w:ascii="Times New Roman" w:hAnsi="Times New Roman"/>
          <w:i/>
        </w:rPr>
      </w:pPr>
      <w:r w:rsidRPr="009E1B38">
        <w:rPr>
          <w:rFonts w:ascii="Times New Roman" w:hAnsi="Times New Roman"/>
          <w:i/>
        </w:rPr>
        <w:t>TEİAŞ shall conclude the connection agreement and the system utilization agreement with the applicant deemed appropriate to be connected to the transmission system as shown in ANNEX-1. Regarding connection and system use, standard connection and system use agreements prepared by TEİAŞ and approved by the Board in accordance with this Regulation are used between TEİAŞ and the user. In these agreements, the rules regarding the operation of the transmission system under normal operating conditions and the situations that pose a risk on the safety and integrity of the operation and the penal conditions to be applied in cases where these rules are violated in the system use agreement are also included. Tracking of system usage violations is carried out by TEİAŞ.</w:t>
      </w:r>
      <w:r w:rsidRPr="009E1B38">
        <w:rPr>
          <w:rFonts w:ascii="Times New Roman" w:hAnsi="Times New Roman"/>
        </w:rPr>
        <w:t xml:space="preserve"> </w:t>
      </w:r>
      <w:r w:rsidRPr="009E1B38">
        <w:rPr>
          <w:rFonts w:ascii="Times New Roman" w:hAnsi="Times New Roman"/>
          <w:i/>
        </w:rPr>
        <w:t>TEİAŞ shall apply the penal conditions and other sanctions regulated in the system use agreement to the legal entities whose violation status is determined.</w:t>
      </w:r>
      <w:r w:rsidRPr="009E1B38">
        <w:rPr>
          <w:rFonts w:ascii="Times New Roman" w:hAnsi="Times New Roman"/>
        </w:rPr>
        <w:t xml:space="preserve"> </w:t>
      </w:r>
      <w:r w:rsidRPr="009E1B38">
        <w:rPr>
          <w:rFonts w:ascii="Times New Roman" w:hAnsi="Times New Roman"/>
          <w:i/>
        </w:rPr>
        <w:t>The general provisions of these agreements may not be amended without the approval of the Board.</w:t>
      </w:r>
      <w:r w:rsidRPr="009E1B38">
        <w:rPr>
          <w:rFonts w:ascii="Times New Roman" w:hAnsi="Times New Roman"/>
        </w:rPr>
        <w:t xml:space="preserve"> </w:t>
      </w:r>
      <w:r w:rsidRPr="009E1B38">
        <w:rPr>
          <w:rFonts w:ascii="Times New Roman" w:hAnsi="Times New Roman"/>
          <w:i/>
        </w:rPr>
        <w:t>The Board may, if necessary, amend the general provisions of these agreements.</w:t>
      </w:r>
      <w:r w:rsidRPr="009E1B38">
        <w:rPr>
          <w:rFonts w:ascii="Times New Roman" w:hAnsi="Times New Roman"/>
        </w:rPr>
        <w:t xml:space="preserve"> </w:t>
      </w:r>
      <w:r w:rsidRPr="009E1B38">
        <w:rPr>
          <w:rFonts w:ascii="Times New Roman" w:hAnsi="Times New Roman"/>
          <w:i/>
        </w:rPr>
        <w:t>Despite the notification of TEİAŞ, the transmission system of the generation and consumption facilities belonging to real and legal entities who do not apply to sign the connection and system utilization agreements shall be disconnected by TEİAŞ with five business days' notice. "</w:t>
      </w:r>
    </w:p>
    <w:p w14:paraId="7B71AE80" w14:textId="77777777" w:rsidR="00171C59" w:rsidRPr="009E1B38" w:rsidRDefault="00171C59" w:rsidP="00171C59">
      <w:pPr>
        <w:pStyle w:val="ListeParagraf"/>
        <w:ind w:left="709"/>
        <w:jc w:val="left"/>
        <w:rPr>
          <w:rFonts w:ascii="Times New Roman" w:hAnsi="Times New Roman"/>
          <w:i/>
        </w:rPr>
      </w:pPr>
    </w:p>
    <w:p w14:paraId="53405EA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“(11) In the event that the generation license holder uses the energy generated by the legal entities directly connected to the transmission system to meet the needs of the consumption facilities that are connected to the same busbar in their own switchyards and that they own, lease, acquire through financial leasing or take over the operating right, the electricity energy given to or withdrawn from the transmission system shall be taken as a basis when determining the energy data based on supply and/or traction in the calculation of variable transmission prices. A single connection and system utilization agreement is signed between the generation license holders and TEİAŞ, whose connection is as defined in this paragraph, so as not to fall below the sum of the agreement powers regarding the supply and traction in the existing agreements. "</w:t>
      </w:r>
    </w:p>
    <w:p w14:paraId="677B49B0" w14:textId="77777777" w:rsidR="00171C59" w:rsidRPr="009E1B38" w:rsidRDefault="00171C59" w:rsidP="00171C59">
      <w:pPr>
        <w:pStyle w:val="ListeParagraf"/>
        <w:ind w:left="709"/>
        <w:jc w:val="left"/>
        <w:rPr>
          <w:rFonts w:ascii="Times New Roman" w:hAnsi="Times New Roman"/>
          <w:i/>
        </w:rPr>
      </w:pPr>
    </w:p>
    <w:p w14:paraId="7FC6C0CC"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Article 7 titled</w:t>
      </w:r>
      <w:r w:rsidRPr="009E1B38">
        <w:rPr>
          <w:rFonts w:ascii="Times New Roman" w:hAnsi="Times New Roman"/>
          <w:i/>
        </w:rPr>
        <w:t xml:space="preserve"> "Agreement power" </w:t>
      </w:r>
      <w:r w:rsidRPr="009E1B38">
        <w:rPr>
          <w:rFonts w:ascii="Times New Roman" w:hAnsi="Times New Roman"/>
        </w:rPr>
        <w:t>is amended as follows.</w:t>
      </w:r>
    </w:p>
    <w:p w14:paraId="06DF467A" w14:textId="77777777" w:rsidR="00171C59" w:rsidRPr="009E1B38" w:rsidRDefault="00171C59" w:rsidP="00171C59">
      <w:pPr>
        <w:pStyle w:val="ListeParagraf"/>
        <w:ind w:left="709"/>
        <w:jc w:val="left"/>
        <w:rPr>
          <w:rFonts w:ascii="Times New Roman" w:hAnsi="Times New Roman"/>
        </w:rPr>
      </w:pPr>
    </w:p>
    <w:p w14:paraId="3E9F6D3E"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7</w:t>
      </w:r>
    </w:p>
    <w:p w14:paraId="052EC2D6" w14:textId="77777777" w:rsidR="00171C59" w:rsidRPr="009E1B38" w:rsidRDefault="00171C59" w:rsidP="00171C59">
      <w:pPr>
        <w:pStyle w:val="ListeParagraf"/>
        <w:ind w:left="709"/>
        <w:jc w:val="left"/>
        <w:rPr>
          <w:rFonts w:ascii="Times New Roman" w:hAnsi="Times New Roman"/>
          <w:b/>
          <w:i/>
        </w:rPr>
      </w:pPr>
    </w:p>
    <w:p w14:paraId="6DF54104" w14:textId="77777777" w:rsidR="00171C59" w:rsidRPr="009E1B38" w:rsidRDefault="00171C59" w:rsidP="003C5E4D">
      <w:pPr>
        <w:pStyle w:val="ListeParagraf"/>
        <w:numPr>
          <w:ilvl w:val="0"/>
          <w:numId w:val="86"/>
        </w:numPr>
        <w:spacing w:after="160" w:line="259" w:lineRule="auto"/>
        <w:ind w:left="709" w:firstLine="0"/>
        <w:jc w:val="left"/>
        <w:rPr>
          <w:rFonts w:ascii="Times New Roman" w:hAnsi="Times New Roman"/>
          <w:i/>
        </w:rPr>
      </w:pPr>
      <w:r w:rsidRPr="009E1B38">
        <w:rPr>
          <w:rFonts w:ascii="Times New Roman" w:hAnsi="Times New Roman"/>
          <w:i/>
        </w:rPr>
        <w:t>The capacity allocated to the user in connection and system use agreements constitutes the agreement power of the user.</w:t>
      </w:r>
      <w:r w:rsidRPr="009E1B38">
        <w:rPr>
          <w:rFonts w:ascii="Times New Roman" w:hAnsi="Times New Roman"/>
        </w:rPr>
        <w:t xml:space="preserve"> </w:t>
      </w:r>
      <w:r w:rsidRPr="009E1B38">
        <w:rPr>
          <w:rFonts w:ascii="Times New Roman" w:hAnsi="Times New Roman"/>
          <w:i/>
        </w:rPr>
        <w:t>The maximum value of the electrical energy capacity received or given to the transmission system from the connection point shall not exceed the agreement power specified in the connection and system usage agreements.</w:t>
      </w:r>
    </w:p>
    <w:p w14:paraId="74CC15E9" w14:textId="77777777" w:rsidR="00171C59" w:rsidRPr="009E1B38" w:rsidRDefault="00171C59" w:rsidP="003C5E4D">
      <w:pPr>
        <w:pStyle w:val="ListeParagraf"/>
        <w:numPr>
          <w:ilvl w:val="0"/>
          <w:numId w:val="86"/>
        </w:numPr>
        <w:spacing w:after="160" w:line="259" w:lineRule="auto"/>
        <w:ind w:left="709" w:firstLine="0"/>
        <w:jc w:val="left"/>
        <w:rPr>
          <w:rFonts w:ascii="Times New Roman" w:hAnsi="Times New Roman"/>
          <w:i/>
        </w:rPr>
      </w:pPr>
      <w:r w:rsidRPr="009E1B38">
        <w:rPr>
          <w:rFonts w:ascii="Times New Roman" w:hAnsi="Times New Roman"/>
          <w:i/>
        </w:rPr>
        <w:t>The agreement powers registered in the first connection and system use agreements to be signed by the consumers with TEİAŞ must be the same as the power value in the connection opinion given by TEİAŞ.</w:t>
      </w:r>
    </w:p>
    <w:p w14:paraId="5471755E" w14:textId="77777777" w:rsidR="00171C59" w:rsidRPr="009E1B38" w:rsidRDefault="00171C59" w:rsidP="00171C59">
      <w:pPr>
        <w:pStyle w:val="ListeParagraf"/>
        <w:ind w:left="709"/>
        <w:jc w:val="left"/>
        <w:rPr>
          <w:rFonts w:ascii="Times New Roman" w:hAnsi="Times New Roman"/>
          <w:i/>
        </w:rPr>
      </w:pPr>
    </w:p>
    <w:p w14:paraId="1FB07C61" w14:textId="77777777" w:rsidR="00171C59" w:rsidRPr="009E1B38" w:rsidRDefault="00171C59" w:rsidP="003C5E4D">
      <w:pPr>
        <w:pStyle w:val="ListeParagraf"/>
        <w:numPr>
          <w:ilvl w:val="0"/>
          <w:numId w:val="86"/>
        </w:numPr>
        <w:spacing w:after="160" w:line="259" w:lineRule="auto"/>
        <w:ind w:left="709" w:firstLine="0"/>
        <w:jc w:val="left"/>
        <w:rPr>
          <w:rFonts w:ascii="Times New Roman" w:hAnsi="Times New Roman"/>
          <w:i/>
        </w:rPr>
      </w:pPr>
      <w:r w:rsidRPr="009E1B38">
        <w:rPr>
          <w:rFonts w:ascii="Times New Roman" w:hAnsi="Times New Roman"/>
          <w:i/>
        </w:rPr>
        <w:t>In case the user violates the power of agreement, the sanctions issued in relation to the said violation shall be applied in the system use agreement without the need for any additional warning.</w:t>
      </w:r>
      <w:r w:rsidRPr="009E1B38">
        <w:rPr>
          <w:rFonts w:ascii="Times New Roman" w:hAnsi="Times New Roman"/>
        </w:rPr>
        <w:t xml:space="preserve"> </w:t>
      </w:r>
      <w:r w:rsidRPr="009E1B38">
        <w:rPr>
          <w:rFonts w:ascii="Times New Roman" w:hAnsi="Times New Roman"/>
          <w:i/>
        </w:rPr>
        <w:t xml:space="preserve">In </w:t>
      </w:r>
      <w:r w:rsidRPr="009E1B38">
        <w:rPr>
          <w:rFonts w:ascii="Times New Roman" w:hAnsi="Times New Roman"/>
          <w:i/>
        </w:rPr>
        <w:lastRenderedPageBreak/>
        <w:t>the event that the agreement power is exceeded by the instructions given by TEİAŞ, the overruns in the time periods instructed by TEİAŞ shall not be considered as overrun.</w:t>
      </w:r>
    </w:p>
    <w:p w14:paraId="50A057EC" w14:textId="77777777" w:rsidR="00171C59" w:rsidRPr="009E1B38" w:rsidRDefault="00171C59" w:rsidP="00171C59">
      <w:pPr>
        <w:pStyle w:val="ListeParagraf"/>
        <w:ind w:left="709"/>
        <w:jc w:val="left"/>
        <w:rPr>
          <w:rFonts w:ascii="Times New Roman" w:hAnsi="Times New Roman"/>
          <w:i/>
        </w:rPr>
      </w:pPr>
    </w:p>
    <w:p w14:paraId="3259EBE6" w14:textId="77777777" w:rsidR="00171C59" w:rsidRPr="009E1B38" w:rsidRDefault="00171C59" w:rsidP="003C5E4D">
      <w:pPr>
        <w:pStyle w:val="ListeParagraf"/>
        <w:numPr>
          <w:ilvl w:val="0"/>
          <w:numId w:val="86"/>
        </w:numPr>
        <w:spacing w:after="160" w:line="259" w:lineRule="auto"/>
        <w:ind w:left="709" w:firstLine="0"/>
        <w:jc w:val="left"/>
        <w:rPr>
          <w:rFonts w:ascii="Times New Roman" w:hAnsi="Times New Roman"/>
          <w:i/>
        </w:rPr>
      </w:pPr>
      <w:r w:rsidRPr="009E1B38">
        <w:rPr>
          <w:rFonts w:ascii="Times New Roman" w:hAnsi="Times New Roman"/>
          <w:i/>
        </w:rPr>
        <w:t>Without prejudice to the provisions of the third paragraph, TEİAŞ shall warn the user who exceeds the agreement power in a way that shall pose a risk on the security of the transmission system to terminate the violation.</w:t>
      </w:r>
      <w:r w:rsidRPr="009E1B38">
        <w:rPr>
          <w:rFonts w:ascii="Times New Roman" w:hAnsi="Times New Roman"/>
        </w:rPr>
        <w:t xml:space="preserve"> </w:t>
      </w:r>
      <w:r w:rsidRPr="009E1B38">
        <w:rPr>
          <w:rFonts w:ascii="Times New Roman" w:hAnsi="Times New Roman"/>
          <w:i/>
        </w:rPr>
        <w:t>Production companies are obliged to terminate the breach of the power of agreement within thirty days from the date of receipt of the warning notification and other users are obliged to terminate the breach of the power of agreement within thirty days from the date of receipt of the warning notification.</w:t>
      </w:r>
      <w:r w:rsidRPr="009E1B38">
        <w:rPr>
          <w:rFonts w:ascii="Times New Roman" w:hAnsi="Times New Roman"/>
        </w:rPr>
        <w:t xml:space="preserve"> </w:t>
      </w:r>
      <w:r w:rsidRPr="009E1B38">
        <w:rPr>
          <w:rFonts w:ascii="Times New Roman" w:hAnsi="Times New Roman"/>
          <w:i/>
        </w:rPr>
        <w:t>If this obligation is not fulfilled, the electrical energy of the relevant user may be cut off.</w:t>
      </w:r>
      <w:r w:rsidRPr="009E1B38">
        <w:rPr>
          <w:rFonts w:ascii="Times New Roman" w:hAnsi="Times New Roman"/>
        </w:rPr>
        <w:t xml:space="preserve"> </w:t>
      </w:r>
      <w:r w:rsidRPr="009E1B38">
        <w:rPr>
          <w:rFonts w:ascii="Times New Roman" w:hAnsi="Times New Roman"/>
          <w:i/>
        </w:rPr>
        <w:t>The costs incurred in case of power cut and re-generation shall be borne by the relevant user.</w:t>
      </w:r>
    </w:p>
    <w:p w14:paraId="3EBBB75D" w14:textId="77777777" w:rsidR="00171C59" w:rsidRPr="009E1B38" w:rsidRDefault="00171C59" w:rsidP="00171C59">
      <w:pPr>
        <w:pStyle w:val="ListeParagraf"/>
        <w:ind w:left="709"/>
        <w:jc w:val="left"/>
        <w:rPr>
          <w:rFonts w:ascii="Times New Roman" w:hAnsi="Times New Roman"/>
          <w:i/>
        </w:rPr>
      </w:pPr>
    </w:p>
    <w:p w14:paraId="42763856" w14:textId="77777777" w:rsidR="00171C59" w:rsidRPr="009E1B38" w:rsidRDefault="00171C59" w:rsidP="003C5E4D">
      <w:pPr>
        <w:pStyle w:val="ListeParagraf"/>
        <w:numPr>
          <w:ilvl w:val="0"/>
          <w:numId w:val="86"/>
        </w:numPr>
        <w:spacing w:after="160" w:line="259" w:lineRule="auto"/>
        <w:ind w:left="709" w:firstLine="0"/>
        <w:jc w:val="left"/>
        <w:rPr>
          <w:rFonts w:ascii="Times New Roman" w:hAnsi="Times New Roman"/>
          <w:i/>
        </w:rPr>
      </w:pPr>
      <w:r w:rsidRPr="009E1B38">
        <w:rPr>
          <w:rFonts w:ascii="Times New Roman" w:hAnsi="Times New Roman"/>
          <w:i/>
        </w:rPr>
        <w:t>TEİAŞ may deploy automatic energy cut-off systems in order not to receive and supply electrical energy above the agreement power in a way that shall adversely affect the transmission system.</w:t>
      </w:r>
    </w:p>
    <w:p w14:paraId="4C5C1501" w14:textId="77777777" w:rsidR="00171C59" w:rsidRPr="009E1B38" w:rsidRDefault="00171C59" w:rsidP="00171C59">
      <w:pPr>
        <w:pStyle w:val="ListeParagraf"/>
        <w:ind w:left="709"/>
        <w:jc w:val="left"/>
        <w:rPr>
          <w:rFonts w:ascii="Times New Roman" w:hAnsi="Times New Roman"/>
          <w:i/>
        </w:rPr>
      </w:pPr>
    </w:p>
    <w:p w14:paraId="039EB86F" w14:textId="77777777" w:rsidR="00171C59" w:rsidRPr="009E1B38" w:rsidRDefault="00171C59" w:rsidP="003C5E4D">
      <w:pPr>
        <w:pStyle w:val="ListeParagraf"/>
        <w:numPr>
          <w:ilvl w:val="0"/>
          <w:numId w:val="86"/>
        </w:numPr>
        <w:spacing w:after="160" w:line="259" w:lineRule="auto"/>
        <w:ind w:left="709" w:firstLine="0"/>
        <w:jc w:val="left"/>
        <w:rPr>
          <w:rFonts w:ascii="Times New Roman" w:hAnsi="Times New Roman"/>
          <w:i/>
        </w:rPr>
      </w:pPr>
      <w:r w:rsidRPr="009E1B38">
        <w:rPr>
          <w:rFonts w:ascii="Times New Roman" w:hAnsi="Times New Roman"/>
          <w:i/>
        </w:rPr>
        <w:t>In the event that TEİAŞ fails to provide the capacity it has undertaken in the system utilization agreement with the user, the provisions regarding the fees to be paid by TEİAŞ shall be regulated in the system utilization agreement.</w:t>
      </w:r>
    </w:p>
    <w:p w14:paraId="7B163178" w14:textId="77777777" w:rsidR="00171C59" w:rsidRPr="009E1B38" w:rsidRDefault="00171C59" w:rsidP="00171C59">
      <w:pPr>
        <w:pStyle w:val="ListeParagraf"/>
        <w:ind w:left="709"/>
        <w:jc w:val="left"/>
        <w:rPr>
          <w:rFonts w:ascii="Times New Roman" w:hAnsi="Times New Roman"/>
          <w:i/>
        </w:rPr>
      </w:pPr>
    </w:p>
    <w:p w14:paraId="1D74BCCF" w14:textId="77777777" w:rsidR="00171C59" w:rsidRPr="009E1B38" w:rsidRDefault="00171C59" w:rsidP="003C5E4D">
      <w:pPr>
        <w:pStyle w:val="ListeParagraf"/>
        <w:numPr>
          <w:ilvl w:val="0"/>
          <w:numId w:val="86"/>
        </w:numPr>
        <w:spacing w:after="160" w:line="259" w:lineRule="auto"/>
        <w:ind w:left="709" w:firstLine="0"/>
        <w:jc w:val="left"/>
        <w:rPr>
          <w:rFonts w:ascii="Times New Roman" w:hAnsi="Times New Roman"/>
          <w:i/>
        </w:rPr>
      </w:pPr>
      <w:r w:rsidRPr="009E1B38">
        <w:rPr>
          <w:rFonts w:ascii="Times New Roman" w:hAnsi="Times New Roman"/>
          <w:i/>
        </w:rPr>
        <w:t>Distribution companies, distribution licensee OIZs and consumers may request the increase of their agreement power up to three times in the same pricing year.</w:t>
      </w:r>
      <w:r w:rsidRPr="009E1B38">
        <w:rPr>
          <w:rFonts w:ascii="Times New Roman" w:hAnsi="Times New Roman"/>
        </w:rPr>
        <w:t xml:space="preserve"> </w:t>
      </w:r>
      <w:r w:rsidRPr="009E1B38">
        <w:rPr>
          <w:rFonts w:ascii="Times New Roman" w:hAnsi="Times New Roman"/>
          <w:i/>
        </w:rPr>
        <w:t>TEİAŞ shall notify the user within forty-five days from the date of application of its opinion on the power increase requests of the users within the scope of this paragraph.</w:t>
      </w:r>
      <w:r w:rsidRPr="009E1B38">
        <w:rPr>
          <w:rFonts w:ascii="Times New Roman" w:hAnsi="Times New Roman"/>
        </w:rPr>
        <w:t xml:space="preserve"> </w:t>
      </w:r>
      <w:r w:rsidRPr="009E1B38">
        <w:rPr>
          <w:rFonts w:ascii="Times New Roman" w:hAnsi="Times New Roman"/>
          <w:i/>
        </w:rPr>
        <w:t>If no opinion is given by the end of this period, the request for power increase is deemed to have been accepted.</w:t>
      </w:r>
      <w:r w:rsidRPr="009E1B38">
        <w:rPr>
          <w:rFonts w:ascii="Times New Roman" w:hAnsi="Times New Roman"/>
        </w:rPr>
        <w:t xml:space="preserve"> </w:t>
      </w:r>
      <w:r w:rsidRPr="009E1B38">
        <w:rPr>
          <w:rFonts w:ascii="Times New Roman" w:hAnsi="Times New Roman"/>
          <w:i/>
        </w:rPr>
        <w:t>Power increase requests made for the same facility in the direction of supply and traction are evaluated separately. Power increase requests of generation license holders in the direction of draw are evaluated within the scope of this paragraph. Users may not exceed the agreement power without revising the power values in the system use agreement within the scope of this paragraph.</w:t>
      </w:r>
    </w:p>
    <w:p w14:paraId="227C208D" w14:textId="77777777" w:rsidR="00171C59" w:rsidRPr="009E1B38" w:rsidRDefault="00171C59" w:rsidP="00171C59">
      <w:pPr>
        <w:pStyle w:val="ListeParagraf"/>
        <w:ind w:left="709"/>
        <w:jc w:val="left"/>
        <w:rPr>
          <w:rFonts w:ascii="Times New Roman" w:hAnsi="Times New Roman"/>
          <w:i/>
        </w:rPr>
      </w:pPr>
    </w:p>
    <w:p w14:paraId="0EF9826A" w14:textId="77777777" w:rsidR="00171C59" w:rsidRPr="009E1B38" w:rsidRDefault="00171C59" w:rsidP="003C5E4D">
      <w:pPr>
        <w:pStyle w:val="ListeParagraf"/>
        <w:numPr>
          <w:ilvl w:val="0"/>
          <w:numId w:val="86"/>
        </w:numPr>
        <w:spacing w:after="160" w:line="259" w:lineRule="auto"/>
        <w:ind w:left="709" w:firstLine="0"/>
        <w:jc w:val="left"/>
        <w:rPr>
          <w:rFonts w:ascii="Times New Roman" w:hAnsi="Times New Roman"/>
          <w:i/>
        </w:rPr>
      </w:pPr>
      <w:r w:rsidRPr="009E1B38">
        <w:rPr>
          <w:rFonts w:ascii="Times New Roman" w:hAnsi="Times New Roman"/>
          <w:i/>
        </w:rPr>
        <w:t>Distribution companies, distribution licensee OIZs and consumers may request the reduction of their agreement power once every three years to be implemented two months after the date of request in order to reduce their agreement power.</w:t>
      </w:r>
      <w:r w:rsidRPr="009E1B38">
        <w:rPr>
          <w:rFonts w:ascii="Times New Roman" w:hAnsi="Times New Roman"/>
        </w:rPr>
        <w:t xml:space="preserve"> </w:t>
      </w:r>
      <w:r w:rsidRPr="009E1B38">
        <w:rPr>
          <w:rFonts w:ascii="Times New Roman" w:hAnsi="Times New Roman"/>
          <w:i/>
        </w:rPr>
        <w:t>Power reduction requests made for the same facility in the direction of supply and traction are evaluated separately. Power reduction requests of generation license holders in the direction of draw shall be evaluated within the scope of this paragraph.</w:t>
      </w:r>
      <w:r w:rsidRPr="009E1B38">
        <w:rPr>
          <w:rFonts w:ascii="Times New Roman" w:hAnsi="Times New Roman"/>
        </w:rPr>
        <w:t xml:space="preserve"> </w:t>
      </w:r>
      <w:r w:rsidRPr="009E1B38">
        <w:rPr>
          <w:rFonts w:ascii="Times New Roman" w:hAnsi="Times New Roman"/>
          <w:i/>
        </w:rPr>
        <w:t>Consumers cannot request a power decrease in a way that it will fall below the power value in the connection opinion given by TEİAŞ.</w:t>
      </w:r>
      <w:r w:rsidRPr="009E1B38">
        <w:rPr>
          <w:rFonts w:ascii="Times New Roman" w:hAnsi="Times New Roman"/>
        </w:rPr>
        <w:t xml:space="preserve"> </w:t>
      </w:r>
      <w:r w:rsidRPr="009E1B38">
        <w:rPr>
          <w:rFonts w:ascii="Times New Roman" w:hAnsi="Times New Roman"/>
          <w:i/>
        </w:rPr>
        <w:t>However, if a new transformer center is established by TEİAŞ and some of the power of the consumer in the existing transformer center is transferred to the new transformer center, the power decrease is allowed provided that the sum of the agreement powers does not fall below the existing agreement power.</w:t>
      </w:r>
      <w:r w:rsidRPr="009E1B38">
        <w:rPr>
          <w:rFonts w:ascii="Times New Roman" w:hAnsi="Times New Roman"/>
        </w:rPr>
        <w:t xml:space="preserve"> </w:t>
      </w:r>
      <w:r w:rsidRPr="009E1B38">
        <w:rPr>
          <w:rFonts w:ascii="Times New Roman" w:hAnsi="Times New Roman"/>
          <w:i/>
        </w:rPr>
        <w:t>Distribution companies and distribution license holder OIZs may request power transfer for each transformer center combination once for the same transformer centers within the same pricing year, on the basis of the region where the transmission system usage and system operation tariffs are applied and unless the total contract power is below.</w:t>
      </w:r>
      <w:r w:rsidRPr="009E1B38">
        <w:rPr>
          <w:rFonts w:ascii="Times New Roman" w:hAnsi="Times New Roman"/>
        </w:rPr>
        <w:t xml:space="preserve"> </w:t>
      </w:r>
      <w:r w:rsidRPr="009E1B38">
        <w:rPr>
          <w:rFonts w:ascii="Times New Roman" w:hAnsi="Times New Roman"/>
          <w:i/>
        </w:rPr>
        <w:t>In line with their demands, the initial agreement powers of the distribution companies and OIZs with distribution licenses whose new transformer centers are built cannot be below the requested power and the power decrease cannot be requested to fall below this power.</w:t>
      </w:r>
      <w:r w:rsidRPr="009E1B38">
        <w:rPr>
          <w:rFonts w:ascii="Times New Roman" w:hAnsi="Times New Roman"/>
        </w:rPr>
        <w:t xml:space="preserve"> </w:t>
      </w:r>
      <w:r w:rsidRPr="009E1B38">
        <w:rPr>
          <w:rFonts w:ascii="Times New Roman" w:hAnsi="Times New Roman"/>
          <w:i/>
        </w:rPr>
        <w:t>For the transformer centers to be established in this context, the installation of the transformer center shall not be commenced by TEİAŞ without signing a connection agreement between TEİAŞ and the requesting distribution company or the distribution license holder OIZ.</w:t>
      </w:r>
      <w:r w:rsidRPr="009E1B38">
        <w:rPr>
          <w:rFonts w:ascii="Times New Roman" w:hAnsi="Times New Roman"/>
        </w:rPr>
        <w:t xml:space="preserve"> </w:t>
      </w:r>
      <w:r w:rsidRPr="009E1B38">
        <w:rPr>
          <w:rFonts w:ascii="Times New Roman" w:hAnsi="Times New Roman"/>
          <w:i/>
        </w:rPr>
        <w:t>No guarantee is received from the distribution company or distribution license holder OIZ within the scope of the connection agreement for the transformer centers to be established in this context.</w:t>
      </w:r>
    </w:p>
    <w:p w14:paraId="150CD109" w14:textId="77777777" w:rsidR="00171C59" w:rsidRPr="009E1B38" w:rsidRDefault="00171C59" w:rsidP="00171C59">
      <w:pPr>
        <w:pStyle w:val="ListeParagraf"/>
        <w:ind w:left="709"/>
        <w:jc w:val="left"/>
        <w:rPr>
          <w:rFonts w:ascii="Times New Roman" w:hAnsi="Times New Roman"/>
          <w:i/>
        </w:rPr>
      </w:pPr>
    </w:p>
    <w:p w14:paraId="27BC0669" w14:textId="77777777" w:rsidR="00171C59" w:rsidRPr="009E1B38" w:rsidRDefault="00171C59" w:rsidP="003C5E4D">
      <w:pPr>
        <w:pStyle w:val="ListeParagraf"/>
        <w:numPr>
          <w:ilvl w:val="0"/>
          <w:numId w:val="86"/>
        </w:numPr>
        <w:spacing w:after="160" w:line="259" w:lineRule="auto"/>
        <w:ind w:left="709" w:firstLine="0"/>
        <w:jc w:val="left"/>
        <w:rPr>
          <w:rFonts w:ascii="Times New Roman" w:hAnsi="Times New Roman"/>
          <w:i/>
        </w:rPr>
      </w:pPr>
      <w:r w:rsidRPr="009E1B38">
        <w:rPr>
          <w:rFonts w:ascii="Times New Roman" w:hAnsi="Times New Roman"/>
          <w:i/>
        </w:rPr>
        <w:lastRenderedPageBreak/>
        <w:t>The contractual powers of the generation license holders in the direction of supply should be the same as the installed power value included in their licenses. Changes in the contractual power of generation licensees in the direction of draw shall be carried out in accordance with the license amendments without being limited to the periods specified in this article.</w:t>
      </w:r>
    </w:p>
    <w:p w14:paraId="734EB033" w14:textId="77777777" w:rsidR="00171C59" w:rsidRPr="009E1B38" w:rsidRDefault="00171C59" w:rsidP="00171C59">
      <w:pPr>
        <w:pStyle w:val="ListeParagraf"/>
        <w:ind w:left="709"/>
        <w:jc w:val="left"/>
        <w:rPr>
          <w:rFonts w:ascii="Times New Roman" w:hAnsi="Times New Roman"/>
          <w:i/>
        </w:rPr>
      </w:pPr>
    </w:p>
    <w:p w14:paraId="2CCA8E5D" w14:textId="77777777" w:rsidR="00171C59" w:rsidRPr="009E1B38" w:rsidRDefault="00171C59" w:rsidP="00171C59">
      <w:pPr>
        <w:pStyle w:val="ListeParagraf"/>
        <w:ind w:left="709"/>
        <w:jc w:val="left"/>
        <w:rPr>
          <w:rFonts w:ascii="Times New Roman" w:hAnsi="Times New Roman"/>
          <w:i/>
        </w:rPr>
      </w:pPr>
    </w:p>
    <w:p w14:paraId="71C446BF" w14:textId="77777777" w:rsidR="00171C59" w:rsidRPr="009E1B38" w:rsidRDefault="00171C59" w:rsidP="003C5E4D">
      <w:pPr>
        <w:pStyle w:val="ListeParagraf"/>
        <w:numPr>
          <w:ilvl w:val="0"/>
          <w:numId w:val="86"/>
        </w:numPr>
        <w:spacing w:after="160" w:line="259" w:lineRule="auto"/>
        <w:ind w:left="709" w:firstLine="0"/>
        <w:jc w:val="left"/>
        <w:rPr>
          <w:rFonts w:ascii="Times New Roman" w:hAnsi="Times New Roman"/>
          <w:i/>
        </w:rPr>
      </w:pPr>
      <w:r w:rsidRPr="009E1B38">
        <w:rPr>
          <w:rFonts w:ascii="Times New Roman" w:hAnsi="Times New Roman"/>
          <w:i/>
        </w:rPr>
        <w:t>Within two months following the provisional acceptance of the transformer centers established within the scope of the eighth paragraph, the system utilization agreement over the power based on the new transformer center demand shall be prepared by TEİAŞ and sent to the demanding electricity distribution company and/or distribution license holder OIZ to be signed.</w:t>
      </w:r>
      <w:r w:rsidRPr="009E1B38">
        <w:rPr>
          <w:rFonts w:ascii="Times New Roman" w:hAnsi="Times New Roman"/>
        </w:rPr>
        <w:t xml:space="preserve"> </w:t>
      </w:r>
      <w:r w:rsidRPr="009E1B38">
        <w:rPr>
          <w:rFonts w:ascii="Times New Roman" w:hAnsi="Times New Roman"/>
          <w:i/>
        </w:rPr>
        <w:t>The relevant distribution company and/or distribution license holder OIZ is obliged to sign the system use agreement within nine months at the latest following the notification of TEİAŞ and to transfer the load to the transformer center based on the request. "</w:t>
      </w:r>
    </w:p>
    <w:p w14:paraId="11DAF9BC" w14:textId="77777777" w:rsidR="00171C59" w:rsidRPr="009E1B38" w:rsidRDefault="00171C59" w:rsidP="00171C59">
      <w:pPr>
        <w:pStyle w:val="ListeParagraf"/>
        <w:ind w:left="709"/>
        <w:jc w:val="left"/>
        <w:rPr>
          <w:rFonts w:ascii="Times New Roman" w:hAnsi="Times New Roman"/>
          <w:i/>
        </w:rPr>
      </w:pPr>
    </w:p>
    <w:p w14:paraId="18AB6DF4" w14:textId="77777777" w:rsidR="00171C59" w:rsidRPr="009E1B38" w:rsidRDefault="00171C59" w:rsidP="003C5E4D">
      <w:pPr>
        <w:pStyle w:val="ListeParagraf"/>
        <w:numPr>
          <w:ilvl w:val="0"/>
          <w:numId w:val="83"/>
        </w:numPr>
        <w:spacing w:after="160" w:line="259" w:lineRule="auto"/>
        <w:ind w:left="709" w:firstLine="0"/>
        <w:jc w:val="left"/>
        <w:rPr>
          <w:rFonts w:ascii="Times New Roman" w:hAnsi="Times New Roman"/>
        </w:rPr>
      </w:pPr>
      <w:r w:rsidRPr="009E1B38">
        <w:rPr>
          <w:rFonts w:ascii="Times New Roman" w:hAnsi="Times New Roman"/>
        </w:rPr>
        <w:t>The second and third paragraphs of Article 9</w:t>
      </w:r>
      <w:r w:rsidRPr="009E1B38">
        <w:rPr>
          <w:rFonts w:ascii="Times New Roman" w:hAnsi="Times New Roman"/>
          <w:i/>
        </w:rPr>
        <w:t xml:space="preserve"> titled "Separation from the transmission system" </w:t>
      </w:r>
      <w:r w:rsidRPr="009E1B38">
        <w:rPr>
          <w:rFonts w:ascii="Times New Roman" w:hAnsi="Times New Roman"/>
        </w:rPr>
        <w:t>have been amended as follows.</w:t>
      </w:r>
    </w:p>
    <w:p w14:paraId="03A5D627" w14:textId="77777777" w:rsidR="00171C59" w:rsidRPr="009E1B38" w:rsidRDefault="00171C59" w:rsidP="00171C59">
      <w:pPr>
        <w:pStyle w:val="ListeParagraf"/>
        <w:ind w:left="709"/>
        <w:jc w:val="left"/>
        <w:rPr>
          <w:rFonts w:ascii="Times New Roman" w:hAnsi="Times New Roman"/>
        </w:rPr>
      </w:pPr>
    </w:p>
    <w:p w14:paraId="0C15459A" w14:textId="77777777" w:rsidR="00171C59" w:rsidRPr="009E1B38" w:rsidRDefault="00171C59" w:rsidP="00171C59">
      <w:pPr>
        <w:pStyle w:val="ListeParagraf"/>
        <w:ind w:left="709"/>
        <w:jc w:val="left"/>
        <w:rPr>
          <w:rFonts w:ascii="Times New Roman" w:hAnsi="Times New Roman"/>
        </w:rPr>
      </w:pPr>
    </w:p>
    <w:p w14:paraId="271BD79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rPr>
        <w:t>"</w:t>
      </w:r>
      <w:r w:rsidRPr="009E1B38">
        <w:rPr>
          <w:rFonts w:ascii="Times New Roman" w:hAnsi="Times New Roman"/>
          <w:i/>
        </w:rPr>
        <w:t xml:space="preserve">(2) </w:t>
      </w:r>
      <w:r w:rsidRPr="009E1B38">
        <w:rPr>
          <w:rFonts w:ascii="Times New Roman" w:hAnsi="Times New Roman"/>
        </w:rPr>
        <w:t>If</w:t>
      </w:r>
      <w:r w:rsidRPr="009E1B38">
        <w:rPr>
          <w:rFonts w:ascii="Times New Roman" w:hAnsi="Times New Roman"/>
          <w:i/>
        </w:rPr>
        <w:t xml:space="preserve"> TEİAŞ and the user do not agree for a different period of time, they shall remove their assets on each other's land within six months following the physical disconnection of the system. If TEİAŞ and the user agree, this period may be extended up to two years.</w:t>
      </w:r>
    </w:p>
    <w:p w14:paraId="722ADA53" w14:textId="77777777" w:rsidR="00171C59" w:rsidRPr="009E1B38" w:rsidRDefault="00171C59" w:rsidP="00171C59">
      <w:pPr>
        <w:pStyle w:val="ListeParagraf"/>
        <w:ind w:left="709"/>
        <w:jc w:val="left"/>
        <w:rPr>
          <w:rFonts w:ascii="Times New Roman" w:hAnsi="Times New Roman"/>
          <w:i/>
        </w:rPr>
      </w:pPr>
    </w:p>
    <w:p w14:paraId="7106A8DF" w14:textId="77777777" w:rsidR="00171C59" w:rsidRPr="009E1B38" w:rsidRDefault="00171C59" w:rsidP="00171C59">
      <w:pPr>
        <w:ind w:left="709"/>
        <w:jc w:val="left"/>
        <w:rPr>
          <w:rFonts w:ascii="Times New Roman" w:hAnsi="Times New Roman"/>
          <w:i/>
        </w:rPr>
      </w:pPr>
      <w:r w:rsidRPr="009E1B38">
        <w:rPr>
          <w:rFonts w:ascii="Times New Roman" w:hAnsi="Times New Roman"/>
          <w:i/>
        </w:rPr>
        <w:t>(3) In the event that the user who leaves the transmission system for any reason requests to reconnect to the transmission system from the same point within one year from the date of departure, the user is obliged to pay TEİAŞ the price calculated according to the fixed transmission costs of the relevant period over the previous agreement power for the period from the date of departure to the date of reconnection. "</w:t>
      </w:r>
    </w:p>
    <w:p w14:paraId="278963A1" w14:textId="77777777" w:rsidR="00171C59" w:rsidRPr="009E1B38" w:rsidRDefault="00171C59" w:rsidP="00171C59">
      <w:pPr>
        <w:pStyle w:val="ListeParagraf"/>
        <w:ind w:left="709"/>
        <w:jc w:val="left"/>
        <w:rPr>
          <w:rFonts w:ascii="Times New Roman" w:hAnsi="Times New Roman"/>
        </w:rPr>
      </w:pPr>
    </w:p>
    <w:p w14:paraId="5CBFF1A0" w14:textId="77777777" w:rsidR="00171C59" w:rsidRPr="009E1B38" w:rsidRDefault="00171C59" w:rsidP="003C5E4D">
      <w:pPr>
        <w:pStyle w:val="ListeParagraf"/>
        <w:numPr>
          <w:ilvl w:val="0"/>
          <w:numId w:val="83"/>
        </w:numPr>
        <w:spacing w:after="160" w:line="259" w:lineRule="auto"/>
        <w:ind w:left="709" w:firstLine="0"/>
        <w:jc w:val="left"/>
        <w:rPr>
          <w:rFonts w:ascii="Times New Roman" w:hAnsi="Times New Roman"/>
        </w:rPr>
      </w:pPr>
      <w:r w:rsidRPr="009E1B38">
        <w:rPr>
          <w:rFonts w:ascii="Times New Roman" w:hAnsi="Times New Roman"/>
        </w:rPr>
        <w:t xml:space="preserve">The fourth and fifth paragraphs of Article 10/A titled </w:t>
      </w:r>
      <w:r w:rsidRPr="009E1B38">
        <w:rPr>
          <w:rFonts w:ascii="Times New Roman" w:hAnsi="Times New Roman"/>
          <w:i/>
        </w:rPr>
        <w:t>"Connection opinion"</w:t>
      </w:r>
      <w:r w:rsidRPr="009E1B38">
        <w:rPr>
          <w:rFonts w:ascii="Times New Roman" w:hAnsi="Times New Roman"/>
        </w:rPr>
        <w:t xml:space="preserve"> have been amended as follows and the following paragraphs have been added to the same article.</w:t>
      </w:r>
    </w:p>
    <w:p w14:paraId="4AA574AB" w14:textId="77777777" w:rsidR="00171C59" w:rsidRPr="009E1B38" w:rsidRDefault="00171C59" w:rsidP="00171C59">
      <w:pPr>
        <w:pStyle w:val="ListeParagraf"/>
        <w:ind w:left="709"/>
        <w:jc w:val="left"/>
        <w:rPr>
          <w:rFonts w:ascii="Times New Roman" w:hAnsi="Times New Roman"/>
        </w:rPr>
      </w:pPr>
    </w:p>
    <w:p w14:paraId="4879B364"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 xml:space="preserve">(4)  </w:t>
      </w:r>
      <w:r w:rsidRPr="009E1B38">
        <w:rPr>
          <w:rFonts w:ascii="Times New Roman" w:hAnsi="Times New Roman"/>
          <w:i/>
        </w:rPr>
        <w:t>In terms of consumption facilities for which connection is requested;</w:t>
      </w:r>
    </w:p>
    <w:p w14:paraId="7FE3D30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As a result of the examination to be made by the distribution company, within seven working days from the date of application, the connection opinion including a reasonable period and reasons for meeting the connection request determined by taking into account the provisions of the fifth paragraph shall be notified to the applicant in writing or electronically if requested by the user.</w:t>
      </w:r>
      <w:r w:rsidRPr="009E1B38">
        <w:rPr>
          <w:rFonts w:ascii="Times New Roman" w:hAnsi="Times New Roman"/>
        </w:rPr>
        <w:t xml:space="preserve"> </w:t>
      </w:r>
      <w:r w:rsidRPr="009E1B38">
        <w:rPr>
          <w:rFonts w:ascii="Times New Roman" w:hAnsi="Times New Roman"/>
          <w:i/>
        </w:rPr>
        <w:t>In the said connection opinion; information regarding connection time, connection voltage level, scope of distribution facilities and/or connection line required to be installed, connection price and line participation according to the obligations of the parties and the connection line stipulated are included according to the stipulated connection date or the stipulated connection date of the connection agreement.</w:t>
      </w:r>
      <w:r w:rsidRPr="009E1B38">
        <w:rPr>
          <w:rFonts w:ascii="Times New Roman" w:hAnsi="Times New Roman"/>
        </w:rPr>
        <w:t xml:space="preserve"> </w:t>
      </w:r>
      <w:r w:rsidRPr="009E1B38">
        <w:rPr>
          <w:rFonts w:ascii="Times New Roman" w:hAnsi="Times New Roman"/>
          <w:i/>
        </w:rPr>
        <w:t>The validity period of the connection opinion cannot be less than sixty days.</w:t>
      </w:r>
    </w:p>
    <w:p w14:paraId="62247DC0" w14:textId="77777777" w:rsidR="00171C59" w:rsidRPr="009E1B38" w:rsidRDefault="00171C59" w:rsidP="00171C59">
      <w:pPr>
        <w:ind w:left="709"/>
        <w:jc w:val="left"/>
        <w:rPr>
          <w:rFonts w:ascii="Times New Roman" w:hAnsi="Times New Roman"/>
          <w:i/>
        </w:rPr>
      </w:pPr>
      <w:r w:rsidRPr="009E1B38">
        <w:rPr>
          <w:rFonts w:ascii="Times New Roman" w:hAnsi="Times New Roman"/>
          <w:i/>
        </w:rPr>
        <w:t>(5) The connection request of the applicant who is a consumer shall be met within the following conditions:</w:t>
      </w:r>
    </w:p>
    <w:p w14:paraId="2CF91B79" w14:textId="77777777" w:rsidR="00171C59" w:rsidRPr="009E1B38" w:rsidRDefault="00171C59" w:rsidP="00171C59">
      <w:pPr>
        <w:ind w:left="709"/>
        <w:jc w:val="left"/>
        <w:rPr>
          <w:rFonts w:ascii="Times New Roman" w:hAnsi="Times New Roman"/>
          <w:i/>
        </w:rPr>
      </w:pPr>
      <w:r w:rsidRPr="009E1B38">
        <w:rPr>
          <w:rFonts w:ascii="Times New Roman" w:hAnsi="Times New Roman"/>
          <w:i/>
        </w:rPr>
        <w:t>a) From the date of the signing of the connection agreement, the connection requests for the places of use in the residential area is essential to be met within;</w:t>
      </w:r>
    </w:p>
    <w:p w14:paraId="6B9FB9EF"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lastRenderedPageBreak/>
        <w:t>Two months where only the LV connection line is required,</w:t>
      </w:r>
    </w:p>
    <w:p w14:paraId="69AD02E1"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In cases where capacity increase or additional installation is required in the existing LV network and in cases where power increase is required in the existing distribution transformer facility, four months,</w:t>
      </w:r>
    </w:p>
    <w:p w14:paraId="2D5451B9"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In cases where a new distribution transformer or distribution center needs to be built, six months,</w:t>
      </w:r>
    </w:p>
    <w:p w14:paraId="16CFF3D6"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In cases where only MV connection line is required, four months,</w:t>
      </w:r>
    </w:p>
    <w:p w14:paraId="42CA131D"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Six months in cases where MV network is required to be installed up to two km outside of MV connection line,</w:t>
      </w:r>
    </w:p>
    <w:p w14:paraId="5D4C061E"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Eighteen months in cases where an MV network longer than two km needs to be installed outside the MV connection line.</w:t>
      </w:r>
    </w:p>
    <w:p w14:paraId="48938AC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In cases where an excavation permit is required in relation to the facilities required for connection, two months shall be added to the relevant period specified in clause (a) and, if any, excavation prohibition shall be taken into account in determining the connection date of the period applied.</w:t>
      </w:r>
    </w:p>
    <w:p w14:paraId="5F400B5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In the absence of a suitable place where the distribution transformer or distribution center required for connection can be established, six months shall be added to the relevant period in clause (a).</w:t>
      </w:r>
      <w:r w:rsidRPr="009E1B38">
        <w:rPr>
          <w:rFonts w:ascii="Times New Roman" w:hAnsi="Times New Roman"/>
        </w:rPr>
        <w:t xml:space="preserve"> </w:t>
      </w:r>
      <w:r w:rsidRPr="009E1B38">
        <w:rPr>
          <w:rFonts w:ascii="Times New Roman" w:hAnsi="Times New Roman"/>
          <w:i/>
        </w:rPr>
        <w:t>However, if the required place is allocated by the user, this period shall not be added.</w:t>
      </w:r>
    </w:p>
    <w:p w14:paraId="3700365D" w14:textId="6664CC5E"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If the facility investment required to be made to meet the connection request includes two or more of the periods specified in clause (a) the longer of the periods determined by considering clauses (a), (b) and (c) shall be taken as basis in meeting the connection request.</w:t>
      </w:r>
    </w:p>
    <w:p w14:paraId="1E32703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In terms of the permits and processes in clauses (b) and (c), provided that the distribution company has applied to the relevant state institution within the period and appropriately; in case the periods specified in clauses (b) and (c) are exceeded due to possible delays in the transaction process in the relevant state institution, the periods in clause (a) shall be added up to the exceeding period.</w:t>
      </w:r>
    </w:p>
    <w:p w14:paraId="1008C7E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   Connection requests for the places of use outside the residential area are met within 5 years at the latest from the date of the user's application for connection.</w:t>
      </w:r>
    </w:p>
    <w:p w14:paraId="3BEA9AE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f)   If the date on which the applicant wishes to connect to the distribution system is later than the date determined in accordance with the provisions of this article, the connection shall be made until the date on which the applicant foresees connecting to the distribution system.</w:t>
      </w:r>
    </w:p>
    <w:p w14:paraId="3246490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g)  Connection requests for the places of use other than agricultural irrigation in the residential area and with an installed power of up to 160 kW on the basis of an independent section shall be met by the LV unless an independent MV connection is preferred by the applicant.</w:t>
      </w:r>
    </w:p>
    <w:p w14:paraId="4D6D07C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ğ)  In cases other than the scope of clause (g), the voltage level to be connected is determined by the distribution company according to the current network conditions and plans.</w:t>
      </w:r>
    </w:p>
    <w:p w14:paraId="6ACF725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h)  In order to meet the connection demands from the AG level in the expansion areas opened to the settlement for the first time in the existing settlements where there is no LV distribution network, connection applications must be made for at least five usage places other than agricultural irrigation in a way that they can be fed from a distribution transformer.</w:t>
      </w:r>
    </w:p>
    <w:p w14:paraId="336378A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ı)  If the existing LV network is suitable and no new investment is required, a positive opinion is given to the connection requests for agricultural irrigation from the well not subject to the license or from streams, ponds and other similar water sources. If the connection request can be met with the capacity increase to be made in the existing distribution network, the connection request is met if the user undertakes the cost of the capacity increase investment. "</w:t>
      </w:r>
    </w:p>
    <w:p w14:paraId="0A17BBB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 xml:space="preserve">"(6) In order to meet the connection demands at the AG level in the usage places outside the residential area, the connection application must be made to the nearest distribution network in a way that it can be fed from a distribution transformer, except for the demands based on agricultural irrigation, for the usage places with a distance of up to two km according to the actual network route, at least five and for </w:t>
      </w:r>
      <w:r w:rsidRPr="009E1B38">
        <w:rPr>
          <w:rFonts w:ascii="Times New Roman" w:hAnsi="Times New Roman"/>
          <w:i/>
        </w:rPr>
        <w:lastRenderedPageBreak/>
        <w:t>the usage places with a distance of up to five km, at least ten usage places.</w:t>
      </w:r>
      <w:r w:rsidRPr="009E1B38">
        <w:rPr>
          <w:rFonts w:ascii="Times New Roman" w:hAnsi="Times New Roman"/>
        </w:rPr>
        <w:t xml:space="preserve"> </w:t>
      </w:r>
      <w:r w:rsidRPr="009E1B38">
        <w:rPr>
          <w:rFonts w:ascii="Times New Roman" w:hAnsi="Times New Roman"/>
          <w:i/>
        </w:rPr>
        <w:t>The connection line distance for the places of use within this scope is applied as two hundred meters for each place of use.</w:t>
      </w:r>
    </w:p>
    <w:p w14:paraId="4B882ACD" w14:textId="77777777" w:rsidR="00171C59" w:rsidRPr="009E1B38" w:rsidRDefault="00171C59" w:rsidP="00171C59">
      <w:pPr>
        <w:pStyle w:val="ListeParagraf"/>
        <w:ind w:left="709"/>
        <w:jc w:val="left"/>
        <w:rPr>
          <w:rFonts w:ascii="Times New Roman" w:hAnsi="Times New Roman"/>
          <w:i/>
        </w:rPr>
      </w:pPr>
    </w:p>
    <w:p w14:paraId="41DEC879"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With the consent of the relevant transformer owner from the transformer belonging to a MV user connection can be made with a separate measuring system as a separate user for a maximum of five uses;</w:t>
      </w:r>
    </w:p>
    <w:p w14:paraId="1ABDA72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Outside the residential area,</w:t>
      </w:r>
    </w:p>
    <w:p w14:paraId="78C2F4F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Located in the residential area and located in the same or adjacent parcel with the relevant MV user.</w:t>
      </w:r>
    </w:p>
    <w:p w14:paraId="6A3C612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In this case, the transformer in question is not considered as a facility that has become a common use and the users connected from this transformer are considered as MV users.</w:t>
      </w:r>
      <w:r w:rsidRPr="009E1B38">
        <w:rPr>
          <w:rFonts w:ascii="Times New Roman" w:hAnsi="Times New Roman"/>
        </w:rPr>
        <w:t xml:space="preserve"> </w:t>
      </w:r>
      <w:r w:rsidRPr="009E1B38">
        <w:rPr>
          <w:rFonts w:ascii="Times New Roman" w:hAnsi="Times New Roman"/>
          <w:i/>
        </w:rPr>
        <w:t>In the event that the sixth user will be connected to a facility in this case, it is accepted that the facility in question has become a common use and the transaction is carried out within the scope of Article 37. "</w:t>
      </w:r>
    </w:p>
    <w:p w14:paraId="2966E7DC" w14:textId="77777777" w:rsidR="00171C59" w:rsidRPr="009E1B38" w:rsidRDefault="00171C59" w:rsidP="00171C59">
      <w:pPr>
        <w:pStyle w:val="ListeParagraf"/>
        <w:ind w:left="709"/>
        <w:jc w:val="left"/>
        <w:rPr>
          <w:rFonts w:ascii="Times New Roman" w:hAnsi="Times New Roman"/>
          <w:i/>
        </w:rPr>
      </w:pPr>
    </w:p>
    <w:p w14:paraId="6BD9B797"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Article 10/B titled</w:t>
      </w:r>
      <w:r w:rsidRPr="009E1B38">
        <w:rPr>
          <w:rFonts w:ascii="Times New Roman" w:hAnsi="Times New Roman"/>
          <w:i/>
        </w:rPr>
        <w:t xml:space="preserve"> “Connection line”</w:t>
      </w:r>
      <w:r w:rsidRPr="009E1B38">
        <w:rPr>
          <w:rFonts w:ascii="Times New Roman" w:hAnsi="Times New Roman"/>
        </w:rPr>
        <w:t xml:space="preserve"> is amended as follows.</w:t>
      </w:r>
    </w:p>
    <w:p w14:paraId="1A64FF70" w14:textId="77777777" w:rsidR="00171C59" w:rsidRPr="009E1B38" w:rsidRDefault="00171C59" w:rsidP="00171C59">
      <w:pPr>
        <w:pStyle w:val="ListeParagraf"/>
        <w:ind w:left="709"/>
        <w:jc w:val="left"/>
        <w:rPr>
          <w:rFonts w:ascii="Times New Roman" w:hAnsi="Times New Roman"/>
          <w:i/>
        </w:rPr>
      </w:pPr>
    </w:p>
    <w:p w14:paraId="2FA82E9A" w14:textId="77777777" w:rsidR="00171C59" w:rsidRPr="009E1B38" w:rsidRDefault="00171C59" w:rsidP="00171C59">
      <w:pPr>
        <w:ind w:left="709"/>
        <w:jc w:val="left"/>
        <w:rPr>
          <w:rFonts w:ascii="Times New Roman" w:hAnsi="Times New Roman"/>
          <w:b/>
          <w:i/>
        </w:rPr>
      </w:pPr>
      <w:r w:rsidRPr="009E1B38">
        <w:rPr>
          <w:rFonts w:ascii="Times New Roman" w:hAnsi="Times New Roman"/>
          <w:b/>
          <w:i/>
        </w:rPr>
        <w:t>"ARTICLE 10/B</w:t>
      </w:r>
    </w:p>
    <w:p w14:paraId="62108549" w14:textId="77777777" w:rsidR="00171C59" w:rsidRPr="009E1B38" w:rsidRDefault="00171C59" w:rsidP="00171C59">
      <w:pPr>
        <w:ind w:left="709"/>
        <w:jc w:val="left"/>
        <w:rPr>
          <w:rFonts w:ascii="Times New Roman" w:hAnsi="Times New Roman"/>
          <w:b/>
          <w:i/>
        </w:rPr>
      </w:pPr>
    </w:p>
    <w:p w14:paraId="2ED63C54"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If the place subject to the connection request is a consumption facility, the part of the connection line to be established in order to ensure the connection of the relevant consumption facility to the distribution network outside the land boundaries owned by the user cannot be longer;</w:t>
      </w:r>
    </w:p>
    <w:p w14:paraId="6BD53130" w14:textId="77777777" w:rsidR="00171C59" w:rsidRPr="009E1B38" w:rsidRDefault="00171C59" w:rsidP="003C5E4D">
      <w:pPr>
        <w:pStyle w:val="ListeParagraf"/>
        <w:numPr>
          <w:ilvl w:val="0"/>
          <w:numId w:val="89"/>
        </w:numPr>
        <w:spacing w:after="160" w:line="259" w:lineRule="auto"/>
        <w:ind w:left="709" w:firstLine="0"/>
        <w:jc w:val="left"/>
        <w:rPr>
          <w:rFonts w:ascii="Times New Roman" w:hAnsi="Times New Roman"/>
          <w:i/>
        </w:rPr>
      </w:pPr>
      <w:r w:rsidRPr="009E1B38">
        <w:rPr>
          <w:rFonts w:ascii="Times New Roman" w:hAnsi="Times New Roman"/>
          <w:i/>
        </w:rPr>
        <w:t>More than five hundred meters for MV users in the residential area,</w:t>
      </w:r>
    </w:p>
    <w:p w14:paraId="6CCCF3FF" w14:textId="77777777" w:rsidR="00171C59" w:rsidRPr="009E1B38" w:rsidRDefault="00171C59" w:rsidP="003C5E4D">
      <w:pPr>
        <w:pStyle w:val="ListeParagraf"/>
        <w:numPr>
          <w:ilvl w:val="0"/>
          <w:numId w:val="89"/>
        </w:numPr>
        <w:spacing w:after="160" w:line="259" w:lineRule="auto"/>
        <w:ind w:left="709" w:firstLine="0"/>
        <w:jc w:val="left"/>
        <w:rPr>
          <w:rFonts w:ascii="Times New Roman" w:hAnsi="Times New Roman"/>
          <w:i/>
        </w:rPr>
      </w:pPr>
      <w:r w:rsidRPr="009E1B38">
        <w:rPr>
          <w:rFonts w:ascii="Times New Roman" w:hAnsi="Times New Roman"/>
          <w:i/>
        </w:rPr>
        <w:t>Sixty meters for the LV user in the residential area, more than one hundred and twenty meters if there is more than one user,</w:t>
      </w:r>
    </w:p>
    <w:p w14:paraId="0DB97DB1" w14:textId="77777777" w:rsidR="00171C59" w:rsidRPr="009E1B38" w:rsidRDefault="00171C59" w:rsidP="003C5E4D">
      <w:pPr>
        <w:pStyle w:val="ListeParagraf"/>
        <w:numPr>
          <w:ilvl w:val="0"/>
          <w:numId w:val="89"/>
        </w:numPr>
        <w:spacing w:after="160" w:line="259" w:lineRule="auto"/>
        <w:ind w:left="709" w:firstLine="0"/>
        <w:jc w:val="left"/>
        <w:rPr>
          <w:rFonts w:ascii="Times New Roman" w:hAnsi="Times New Roman"/>
          <w:i/>
        </w:rPr>
      </w:pPr>
      <w:r w:rsidRPr="009E1B38">
        <w:rPr>
          <w:rFonts w:ascii="Times New Roman" w:hAnsi="Times New Roman"/>
          <w:i/>
        </w:rPr>
        <w:t>More than two hundred meters for LV users located outside the residential area.</w:t>
      </w:r>
    </w:p>
    <w:p w14:paraId="2017B31D"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For the consumption facilities where the place subject to the connection request is outside the residential area and the connection opinion is given from the MV level, no distance limit shall be applied for the length of the connection line.</w:t>
      </w:r>
    </w:p>
    <w:p w14:paraId="483F21C6" w14:textId="77777777" w:rsidR="00171C59" w:rsidRPr="009E1B38" w:rsidRDefault="00171C59" w:rsidP="00171C59">
      <w:pPr>
        <w:pStyle w:val="ListeParagraf"/>
        <w:ind w:left="709"/>
        <w:jc w:val="left"/>
        <w:rPr>
          <w:rFonts w:ascii="Times New Roman" w:hAnsi="Times New Roman"/>
          <w:i/>
        </w:rPr>
      </w:pPr>
    </w:p>
    <w:p w14:paraId="38FF7249"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The connection line specified in the first and second paragraphs may be established by the user if preferred.</w:t>
      </w:r>
      <w:r w:rsidRPr="009E1B38">
        <w:rPr>
          <w:rFonts w:ascii="Times New Roman" w:hAnsi="Times New Roman"/>
        </w:rPr>
        <w:t xml:space="preserve"> </w:t>
      </w:r>
      <w:r w:rsidRPr="009E1B38">
        <w:rPr>
          <w:rFonts w:ascii="Times New Roman" w:hAnsi="Times New Roman"/>
          <w:i/>
        </w:rPr>
        <w:t>In this case, the connection fee is not paid by the relevant user.</w:t>
      </w:r>
      <w:r w:rsidRPr="009E1B38">
        <w:rPr>
          <w:rFonts w:ascii="Times New Roman" w:hAnsi="Times New Roman"/>
        </w:rPr>
        <w:t xml:space="preserve"> </w:t>
      </w:r>
      <w:r w:rsidRPr="009E1B38">
        <w:rPr>
          <w:rFonts w:ascii="Times New Roman" w:hAnsi="Times New Roman"/>
          <w:i/>
        </w:rPr>
        <w:t>If this is not preferred, the connection fee is paid by the user and the connection line is established by the distribution company.</w:t>
      </w:r>
    </w:p>
    <w:p w14:paraId="3AD02DB1" w14:textId="77777777" w:rsidR="00171C59" w:rsidRPr="009E1B38" w:rsidRDefault="00171C59" w:rsidP="00171C59">
      <w:pPr>
        <w:pStyle w:val="ListeParagraf"/>
        <w:ind w:left="709"/>
        <w:jc w:val="left"/>
        <w:rPr>
          <w:rFonts w:ascii="Times New Roman" w:hAnsi="Times New Roman"/>
          <w:i/>
        </w:rPr>
      </w:pPr>
    </w:p>
    <w:p w14:paraId="5F75AA9A"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No distance limit shall be applied for the length of the connection line for the generation plants.</w:t>
      </w:r>
    </w:p>
    <w:p w14:paraId="401EC4D7" w14:textId="77777777" w:rsidR="00171C59" w:rsidRPr="009E1B38" w:rsidRDefault="00171C59" w:rsidP="00171C59">
      <w:pPr>
        <w:pStyle w:val="ListeParagraf"/>
        <w:ind w:left="709"/>
        <w:jc w:val="left"/>
        <w:rPr>
          <w:rFonts w:ascii="Times New Roman" w:hAnsi="Times New Roman"/>
          <w:i/>
        </w:rPr>
      </w:pPr>
    </w:p>
    <w:p w14:paraId="77723F59"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In cases where the connection line for the generation plants is established by the distribution company following the payment of the connection price, the payments required by the immovable supply, forest and road pass permits and compulsory costs such as the excavation price shall be covered by the relevant user.</w:t>
      </w:r>
      <w:r w:rsidRPr="009E1B38">
        <w:rPr>
          <w:rFonts w:ascii="Times New Roman" w:hAnsi="Times New Roman"/>
        </w:rPr>
        <w:t xml:space="preserve"> </w:t>
      </w:r>
      <w:r w:rsidRPr="009E1B38">
        <w:rPr>
          <w:rFonts w:ascii="Times New Roman" w:hAnsi="Times New Roman"/>
          <w:i/>
        </w:rPr>
        <w:t>In cases where the connection line will be established by the manufacturers, if necessary, the preparation of the immovable supply files, the payments required by the immovable supply, the payment of the compulsory costs such as forest and road pass permits and the excavation cost belong to the user and the expropriation and permit procedures are carried out in accordance with the procedures related to the distribution facility.</w:t>
      </w:r>
    </w:p>
    <w:p w14:paraId="74F531F7" w14:textId="77777777" w:rsidR="00171C59" w:rsidRPr="009E1B38" w:rsidRDefault="00171C59" w:rsidP="00171C59">
      <w:pPr>
        <w:pStyle w:val="ListeParagraf"/>
        <w:ind w:left="709"/>
        <w:jc w:val="left"/>
        <w:rPr>
          <w:rFonts w:ascii="Times New Roman" w:hAnsi="Times New Roman"/>
          <w:i/>
        </w:rPr>
      </w:pPr>
    </w:p>
    <w:p w14:paraId="7D8ABBA6"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If the connection line is to be established by the user within the scope of the first, second and fourth paragraphs, a facility construction contract is signed between the distribution company and the user regarding the establishment, usage rights and transfer of the connection line.</w:t>
      </w:r>
      <w:r w:rsidRPr="009E1B38">
        <w:rPr>
          <w:rFonts w:ascii="Times New Roman" w:hAnsi="Times New Roman"/>
        </w:rPr>
        <w:t xml:space="preserve"> </w:t>
      </w:r>
      <w:r w:rsidRPr="009E1B38">
        <w:rPr>
          <w:rFonts w:ascii="Times New Roman" w:hAnsi="Times New Roman"/>
          <w:i/>
        </w:rPr>
        <w:t xml:space="preserve">Five years after the connection line energization date under the eighth paragraph, other connection lines shall be deemed to have been transferred to the distribution company without the need for any action on the date of </w:t>
      </w:r>
      <w:r w:rsidRPr="009E1B38">
        <w:rPr>
          <w:rFonts w:ascii="Times New Roman" w:hAnsi="Times New Roman"/>
          <w:i/>
        </w:rPr>
        <w:lastRenderedPageBreak/>
        <w:t>energization.</w:t>
      </w:r>
      <w:r w:rsidRPr="009E1B38">
        <w:rPr>
          <w:rFonts w:ascii="Times New Roman" w:hAnsi="Times New Roman"/>
        </w:rPr>
        <w:t xml:space="preserve"> </w:t>
      </w:r>
      <w:r w:rsidRPr="009E1B38">
        <w:rPr>
          <w:rFonts w:ascii="Times New Roman" w:hAnsi="Times New Roman"/>
          <w:i/>
        </w:rPr>
        <w:t>The relevant provision is included in the facility construction contract.</w:t>
      </w:r>
      <w:r w:rsidRPr="009E1B38">
        <w:rPr>
          <w:rFonts w:ascii="Times New Roman" w:hAnsi="Times New Roman"/>
        </w:rPr>
        <w:t xml:space="preserve"> </w:t>
      </w:r>
      <w:r w:rsidRPr="009E1B38">
        <w:rPr>
          <w:rFonts w:ascii="Times New Roman" w:hAnsi="Times New Roman"/>
          <w:i/>
        </w:rPr>
        <w:t>The responsibility for preparing the project for the connection line belongs to the user, however, it can be prepared by the distribution company and given to the user.</w:t>
      </w:r>
    </w:p>
    <w:p w14:paraId="4E4DD74D" w14:textId="77777777" w:rsidR="00171C59" w:rsidRPr="009E1B38" w:rsidRDefault="00171C59" w:rsidP="00171C59">
      <w:pPr>
        <w:pStyle w:val="ListeParagraf"/>
        <w:ind w:left="709"/>
        <w:jc w:val="left"/>
        <w:rPr>
          <w:rFonts w:ascii="Times New Roman" w:hAnsi="Times New Roman"/>
          <w:i/>
        </w:rPr>
      </w:pPr>
    </w:p>
    <w:p w14:paraId="1B497287"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Provisional acceptance procedures for the connection line established within the scope of the sixth paragraph shall be carried out within fifteen days from the notification made by the user to the distribution company that the facility is ready for acceptance in cases where the authority is in the distribution company and the result shall be notified to the user.</w:t>
      </w:r>
      <w:r w:rsidRPr="009E1B38">
        <w:rPr>
          <w:rFonts w:ascii="Times New Roman" w:hAnsi="Times New Roman"/>
        </w:rPr>
        <w:t xml:space="preserve"> </w:t>
      </w:r>
      <w:r w:rsidRPr="009E1B38">
        <w:rPr>
          <w:rFonts w:ascii="Times New Roman" w:hAnsi="Times New Roman"/>
          <w:i/>
        </w:rPr>
        <w:t>If the acceptance authority belongs to a third party other than the distribution company, the distribution company shall apply for provisional acceptance to the authorized institution/organization within five days from the notification made by the user to the distribution company that the facility is ready for acceptance.</w:t>
      </w:r>
    </w:p>
    <w:p w14:paraId="6BBB5871" w14:textId="77777777" w:rsidR="00171C59" w:rsidRPr="009E1B38" w:rsidRDefault="00171C59" w:rsidP="00171C59">
      <w:pPr>
        <w:pStyle w:val="ListeParagraf"/>
        <w:ind w:left="709"/>
        <w:jc w:val="left"/>
        <w:rPr>
          <w:rFonts w:ascii="Times New Roman" w:hAnsi="Times New Roman"/>
          <w:i/>
        </w:rPr>
      </w:pPr>
    </w:p>
    <w:p w14:paraId="0D3CD81F"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MV connection lines longer than five hundred meters in relation to consumption facilities located outside the residential area and where connection opinion is given at MV level and connection lines established for connection of producers to distribution network shall maintain connection line quality for five years from the date of energization and shall be included in the scope of distribution network at the end of this period.</w:t>
      </w:r>
      <w:r w:rsidRPr="009E1B38">
        <w:rPr>
          <w:rFonts w:ascii="Times New Roman" w:hAnsi="Times New Roman"/>
        </w:rPr>
        <w:t xml:space="preserve"> </w:t>
      </w:r>
      <w:r w:rsidRPr="009E1B38">
        <w:rPr>
          <w:rFonts w:ascii="Times New Roman" w:hAnsi="Times New Roman"/>
          <w:i/>
        </w:rPr>
        <w:t>The operation and maintenance of the connection lines is the responsibility of the distribution company from the energization of the facilities.</w:t>
      </w:r>
    </w:p>
    <w:p w14:paraId="723BD47B"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Other real or legal entities may benefit from the connection lines without the consent of the user who established the connection line or paid the connection fee or line participation fee.</w:t>
      </w:r>
      <w:r w:rsidRPr="009E1B38">
        <w:rPr>
          <w:rFonts w:ascii="Times New Roman" w:hAnsi="Times New Roman"/>
        </w:rPr>
        <w:t xml:space="preserve"> </w:t>
      </w:r>
      <w:r w:rsidRPr="009E1B38">
        <w:rPr>
          <w:rFonts w:ascii="Times New Roman" w:hAnsi="Times New Roman"/>
          <w:i/>
        </w:rPr>
        <w:t>In the event that the connection requests of other real or legal entities are met from this line until the connection line is included in the scope of the distribution network, the new user/users foreseen to be connected to the existing connection line shall pay the user/users who establish the connection line or pay the connection fee or the line participation fee in relation to this line, the line participation fee determined depending on the connection power and the distance to be provided.</w:t>
      </w:r>
      <w:r w:rsidRPr="009E1B38">
        <w:rPr>
          <w:rFonts w:ascii="Times New Roman" w:hAnsi="Times New Roman"/>
        </w:rPr>
        <w:t xml:space="preserve"> </w:t>
      </w:r>
      <w:r w:rsidRPr="009E1B38">
        <w:rPr>
          <w:rFonts w:ascii="Times New Roman" w:hAnsi="Times New Roman"/>
          <w:i/>
        </w:rPr>
        <w:t>The procedures and principles regarding the determination and payment of the line participation fee are included in the tariff regulations regarding the connection fee.</w:t>
      </w:r>
    </w:p>
    <w:p w14:paraId="7C536DDD" w14:textId="77777777" w:rsidR="00171C59" w:rsidRPr="009E1B38" w:rsidRDefault="00171C59" w:rsidP="00171C59">
      <w:pPr>
        <w:pStyle w:val="ListeParagraf"/>
        <w:ind w:left="709"/>
        <w:jc w:val="left"/>
        <w:rPr>
          <w:rFonts w:ascii="Times New Roman" w:hAnsi="Times New Roman"/>
          <w:i/>
        </w:rPr>
      </w:pPr>
    </w:p>
    <w:p w14:paraId="27AAA8CE" w14:textId="440111D5"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Although it is necessary for the connection of the user, the facilities within the scope of the distribution facility outside the connection line are established by the distribution companies.</w:t>
      </w:r>
      <w:r w:rsidRPr="009E1B38">
        <w:rPr>
          <w:rFonts w:ascii="Times New Roman" w:hAnsi="Times New Roman"/>
        </w:rPr>
        <w:t xml:space="preserve"> </w:t>
      </w:r>
      <w:r w:rsidRPr="009E1B38">
        <w:rPr>
          <w:rFonts w:ascii="Times New Roman" w:hAnsi="Times New Roman"/>
          <w:i/>
        </w:rPr>
        <w:t>For the facilities within this scope, action can be taken within the framework of Article 21.</w:t>
      </w:r>
    </w:p>
    <w:p w14:paraId="591AA181" w14:textId="77777777" w:rsidR="00171C59" w:rsidRPr="009E1B38" w:rsidRDefault="00171C59" w:rsidP="00171C59">
      <w:pPr>
        <w:pStyle w:val="ListeParagraf"/>
        <w:ind w:left="709"/>
        <w:jc w:val="left"/>
        <w:rPr>
          <w:rFonts w:ascii="Times New Roman" w:hAnsi="Times New Roman"/>
          <w:i/>
        </w:rPr>
      </w:pPr>
    </w:p>
    <w:p w14:paraId="6DB2B451"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In the event that the user wishes to use the distribution system temporarily, the temporary connection is carried out provided that all facilities up to the connection point are made by the user and the operation, maintenance, repair and renewal works belong to the user.</w:t>
      </w:r>
      <w:r w:rsidRPr="009E1B38">
        <w:rPr>
          <w:rFonts w:ascii="Times New Roman" w:hAnsi="Times New Roman"/>
        </w:rPr>
        <w:t xml:space="preserve"> </w:t>
      </w:r>
      <w:r w:rsidRPr="009E1B38">
        <w:rPr>
          <w:rFonts w:ascii="Times New Roman" w:hAnsi="Times New Roman"/>
          <w:i/>
        </w:rPr>
        <w:t>If another user temporarily wants to connect to the distribution system, third parties may be benefited from these facilities provided that the owner of the temporary facility gives consent.</w:t>
      </w:r>
      <w:r w:rsidRPr="009E1B38">
        <w:rPr>
          <w:rFonts w:ascii="Times New Roman" w:hAnsi="Times New Roman"/>
        </w:rPr>
        <w:t xml:space="preserve"> </w:t>
      </w:r>
      <w:r w:rsidRPr="009E1B38">
        <w:rPr>
          <w:rFonts w:ascii="Times New Roman" w:hAnsi="Times New Roman"/>
          <w:i/>
        </w:rPr>
        <w:t>After the user/users need for temporary connection is eliminated, the temporary facilities that are no longer needed are dismantled by the user.</w:t>
      </w:r>
    </w:p>
    <w:p w14:paraId="7BBC7B30" w14:textId="77777777" w:rsidR="00171C59" w:rsidRPr="009E1B38" w:rsidRDefault="00171C59" w:rsidP="00171C59">
      <w:pPr>
        <w:pStyle w:val="ListeParagraf"/>
        <w:ind w:left="709"/>
        <w:jc w:val="left"/>
        <w:rPr>
          <w:rFonts w:ascii="Times New Roman" w:hAnsi="Times New Roman"/>
          <w:i/>
        </w:rPr>
      </w:pPr>
    </w:p>
    <w:p w14:paraId="08CED2B5"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t>Expropriation is not required for the part of the connection lines within the boundaries of the land owned by the user where the relevant consumption facility is located, unless another user other than the said land is fed from this part. When the displacement of the facilities within this scope is requested by the user, the displacement can be carried out within the same property limits provided that the expenses are covered by the user.</w:t>
      </w:r>
      <w:r w:rsidRPr="009E1B38">
        <w:rPr>
          <w:rFonts w:ascii="Times New Roman" w:hAnsi="Times New Roman"/>
        </w:rPr>
        <w:t xml:space="preserve"> </w:t>
      </w:r>
      <w:r w:rsidRPr="009E1B38">
        <w:rPr>
          <w:rFonts w:ascii="Times New Roman" w:hAnsi="Times New Roman"/>
          <w:i/>
        </w:rPr>
        <w:t>If necessary for the parts of the connection lines other than this, it is the responsibility of the user to obtain a usage permit or consent for private properties, and the distribution company is responsible for the registration or annotation of the permission or consent obtained.</w:t>
      </w:r>
      <w:r w:rsidRPr="009E1B38">
        <w:rPr>
          <w:rFonts w:ascii="Times New Roman" w:hAnsi="Times New Roman"/>
        </w:rPr>
        <w:t xml:space="preserve"> </w:t>
      </w:r>
      <w:r w:rsidRPr="009E1B38">
        <w:rPr>
          <w:rFonts w:ascii="Times New Roman" w:hAnsi="Times New Roman"/>
          <w:i/>
        </w:rPr>
        <w:t>In cases where permission or consent cannot be obtained by the user or if it is necessary for other reasons, expropriation and permission procedures are carried out in accordance with the procedures related to the distribution facility.</w:t>
      </w:r>
    </w:p>
    <w:p w14:paraId="01761D62" w14:textId="77777777" w:rsidR="00171C59" w:rsidRPr="009E1B38" w:rsidRDefault="00171C59" w:rsidP="00171C59">
      <w:pPr>
        <w:pStyle w:val="ListeParagraf"/>
        <w:ind w:left="709"/>
        <w:jc w:val="left"/>
        <w:rPr>
          <w:rFonts w:ascii="Times New Roman" w:hAnsi="Times New Roman"/>
          <w:i/>
        </w:rPr>
      </w:pPr>
    </w:p>
    <w:p w14:paraId="2B51F1D9" w14:textId="77777777" w:rsidR="00171C59" w:rsidRPr="009E1B38" w:rsidRDefault="00171C59" w:rsidP="003C5E4D">
      <w:pPr>
        <w:pStyle w:val="ListeParagraf"/>
        <w:numPr>
          <w:ilvl w:val="0"/>
          <w:numId w:val="88"/>
        </w:numPr>
        <w:spacing w:after="160" w:line="259" w:lineRule="auto"/>
        <w:ind w:left="709" w:firstLine="0"/>
        <w:jc w:val="left"/>
        <w:rPr>
          <w:rFonts w:ascii="Times New Roman" w:hAnsi="Times New Roman"/>
          <w:i/>
        </w:rPr>
      </w:pPr>
      <w:r w:rsidRPr="009E1B38">
        <w:rPr>
          <w:rFonts w:ascii="Times New Roman" w:hAnsi="Times New Roman"/>
          <w:i/>
        </w:rPr>
        <w:lastRenderedPageBreak/>
        <w:t>Excavation permit procedures related to the connection line to be established for the consumption facilities are carried out by the electricity distribution company.</w:t>
      </w:r>
      <w:r w:rsidRPr="009E1B38">
        <w:rPr>
          <w:rFonts w:ascii="Times New Roman" w:hAnsi="Times New Roman"/>
        </w:rPr>
        <w:t xml:space="preserve"> </w:t>
      </w:r>
      <w:r w:rsidRPr="009E1B38">
        <w:rPr>
          <w:rFonts w:ascii="Times New Roman" w:hAnsi="Times New Roman"/>
          <w:i/>
        </w:rPr>
        <w:t>In this case, the costs incurred due to the costs paid to the relevant institutions and organizations related to the excavation are reflected to the user by the distribution company. "</w:t>
      </w:r>
    </w:p>
    <w:p w14:paraId="01B7E2FC" w14:textId="77777777" w:rsidR="00171C59" w:rsidRPr="009E1B38" w:rsidRDefault="00171C59" w:rsidP="00171C59">
      <w:pPr>
        <w:pStyle w:val="ListeParagraf"/>
        <w:ind w:left="709"/>
        <w:jc w:val="left"/>
        <w:rPr>
          <w:rFonts w:ascii="Times New Roman" w:hAnsi="Times New Roman"/>
          <w:i/>
        </w:rPr>
      </w:pPr>
    </w:p>
    <w:p w14:paraId="068B91AA"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Article 12 titled</w:t>
      </w:r>
      <w:r w:rsidRPr="009E1B38">
        <w:rPr>
          <w:rFonts w:ascii="Times New Roman" w:hAnsi="Times New Roman"/>
          <w:i/>
        </w:rPr>
        <w:t xml:space="preserve"> "Connection and system use agreements" </w:t>
      </w:r>
      <w:r w:rsidRPr="009E1B38">
        <w:rPr>
          <w:rFonts w:ascii="Times New Roman" w:hAnsi="Times New Roman"/>
        </w:rPr>
        <w:t>has been amended as follows.</w:t>
      </w:r>
    </w:p>
    <w:p w14:paraId="335FD3C1" w14:textId="77777777" w:rsidR="00171C59" w:rsidRPr="009E1B38" w:rsidRDefault="00171C59" w:rsidP="00171C59">
      <w:pPr>
        <w:pStyle w:val="ListeParagraf"/>
        <w:ind w:left="709"/>
        <w:jc w:val="left"/>
        <w:rPr>
          <w:rFonts w:ascii="Times New Roman" w:hAnsi="Times New Roman"/>
        </w:rPr>
      </w:pPr>
    </w:p>
    <w:p w14:paraId="7E4B73A5"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12</w:t>
      </w:r>
    </w:p>
    <w:p w14:paraId="2FA086C4" w14:textId="77777777" w:rsidR="00171C59" w:rsidRPr="009E1B38" w:rsidRDefault="00171C59" w:rsidP="00171C59">
      <w:pPr>
        <w:pStyle w:val="ListeParagraf"/>
        <w:ind w:left="709"/>
        <w:jc w:val="left"/>
        <w:rPr>
          <w:rFonts w:ascii="Times New Roman" w:hAnsi="Times New Roman"/>
          <w:b/>
          <w:i/>
        </w:rPr>
      </w:pPr>
    </w:p>
    <w:p w14:paraId="3C5ED090" w14:textId="77777777"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The distribution company shall conclude the connection agreement and system utilization agreement with the relevant parties as shown in ANNEX-1 in relation to the facilities deemed suitable to be connected to the distribution system in accordance with the provisions of this Regulation and Electricity Market Distribution Regulation.</w:t>
      </w:r>
      <w:r w:rsidRPr="009E1B38">
        <w:rPr>
          <w:rFonts w:ascii="Times New Roman" w:hAnsi="Times New Roman"/>
        </w:rPr>
        <w:t xml:space="preserve"> </w:t>
      </w:r>
      <w:r w:rsidRPr="009E1B38">
        <w:rPr>
          <w:rFonts w:ascii="Times New Roman" w:hAnsi="Times New Roman"/>
          <w:i/>
        </w:rPr>
        <w:t>Regarding connection and system use, standard connection and system use agreements prepared by distribution companies and approved by the Board in accordance with this Regulation are used between the distribution company and the user.</w:t>
      </w:r>
      <w:r w:rsidRPr="009E1B38">
        <w:rPr>
          <w:rFonts w:ascii="Times New Roman" w:hAnsi="Times New Roman"/>
        </w:rPr>
        <w:t xml:space="preserve"> </w:t>
      </w:r>
      <w:r w:rsidRPr="009E1B38">
        <w:rPr>
          <w:rFonts w:ascii="Times New Roman" w:hAnsi="Times New Roman"/>
          <w:i/>
        </w:rPr>
        <w:t>The general provisions of these agreements may not be amended without the approval of the Board.</w:t>
      </w:r>
      <w:r w:rsidRPr="009E1B38">
        <w:rPr>
          <w:rFonts w:ascii="Times New Roman" w:hAnsi="Times New Roman"/>
        </w:rPr>
        <w:t xml:space="preserve"> </w:t>
      </w:r>
      <w:r w:rsidRPr="009E1B38">
        <w:rPr>
          <w:rFonts w:ascii="Times New Roman" w:hAnsi="Times New Roman"/>
          <w:i/>
        </w:rPr>
        <w:t>The Board may, if necessary, amend the general provisions of these agreements.</w:t>
      </w:r>
    </w:p>
    <w:p w14:paraId="1C740978" w14:textId="77777777" w:rsidR="00171C59" w:rsidRPr="009E1B38" w:rsidRDefault="00171C59" w:rsidP="00171C59">
      <w:pPr>
        <w:pStyle w:val="ListeParagraf"/>
        <w:ind w:left="709"/>
        <w:jc w:val="left"/>
        <w:rPr>
          <w:rFonts w:ascii="Times New Roman" w:hAnsi="Times New Roman"/>
          <w:i/>
        </w:rPr>
      </w:pPr>
    </w:p>
    <w:p w14:paraId="2A9BFC50" w14:textId="77777777"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Regarding the consumption facilities that are given a positive connection opinion by the distribution company; if the applicant applies for the connection opinion within the validity period and fulfills the necessary financial obligations;</w:t>
      </w:r>
    </w:p>
    <w:p w14:paraId="3D2B59F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In cases where a facility contract is not required to be signed, on the same day as the application date, and if this is not possible, on a date to be determined within five working days,</w:t>
      </w:r>
    </w:p>
    <w:p w14:paraId="4327F8F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A facility or financing agreement between the parties regarding the construction of the distribution facility or a facility agreement between the parties regarding the construction of the connection line shall be determined at a date not to exceed twenty working days at the latest,</w:t>
      </w:r>
    </w:p>
    <w:p w14:paraId="6F87864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connection agreement is signed between the distribution company and the applicant.</w:t>
      </w:r>
    </w:p>
    <w:p w14:paraId="3D3659FC" w14:textId="77777777" w:rsidR="00171C59" w:rsidRPr="009E1B38" w:rsidRDefault="00171C59" w:rsidP="00171C59">
      <w:pPr>
        <w:pStyle w:val="ListeParagraf"/>
        <w:ind w:left="709"/>
        <w:jc w:val="left"/>
        <w:rPr>
          <w:rFonts w:ascii="Times New Roman" w:hAnsi="Times New Roman"/>
          <w:i/>
        </w:rPr>
      </w:pPr>
    </w:p>
    <w:p w14:paraId="6926E173" w14:textId="77777777"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In the event that the connection agreement regarding the consumption facilities is made based on the building license and the place subject to the connection request is subject to the building inspection, the distribution company shall request the user to submit the work completion certificate with the document certifying the construction phase (s) of the structure, provided that it is included in the special provisions of the connection agreement.</w:t>
      </w:r>
    </w:p>
    <w:p w14:paraId="13A3EEDE" w14:textId="77777777" w:rsidR="00171C59" w:rsidRPr="009E1B38" w:rsidRDefault="00171C59" w:rsidP="00171C59">
      <w:pPr>
        <w:pStyle w:val="ListeParagraf"/>
        <w:ind w:left="709"/>
        <w:jc w:val="left"/>
        <w:rPr>
          <w:rFonts w:ascii="Times New Roman" w:hAnsi="Times New Roman"/>
          <w:i/>
        </w:rPr>
      </w:pPr>
    </w:p>
    <w:p w14:paraId="130F7851" w14:textId="77777777"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Connection agreements of independent sections in the same site, apartment and similar collective structures foreseen to be fed from the same connection line are signed simultaneously and joint operations are carried out together.</w:t>
      </w:r>
      <w:r w:rsidRPr="009E1B38">
        <w:rPr>
          <w:rFonts w:ascii="Times New Roman" w:hAnsi="Times New Roman"/>
        </w:rPr>
        <w:t xml:space="preserve"> </w:t>
      </w:r>
      <w:r w:rsidRPr="009E1B38">
        <w:rPr>
          <w:rFonts w:ascii="Times New Roman" w:hAnsi="Times New Roman"/>
          <w:i/>
        </w:rPr>
        <w:t>Common documents and documents such as electrical project, building license, facility agreement related to these agreements are associated with the connection agreement of the relevant common use place or any of the other places of use and are included in the file of this agreement.</w:t>
      </w:r>
    </w:p>
    <w:p w14:paraId="538781B5" w14:textId="77777777" w:rsidR="00171C59" w:rsidRPr="009E1B38" w:rsidRDefault="00171C59" w:rsidP="00171C59">
      <w:pPr>
        <w:pStyle w:val="ListeParagraf"/>
        <w:ind w:left="709"/>
        <w:jc w:val="left"/>
        <w:rPr>
          <w:rFonts w:ascii="Times New Roman" w:hAnsi="Times New Roman"/>
          <w:i/>
        </w:rPr>
      </w:pPr>
    </w:p>
    <w:p w14:paraId="1087E522" w14:textId="77777777"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The applicant must apply to the distribution company for connection and system utilization agreements within the pre-license period before applying for the generation license in relation to the generation plants deemed suitable to be connected to the distribution system.</w:t>
      </w:r>
    </w:p>
    <w:p w14:paraId="486DFDCD" w14:textId="77777777" w:rsidR="00171C59" w:rsidRPr="009E1B38" w:rsidRDefault="00171C59" w:rsidP="00171C59">
      <w:pPr>
        <w:pStyle w:val="ListeParagraf"/>
        <w:ind w:left="709"/>
        <w:jc w:val="left"/>
        <w:rPr>
          <w:rFonts w:ascii="Times New Roman" w:hAnsi="Times New Roman"/>
          <w:i/>
        </w:rPr>
      </w:pPr>
    </w:p>
    <w:p w14:paraId="3EAE8102" w14:textId="77777777"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The generation license holder legal entity shall authenticate the generation license to the distribution company within sixty days at the latest from the date of obtaining the generation license for signing the connection agreement.</w:t>
      </w:r>
      <w:r w:rsidRPr="009E1B38">
        <w:rPr>
          <w:rFonts w:ascii="Times New Roman" w:hAnsi="Times New Roman"/>
        </w:rPr>
        <w:t xml:space="preserve"> </w:t>
      </w:r>
      <w:r w:rsidRPr="009E1B38">
        <w:rPr>
          <w:rFonts w:ascii="Times New Roman" w:hAnsi="Times New Roman"/>
          <w:i/>
        </w:rPr>
        <w:t>Within thirty days following this, mutual obligations are completed and a connection agreement is signed.</w:t>
      </w:r>
      <w:r w:rsidRPr="009E1B38">
        <w:rPr>
          <w:rFonts w:ascii="Times New Roman" w:hAnsi="Times New Roman"/>
        </w:rPr>
        <w:t xml:space="preserve"> </w:t>
      </w:r>
      <w:r w:rsidRPr="009E1B38">
        <w:rPr>
          <w:rFonts w:ascii="Times New Roman" w:hAnsi="Times New Roman"/>
          <w:i/>
        </w:rPr>
        <w:t>The system utilization agreement is signed before the date of partial or complete provisional acceptance of the facility subject to the generation license.</w:t>
      </w:r>
    </w:p>
    <w:p w14:paraId="4797F3E8" w14:textId="77777777" w:rsidR="00171C59" w:rsidRPr="009E1B38" w:rsidRDefault="00171C59" w:rsidP="00171C59">
      <w:pPr>
        <w:pStyle w:val="ListeParagraf"/>
        <w:ind w:left="709"/>
        <w:jc w:val="left"/>
        <w:rPr>
          <w:rFonts w:ascii="Times New Roman" w:hAnsi="Times New Roman"/>
          <w:i/>
        </w:rPr>
      </w:pPr>
    </w:p>
    <w:p w14:paraId="2B74DE61" w14:textId="77777777"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For the distribution network and/or connection line to be established within the scope of the sixth paragraph, a period of not more than five years in which the connection can be made is determined by the distribution company to be included in the connection agreement.</w:t>
      </w:r>
      <w:r w:rsidRPr="009E1B38">
        <w:rPr>
          <w:rFonts w:ascii="Times New Roman" w:hAnsi="Times New Roman"/>
        </w:rPr>
        <w:t xml:space="preserve"> </w:t>
      </w:r>
      <w:r w:rsidRPr="009E1B38">
        <w:rPr>
          <w:rFonts w:ascii="Times New Roman" w:hAnsi="Times New Roman"/>
          <w:i/>
        </w:rPr>
        <w:t>In cases where the plant completion date in the generation license is more than five years, the plant completion date is taken as a basis for this period.</w:t>
      </w:r>
      <w:r w:rsidRPr="009E1B38">
        <w:rPr>
          <w:rFonts w:ascii="Times New Roman" w:hAnsi="Times New Roman"/>
        </w:rPr>
        <w:t xml:space="preserve"> </w:t>
      </w:r>
      <w:r w:rsidRPr="009E1B38">
        <w:rPr>
          <w:rFonts w:ascii="Times New Roman" w:hAnsi="Times New Roman"/>
          <w:i/>
        </w:rPr>
        <w:t>If the time given by the distribution company is found to be long, the connection lines required for connection can be established by the users without paying the connection fee.</w:t>
      </w:r>
      <w:r w:rsidRPr="009E1B38">
        <w:rPr>
          <w:rFonts w:ascii="Times New Roman" w:hAnsi="Times New Roman"/>
        </w:rPr>
        <w:t xml:space="preserve"> </w:t>
      </w:r>
      <w:r w:rsidRPr="009E1B38">
        <w:rPr>
          <w:rFonts w:ascii="Times New Roman" w:hAnsi="Times New Roman"/>
          <w:i/>
        </w:rPr>
        <w:t>If a distribution network is required next to the connection line for connection, the electricity facilities within the scope of the distribution network can be installed by the users within the scope of Article 21.</w:t>
      </w:r>
    </w:p>
    <w:p w14:paraId="3D83F393" w14:textId="77777777" w:rsidR="00171C59" w:rsidRPr="009E1B38" w:rsidRDefault="00171C59" w:rsidP="00171C59">
      <w:pPr>
        <w:pStyle w:val="ListeParagraf"/>
        <w:ind w:left="709"/>
        <w:jc w:val="left"/>
        <w:rPr>
          <w:rFonts w:ascii="Times New Roman" w:hAnsi="Times New Roman"/>
          <w:i/>
        </w:rPr>
      </w:pPr>
    </w:p>
    <w:p w14:paraId="0A241B0F" w14:textId="77777777"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A connection agreement including a limited period of time for use is signed between the real or legal entity who wants to supply electricity by temporarily connecting to the distribution system and the distribution company.</w:t>
      </w:r>
    </w:p>
    <w:p w14:paraId="262EBAF5" w14:textId="77777777" w:rsidR="00171C59" w:rsidRPr="009E1B38" w:rsidRDefault="00171C59" w:rsidP="00171C59">
      <w:pPr>
        <w:pStyle w:val="ListeParagraf"/>
        <w:ind w:left="709"/>
        <w:jc w:val="left"/>
        <w:rPr>
          <w:rFonts w:ascii="Times New Roman" w:hAnsi="Times New Roman"/>
          <w:i/>
        </w:rPr>
      </w:pPr>
    </w:p>
    <w:p w14:paraId="69C71ECB" w14:textId="77777777"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The system utilization agreement regarding the consumers who are approved to be connected to the distribution system is made with the suppliers of these consumers.</w:t>
      </w:r>
    </w:p>
    <w:p w14:paraId="16F55121" w14:textId="77777777" w:rsidR="00171C59" w:rsidRPr="009E1B38" w:rsidRDefault="00171C59" w:rsidP="00171C59">
      <w:pPr>
        <w:pStyle w:val="ListeParagraf"/>
        <w:ind w:left="709"/>
        <w:jc w:val="left"/>
        <w:rPr>
          <w:rFonts w:ascii="Times New Roman" w:hAnsi="Times New Roman"/>
          <w:i/>
        </w:rPr>
      </w:pPr>
    </w:p>
    <w:p w14:paraId="5C360A5F" w14:textId="77777777"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The following provisions shall be applied in the system utilization agreement applications made by the suppliers in order to provide electricity or capacity to the consumers:</w:t>
      </w:r>
    </w:p>
    <w:p w14:paraId="2038BED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An application is made to the relevant distribution company to make an agreement until the tenth day of the month in which the first consumer in any distribution region is included in the supplier portfolio where electricity or capacity sales will be made.</w:t>
      </w:r>
    </w:p>
    <w:p w14:paraId="3BFF3B1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Additional information that the distribution company may request during the evaluation of the applications made shall be given to the distribution company within five working days following the date of notification of the request.</w:t>
      </w:r>
    </w:p>
    <w:p w14:paraId="498BBA0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The distribution company shall prepare the special provisions required for the system utilization agreement within ten working days from the date of application or within twenty days if additional information is requested and send them to the applicant legal entity.</w:t>
      </w:r>
    </w:p>
    <w:p w14:paraId="106C670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Applicant legal entities shall notify their opinions on the requested special provisions in writing to the distribution company within five working days from the date of notification.</w:t>
      </w:r>
    </w:p>
    <w:p w14:paraId="29B8374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If the parties agree, the system utilization agreement is signed and a copy of the signed agreement is given to the user.</w:t>
      </w:r>
    </w:p>
    <w:p w14:paraId="1B2D7530" w14:textId="77777777" w:rsidR="00171C59" w:rsidRPr="009E1B38" w:rsidRDefault="00171C59" w:rsidP="00171C59">
      <w:pPr>
        <w:pStyle w:val="ListeParagraf"/>
        <w:ind w:left="709"/>
        <w:jc w:val="left"/>
        <w:rPr>
          <w:rFonts w:ascii="Times New Roman" w:hAnsi="Times New Roman"/>
          <w:i/>
        </w:rPr>
      </w:pPr>
    </w:p>
    <w:p w14:paraId="39F57679" w14:textId="77777777"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Connection agreement may be signed with legal entities having applied for generation license by obtaining transfer approval from the Board.</w:t>
      </w:r>
    </w:p>
    <w:p w14:paraId="18CED71A" w14:textId="77777777" w:rsidR="00171C59" w:rsidRPr="009E1B38" w:rsidRDefault="00171C59" w:rsidP="00171C59">
      <w:pPr>
        <w:pStyle w:val="ListeParagraf"/>
        <w:ind w:left="709"/>
        <w:jc w:val="left"/>
        <w:rPr>
          <w:rFonts w:ascii="Times New Roman" w:hAnsi="Times New Roman"/>
          <w:i/>
        </w:rPr>
      </w:pPr>
    </w:p>
    <w:p w14:paraId="521EBD70" w14:textId="7815F07E" w:rsidR="00171C59" w:rsidRPr="009E1B38" w:rsidRDefault="00171C59" w:rsidP="003C5E4D">
      <w:pPr>
        <w:pStyle w:val="ListeParagraf"/>
        <w:numPr>
          <w:ilvl w:val="0"/>
          <w:numId w:val="90"/>
        </w:numPr>
        <w:spacing w:after="160" w:line="259" w:lineRule="auto"/>
        <w:ind w:left="709" w:firstLine="0"/>
        <w:jc w:val="left"/>
        <w:rPr>
          <w:rFonts w:ascii="Times New Roman" w:hAnsi="Times New Roman"/>
          <w:i/>
        </w:rPr>
      </w:pPr>
      <w:r w:rsidRPr="009E1B38">
        <w:rPr>
          <w:rFonts w:ascii="Times New Roman" w:hAnsi="Times New Roman"/>
          <w:i/>
        </w:rPr>
        <w:t>TEİAŞ shall be notified within fifteen days following the signing of the connection agreement by the relevant distribution company or distribution license holder organized industrial zone for the licensed generation plants whose system connection is deemed appropriate by connecting or directing to TEİAŞ substations through the distribution system.</w:t>
      </w:r>
    </w:p>
    <w:p w14:paraId="005645FC" w14:textId="77777777" w:rsidR="00171C59" w:rsidRPr="009E1B38" w:rsidRDefault="00171C59" w:rsidP="00171C59">
      <w:pPr>
        <w:pStyle w:val="ListeParagraf"/>
        <w:ind w:left="709"/>
        <w:jc w:val="left"/>
        <w:rPr>
          <w:rFonts w:ascii="Times New Roman" w:hAnsi="Times New Roman"/>
          <w:i/>
        </w:rPr>
      </w:pPr>
    </w:p>
    <w:p w14:paraId="08C7954A"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fourth paragraph of Article 13 titled</w:t>
      </w:r>
      <w:r w:rsidRPr="009E1B38">
        <w:rPr>
          <w:rFonts w:ascii="Times New Roman" w:hAnsi="Times New Roman"/>
          <w:i/>
        </w:rPr>
        <w:t xml:space="preserve"> "Connection to the system " </w:t>
      </w:r>
      <w:r w:rsidRPr="009E1B38">
        <w:rPr>
          <w:rFonts w:ascii="Times New Roman" w:hAnsi="Times New Roman"/>
        </w:rPr>
        <w:t>has been amended as follows and the following paragraph has been added to the same article.</w:t>
      </w:r>
    </w:p>
    <w:p w14:paraId="6BB6E8F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From the date when the retail contract reaches the distribution company within the scope of the third paragraph;</w:t>
      </w:r>
    </w:p>
    <w:p w14:paraId="63140C9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Within 24 hours in urban and suburban distribution areas,</w:t>
      </w:r>
    </w:p>
    <w:p w14:paraId="133492E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Within 48 hours in rural distribution areas,</w:t>
      </w:r>
    </w:p>
    <w:p w14:paraId="62F4F77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the relevant parts of the measurement devices and circuits established by the user are sealed by the distribution company, the first index value is determined by reading the meter established by the distribution company, and the user facility is connected and energized by preparing a report about the connection to the system. "</w:t>
      </w:r>
    </w:p>
    <w:p w14:paraId="6AC695FA" w14:textId="77777777" w:rsidR="00171C59" w:rsidRPr="009E1B38" w:rsidRDefault="00171C59" w:rsidP="00171C59">
      <w:pPr>
        <w:pStyle w:val="ListeParagraf"/>
        <w:ind w:left="709"/>
        <w:jc w:val="left"/>
        <w:rPr>
          <w:rFonts w:ascii="Times New Roman" w:hAnsi="Times New Roman"/>
          <w:i/>
        </w:rPr>
      </w:pPr>
    </w:p>
    <w:p w14:paraId="5F747A6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(6) It is essential to use geographical information systems, network connection model and similar infrastructure systems in order to increase user satisfaction in all processes related to making the meter ready for energization by sealing the meter from the connection view by electricity distribution companies in order to meet the connection request of the place of use subject to connection request."</w:t>
      </w:r>
    </w:p>
    <w:p w14:paraId="128982F0" w14:textId="77777777" w:rsidR="00171C59" w:rsidRPr="009E1B38" w:rsidRDefault="00171C59" w:rsidP="00171C59">
      <w:pPr>
        <w:pStyle w:val="ListeParagraf"/>
        <w:ind w:left="709"/>
        <w:jc w:val="left"/>
        <w:rPr>
          <w:rFonts w:ascii="Times New Roman" w:hAnsi="Times New Roman"/>
          <w:i/>
        </w:rPr>
      </w:pPr>
    </w:p>
    <w:p w14:paraId="4070F4C6"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sixth paragraph of Article 14 titled</w:t>
      </w:r>
      <w:r w:rsidRPr="009E1B38">
        <w:rPr>
          <w:rFonts w:ascii="Times New Roman" w:hAnsi="Times New Roman"/>
          <w:i/>
        </w:rPr>
        <w:t xml:space="preserve"> "Agreement power" </w:t>
      </w:r>
      <w:r w:rsidRPr="009E1B38">
        <w:rPr>
          <w:rFonts w:ascii="Times New Roman" w:hAnsi="Times New Roman"/>
        </w:rPr>
        <w:t>has been amended as follows.</w:t>
      </w:r>
    </w:p>
    <w:p w14:paraId="486B23A0" w14:textId="77777777" w:rsidR="00171C59" w:rsidRPr="009E1B38" w:rsidRDefault="00171C59" w:rsidP="00171C59">
      <w:pPr>
        <w:pStyle w:val="ListeParagraf"/>
        <w:ind w:left="709"/>
        <w:jc w:val="left"/>
        <w:rPr>
          <w:rFonts w:ascii="Times New Roman" w:hAnsi="Times New Roman"/>
        </w:rPr>
      </w:pPr>
    </w:p>
    <w:p w14:paraId="514286D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“(6) The consumer may request amendments to the connection agreement in order to increase or decrease the power of the agreement. If the requested new agreement power requires an increase in the installed power of the relevant consumer in the current connection agreement, the consumer submits a renovation project at the time of application.</w:t>
      </w:r>
      <w:r w:rsidRPr="009E1B38">
        <w:rPr>
          <w:rFonts w:ascii="Times New Roman" w:hAnsi="Times New Roman"/>
        </w:rPr>
        <w:t xml:space="preserve"> </w:t>
      </w:r>
      <w:r w:rsidRPr="009E1B38">
        <w:rPr>
          <w:rFonts w:ascii="Times New Roman" w:hAnsi="Times New Roman"/>
          <w:i/>
        </w:rPr>
        <w:t>The distribution company examines the consumer's request and notifies the user in writing or electronically if requested by the user within fifteen working days of the results of the examination and the main response to the application.</w:t>
      </w:r>
      <w:r w:rsidRPr="009E1B38">
        <w:rPr>
          <w:rFonts w:ascii="Times New Roman" w:hAnsi="Times New Roman"/>
        </w:rPr>
        <w:t xml:space="preserve"> </w:t>
      </w:r>
      <w:r w:rsidRPr="009E1B38">
        <w:rPr>
          <w:rFonts w:ascii="Times New Roman" w:hAnsi="Times New Roman"/>
          <w:i/>
        </w:rPr>
        <w:t>The procedures related to power increase requests within this scope are carried out within the framework of the provisions related to the new connection request in this Regulation.</w:t>
      </w:r>
      <w:r w:rsidRPr="009E1B38">
        <w:rPr>
          <w:rFonts w:ascii="Times New Roman" w:hAnsi="Times New Roman"/>
        </w:rPr>
        <w:t xml:space="preserve"> </w:t>
      </w:r>
      <w:r w:rsidRPr="009E1B38">
        <w:rPr>
          <w:rFonts w:ascii="Times New Roman" w:hAnsi="Times New Roman"/>
          <w:i/>
        </w:rPr>
        <w:t>If it is deemed appropriate to make changes in the power of the agreement, the connection agreement shall be amended to include the transactions made.</w:t>
      </w:r>
      <w:r w:rsidRPr="009E1B38">
        <w:rPr>
          <w:rFonts w:ascii="Times New Roman" w:hAnsi="Times New Roman"/>
        </w:rPr>
        <w:t xml:space="preserve"> </w:t>
      </w:r>
      <w:r w:rsidRPr="009E1B38">
        <w:rPr>
          <w:rFonts w:ascii="Times New Roman" w:hAnsi="Times New Roman"/>
          <w:i/>
        </w:rPr>
        <w:t>A maximum of three power increases can be made in a calendar year. "</w:t>
      </w:r>
    </w:p>
    <w:p w14:paraId="003BDE85" w14:textId="77777777" w:rsidR="00171C59" w:rsidRPr="009E1B38" w:rsidRDefault="00171C59" w:rsidP="00171C59">
      <w:pPr>
        <w:pStyle w:val="ListeParagraf"/>
        <w:ind w:left="709"/>
        <w:jc w:val="left"/>
        <w:rPr>
          <w:rFonts w:ascii="Times New Roman" w:hAnsi="Times New Roman"/>
          <w:i/>
        </w:rPr>
      </w:pPr>
    </w:p>
    <w:p w14:paraId="13D443D3"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third paragraph of Article 15 titled</w:t>
      </w:r>
      <w:r w:rsidRPr="009E1B38">
        <w:rPr>
          <w:rFonts w:ascii="Times New Roman" w:hAnsi="Times New Roman"/>
          <w:i/>
        </w:rPr>
        <w:t xml:space="preserve"> "Distribution facility boundaries" </w:t>
      </w:r>
      <w:r w:rsidRPr="009E1B38">
        <w:rPr>
          <w:rFonts w:ascii="Times New Roman" w:hAnsi="Times New Roman"/>
        </w:rPr>
        <w:t>has been repealed.</w:t>
      </w:r>
    </w:p>
    <w:p w14:paraId="513AAF46" w14:textId="77777777" w:rsidR="00171C59" w:rsidRPr="009E1B38" w:rsidRDefault="00171C59" w:rsidP="00171C59">
      <w:pPr>
        <w:pStyle w:val="ListeParagraf"/>
        <w:ind w:left="709"/>
        <w:jc w:val="left"/>
        <w:rPr>
          <w:rFonts w:ascii="Times New Roman" w:hAnsi="Times New Roman"/>
        </w:rPr>
      </w:pPr>
    </w:p>
    <w:p w14:paraId="5362EC6C"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sixth, seventh, eighth and tenth paragraphs of Article 20 titled</w:t>
      </w:r>
      <w:r w:rsidRPr="009E1B38">
        <w:rPr>
          <w:rFonts w:ascii="Times New Roman" w:hAnsi="Times New Roman"/>
          <w:i/>
        </w:rPr>
        <w:t xml:space="preserve"> "Transmission assets" </w:t>
      </w:r>
      <w:r w:rsidRPr="009E1B38">
        <w:rPr>
          <w:rFonts w:ascii="Times New Roman" w:hAnsi="Times New Roman"/>
        </w:rPr>
        <w:t>have been amended as follows and the following paragraph has been added to the same article.</w:t>
      </w:r>
    </w:p>
    <w:p w14:paraId="1514CF0B" w14:textId="77777777" w:rsidR="00171C59" w:rsidRPr="009E1B38" w:rsidRDefault="00171C59" w:rsidP="00171C59">
      <w:pPr>
        <w:pStyle w:val="ListeParagraf"/>
        <w:ind w:left="709"/>
        <w:jc w:val="left"/>
        <w:rPr>
          <w:rFonts w:ascii="Times New Roman" w:hAnsi="Times New Roman"/>
          <w:i/>
        </w:rPr>
      </w:pPr>
    </w:p>
    <w:p w14:paraId="5A578A5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“(6) If the repayment of the total expenditure amounts related to the investment realized within the scope of this article cannot be completed within five years from the date of commencement of repayment, the balance amount shall be paid to the relevant user at the end of the fifth year.</w:t>
      </w:r>
    </w:p>
    <w:p w14:paraId="6B64533F" w14:textId="77777777" w:rsidR="00171C59" w:rsidRPr="009E1B38" w:rsidRDefault="00171C59" w:rsidP="00171C59">
      <w:pPr>
        <w:pStyle w:val="ListeParagraf"/>
        <w:ind w:left="709"/>
        <w:jc w:val="left"/>
        <w:rPr>
          <w:rFonts w:ascii="Times New Roman" w:hAnsi="Times New Roman"/>
          <w:i/>
        </w:rPr>
      </w:pPr>
    </w:p>
    <w:p w14:paraId="02DA97F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(7) In cases where expansion investment or new investment is required due to insufficient capacity in terms of system use in order to connect generation and consumption facilities to the transmission system; In cases where sufficient financing is not available or no timely investment planning can be made, the method of deduction from the system usage fee within the framework of the fourth paragraph shall be applied for the repayments made in equal monthly installments within a maximum of five years following the month in which the temporary acceptance report of the investment amounts based on the repayment calculated within the framework of the methodology of the legal entities who want to make a connection on behalf of TEİAŞ is approved by TEİAŞ.</w:t>
      </w:r>
    </w:p>
    <w:p w14:paraId="1703BC5D" w14:textId="77777777" w:rsidR="00171C59" w:rsidRPr="009E1B38" w:rsidRDefault="00171C59" w:rsidP="00171C59">
      <w:pPr>
        <w:pStyle w:val="ListeParagraf"/>
        <w:ind w:left="709"/>
        <w:jc w:val="left"/>
        <w:rPr>
          <w:rFonts w:ascii="Times New Roman" w:hAnsi="Times New Roman"/>
          <w:i/>
        </w:rPr>
      </w:pPr>
    </w:p>
    <w:p w14:paraId="055DFE0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(8) In accordance with the provisions of the preliminary agreement signed between TEİAŞ and legal entities for the transmission assets jointly financed by legal entities wishing to connect to the transmission system and established by TEİAŞ, the total expenditure amount related to the actual investment of the transmission assets made by TEİAŞ shall be paid back in equal monthly installments starting from the month following the month in which the provisional acceptance report for the transmission facilities and lines made is approved by TEİAŞ until the system usage fee is accrued and within a maximum of five years from this date.</w:t>
      </w:r>
      <w:r w:rsidRPr="009E1B38">
        <w:rPr>
          <w:rFonts w:ascii="Times New Roman" w:hAnsi="Times New Roman"/>
        </w:rPr>
        <w:t xml:space="preserve"> </w:t>
      </w:r>
      <w:r w:rsidRPr="009E1B38">
        <w:rPr>
          <w:rFonts w:ascii="Times New Roman" w:hAnsi="Times New Roman"/>
          <w:i/>
        </w:rPr>
        <w:t xml:space="preserve">The legal interest rate determined in accordance with the </w:t>
      </w:r>
      <w:r w:rsidRPr="009E1B38">
        <w:rPr>
          <w:rFonts w:ascii="Times New Roman" w:hAnsi="Times New Roman"/>
          <w:i/>
        </w:rPr>
        <w:lastRenderedPageBreak/>
        <w:t>provisions of the Law on Legal Interest and Default Interest dated 4/12/1984 and numbered 3095 shall be applied to the amount related to monthly installments not repaid on maturity.</w:t>
      </w:r>
      <w:r w:rsidRPr="009E1B38">
        <w:rPr>
          <w:rFonts w:ascii="Times New Roman" w:hAnsi="Times New Roman"/>
        </w:rPr>
        <w:t xml:space="preserve"> </w:t>
      </w:r>
      <w:r w:rsidRPr="009E1B38">
        <w:rPr>
          <w:rFonts w:ascii="Times New Roman" w:hAnsi="Times New Roman"/>
          <w:i/>
        </w:rPr>
        <w:t>From the beginning of the accrual of the system usage fee, the method of deduction from the system usage fee within the scope of the transmission tariff is applied for the balance amount within the framework of the fourth paragraph. "</w:t>
      </w:r>
    </w:p>
    <w:p w14:paraId="01E70C8B" w14:textId="77777777" w:rsidR="00171C59" w:rsidRPr="009E1B38" w:rsidRDefault="00171C59" w:rsidP="00171C59">
      <w:pPr>
        <w:pStyle w:val="ListeParagraf"/>
        <w:ind w:left="709"/>
        <w:jc w:val="left"/>
        <w:rPr>
          <w:rFonts w:ascii="Times New Roman" w:hAnsi="Times New Roman"/>
          <w:i/>
        </w:rPr>
      </w:pPr>
    </w:p>
    <w:p w14:paraId="17D8D43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“(10) In cases where the transmission assets required for the connection of the user's own facilities to the transmission system are established within the scope of the investment program of TEİAŞ, the guarantee received from the user within the scope of the connection agreement shall be kept by TEİAŞ until the date of completion of the payment of the investment amount through the system usage fee as of the date of the last provisional acceptance approval of the transmission assets.</w:t>
      </w:r>
      <w:r w:rsidRPr="009E1B38">
        <w:rPr>
          <w:rFonts w:ascii="Times New Roman" w:hAnsi="Times New Roman"/>
        </w:rPr>
        <w:t xml:space="preserve"> </w:t>
      </w:r>
      <w:r w:rsidRPr="009E1B38">
        <w:rPr>
          <w:rFonts w:ascii="Times New Roman" w:hAnsi="Times New Roman"/>
          <w:i/>
        </w:rPr>
        <w:t>The user may request the partial return of his/her guarantee for a maximum of two times a year. In this case, the collateral at TEİAŞ is updated by deducting the system usage fee paid by the user until the return application date for the relevant investment from the collateral amount. "</w:t>
      </w:r>
    </w:p>
    <w:p w14:paraId="7452F449" w14:textId="77777777" w:rsidR="00171C59" w:rsidRPr="009E1B38" w:rsidRDefault="00171C59" w:rsidP="00171C59">
      <w:pPr>
        <w:pStyle w:val="ListeParagraf"/>
        <w:ind w:left="709"/>
        <w:jc w:val="left"/>
        <w:rPr>
          <w:rFonts w:ascii="Times New Roman" w:hAnsi="Times New Roman"/>
          <w:i/>
        </w:rPr>
      </w:pPr>
    </w:p>
    <w:p w14:paraId="2D729A5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"(11) In the event that the license of the licensed users expires or is cancelled before five years, and the eligible consumers leave the transmission system before five years and the transmission assets established within the scope of TEİAŞ's investment program are not needed by TEİAŞ within the transmission network, the amount to be found by deducting the total system usage fee paid by the user from the guarantee received within the scope of the connection agreement shall be recorded as revenue by TEİAŞ."</w:t>
      </w:r>
    </w:p>
    <w:p w14:paraId="2097E555" w14:textId="77777777" w:rsidR="00171C59" w:rsidRPr="009E1B38" w:rsidRDefault="00171C59" w:rsidP="00171C59">
      <w:pPr>
        <w:pStyle w:val="ListeParagraf"/>
        <w:ind w:left="709"/>
        <w:jc w:val="left"/>
        <w:rPr>
          <w:rFonts w:ascii="Times New Roman" w:hAnsi="Times New Roman"/>
        </w:rPr>
      </w:pPr>
    </w:p>
    <w:p w14:paraId="7E45ACAA"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first paragraph of Article 21 titled</w:t>
      </w:r>
      <w:r w:rsidRPr="009E1B38">
        <w:rPr>
          <w:rFonts w:ascii="Times New Roman" w:hAnsi="Times New Roman"/>
          <w:i/>
        </w:rPr>
        <w:t xml:space="preserve"> "Distribution assets" </w:t>
      </w:r>
      <w:r w:rsidRPr="009E1B38">
        <w:rPr>
          <w:rFonts w:ascii="Times New Roman" w:hAnsi="Times New Roman"/>
        </w:rPr>
        <w:t>has been amended as follows and the following paragraph has been added to the same article.</w:t>
      </w:r>
    </w:p>
    <w:p w14:paraId="51FDFE34" w14:textId="77777777" w:rsidR="00171C59" w:rsidRPr="009E1B38" w:rsidRDefault="00171C59" w:rsidP="00171C59">
      <w:pPr>
        <w:pStyle w:val="ListeParagraf"/>
        <w:ind w:left="709"/>
        <w:jc w:val="left"/>
        <w:rPr>
          <w:rFonts w:ascii="Times New Roman" w:hAnsi="Times New Roman"/>
        </w:rPr>
      </w:pPr>
    </w:p>
    <w:p w14:paraId="180DE1E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In order to connect generation and consumption facilities to the distribution system or to meet the power increase demands of generation and consumption facilities connected to the distribution system, in cases where expansion investment or new investment is required due to insufficient capacity in terms of system use, the said investment can be made by providing technical standards within the scope of the relevant legislation by the real or legal entity who wants to connect or request power increase on behalf of the distribution company or can be financed in cases where sufficient financing is not available."</w:t>
      </w:r>
    </w:p>
    <w:p w14:paraId="679FA8D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"(6) The tables in ANNEX-2 and ANNEX-3 regarding the distribution assets established or financed by the users within the scope of this article are prepared annually by the distribution companies and submitted to the Authority until 31 May of the following year."</w:t>
      </w:r>
    </w:p>
    <w:p w14:paraId="731E1999" w14:textId="77777777" w:rsidR="00171C59" w:rsidRPr="009E1B38" w:rsidRDefault="00171C59" w:rsidP="00171C59">
      <w:pPr>
        <w:pStyle w:val="ListeParagraf"/>
        <w:ind w:left="709"/>
        <w:jc w:val="left"/>
        <w:rPr>
          <w:rFonts w:ascii="Times New Roman" w:hAnsi="Times New Roman"/>
          <w:i/>
        </w:rPr>
      </w:pPr>
    </w:p>
    <w:p w14:paraId="64C8F153"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third paragraph of Article 24 titled</w:t>
      </w:r>
      <w:r w:rsidRPr="009E1B38">
        <w:rPr>
          <w:rFonts w:ascii="Times New Roman" w:hAnsi="Times New Roman"/>
          <w:i/>
        </w:rPr>
        <w:t xml:space="preserve"> "Guarantees" </w:t>
      </w:r>
      <w:r w:rsidRPr="009E1B38">
        <w:rPr>
          <w:rFonts w:ascii="Times New Roman" w:hAnsi="Times New Roman"/>
        </w:rPr>
        <w:t>has been amended as follows and the following paragraph has been added to the same article.</w:t>
      </w:r>
    </w:p>
    <w:p w14:paraId="0BDEE8FA" w14:textId="77777777" w:rsidR="00171C59" w:rsidRPr="009E1B38" w:rsidRDefault="00171C59" w:rsidP="00171C59">
      <w:pPr>
        <w:pStyle w:val="ListeParagraf"/>
        <w:ind w:left="709"/>
        <w:jc w:val="left"/>
        <w:rPr>
          <w:rFonts w:ascii="Times New Roman" w:hAnsi="Times New Roman"/>
        </w:rPr>
      </w:pPr>
    </w:p>
    <w:p w14:paraId="019C80E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The guarantees specified in the system use agreements of the producers and consumers using the transmission system;</w:t>
      </w:r>
    </w:p>
    <w:p w14:paraId="6C0A260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In case of inadequacy due to tariff change, within one month at the latest from the date of publication of the transmission tariff approved by the Board in the Official Gazette,</w:t>
      </w:r>
    </w:p>
    <w:p w14:paraId="5C630F3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In case of inadequacy due to deduction of unpaid debt, within seven working days following the date of deduction,</w:t>
      </w:r>
    </w:p>
    <w:p w14:paraId="5F4BFA2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In the event that TEİAŞ fails to complete or renew the system use agreement within the periods specified in the system use agreement after the notification to be made by TEİAŞ, TEİAŞ shall terminate the system use agreement with the user.</w:t>
      </w:r>
      <w:r w:rsidRPr="009E1B38">
        <w:rPr>
          <w:rFonts w:ascii="Times New Roman" w:hAnsi="Times New Roman"/>
        </w:rPr>
        <w:t xml:space="preserve"> </w:t>
      </w:r>
      <w:r w:rsidRPr="009E1B38">
        <w:rPr>
          <w:rFonts w:ascii="Times New Roman" w:hAnsi="Times New Roman"/>
          <w:i/>
        </w:rPr>
        <w:t xml:space="preserve">The collateral is recalculated in case of contract power changes </w:t>
      </w:r>
      <w:r w:rsidRPr="009E1B38">
        <w:rPr>
          <w:rFonts w:ascii="Times New Roman" w:hAnsi="Times New Roman"/>
          <w:i/>
        </w:rPr>
        <w:lastRenderedPageBreak/>
        <w:t>and the agreement is not approved without submitting the letter of guarantee to TEİAŞ in cases where an additional letter of guarantee is required. "</w:t>
      </w:r>
    </w:p>
    <w:p w14:paraId="00C8EBC9" w14:textId="77777777" w:rsidR="00171C59" w:rsidRPr="009E1B38" w:rsidRDefault="00171C59" w:rsidP="00171C59">
      <w:pPr>
        <w:pStyle w:val="ListeParagraf"/>
        <w:ind w:left="709"/>
        <w:jc w:val="left"/>
        <w:rPr>
          <w:rFonts w:ascii="Times New Roman" w:hAnsi="Times New Roman"/>
          <w:i/>
        </w:rPr>
      </w:pPr>
    </w:p>
    <w:p w14:paraId="370A3F4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Issues regarding the coverage of distribution companies within the scope of the use of the distribution system shall be regulated in the procedures and principles to be issued by the Authority."</w:t>
      </w:r>
    </w:p>
    <w:p w14:paraId="1F2A8F04" w14:textId="77777777" w:rsidR="00171C59" w:rsidRPr="009E1B38" w:rsidRDefault="00171C59" w:rsidP="00171C59">
      <w:pPr>
        <w:pStyle w:val="ListeParagraf"/>
        <w:ind w:left="709"/>
        <w:jc w:val="left"/>
        <w:rPr>
          <w:rFonts w:ascii="Times New Roman" w:hAnsi="Times New Roman"/>
          <w:i/>
        </w:rPr>
      </w:pPr>
    </w:p>
    <w:p w14:paraId="3EBD53EF"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first and second paragraphs of Article 27 titled</w:t>
      </w:r>
      <w:r w:rsidRPr="009E1B38">
        <w:rPr>
          <w:rFonts w:ascii="Times New Roman" w:hAnsi="Times New Roman"/>
          <w:i/>
        </w:rPr>
        <w:t xml:space="preserve"> "Disconnection of user connection or energy" </w:t>
      </w:r>
      <w:r w:rsidRPr="009E1B38">
        <w:rPr>
          <w:rFonts w:ascii="Times New Roman" w:hAnsi="Times New Roman"/>
        </w:rPr>
        <w:t>have been amended as follows.</w:t>
      </w:r>
    </w:p>
    <w:p w14:paraId="0049DC9B" w14:textId="77777777" w:rsidR="00171C59" w:rsidRPr="009E1B38" w:rsidRDefault="00171C59" w:rsidP="00171C59">
      <w:pPr>
        <w:pStyle w:val="ListeParagraf"/>
        <w:ind w:left="709"/>
        <w:jc w:val="left"/>
        <w:rPr>
          <w:rFonts w:ascii="Times New Roman" w:hAnsi="Times New Roman"/>
        </w:rPr>
      </w:pPr>
    </w:p>
    <w:p w14:paraId="2CA0E58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TEİAŞ and the distribution company may disconnect the user's plant and equipment or de-energize the user if any of the following conditions are met:</w:t>
      </w:r>
    </w:p>
    <w:p w14:paraId="3393116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Circumstances requiring power cut in accordance with the provisions of the relevant legislation on connection, system use and interconnection use agreements.</w:t>
      </w:r>
    </w:p>
    <w:p w14:paraId="2C0EEFE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Cases where testing and control, modification, maintenance, repair or expansion of any part of the transmission or distribution system or interconnection line by TEİAŞ or a distribution company is required.</w:t>
      </w:r>
    </w:p>
    <w:p w14:paraId="54169B8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Situations related to one of the force majeure situations.</w:t>
      </w:r>
    </w:p>
    <w:p w14:paraId="02597AB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Situations required to ensure life and property safety.</w:t>
      </w:r>
    </w:p>
    <w:p w14:paraId="3DC65F5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Accidents, system failures or emergencies affecting or likely to affect the transmission or distribution system or any other system from which energy is received or supplied.</w:t>
      </w:r>
    </w:p>
    <w:p w14:paraId="7E43FBF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 In cases where generation companies and consumers connected to the transmission system and generation companies connected to the distribution system do not fulfill the payment obligation regarding system usage and/or system operation fees.</w:t>
      </w:r>
    </w:p>
    <w:p w14:paraId="112663D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f) In accordance with the provisions of the Electricity Market Balancing and Settlement Regulation published in the Official Gazette dated 14/4/2009 and numbered 27200, cases requiring power cut in line with the notification made by Energy Markets Operator Company of Türkiye (EPİAŞ).</w:t>
      </w:r>
    </w:p>
    <w:p w14:paraId="08D1D80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g) The user's connection and/or system use agreement has been terminated for any reason.</w:t>
      </w:r>
    </w:p>
    <w:p w14:paraId="755A182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ğ) Circumstances requiring the consumers connected to the transmission system who do not fulfill the payment obligation regarding the electricity energy consumption to the supply company in charge within the scope of the final resource supply to be de-energized after the second notification made by the supply companies in charge.</w:t>
      </w:r>
    </w:p>
    <w:p w14:paraId="1C5C86AD" w14:textId="77777777" w:rsidR="00171C59" w:rsidRPr="009E1B38" w:rsidRDefault="00171C59" w:rsidP="00171C59">
      <w:pPr>
        <w:pStyle w:val="ListeParagraf"/>
        <w:ind w:left="709"/>
        <w:jc w:val="left"/>
        <w:rPr>
          <w:rFonts w:ascii="Times New Roman" w:hAnsi="Times New Roman"/>
          <w:i/>
        </w:rPr>
      </w:pPr>
    </w:p>
    <w:p w14:paraId="24A768D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TEİAŞ and distribution company shall notify the user at least five working days in advance in case of interruptions to be made within the scope of clause (a) of the first paragraph; TEİAŞ and distribution company shall notify the user at least five working days in case of interruptions to be made within the scope of clause (b) of the first paragraph; TEİAŞ and distribution company shall notify the legal entity with generation activity depending on the distribution system at least five working days in advance, consumers connected to the distribution system from low and medium voltage level at least two days in advance, TEİAŞ and distribution company shall notify the user at least seven days in case of interruptions to be made within the scope of clause (e) and (g) of the first paragraph and TEİAŞ and distribution company shall notify the user two days in advance in case of interruptions to be made within the scope of clause (f) of the first paragraph.</w:t>
      </w:r>
      <w:r w:rsidRPr="009E1B38">
        <w:rPr>
          <w:rFonts w:ascii="Times New Roman" w:hAnsi="Times New Roman"/>
        </w:rPr>
        <w:t xml:space="preserve"> </w:t>
      </w:r>
      <w:r w:rsidRPr="009E1B38">
        <w:rPr>
          <w:rFonts w:ascii="Times New Roman" w:hAnsi="Times New Roman"/>
          <w:i/>
        </w:rPr>
        <w:t>In case of deductions to be made within the scope of (ğ) clause of the first paragraph, the deduction shall be made by TEİAŞ within 5 working days at the latest after the notification date of the supply company in charge to TEİAŞ.</w:t>
      </w:r>
      <w:r w:rsidRPr="009E1B38">
        <w:rPr>
          <w:rFonts w:ascii="Times New Roman" w:hAnsi="Times New Roman"/>
        </w:rPr>
        <w:t xml:space="preserve"> </w:t>
      </w:r>
      <w:r w:rsidRPr="009E1B38">
        <w:rPr>
          <w:rFonts w:ascii="Times New Roman" w:hAnsi="Times New Roman"/>
          <w:i/>
        </w:rPr>
        <w:t>If power outage is required within the scope of other clauses, if possible, the user must be informed before the outage is made. "</w:t>
      </w:r>
    </w:p>
    <w:p w14:paraId="456E2A0B" w14:textId="77777777" w:rsidR="00171C59" w:rsidRPr="009E1B38" w:rsidRDefault="00171C59" w:rsidP="00171C59">
      <w:pPr>
        <w:pStyle w:val="ListeParagraf"/>
        <w:ind w:left="709"/>
        <w:jc w:val="left"/>
        <w:rPr>
          <w:rFonts w:ascii="Times New Roman" w:hAnsi="Times New Roman"/>
          <w:i/>
        </w:rPr>
      </w:pPr>
    </w:p>
    <w:p w14:paraId="2E4FC057"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Temporary Article 5 titled</w:t>
      </w:r>
      <w:r w:rsidRPr="009E1B38">
        <w:rPr>
          <w:rFonts w:ascii="Times New Roman" w:hAnsi="Times New Roman"/>
          <w:i/>
        </w:rPr>
        <w:t xml:space="preserve"> "Lines providing connection of generation plants connected from MV level in transmission system user status" </w:t>
      </w:r>
      <w:r w:rsidRPr="009E1B38">
        <w:rPr>
          <w:rFonts w:ascii="Times New Roman" w:hAnsi="Times New Roman"/>
        </w:rPr>
        <w:t>has been amended as follows.</w:t>
      </w:r>
    </w:p>
    <w:p w14:paraId="44928300" w14:textId="77777777" w:rsidR="00171C59" w:rsidRPr="009E1B38" w:rsidRDefault="00171C59" w:rsidP="00171C59">
      <w:pPr>
        <w:pStyle w:val="ListeParagraf"/>
        <w:ind w:left="709"/>
        <w:jc w:val="left"/>
        <w:rPr>
          <w:rFonts w:ascii="Times New Roman" w:hAnsi="Times New Roman"/>
        </w:rPr>
      </w:pPr>
    </w:p>
    <w:p w14:paraId="43B87616"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5</w:t>
      </w:r>
    </w:p>
    <w:p w14:paraId="1696F0BA" w14:textId="77777777" w:rsidR="00171C59" w:rsidRPr="009E1B38" w:rsidRDefault="00171C59" w:rsidP="00171C59">
      <w:pPr>
        <w:pStyle w:val="ListeParagraf"/>
        <w:ind w:left="709"/>
        <w:jc w:val="left"/>
        <w:rPr>
          <w:rFonts w:ascii="Times New Roman" w:hAnsi="Times New Roman"/>
          <w:b/>
          <w:i/>
        </w:rPr>
      </w:pPr>
    </w:p>
    <w:p w14:paraId="379DD50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The line owned by the user, which provides the connection of the generation plants to the switchyard of the transmission facility, which is included in the license by being deemed appropriate by the Board, is operated by the legal entity establishing these lines until it is used by another user or connected to the distribution system.</w:t>
      </w:r>
      <w:r w:rsidRPr="009E1B38">
        <w:rPr>
          <w:rFonts w:ascii="Times New Roman" w:hAnsi="Times New Roman"/>
        </w:rPr>
        <w:t xml:space="preserve"> </w:t>
      </w:r>
      <w:r w:rsidRPr="009E1B38">
        <w:rPr>
          <w:rFonts w:ascii="Times New Roman" w:hAnsi="Times New Roman"/>
          <w:i/>
        </w:rPr>
        <w:t>In the event that this line is used by another user or is connected to the distribution system, the said line is taken over by the distribution company within the framework of the procedures and principles specified in Article 37 and the user becomes the user of the distribution system.</w:t>
      </w:r>
    </w:p>
    <w:p w14:paraId="3D0255FE" w14:textId="77777777" w:rsidR="00171C59" w:rsidRPr="009E1B38" w:rsidRDefault="00171C59" w:rsidP="00171C59">
      <w:pPr>
        <w:pStyle w:val="ListeParagraf"/>
        <w:ind w:left="709"/>
        <w:jc w:val="left"/>
        <w:rPr>
          <w:rFonts w:ascii="Times New Roman" w:hAnsi="Times New Roman"/>
          <w:i/>
        </w:rPr>
      </w:pPr>
    </w:p>
    <w:p w14:paraId="1DA9D30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Associate license or license holder legal entities who have signed a connection agreement with TEİAŞ or received a connection opinion from TEİAŞ within the scope of the first paragraph may apply to the Authority for a preliminary license or license amendment and request to connect from the distribution system.</w:t>
      </w:r>
    </w:p>
    <w:p w14:paraId="17129B80" w14:textId="77777777" w:rsidR="00171C59" w:rsidRPr="009E1B38" w:rsidRDefault="00171C59" w:rsidP="00171C59">
      <w:pPr>
        <w:pStyle w:val="ListeParagraf"/>
        <w:ind w:left="709"/>
        <w:jc w:val="left"/>
        <w:rPr>
          <w:rFonts w:ascii="Times New Roman" w:hAnsi="Times New Roman"/>
          <w:i/>
        </w:rPr>
      </w:pPr>
    </w:p>
    <w:p w14:paraId="3FE4480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The works and procedures related to the requests within the scope of the second paragraph shall be carried out within the scope of the Electricity Market License Regulation.</w:t>
      </w:r>
      <w:r w:rsidRPr="009E1B38">
        <w:rPr>
          <w:rFonts w:ascii="Times New Roman" w:hAnsi="Times New Roman"/>
        </w:rPr>
        <w:t xml:space="preserve"> </w:t>
      </w:r>
      <w:r w:rsidRPr="009E1B38">
        <w:rPr>
          <w:rFonts w:ascii="Times New Roman" w:hAnsi="Times New Roman"/>
          <w:i/>
        </w:rPr>
        <w:t>It is obligatory for the preliminary license or license holder legal entity to apply to the relevant distribution company for the signing of the connection agreement within thirty days at the latest following the notification of the decision regarding the approval of the amendment process, and to sign the connection agreement within sixty days by completing the mutual obligations.</w:t>
      </w:r>
      <w:r w:rsidRPr="009E1B38">
        <w:rPr>
          <w:rFonts w:ascii="Times New Roman" w:hAnsi="Times New Roman"/>
        </w:rPr>
        <w:t xml:space="preserve"> </w:t>
      </w:r>
      <w:r w:rsidRPr="009E1B38">
        <w:rPr>
          <w:rFonts w:ascii="Times New Roman" w:hAnsi="Times New Roman"/>
          <w:i/>
        </w:rPr>
        <w:t>In this context, if additional facility investment is required within the framework of the connection agreement signed with the distribution company, the provisions of this Regulation shall apply.</w:t>
      </w:r>
    </w:p>
    <w:p w14:paraId="33AD10A9" w14:textId="77777777" w:rsidR="00171C59" w:rsidRPr="009E1B38" w:rsidRDefault="00171C59" w:rsidP="00171C59">
      <w:pPr>
        <w:pStyle w:val="ListeParagraf"/>
        <w:ind w:left="709"/>
        <w:jc w:val="left"/>
        <w:rPr>
          <w:rFonts w:ascii="Times New Roman" w:hAnsi="Times New Roman"/>
          <w:i/>
        </w:rPr>
      </w:pPr>
    </w:p>
    <w:p w14:paraId="1164F97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The connection agreement signed with TEİAŞ following the establishment of the distribution assets required for the connection of the legal entities signing the connection agreement with the distribution company within the scope of the third paragraph shall automatically terminate as of the provisional acceptance date of these distribution assets and the energy transmission lines and other network elements owned by the user shall be transferred to the distribution company or TEİAŞ according to their interest.</w:t>
      </w:r>
    </w:p>
    <w:p w14:paraId="69C3FEEF" w14:textId="77777777" w:rsidR="00171C59" w:rsidRPr="009E1B38" w:rsidRDefault="00171C59" w:rsidP="00171C59">
      <w:pPr>
        <w:pStyle w:val="ListeParagraf"/>
        <w:ind w:left="709"/>
        <w:jc w:val="left"/>
        <w:rPr>
          <w:rFonts w:ascii="Times New Roman" w:hAnsi="Times New Roman"/>
          <w:i/>
        </w:rPr>
      </w:pPr>
    </w:p>
    <w:p w14:paraId="1F17FE7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(5) Within the scope of the third paragraph, the line owned by the legal entities that have signed a connection agreement with the distribution company shall be taken over by the relevant distribution company or TEİAŞ in return for operation and maintenance services.</w:t>
      </w:r>
    </w:p>
    <w:p w14:paraId="768963A1" w14:textId="77777777" w:rsidR="00171C59" w:rsidRPr="009E1B38" w:rsidRDefault="00171C59" w:rsidP="00171C59">
      <w:pPr>
        <w:pStyle w:val="ListeParagraf"/>
        <w:ind w:left="709"/>
        <w:jc w:val="left"/>
        <w:rPr>
          <w:rFonts w:ascii="Times New Roman" w:hAnsi="Times New Roman"/>
          <w:i/>
        </w:rPr>
      </w:pPr>
    </w:p>
    <w:p w14:paraId="0FC0203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(6) In accordance with the connection opinion established within the scope of the third paragraph, the responsibility for the parts of the line that are not subject to network operation belongs to the relevant legal entity. "</w:t>
      </w:r>
    </w:p>
    <w:p w14:paraId="58A1644E" w14:textId="77777777" w:rsidR="00171C59" w:rsidRPr="009E1B38" w:rsidRDefault="00171C59" w:rsidP="00171C59">
      <w:pPr>
        <w:pStyle w:val="ListeParagraf"/>
        <w:ind w:left="709"/>
        <w:jc w:val="left"/>
        <w:rPr>
          <w:rFonts w:ascii="Times New Roman" w:hAnsi="Times New Roman"/>
          <w:i/>
        </w:rPr>
      </w:pPr>
    </w:p>
    <w:p w14:paraId="4291DB41"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Provisional Article 8 titled</w:t>
      </w:r>
      <w:r w:rsidRPr="009E1B38">
        <w:rPr>
          <w:rFonts w:ascii="Times New Roman" w:hAnsi="Times New Roman"/>
          <w:i/>
        </w:rPr>
        <w:t xml:space="preserve"> "Signing of connection and system use agreements during the preliminary license phase"</w:t>
      </w:r>
      <w:r w:rsidRPr="009E1B38">
        <w:rPr>
          <w:rFonts w:ascii="Times New Roman" w:hAnsi="Times New Roman"/>
        </w:rPr>
        <w:t xml:space="preserve"> has been amended as follows.</w:t>
      </w:r>
    </w:p>
    <w:p w14:paraId="70951B10" w14:textId="77777777" w:rsidR="00171C59" w:rsidRPr="009E1B38" w:rsidRDefault="00171C59" w:rsidP="00171C59">
      <w:pPr>
        <w:pStyle w:val="ListeParagraf"/>
        <w:ind w:left="709"/>
        <w:jc w:val="left"/>
        <w:rPr>
          <w:rFonts w:ascii="Times New Roman" w:hAnsi="Times New Roman"/>
        </w:rPr>
      </w:pPr>
    </w:p>
    <w:p w14:paraId="233C1579"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8</w:t>
      </w:r>
    </w:p>
    <w:p w14:paraId="531082B8" w14:textId="77777777" w:rsidR="00171C59" w:rsidRPr="009E1B38" w:rsidRDefault="00171C59" w:rsidP="00171C59">
      <w:pPr>
        <w:pStyle w:val="ListeParagraf"/>
        <w:ind w:left="709"/>
        <w:jc w:val="left"/>
        <w:rPr>
          <w:rFonts w:ascii="Times New Roman" w:hAnsi="Times New Roman"/>
          <w:b/>
          <w:i/>
        </w:rPr>
      </w:pPr>
    </w:p>
    <w:p w14:paraId="3B73BCC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Connection and system utilization agreements regarding generation plants shall not be signed before obtaining generation license.</w:t>
      </w:r>
      <w:r w:rsidRPr="009E1B38">
        <w:rPr>
          <w:rFonts w:ascii="Times New Roman" w:hAnsi="Times New Roman"/>
        </w:rPr>
        <w:t xml:space="preserve"> </w:t>
      </w:r>
      <w:r w:rsidRPr="009E1B38">
        <w:rPr>
          <w:rFonts w:ascii="Times New Roman" w:hAnsi="Times New Roman"/>
          <w:i/>
        </w:rPr>
        <w:t>However, the connection agreement can be signed until 31/12/2021, provided that the application of the preliminary license holder legal entity and the distribution license holder gives a positive opinion.</w:t>
      </w:r>
    </w:p>
    <w:p w14:paraId="621E5318" w14:textId="77777777" w:rsidR="00171C59" w:rsidRPr="009E1B38" w:rsidRDefault="00171C59" w:rsidP="00171C59">
      <w:pPr>
        <w:pStyle w:val="ListeParagraf"/>
        <w:ind w:left="709"/>
        <w:jc w:val="left"/>
        <w:rPr>
          <w:rFonts w:ascii="Times New Roman" w:hAnsi="Times New Roman"/>
          <w:i/>
        </w:rPr>
      </w:pPr>
    </w:p>
    <w:p w14:paraId="4066A50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In the event that the electricity facilities within the scope of the distribution network as per the first paragraph are established within the framework of the investment program by the relevant distribution license holder legal entity, the collateral shall be taken from the user in the amount of the entire investment amount to be calculated within the scope of the Methodology of Establishment of Distribution Assets by the User.</w:t>
      </w:r>
      <w:r w:rsidRPr="009E1B38">
        <w:rPr>
          <w:rFonts w:ascii="Times New Roman" w:hAnsi="Times New Roman"/>
        </w:rPr>
        <w:t xml:space="preserve"> </w:t>
      </w:r>
      <w:r w:rsidRPr="009E1B38">
        <w:rPr>
          <w:rFonts w:ascii="Times New Roman" w:hAnsi="Times New Roman"/>
          <w:i/>
        </w:rPr>
        <w:t>In order for the repayment of the guarantees received to be made, the temporary acceptance of the generation plant must be made and the public interest, easement establishment or transfer decision or forest final permit certificate must be obtained for the places where the distribution facility is located with the temporary acceptance of the said distribution facility. "</w:t>
      </w:r>
    </w:p>
    <w:p w14:paraId="3CD5A0D6" w14:textId="77777777" w:rsidR="00171C59" w:rsidRPr="009E1B38" w:rsidRDefault="00171C59" w:rsidP="00171C59">
      <w:pPr>
        <w:pStyle w:val="ListeParagraf"/>
        <w:ind w:left="709"/>
        <w:jc w:val="left"/>
        <w:rPr>
          <w:rFonts w:ascii="Times New Roman" w:hAnsi="Times New Roman"/>
          <w:i/>
        </w:rPr>
      </w:pPr>
    </w:p>
    <w:p w14:paraId="6A87FA6C"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The following provisional articles have been added to the same Regulation.</w:t>
      </w:r>
    </w:p>
    <w:p w14:paraId="7D9EE26A" w14:textId="77777777" w:rsidR="00171C59" w:rsidRPr="009E1B38" w:rsidRDefault="00171C59" w:rsidP="00171C59">
      <w:pPr>
        <w:pStyle w:val="ListeParagraf"/>
        <w:ind w:left="709"/>
        <w:jc w:val="left"/>
        <w:rPr>
          <w:rFonts w:ascii="Times New Roman" w:hAnsi="Times New Roman"/>
          <w:i/>
        </w:rPr>
      </w:pPr>
    </w:p>
    <w:p w14:paraId="5360ECE6"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“Distribution system usage guarantees</w:t>
      </w:r>
    </w:p>
    <w:p w14:paraId="486D1F14" w14:textId="77777777" w:rsidR="00171C59" w:rsidRPr="009E1B38" w:rsidRDefault="00171C59" w:rsidP="00171C59">
      <w:pPr>
        <w:pStyle w:val="ListeParagraf"/>
        <w:ind w:left="709"/>
        <w:jc w:val="left"/>
        <w:rPr>
          <w:rFonts w:ascii="Times New Roman" w:hAnsi="Times New Roman"/>
          <w:b/>
          <w:i/>
        </w:rPr>
      </w:pPr>
    </w:p>
    <w:p w14:paraId="1D4E0ED8"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9</w:t>
      </w:r>
    </w:p>
    <w:p w14:paraId="569C405F" w14:textId="77777777" w:rsidR="00171C59" w:rsidRPr="009E1B38" w:rsidRDefault="00171C59" w:rsidP="00171C59">
      <w:pPr>
        <w:pStyle w:val="ListeParagraf"/>
        <w:ind w:left="709"/>
        <w:jc w:val="left"/>
        <w:rPr>
          <w:rFonts w:ascii="Times New Roman" w:hAnsi="Times New Roman"/>
          <w:b/>
          <w:i/>
        </w:rPr>
      </w:pPr>
    </w:p>
    <w:p w14:paraId="435E566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Until the procedures and principles to be issued in accordance with the fourth paragraph of Article 24 enter into force, the procedures for obtaining guarantees within the scope of the system utilization agreement shall continue to be applied.</w:t>
      </w:r>
    </w:p>
    <w:p w14:paraId="15266C3E" w14:textId="77777777" w:rsidR="00171C59" w:rsidRPr="009E1B38" w:rsidRDefault="00171C59" w:rsidP="00171C59">
      <w:pPr>
        <w:pStyle w:val="ListeParagraf"/>
        <w:ind w:left="709"/>
        <w:jc w:val="left"/>
        <w:rPr>
          <w:rFonts w:ascii="Times New Roman" w:hAnsi="Times New Roman"/>
          <w:i/>
        </w:rPr>
      </w:pPr>
    </w:p>
    <w:p w14:paraId="7E13356D"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Establishment of distribution assets</w:t>
      </w:r>
    </w:p>
    <w:p w14:paraId="41F58B90" w14:textId="77777777" w:rsidR="00171C59" w:rsidRPr="009E1B38" w:rsidRDefault="00171C59" w:rsidP="00171C59">
      <w:pPr>
        <w:pStyle w:val="ListeParagraf"/>
        <w:ind w:left="709"/>
        <w:jc w:val="left"/>
        <w:rPr>
          <w:rFonts w:ascii="Times New Roman" w:hAnsi="Times New Roman"/>
          <w:b/>
          <w:i/>
        </w:rPr>
      </w:pPr>
    </w:p>
    <w:p w14:paraId="03F7DB9F"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10</w:t>
      </w:r>
    </w:p>
    <w:p w14:paraId="56B1211A" w14:textId="77777777" w:rsidR="00171C59" w:rsidRPr="009E1B38" w:rsidRDefault="00171C59" w:rsidP="00171C59">
      <w:pPr>
        <w:pStyle w:val="ListeParagraf"/>
        <w:ind w:left="709"/>
        <w:jc w:val="left"/>
        <w:rPr>
          <w:rFonts w:ascii="Times New Roman" w:hAnsi="Times New Roman"/>
          <w:b/>
          <w:i/>
        </w:rPr>
      </w:pPr>
    </w:p>
    <w:p w14:paraId="644FC11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Before 2/12/2020;</w:t>
      </w:r>
    </w:p>
    <w:p w14:paraId="62AF05E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Facilities for which generation license is granted,</w:t>
      </w:r>
    </w:p>
    <w:p w14:paraId="6F82C03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The electricity facilities to be installed or financed by the users who sign a connection agreement with the electricity distribution companies for the purpose of establishing or financing the distribution assets required for the connection of unlicensed generation plants to the distribution system included in Article 21 with the Regulation on Making Amendment in the Electricity Market Connection and System Use Regulation published in the Official Gazette dated 23/3/2016 and numbered 29662 by real or legal entities within the scope of Article 21 shall be evaluated within the scope of reimbursement."</w:t>
      </w:r>
    </w:p>
    <w:p w14:paraId="0613FE02" w14:textId="77777777" w:rsidR="00171C59" w:rsidRPr="009E1B38" w:rsidRDefault="00171C59" w:rsidP="00171C59">
      <w:pPr>
        <w:pStyle w:val="ListeParagraf"/>
        <w:ind w:left="709"/>
        <w:jc w:val="left"/>
        <w:rPr>
          <w:rFonts w:ascii="Times New Roman" w:hAnsi="Times New Roman"/>
          <w:i/>
        </w:rPr>
      </w:pPr>
    </w:p>
    <w:p w14:paraId="48043CE9"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ANNEX-1 of the same Regulation has been amended as attached and ANNEX-2 and ANNEX-3 attached to the Regulation.</w:t>
      </w:r>
    </w:p>
    <w:p w14:paraId="65A19A99" w14:textId="77777777" w:rsidR="00171C59" w:rsidRPr="009E1B38" w:rsidRDefault="00171C59" w:rsidP="00171C59">
      <w:pPr>
        <w:pStyle w:val="ListeParagraf"/>
        <w:ind w:left="709"/>
        <w:jc w:val="left"/>
        <w:rPr>
          <w:rFonts w:ascii="Times New Roman" w:hAnsi="Times New Roman"/>
          <w:i/>
        </w:rPr>
      </w:pPr>
    </w:p>
    <w:p w14:paraId="03B4C544" w14:textId="77777777" w:rsidR="00171C59" w:rsidRPr="009E1B38" w:rsidRDefault="00171C59" w:rsidP="003C5E4D">
      <w:pPr>
        <w:pStyle w:val="ListeParagraf"/>
        <w:numPr>
          <w:ilvl w:val="0"/>
          <w:numId w:val="82"/>
        </w:numPr>
        <w:spacing w:after="160" w:line="259" w:lineRule="auto"/>
        <w:ind w:left="709" w:firstLine="0"/>
        <w:jc w:val="left"/>
        <w:rPr>
          <w:rFonts w:ascii="Times New Roman" w:hAnsi="Times New Roman"/>
          <w:i/>
        </w:rPr>
      </w:pPr>
      <w:r w:rsidRPr="009E1B38">
        <w:rPr>
          <w:rFonts w:ascii="Times New Roman" w:hAnsi="Times New Roman"/>
          <w:i/>
        </w:rPr>
        <w:t>The Amendment Regulation published in the Official Gazette dated 09.05.2021 and numbered 31479 and the Electricity Market Licensing Regulation</w:t>
      </w:r>
    </w:p>
    <w:p w14:paraId="49006179" w14:textId="77777777" w:rsidR="00171C59" w:rsidRPr="009E1B38" w:rsidRDefault="00171C59" w:rsidP="00171C59">
      <w:pPr>
        <w:pStyle w:val="ListeParagraf"/>
        <w:ind w:left="709"/>
        <w:jc w:val="left"/>
        <w:rPr>
          <w:rFonts w:ascii="Times New Roman" w:hAnsi="Times New Roman"/>
          <w:i/>
        </w:rPr>
      </w:pPr>
    </w:p>
    <w:p w14:paraId="2EA83966"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phrase</w:t>
      </w:r>
      <w:r w:rsidRPr="009E1B38">
        <w:rPr>
          <w:rFonts w:ascii="Times New Roman" w:hAnsi="Times New Roman"/>
          <w:i/>
        </w:rPr>
        <w:t xml:space="preserve"> ", supply company" </w:t>
      </w:r>
      <w:r w:rsidRPr="009E1B38">
        <w:rPr>
          <w:rFonts w:ascii="Times New Roman" w:hAnsi="Times New Roman"/>
        </w:rPr>
        <w:t>has been added to come after the phrase</w:t>
      </w:r>
      <w:r w:rsidRPr="009E1B38">
        <w:rPr>
          <w:rFonts w:ascii="Times New Roman" w:hAnsi="Times New Roman"/>
          <w:i/>
        </w:rPr>
        <w:t xml:space="preserve"> "distribution company" </w:t>
      </w:r>
      <w:r w:rsidRPr="009E1B38">
        <w:rPr>
          <w:rFonts w:ascii="Times New Roman" w:hAnsi="Times New Roman"/>
        </w:rPr>
        <w:t xml:space="preserve">in the clause (ç) of the first paragraph of Article 4 titled </w:t>
      </w:r>
      <w:r w:rsidRPr="009E1B38">
        <w:rPr>
          <w:rFonts w:ascii="Times New Roman" w:hAnsi="Times New Roman"/>
          <w:i/>
        </w:rPr>
        <w:t xml:space="preserve">" Definitions and abbreviations ", </w:t>
      </w:r>
      <w:r w:rsidRPr="009E1B38">
        <w:rPr>
          <w:rFonts w:ascii="Times New Roman" w:hAnsi="Times New Roman"/>
        </w:rPr>
        <w:t>and the phrase</w:t>
      </w:r>
      <w:r w:rsidRPr="009E1B38">
        <w:rPr>
          <w:rFonts w:ascii="Times New Roman" w:hAnsi="Times New Roman"/>
          <w:i/>
        </w:rPr>
        <w:t xml:space="preserve"> " Presidential decree, Presidential decision " </w:t>
      </w:r>
      <w:r w:rsidRPr="009E1B38">
        <w:rPr>
          <w:rFonts w:ascii="Times New Roman" w:hAnsi="Times New Roman"/>
        </w:rPr>
        <w:t xml:space="preserve">has been added to come after the phrase </w:t>
      </w:r>
      <w:r w:rsidRPr="009E1B38">
        <w:rPr>
          <w:rFonts w:ascii="Times New Roman" w:hAnsi="Times New Roman"/>
          <w:i/>
        </w:rPr>
        <w:t xml:space="preserve">"law " </w:t>
      </w:r>
      <w:r w:rsidRPr="009E1B38">
        <w:rPr>
          <w:rFonts w:ascii="Times New Roman" w:hAnsi="Times New Roman"/>
        </w:rPr>
        <w:t>in the clause (s) and the following paragraphs have been added to the same paragraph.</w:t>
      </w:r>
    </w:p>
    <w:p w14:paraId="06AEBAC0" w14:textId="77777777" w:rsidR="00171C59" w:rsidRPr="009E1B38" w:rsidRDefault="00171C59" w:rsidP="00171C59">
      <w:pPr>
        <w:pStyle w:val="ListeParagraf"/>
        <w:ind w:left="709"/>
        <w:jc w:val="left"/>
        <w:rPr>
          <w:rFonts w:ascii="Times New Roman" w:hAnsi="Times New Roman"/>
          <w:i/>
        </w:rPr>
      </w:pPr>
    </w:p>
    <w:p w14:paraId="783F102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“bbbb) Independent electricity storage facility: refers to the electricity storage facility directly connected to the network without contact with any generation or consumption facility,</w:t>
      </w:r>
    </w:p>
    <w:p w14:paraId="265C3935" w14:textId="77777777" w:rsidR="00171C59" w:rsidRPr="009E1B38" w:rsidRDefault="00171C59" w:rsidP="00171C59">
      <w:pPr>
        <w:pStyle w:val="ListeParagraf"/>
        <w:ind w:left="709"/>
        <w:jc w:val="left"/>
        <w:rPr>
          <w:rFonts w:ascii="Times New Roman" w:hAnsi="Times New Roman"/>
          <w:i/>
        </w:rPr>
      </w:pPr>
    </w:p>
    <w:p w14:paraId="3B0B7C3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cccc) Electricity storage unit integrated in the generation plant: Electricity storage unit that can store the electrical energy produced in the generation plant or drawn from the system and give the stored energy to the system for reuse within the boundaries of the power plant site, "</w:t>
      </w:r>
    </w:p>
    <w:p w14:paraId="42A8711E" w14:textId="77777777" w:rsidR="00171C59" w:rsidRPr="009E1B38" w:rsidRDefault="00171C59" w:rsidP="00171C59">
      <w:pPr>
        <w:pStyle w:val="ListeParagraf"/>
        <w:ind w:left="709"/>
        <w:jc w:val="left"/>
        <w:rPr>
          <w:rFonts w:ascii="Times New Roman" w:hAnsi="Times New Roman"/>
          <w:i/>
        </w:rPr>
      </w:pPr>
    </w:p>
    <w:p w14:paraId="53085567" w14:textId="7CB802FD"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clause has been added to the first paragraph of Article 7 titled</w:t>
      </w:r>
      <w:r w:rsidRPr="009E1B38">
        <w:rPr>
          <w:rFonts w:ascii="Times New Roman" w:hAnsi="Times New Roman"/>
          <w:i/>
        </w:rPr>
        <w:t xml:space="preserve"> "Exemptions"</w:t>
      </w:r>
    </w:p>
    <w:p w14:paraId="01C13187" w14:textId="77777777" w:rsidR="00171C59" w:rsidRPr="009E1B38" w:rsidRDefault="00171C59" w:rsidP="00171C59">
      <w:pPr>
        <w:pStyle w:val="ListeParagraf"/>
        <w:ind w:left="709"/>
        <w:jc w:val="left"/>
        <w:rPr>
          <w:rFonts w:ascii="Times New Roman" w:hAnsi="Times New Roman"/>
          <w:i/>
        </w:rPr>
      </w:pPr>
    </w:p>
    <w:p w14:paraId="6B95CB1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"g) Generation plant based on renewable energy resources, provided that it is limited to the contractual power in the connection agreement."</w:t>
      </w:r>
    </w:p>
    <w:p w14:paraId="6C9D9417" w14:textId="77777777" w:rsidR="00171C59" w:rsidRPr="009E1B38" w:rsidRDefault="00171C59" w:rsidP="00171C59">
      <w:pPr>
        <w:pStyle w:val="ListeParagraf"/>
        <w:ind w:left="709"/>
        <w:jc w:val="left"/>
        <w:rPr>
          <w:rFonts w:ascii="Times New Roman" w:hAnsi="Times New Roman"/>
          <w:i/>
        </w:rPr>
      </w:pPr>
    </w:p>
    <w:p w14:paraId="744719A2"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phrase</w:t>
      </w:r>
      <w:r w:rsidRPr="009E1B38">
        <w:rPr>
          <w:rFonts w:ascii="Times New Roman" w:hAnsi="Times New Roman"/>
          <w:i/>
        </w:rPr>
        <w:t xml:space="preserve"> "Preliminary License and" </w:t>
      </w:r>
      <w:r w:rsidRPr="009E1B38">
        <w:rPr>
          <w:rFonts w:ascii="Times New Roman" w:hAnsi="Times New Roman"/>
        </w:rPr>
        <w:t>in the second paragraph of Article 10 titled</w:t>
      </w:r>
      <w:r w:rsidRPr="009E1B38">
        <w:rPr>
          <w:rFonts w:ascii="Times New Roman" w:hAnsi="Times New Roman"/>
          <w:i/>
        </w:rPr>
        <w:t xml:space="preserve"> "Issues to be included in the preliminary license and license" </w:t>
      </w:r>
      <w:r w:rsidRPr="009E1B38">
        <w:rPr>
          <w:rFonts w:ascii="Times New Roman" w:hAnsi="Times New Roman"/>
        </w:rPr>
        <w:t xml:space="preserve">has been changed to </w:t>
      </w:r>
      <w:r w:rsidRPr="009E1B38">
        <w:rPr>
          <w:rFonts w:ascii="Times New Roman" w:hAnsi="Times New Roman"/>
          <w:i/>
        </w:rPr>
        <w:t xml:space="preserve">"Preliminary License or”, </w:t>
      </w:r>
      <w:r w:rsidRPr="009E1B38">
        <w:rPr>
          <w:rFonts w:ascii="Times New Roman" w:hAnsi="Times New Roman"/>
        </w:rPr>
        <w:t>the phrase</w:t>
      </w:r>
      <w:r w:rsidRPr="009E1B38">
        <w:rPr>
          <w:rFonts w:ascii="Times New Roman" w:hAnsi="Times New Roman"/>
          <w:i/>
        </w:rPr>
        <w:t xml:space="preserve"> "In legal entity" </w:t>
      </w:r>
      <w:r w:rsidRPr="009E1B38">
        <w:rPr>
          <w:rFonts w:ascii="Times New Roman" w:hAnsi="Times New Roman"/>
        </w:rPr>
        <w:t xml:space="preserve">in the clause (c) of the same paragraph has been changed to </w:t>
      </w:r>
      <w:r w:rsidRPr="009E1B38">
        <w:rPr>
          <w:rFonts w:ascii="Times New Roman" w:hAnsi="Times New Roman"/>
          <w:i/>
        </w:rPr>
        <w:t xml:space="preserve">"In legal entity for the licenses of legal entities whose tariff is subject to regulation" </w:t>
      </w:r>
      <w:r w:rsidRPr="009E1B38">
        <w:rPr>
          <w:rFonts w:ascii="Times New Roman" w:hAnsi="Times New Roman"/>
        </w:rPr>
        <w:t>and the following paragraph has been added to the same article.</w:t>
      </w:r>
    </w:p>
    <w:p w14:paraId="66AF4F9D" w14:textId="77777777" w:rsidR="00171C59" w:rsidRPr="009E1B38" w:rsidRDefault="00171C59" w:rsidP="00171C59">
      <w:pPr>
        <w:pStyle w:val="ListeParagraf"/>
        <w:ind w:left="709"/>
        <w:jc w:val="left"/>
        <w:rPr>
          <w:rFonts w:ascii="Times New Roman" w:hAnsi="Times New Roman"/>
        </w:rPr>
      </w:pPr>
    </w:p>
    <w:p w14:paraId="6E8E2C4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“(7) Provisions relating to separate electrical storage facilities or facilities, if any, shall be included in the supply license and provisions relating to the integrated electrical storage unit, if any, shall be included in the generation license.”</w:t>
      </w:r>
    </w:p>
    <w:p w14:paraId="5F465FE3" w14:textId="77777777" w:rsidR="00171C59" w:rsidRPr="009E1B38" w:rsidRDefault="00171C59" w:rsidP="00171C59">
      <w:pPr>
        <w:pStyle w:val="ListeParagraf"/>
        <w:ind w:left="709"/>
        <w:jc w:val="left"/>
        <w:rPr>
          <w:rFonts w:ascii="Times New Roman" w:hAnsi="Times New Roman"/>
        </w:rPr>
      </w:pPr>
    </w:p>
    <w:p w14:paraId="29D9601B"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paragraphs have been added to Article 12 titled</w:t>
      </w:r>
      <w:r w:rsidRPr="009E1B38">
        <w:rPr>
          <w:rFonts w:ascii="Times New Roman" w:hAnsi="Times New Roman"/>
          <w:i/>
        </w:rPr>
        <w:t xml:space="preserve"> "Preliminary license application procedure”.</w:t>
      </w:r>
    </w:p>
    <w:p w14:paraId="1348C114" w14:textId="77777777" w:rsidR="00171C59" w:rsidRPr="009E1B38" w:rsidRDefault="00171C59" w:rsidP="00171C59">
      <w:pPr>
        <w:pStyle w:val="ListeParagraf"/>
        <w:ind w:left="709"/>
        <w:jc w:val="left"/>
        <w:rPr>
          <w:rFonts w:ascii="Times New Roman" w:hAnsi="Times New Roman"/>
          <w:i/>
        </w:rPr>
      </w:pPr>
    </w:p>
    <w:p w14:paraId="6923EAD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“(12) Legal entities applying for preliminary licenses shall apply to the Authority as specified in the first paragraph if they wish to add integrated storage units to their preliminary licenses.</w:t>
      </w:r>
      <w:r w:rsidRPr="009E1B38">
        <w:rPr>
          <w:rFonts w:ascii="Times New Roman" w:hAnsi="Times New Roman"/>
        </w:rPr>
        <w:t xml:space="preserve"> </w:t>
      </w:r>
      <w:r w:rsidRPr="009E1B38">
        <w:rPr>
          <w:rFonts w:ascii="Times New Roman" w:hAnsi="Times New Roman"/>
          <w:i/>
        </w:rPr>
        <w:t>If an application is made in this context, the second paragraph of Article 15 shall apply to the connection of the electrical storage unit to the system and the use of the system.</w:t>
      </w:r>
      <w:r w:rsidRPr="009E1B38">
        <w:rPr>
          <w:rFonts w:ascii="Times New Roman" w:hAnsi="Times New Roman"/>
        </w:rPr>
        <w:t xml:space="preserve"> </w:t>
      </w:r>
      <w:r w:rsidRPr="009E1B38">
        <w:rPr>
          <w:rFonts w:ascii="Times New Roman" w:hAnsi="Times New Roman"/>
          <w:i/>
        </w:rPr>
        <w:t>In case the request is approved by the Board, the preliminary license shall include the information related to the electrical storage unit in question.</w:t>
      </w:r>
      <w:r w:rsidRPr="009E1B38">
        <w:rPr>
          <w:rFonts w:ascii="Times New Roman" w:hAnsi="Times New Roman"/>
        </w:rPr>
        <w:t xml:space="preserve"> </w:t>
      </w:r>
      <w:r w:rsidRPr="009E1B38">
        <w:rPr>
          <w:rFonts w:ascii="Times New Roman" w:hAnsi="Times New Roman"/>
          <w:i/>
        </w:rPr>
        <w:t>Capital adequacy and guarantee obligation are not required for the unit within this scope.</w:t>
      </w:r>
    </w:p>
    <w:p w14:paraId="21F60EE2" w14:textId="77777777" w:rsidR="00171C59" w:rsidRPr="009E1B38" w:rsidRDefault="00171C59" w:rsidP="00171C59">
      <w:pPr>
        <w:pStyle w:val="ListeParagraf"/>
        <w:ind w:left="709"/>
        <w:jc w:val="left"/>
        <w:rPr>
          <w:rFonts w:ascii="Times New Roman" w:hAnsi="Times New Roman"/>
          <w:i/>
        </w:rPr>
      </w:pPr>
    </w:p>
    <w:p w14:paraId="77A5AB7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(13) In the preliminary license applications made for the electricity generation plant projects planned to be used as fuel of pyrolytic oil and pyrolytic gas, which are the by-products of the processing of waste tires, the said fuel should be produced in the relevant electricity generation plant and no other resources should be used other than these resources. "</w:t>
      </w:r>
    </w:p>
    <w:p w14:paraId="29B023B7" w14:textId="77777777" w:rsidR="00171C59" w:rsidRPr="009E1B38" w:rsidRDefault="00171C59" w:rsidP="00171C59">
      <w:pPr>
        <w:pStyle w:val="ListeParagraf"/>
        <w:ind w:left="709"/>
        <w:jc w:val="left"/>
        <w:rPr>
          <w:rFonts w:ascii="Times New Roman" w:hAnsi="Times New Roman"/>
          <w:i/>
        </w:rPr>
      </w:pPr>
    </w:p>
    <w:p w14:paraId="6556E68A"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sentence has been added to the end of the third paragraph of Article 13 titled</w:t>
      </w:r>
      <w:r w:rsidRPr="009E1B38">
        <w:rPr>
          <w:rFonts w:ascii="Times New Roman" w:hAnsi="Times New Roman"/>
          <w:i/>
        </w:rPr>
        <w:t xml:space="preserve"> "Receiving and examining preliminary license applications ".</w:t>
      </w:r>
    </w:p>
    <w:p w14:paraId="51D72BC6" w14:textId="77777777" w:rsidR="00171C59" w:rsidRPr="009E1B38" w:rsidRDefault="00171C59" w:rsidP="00171C59">
      <w:pPr>
        <w:pStyle w:val="ListeParagraf"/>
        <w:ind w:left="709"/>
        <w:jc w:val="left"/>
        <w:rPr>
          <w:rFonts w:ascii="Times New Roman" w:hAnsi="Times New Roman"/>
          <w:i/>
        </w:rPr>
      </w:pPr>
    </w:p>
    <w:p w14:paraId="46B73D7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“An announcement shall not be made for the sites where the entire ownership of the project site subject to the application belongs to the relevant legal entity and for the power plant sites where the facility site is owned by the relevant municipality and the municipal wastes are allocated to the legal entity with the usage rights as the power plant site.”</w:t>
      </w:r>
    </w:p>
    <w:p w14:paraId="7EBF008F" w14:textId="77777777" w:rsidR="00171C59" w:rsidRPr="009E1B38" w:rsidRDefault="00171C59" w:rsidP="00171C59">
      <w:pPr>
        <w:pStyle w:val="ListeParagraf"/>
        <w:ind w:left="709"/>
        <w:jc w:val="left"/>
        <w:rPr>
          <w:rFonts w:ascii="Times New Roman" w:hAnsi="Times New Roman"/>
          <w:i/>
        </w:rPr>
      </w:pPr>
    </w:p>
    <w:p w14:paraId="00855C79"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fifth paragraph of Article 17 titled</w:t>
      </w:r>
      <w:r w:rsidRPr="009E1B38">
        <w:rPr>
          <w:rFonts w:ascii="Times New Roman" w:hAnsi="Times New Roman"/>
          <w:i/>
        </w:rPr>
        <w:t xml:space="preserve"> "Works and procedures to be completed within the preliminary license period" </w:t>
      </w:r>
      <w:r w:rsidRPr="009E1B38">
        <w:rPr>
          <w:rFonts w:ascii="Times New Roman" w:hAnsi="Times New Roman"/>
        </w:rPr>
        <w:t>has been amended as follows.</w:t>
      </w:r>
    </w:p>
    <w:p w14:paraId="17393E70" w14:textId="77777777" w:rsidR="00171C59" w:rsidRPr="009E1B38" w:rsidRDefault="00171C59" w:rsidP="00171C59">
      <w:pPr>
        <w:pStyle w:val="ListeParagraf"/>
        <w:ind w:left="709"/>
        <w:jc w:val="left"/>
        <w:rPr>
          <w:rFonts w:ascii="Times New Roman" w:hAnsi="Times New Roman"/>
        </w:rPr>
      </w:pPr>
    </w:p>
    <w:p w14:paraId="0A1D162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 xml:space="preserve">“(5) The preliminary license holder legal entities who apply for the purpose of establishing an integrated electricity storage unit in the generation plant with multiple source electricity generation </w:t>
      </w:r>
      <w:r w:rsidRPr="009E1B38">
        <w:rPr>
          <w:rFonts w:ascii="Times New Roman" w:hAnsi="Times New Roman"/>
          <w:i/>
        </w:rPr>
        <w:lastRenderedPageBreak/>
        <w:t>plants shall fulfill their obligations in the first and second paragraphs.</w:t>
      </w:r>
      <w:r w:rsidRPr="009E1B38">
        <w:rPr>
          <w:rFonts w:ascii="Times New Roman" w:hAnsi="Times New Roman"/>
        </w:rPr>
        <w:t xml:space="preserve"> </w:t>
      </w:r>
      <w:r w:rsidRPr="009E1B38">
        <w:rPr>
          <w:rFonts w:ascii="Times New Roman" w:hAnsi="Times New Roman"/>
          <w:i/>
        </w:rPr>
        <w:t>These obligations can be fulfilled separately or together on a resource basis. "</w:t>
      </w:r>
    </w:p>
    <w:p w14:paraId="18E85FE7" w14:textId="77777777" w:rsidR="00171C59" w:rsidRPr="009E1B38" w:rsidRDefault="00171C59" w:rsidP="00171C59">
      <w:pPr>
        <w:pStyle w:val="ListeParagraf"/>
        <w:ind w:left="709"/>
        <w:jc w:val="left"/>
        <w:rPr>
          <w:rFonts w:ascii="Times New Roman" w:hAnsi="Times New Roman"/>
          <w:i/>
        </w:rPr>
      </w:pPr>
    </w:p>
    <w:p w14:paraId="25B3EECF"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sentence has been added to the end of the sixth paragraph of Article 18 titled</w:t>
      </w:r>
      <w:r w:rsidRPr="009E1B38">
        <w:rPr>
          <w:rFonts w:ascii="Times New Roman" w:hAnsi="Times New Roman"/>
          <w:i/>
        </w:rPr>
        <w:t xml:space="preserve"> "Amendment of preliminary license", </w:t>
      </w:r>
      <w:r w:rsidRPr="009E1B38">
        <w:rPr>
          <w:rFonts w:ascii="Times New Roman" w:hAnsi="Times New Roman"/>
        </w:rPr>
        <w:t>the seventh and ninth paragraphs have been amended as follows, the clauses (ç) of the eleventh paragraph has been repealed and the following paragraph has been added to the same article.</w:t>
      </w:r>
    </w:p>
    <w:p w14:paraId="02DD3AC8" w14:textId="77777777" w:rsidR="00171C59" w:rsidRPr="009E1B38" w:rsidRDefault="00171C59" w:rsidP="00171C59">
      <w:pPr>
        <w:pStyle w:val="ListeParagraf"/>
        <w:ind w:left="709"/>
        <w:jc w:val="left"/>
        <w:rPr>
          <w:rFonts w:ascii="Times New Roman" w:hAnsi="Times New Roman"/>
        </w:rPr>
      </w:pPr>
    </w:p>
    <w:p w14:paraId="7C24AFA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“The total amount of mechanical power to be added within the scope of mechanical capacity increase shall not be more than the amount of electrical installed power included in the license, including those in the enterprise.”</w:t>
      </w:r>
    </w:p>
    <w:p w14:paraId="2672B90D" w14:textId="77777777" w:rsidR="00171C59" w:rsidRPr="009E1B38" w:rsidRDefault="00171C59" w:rsidP="00171C59">
      <w:pPr>
        <w:pStyle w:val="ListeParagraf"/>
        <w:ind w:left="709"/>
        <w:jc w:val="left"/>
        <w:rPr>
          <w:rFonts w:ascii="Times New Roman" w:hAnsi="Times New Roman"/>
          <w:i/>
        </w:rPr>
      </w:pPr>
    </w:p>
    <w:p w14:paraId="1A31FCC5" w14:textId="77777777" w:rsidR="00171C59" w:rsidRPr="009E1B38" w:rsidRDefault="00171C59" w:rsidP="00171C59">
      <w:pPr>
        <w:pStyle w:val="ListeParagraf"/>
        <w:ind w:left="709"/>
        <w:jc w:val="left"/>
        <w:rPr>
          <w:rFonts w:ascii="Times New Roman" w:hAnsi="Times New Roman"/>
          <w:i/>
        </w:rPr>
      </w:pPr>
    </w:p>
    <w:p w14:paraId="0ABACB4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"(9) In the event that it is desired to change the generation facility site subject to the generation license and it is determined that this situation is within the scope of force majeure or situations deemed appropriate by the Board, the required modifications may be made in the said license if the requested change does not lead to a violation of rights regarding third parties, the connection point or connection area does not change and the approval of the DSI is obtained for the facilities based on hydraulic resources, and the technical evaluation made by the General Directorate of Energy Affairs for the facilities based on wind or solar energy is deemed appropriate. No announcement shall be made for the sites where the entire ownership of the project site subject to the application belongs to the relevant legal entity and the plant site related to the projects where municipal wastes will be used as a source is owned by the relevant municipality and the municipal wastes are allocated to the legal entity with the usage rights as the power plant site. "</w:t>
      </w:r>
    </w:p>
    <w:p w14:paraId="3B149DEF" w14:textId="77777777" w:rsidR="00171C59" w:rsidRPr="009E1B38" w:rsidRDefault="00171C59" w:rsidP="00171C59">
      <w:pPr>
        <w:pStyle w:val="ListeParagraf"/>
        <w:ind w:left="709"/>
        <w:jc w:val="left"/>
        <w:rPr>
          <w:rFonts w:ascii="Times New Roman" w:hAnsi="Times New Roman"/>
          <w:i/>
        </w:rPr>
      </w:pPr>
    </w:p>
    <w:p w14:paraId="20FBB67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“(11) The procedures related to the requests for license modification in the following subjects and the notification obligations specified within the scope of the first and second paragraphs of Article 57 shall be concluded by the relevant main service unit:</w:t>
      </w:r>
    </w:p>
    <w:p w14:paraId="7392ADA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Title and type change of the license holder legal entity, except for the legal entity whose tariff is subject to regulation.</w:t>
      </w:r>
    </w:p>
    <w:p w14:paraId="5D1C6D4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Without prejudice to the provision of clauses (e), the number of units, unit power, unit coordinates, annual electricity generation amount, province, district, location and generation plant name provided that the connection point and installed power in the special provisions of the licenses do not change.</w:t>
      </w:r>
    </w:p>
    <w:p w14:paraId="269A259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Change of notification address contained in the special provisions of the licenses.</w:t>
      </w:r>
    </w:p>
    <w:p w14:paraId="02A042E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Information about natural and legal entities who have direct or indirect shares in the legal entity in the licenses of legal entities whose tariffs are subject to regulation.</w:t>
      </w:r>
    </w:p>
    <w:p w14:paraId="5932A0B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Changing the information regarding the turbine coordinates in the generation plant site made based on the Conformity Certificate and Technical Interaction Permit to be obtained from the General Directorate of Energy Affairs that the turbine coordinates in the neighboring sites are not affected in the generation licenses based on wind energy.</w:t>
      </w:r>
    </w:p>
    <w:p w14:paraId="064C19F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 Changes to be made within the scope of changing the installed power up to ten percent in total, provided that it does not exceed 10 MW.</w:t>
      </w:r>
      <w:r w:rsidRPr="009E1B38">
        <w:rPr>
          <w:rFonts w:ascii="Times New Roman" w:hAnsi="Times New Roman"/>
        </w:rPr>
        <w:t xml:space="preserve"> </w:t>
      </w:r>
      <w:r w:rsidRPr="009E1B38">
        <w:rPr>
          <w:rFonts w:ascii="Times New Roman" w:hAnsi="Times New Roman"/>
          <w:i/>
        </w:rPr>
        <w:t>For the amendments to be made within the scope of this paragraph, the provisions of this Regulation regarding capital and guarantee obligations shall not apply.</w:t>
      </w:r>
      <w:r w:rsidRPr="009E1B38">
        <w:rPr>
          <w:rFonts w:ascii="Times New Roman" w:hAnsi="Times New Roman"/>
        </w:rPr>
        <w:t xml:space="preserve"> </w:t>
      </w:r>
      <w:r w:rsidRPr="009E1B38">
        <w:rPr>
          <w:rFonts w:ascii="Times New Roman" w:hAnsi="Times New Roman"/>
          <w:i/>
        </w:rPr>
        <w:t>In the event that third parties object to the amendment procedures carried out within the scope of this paragraph, the said objection and the amendment procedure subject to the objection shall be finalized by the Board. "</w:t>
      </w:r>
    </w:p>
    <w:p w14:paraId="308D2440" w14:textId="77777777" w:rsidR="00171C59" w:rsidRPr="009E1B38" w:rsidRDefault="00171C59" w:rsidP="00171C59">
      <w:pPr>
        <w:pStyle w:val="ListeParagraf"/>
        <w:ind w:left="709"/>
        <w:jc w:val="left"/>
        <w:rPr>
          <w:rFonts w:ascii="Times New Roman" w:hAnsi="Times New Roman"/>
          <w:i/>
        </w:rPr>
      </w:pPr>
    </w:p>
    <w:p w14:paraId="31B466F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"(18) Application for amendment made within the scope of adding electrical storage unit to the facility subject to generation license;</w:t>
      </w:r>
    </w:p>
    <w:p w14:paraId="70DF090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Failure to go outside the site included in the license,</w:t>
      </w:r>
    </w:p>
    <w:p w14:paraId="3769BEE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The electrical and/or mechanical installed power included in the license does not change,</w:t>
      </w:r>
    </w:p>
    <w:p w14:paraId="6ECCDB9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The current connection form and connection point and voltage level included in the license do not change,</w:t>
      </w:r>
    </w:p>
    <w:p w14:paraId="4411E50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Provided that the opinion received from the relevant network operator is positive in accordance with the second paragraph of Article 15 about the connection of the said electricity storage unit to the system and the use of the system, it may be deemed appropriate.</w:t>
      </w:r>
      <w:r w:rsidRPr="009E1B38">
        <w:rPr>
          <w:rFonts w:ascii="Times New Roman" w:hAnsi="Times New Roman"/>
        </w:rPr>
        <w:t xml:space="preserve"> </w:t>
      </w:r>
      <w:r w:rsidRPr="009E1B38">
        <w:rPr>
          <w:rFonts w:ascii="Times New Roman" w:hAnsi="Times New Roman"/>
          <w:i/>
        </w:rPr>
        <w:t>License amendment shall be made provided that the decision required within the scope of Environmental Impact Assessment Regulation is submitted to the Authority within the period determined in the Board decision as of the date of notification of the Board decision.</w:t>
      </w:r>
      <w:r w:rsidRPr="009E1B38">
        <w:rPr>
          <w:rFonts w:ascii="Times New Roman" w:hAnsi="Times New Roman"/>
        </w:rPr>
        <w:t xml:space="preserve"> </w:t>
      </w:r>
      <w:r w:rsidRPr="009E1B38">
        <w:rPr>
          <w:rFonts w:ascii="Times New Roman" w:hAnsi="Times New Roman"/>
          <w:i/>
        </w:rPr>
        <w:t>Capital adequacy and guarantee obligation are not required for the unit within this scope.</w:t>
      </w:r>
    </w:p>
    <w:p w14:paraId="7D8B68F2" w14:textId="77777777" w:rsidR="00171C59" w:rsidRPr="009E1B38" w:rsidRDefault="00171C59" w:rsidP="00171C59">
      <w:pPr>
        <w:pStyle w:val="ListeParagraf"/>
        <w:ind w:left="709"/>
        <w:jc w:val="left"/>
        <w:rPr>
          <w:rFonts w:ascii="Times New Roman" w:hAnsi="Times New Roman"/>
          <w:i/>
        </w:rPr>
      </w:pPr>
    </w:p>
    <w:p w14:paraId="6846095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(19) The legal entities holding the supply license shall apply to the Authority for a license amendment to be added to the license of the said facility if they wish to establish an independent electricity storage facility.</w:t>
      </w:r>
      <w:r w:rsidRPr="009E1B38">
        <w:rPr>
          <w:rFonts w:ascii="Times New Roman" w:hAnsi="Times New Roman"/>
        </w:rPr>
        <w:t xml:space="preserve"> </w:t>
      </w:r>
      <w:r w:rsidRPr="009E1B38">
        <w:rPr>
          <w:rFonts w:ascii="Times New Roman" w:hAnsi="Times New Roman"/>
          <w:i/>
        </w:rPr>
        <w:t>If a request is made in this context, the provision of the second paragraph of Article 15 shall be applied for the connection of the electricity storage facility to the system and the use of the system.</w:t>
      </w:r>
      <w:r w:rsidRPr="009E1B38">
        <w:rPr>
          <w:rFonts w:ascii="Times New Roman" w:hAnsi="Times New Roman"/>
        </w:rPr>
        <w:t xml:space="preserve"> </w:t>
      </w:r>
      <w:r w:rsidRPr="009E1B38">
        <w:rPr>
          <w:rFonts w:ascii="Times New Roman" w:hAnsi="Times New Roman"/>
          <w:i/>
        </w:rPr>
        <w:t>If the request is approved by the Board, the license is amended within the period determined in the Board decision as of the date of notification of the Board decision, provided that the decision required within the scope of the Environmental Impact Assessment Regulation is submitted to the Authority.</w:t>
      </w:r>
      <w:r w:rsidRPr="009E1B38">
        <w:rPr>
          <w:rFonts w:ascii="Times New Roman" w:hAnsi="Times New Roman"/>
        </w:rPr>
        <w:t xml:space="preserve"> </w:t>
      </w:r>
      <w:r w:rsidRPr="009E1B38">
        <w:rPr>
          <w:rFonts w:ascii="Times New Roman" w:hAnsi="Times New Roman"/>
          <w:i/>
        </w:rPr>
        <w:t>Within the scope of the provision of the third paragraph; the provisions applied for license modification requests regarding the extension of the duration of generation plants shall also apply to individual electricity storage facilities.</w:t>
      </w:r>
      <w:r w:rsidRPr="009E1B38">
        <w:rPr>
          <w:rFonts w:ascii="Times New Roman" w:hAnsi="Times New Roman"/>
        </w:rPr>
        <w:t xml:space="preserve"> </w:t>
      </w:r>
      <w:r w:rsidRPr="009E1B38">
        <w:rPr>
          <w:rFonts w:ascii="Times New Roman" w:hAnsi="Times New Roman"/>
          <w:i/>
        </w:rPr>
        <w:t>Capital adequacy and guarantee obligation are not required for the facility within this scope. "</w:t>
      </w:r>
    </w:p>
    <w:p w14:paraId="61E15181" w14:textId="77777777" w:rsidR="00171C59" w:rsidRPr="009E1B38" w:rsidRDefault="00171C59" w:rsidP="00171C59">
      <w:pPr>
        <w:pStyle w:val="ListeParagraf"/>
        <w:ind w:left="709"/>
        <w:jc w:val="left"/>
        <w:rPr>
          <w:rFonts w:ascii="Times New Roman" w:hAnsi="Times New Roman"/>
          <w:i/>
        </w:rPr>
      </w:pPr>
    </w:p>
    <w:p w14:paraId="1C00A838"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paragraph has been added to Article 27 titled</w:t>
      </w:r>
      <w:r w:rsidRPr="009E1B38">
        <w:rPr>
          <w:rFonts w:ascii="Times New Roman" w:hAnsi="Times New Roman"/>
          <w:i/>
        </w:rPr>
        <w:t xml:space="preserve"> "Sanctions and cancellation of license ".</w:t>
      </w:r>
    </w:p>
    <w:p w14:paraId="60422477" w14:textId="77777777" w:rsidR="00171C59" w:rsidRPr="009E1B38" w:rsidRDefault="00171C59" w:rsidP="00171C59">
      <w:pPr>
        <w:pStyle w:val="ListeParagraf"/>
        <w:ind w:left="709"/>
        <w:jc w:val="left"/>
        <w:rPr>
          <w:rFonts w:ascii="Times New Roman" w:hAnsi="Times New Roman"/>
          <w:i/>
        </w:rPr>
      </w:pPr>
    </w:p>
    <w:p w14:paraId="647DC4F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"(7) If the electricity storage unit integrated in the generation plant and the independent electricity storage facility are not completed within the period specified in the license, the provisions related to the said storage unit or facility shall be revoked from the scope of the relevant license with the Board decision."</w:t>
      </w:r>
    </w:p>
    <w:p w14:paraId="47F937FA" w14:textId="77777777" w:rsidR="00171C59" w:rsidRPr="009E1B38" w:rsidRDefault="00171C59" w:rsidP="00171C59">
      <w:pPr>
        <w:pStyle w:val="ListeParagraf"/>
        <w:ind w:left="709"/>
        <w:jc w:val="left"/>
        <w:rPr>
          <w:rFonts w:ascii="Times New Roman" w:hAnsi="Times New Roman"/>
          <w:i/>
        </w:rPr>
      </w:pPr>
    </w:p>
    <w:p w14:paraId="3EE55746"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paragraph has been added to the first paragraph of Article 30 titled</w:t>
      </w:r>
      <w:r w:rsidRPr="009E1B38">
        <w:rPr>
          <w:rFonts w:ascii="Times New Roman" w:hAnsi="Times New Roman"/>
          <w:i/>
        </w:rPr>
        <w:t xml:space="preserve"> "Rights and obligations of generation license holder", </w:t>
      </w:r>
      <w:r w:rsidRPr="009E1B38">
        <w:rPr>
          <w:rFonts w:ascii="Times New Roman" w:hAnsi="Times New Roman"/>
        </w:rPr>
        <w:t>the following paragraph has been added to the second paragraph, the fourth and fifth paragraphs have been repealed and the following paragraphs have been added to the same article.</w:t>
      </w:r>
    </w:p>
    <w:p w14:paraId="7F51F004" w14:textId="77777777" w:rsidR="00171C59" w:rsidRPr="009E1B38" w:rsidRDefault="00171C59" w:rsidP="00171C59">
      <w:pPr>
        <w:pStyle w:val="ListeParagraf"/>
        <w:ind w:left="709"/>
        <w:jc w:val="left"/>
        <w:rPr>
          <w:rFonts w:ascii="Times New Roman" w:hAnsi="Times New Roman"/>
        </w:rPr>
      </w:pPr>
    </w:p>
    <w:p w14:paraId="0571D69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"g) Establishing and operating the integrated electrical storage unit, provided that it is included in the license,"</w:t>
      </w:r>
    </w:p>
    <w:p w14:paraId="7B434D54" w14:textId="77777777" w:rsidR="00171C59" w:rsidRPr="009E1B38" w:rsidRDefault="00171C59" w:rsidP="00171C59">
      <w:pPr>
        <w:pStyle w:val="ListeParagraf"/>
        <w:ind w:left="709"/>
        <w:jc w:val="left"/>
        <w:rPr>
          <w:rFonts w:ascii="Times New Roman" w:hAnsi="Times New Roman"/>
          <w:i/>
        </w:rPr>
      </w:pPr>
    </w:p>
    <w:p w14:paraId="5FFA78D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“ğ) To meet the by-products to be used in the said facilities from the pyrolysis facilities to be established within the scope of the license of the by-products to be used in the said facilities by the legal entities holding biomass-based generation license to use the by-products arising from the processing of waste tires,”</w:t>
      </w:r>
    </w:p>
    <w:p w14:paraId="26FB9F1D" w14:textId="77777777" w:rsidR="00171C59" w:rsidRPr="009E1B38" w:rsidRDefault="00171C59" w:rsidP="00171C59">
      <w:pPr>
        <w:pStyle w:val="ListeParagraf"/>
        <w:ind w:left="709"/>
        <w:jc w:val="left"/>
        <w:rPr>
          <w:rFonts w:ascii="Times New Roman" w:hAnsi="Times New Roman"/>
          <w:i/>
        </w:rPr>
      </w:pPr>
    </w:p>
    <w:p w14:paraId="1E13D36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“(6) The total power of the unit and/or units to be installed in the combined electricity generation plant and the combined renewable electricity generation plants based on the auxiliary source shall be determined by the decision of the Board.</w:t>
      </w:r>
    </w:p>
    <w:p w14:paraId="79A31021" w14:textId="77777777" w:rsidR="00171C59" w:rsidRPr="009E1B38" w:rsidRDefault="00171C59" w:rsidP="00171C59">
      <w:pPr>
        <w:pStyle w:val="ListeParagraf"/>
        <w:ind w:left="709"/>
        <w:jc w:val="left"/>
        <w:rPr>
          <w:rFonts w:ascii="Times New Roman" w:hAnsi="Times New Roman"/>
          <w:i/>
        </w:rPr>
      </w:pPr>
    </w:p>
    <w:p w14:paraId="7FAEB4C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(7) Partial or full acceptance of the unit or units based on the auxiliary source shall not be made without partial or full acceptance of the units based on the main source in multiple source electricity generation plants. "</w:t>
      </w:r>
    </w:p>
    <w:p w14:paraId="6C5A1A9F" w14:textId="77777777" w:rsidR="00171C59" w:rsidRPr="009E1B38" w:rsidRDefault="00171C59" w:rsidP="00171C59">
      <w:pPr>
        <w:pStyle w:val="ListeParagraf"/>
        <w:ind w:left="709"/>
        <w:jc w:val="left"/>
        <w:rPr>
          <w:rFonts w:ascii="Times New Roman" w:hAnsi="Times New Roman"/>
          <w:i/>
        </w:rPr>
      </w:pPr>
    </w:p>
    <w:p w14:paraId="57BC27FE"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 xml:space="preserve">Clause (ç) of the first paragraph of Article 33 titled </w:t>
      </w:r>
      <w:r w:rsidRPr="009E1B38">
        <w:rPr>
          <w:rFonts w:ascii="Times New Roman" w:hAnsi="Times New Roman"/>
          <w:i/>
        </w:rPr>
        <w:t xml:space="preserve">"Rights and obligations of the distribution license holder" </w:t>
      </w:r>
      <w:r w:rsidRPr="009E1B38">
        <w:rPr>
          <w:rFonts w:ascii="Times New Roman" w:hAnsi="Times New Roman"/>
        </w:rPr>
        <w:t>has been repealed and the following paragraph has been added to the same paragraph.</w:t>
      </w:r>
    </w:p>
    <w:p w14:paraId="68571A35" w14:textId="77777777" w:rsidR="00171C59" w:rsidRPr="009E1B38" w:rsidRDefault="00171C59" w:rsidP="00171C59">
      <w:pPr>
        <w:pStyle w:val="ListeParagraf"/>
        <w:ind w:left="709"/>
        <w:jc w:val="left"/>
        <w:rPr>
          <w:rFonts w:ascii="Times New Roman" w:hAnsi="Times New Roman"/>
        </w:rPr>
      </w:pPr>
    </w:p>
    <w:p w14:paraId="7095426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Establishment and operation of electricity storage facility within the framework of the conditions specified in the relevant legislation,"</w:t>
      </w:r>
    </w:p>
    <w:p w14:paraId="2921AA36" w14:textId="77777777" w:rsidR="00171C59" w:rsidRPr="009E1B38" w:rsidRDefault="00171C59" w:rsidP="00171C59">
      <w:pPr>
        <w:pStyle w:val="ListeParagraf"/>
        <w:ind w:left="709"/>
        <w:jc w:val="left"/>
        <w:rPr>
          <w:rFonts w:ascii="Times New Roman" w:hAnsi="Times New Roman"/>
          <w:i/>
        </w:rPr>
      </w:pPr>
    </w:p>
    <w:p w14:paraId="0B8B9B08"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paragraph has been added to the first paragraph of Article 34 titled</w:t>
      </w:r>
      <w:r w:rsidRPr="009E1B38">
        <w:rPr>
          <w:rFonts w:ascii="Times New Roman" w:hAnsi="Times New Roman"/>
          <w:i/>
        </w:rPr>
        <w:t xml:space="preserve"> "Rights and obligations of the supply license holder ".</w:t>
      </w:r>
    </w:p>
    <w:p w14:paraId="05C74B57" w14:textId="77777777" w:rsidR="00171C59" w:rsidRPr="009E1B38" w:rsidRDefault="00171C59" w:rsidP="00171C59">
      <w:pPr>
        <w:pStyle w:val="ListeParagraf"/>
        <w:ind w:left="709"/>
        <w:jc w:val="left"/>
        <w:rPr>
          <w:rFonts w:ascii="Times New Roman" w:hAnsi="Times New Roman"/>
          <w:i/>
        </w:rPr>
      </w:pPr>
    </w:p>
    <w:p w14:paraId="49A1FC6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Establishment and operation of independent electrical storage facilities or facilities within the scope of the license,"</w:t>
      </w:r>
    </w:p>
    <w:p w14:paraId="665C02C8" w14:textId="77777777" w:rsidR="00171C59" w:rsidRPr="009E1B38" w:rsidRDefault="00171C59" w:rsidP="00171C59">
      <w:pPr>
        <w:pStyle w:val="ListeParagraf"/>
        <w:ind w:left="709"/>
        <w:jc w:val="left"/>
        <w:rPr>
          <w:rFonts w:ascii="Times New Roman" w:hAnsi="Times New Roman"/>
          <w:i/>
        </w:rPr>
      </w:pPr>
    </w:p>
    <w:p w14:paraId="72E3A1EC"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second paragraph of Article 43 titled</w:t>
      </w:r>
      <w:r w:rsidRPr="009E1B38">
        <w:rPr>
          <w:rFonts w:ascii="Times New Roman" w:hAnsi="Times New Roman"/>
          <w:i/>
        </w:rPr>
        <w:t xml:space="preserve"> "License fees" </w:t>
      </w:r>
      <w:r w:rsidRPr="009E1B38">
        <w:rPr>
          <w:rFonts w:ascii="Times New Roman" w:hAnsi="Times New Roman"/>
        </w:rPr>
        <w:t>has been amended as follows and the following sentence has been added to the end of the sixteenth paragraph of the same article.</w:t>
      </w:r>
    </w:p>
    <w:p w14:paraId="21C7D0D3" w14:textId="77777777" w:rsidR="00171C59" w:rsidRPr="009E1B38" w:rsidRDefault="00171C59" w:rsidP="00171C59">
      <w:pPr>
        <w:pStyle w:val="ListeParagraf"/>
        <w:ind w:left="709"/>
        <w:jc w:val="left"/>
        <w:rPr>
          <w:rFonts w:ascii="Times New Roman" w:hAnsi="Times New Roman"/>
        </w:rPr>
      </w:pPr>
    </w:p>
    <w:p w14:paraId="09A2EC5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Preliminary license and license fees are determined in a fixed manner according to the activity subjects and/or activity size, and annual license fees are determined in a proportional manner according to the activity subjects and the amount of electricity produced, transmitted, distributed, sold wholesale or retail, stored and paid according to the provisions of this Regulation."</w:t>
      </w:r>
    </w:p>
    <w:p w14:paraId="4A50CC12" w14:textId="77777777" w:rsidR="00171C59" w:rsidRPr="009E1B38" w:rsidRDefault="00171C59" w:rsidP="00171C59">
      <w:pPr>
        <w:pStyle w:val="ListeParagraf"/>
        <w:ind w:left="709"/>
        <w:jc w:val="left"/>
        <w:rPr>
          <w:rFonts w:ascii="Times New Roman" w:hAnsi="Times New Roman"/>
          <w:i/>
        </w:rPr>
      </w:pPr>
    </w:p>
    <w:p w14:paraId="18B1B6E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"Within the scope of the first and second paragraphs of Article 57; if the notification obligation regarding share changes is not fulfilled within the specified period, a fee equal to the said amendment fee shall be applied."</w:t>
      </w:r>
    </w:p>
    <w:p w14:paraId="74C309D1" w14:textId="77777777" w:rsidR="00171C59" w:rsidRPr="009E1B38" w:rsidRDefault="00171C59" w:rsidP="00171C59">
      <w:pPr>
        <w:pStyle w:val="ListeParagraf"/>
        <w:ind w:left="709"/>
        <w:jc w:val="left"/>
        <w:rPr>
          <w:rFonts w:ascii="Times New Roman" w:hAnsi="Times New Roman"/>
          <w:i/>
        </w:rPr>
      </w:pPr>
    </w:p>
    <w:p w14:paraId="795C9CD2"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Article 46 titled</w:t>
      </w:r>
      <w:r w:rsidRPr="009E1B38">
        <w:rPr>
          <w:rFonts w:ascii="Times New Roman" w:hAnsi="Times New Roman"/>
          <w:i/>
        </w:rPr>
        <w:t xml:space="preserve"> "Expropriation, establishment of easement, use permit or lease" </w:t>
      </w:r>
      <w:r w:rsidRPr="009E1B38">
        <w:rPr>
          <w:rFonts w:ascii="Times New Roman" w:hAnsi="Times New Roman"/>
        </w:rPr>
        <w:t>has been amended as follows.</w:t>
      </w:r>
    </w:p>
    <w:p w14:paraId="70F914E7" w14:textId="77777777" w:rsidR="00171C59" w:rsidRPr="009E1B38" w:rsidRDefault="00171C59" w:rsidP="00171C59">
      <w:pPr>
        <w:pStyle w:val="ListeParagraf"/>
        <w:ind w:left="709"/>
        <w:jc w:val="left"/>
        <w:rPr>
          <w:rFonts w:ascii="Times New Roman" w:hAnsi="Times New Roman"/>
        </w:rPr>
      </w:pPr>
    </w:p>
    <w:p w14:paraId="1EA3E26C"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46</w:t>
      </w:r>
    </w:p>
    <w:p w14:paraId="1032107F" w14:textId="77777777" w:rsidR="00171C59" w:rsidRPr="009E1B38" w:rsidRDefault="00171C59" w:rsidP="00171C59">
      <w:pPr>
        <w:pStyle w:val="ListeParagraf"/>
        <w:ind w:left="709"/>
        <w:jc w:val="left"/>
        <w:rPr>
          <w:rFonts w:ascii="Times New Roman" w:hAnsi="Times New Roman"/>
          <w:b/>
          <w:i/>
        </w:rPr>
      </w:pPr>
    </w:p>
    <w:p w14:paraId="6BAF81A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The legal entity of private law holding preliminary license and generation license shall, in relation to its activity, directly;</w:t>
      </w:r>
    </w:p>
    <w:p w14:paraId="470D88E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Expropriation procedures,</w:t>
      </w:r>
    </w:p>
    <w:p w14:paraId="6D4A10C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Establishment of easement right,</w:t>
      </w:r>
    </w:p>
    <w:p w14:paraId="4D71D29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Usage permit,</w:t>
      </w:r>
    </w:p>
    <w:p w14:paraId="22A7FAB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Leasing,</w:t>
      </w:r>
    </w:p>
    <w:p w14:paraId="21490F0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Taking the decision of transfer of immovables belonging to state institutions and organizations other than immovables belonging to the Treasury,</w:t>
      </w:r>
    </w:p>
    <w:p w14:paraId="0AD13D6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 Change of pasture allocation purpose,</w:t>
      </w:r>
    </w:p>
    <w:p w14:paraId="182D806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may apply to the Authority upon request.</w:t>
      </w:r>
      <w:r w:rsidRPr="009E1B38">
        <w:rPr>
          <w:rFonts w:ascii="Times New Roman" w:hAnsi="Times New Roman"/>
        </w:rPr>
        <w:t xml:space="preserve"> </w:t>
      </w:r>
      <w:r w:rsidRPr="009E1B38">
        <w:rPr>
          <w:rFonts w:ascii="Times New Roman" w:hAnsi="Times New Roman"/>
          <w:i/>
        </w:rPr>
        <w:t>In the preliminary license and generation licenses granted for YEKA, no claim may be made within the scope of this paragraph for the factory, R&amp;D facilities and the like to be established within the scope of YEKA Regulation.</w:t>
      </w:r>
    </w:p>
    <w:p w14:paraId="24A46735" w14:textId="77777777" w:rsidR="00171C59" w:rsidRPr="009E1B38" w:rsidRDefault="00171C59" w:rsidP="00171C59">
      <w:pPr>
        <w:pStyle w:val="ListeParagraf"/>
        <w:ind w:left="709"/>
        <w:jc w:val="left"/>
        <w:rPr>
          <w:rFonts w:ascii="Times New Roman" w:hAnsi="Times New Roman"/>
          <w:i/>
        </w:rPr>
      </w:pPr>
    </w:p>
    <w:p w14:paraId="52182A0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Expropriation requests of the preliminary license or license holder private legal entities engaged in generation activities in the electricity market regarding the immovable properties that are required for the activities subject to preliminary license and license and that are privately owned by the persons shall be evaluated by the Authority and if deemed appropriate, a decision shall be taken by the Board.</w:t>
      </w:r>
      <w:r w:rsidRPr="009E1B38">
        <w:rPr>
          <w:rFonts w:ascii="Times New Roman" w:hAnsi="Times New Roman"/>
        </w:rPr>
        <w:t xml:space="preserve"> </w:t>
      </w:r>
      <w:r w:rsidRPr="009E1B38">
        <w:rPr>
          <w:rFonts w:ascii="Times New Roman" w:hAnsi="Times New Roman"/>
          <w:i/>
        </w:rPr>
        <w:t>Necessary expropriation procedures within the framework of the said decision shall be concluded within the framework of the first paragraph of Article 19 of the Law. "</w:t>
      </w:r>
    </w:p>
    <w:p w14:paraId="04113D37" w14:textId="77777777" w:rsidR="00171C59" w:rsidRPr="009E1B38" w:rsidRDefault="00171C59" w:rsidP="00171C59">
      <w:pPr>
        <w:pStyle w:val="ListeParagraf"/>
        <w:ind w:left="709"/>
        <w:jc w:val="left"/>
        <w:rPr>
          <w:rFonts w:ascii="Times New Roman" w:hAnsi="Times New Roman"/>
          <w:i/>
        </w:rPr>
      </w:pPr>
    </w:p>
    <w:p w14:paraId="24662553"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second paragraph of Article 52 titled</w:t>
      </w:r>
      <w:r w:rsidRPr="009E1B38">
        <w:rPr>
          <w:rFonts w:ascii="Times New Roman" w:hAnsi="Times New Roman"/>
          <w:i/>
        </w:rPr>
        <w:t xml:space="preserve"> "Reporting" </w:t>
      </w:r>
      <w:r w:rsidRPr="009E1B38">
        <w:rPr>
          <w:rFonts w:ascii="Times New Roman" w:hAnsi="Times New Roman"/>
        </w:rPr>
        <w:t>has been amended as follows.</w:t>
      </w:r>
    </w:p>
    <w:p w14:paraId="7DB2996C" w14:textId="77777777" w:rsidR="00171C59" w:rsidRPr="009E1B38" w:rsidRDefault="00171C59" w:rsidP="00171C59">
      <w:pPr>
        <w:pStyle w:val="ListeParagraf"/>
        <w:ind w:left="709"/>
        <w:jc w:val="left"/>
        <w:rPr>
          <w:rFonts w:ascii="Times New Roman" w:hAnsi="Times New Roman"/>
        </w:rPr>
      </w:pPr>
    </w:p>
    <w:p w14:paraId="47B4ADE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Legal entities licensed to carry out generation activities are obliged to submit the realizations in the first and second half of the year respectively to the Authority in the progress report in accordance with the form determined by the Authority about the activities they carry out until the acceptance of the total installed power of the facility.</w:t>
      </w:r>
      <w:r w:rsidRPr="009E1B38">
        <w:rPr>
          <w:rFonts w:ascii="Times New Roman" w:hAnsi="Times New Roman"/>
        </w:rPr>
        <w:t xml:space="preserve"> </w:t>
      </w:r>
      <w:r w:rsidRPr="009E1B38">
        <w:rPr>
          <w:rFonts w:ascii="Times New Roman" w:hAnsi="Times New Roman"/>
          <w:i/>
        </w:rPr>
        <w:t>If the period between the date of the license and the first progress report period following this date is more than 90 days, the said obligation starts in the current period, otherwise in the next period. "</w:t>
      </w:r>
    </w:p>
    <w:p w14:paraId="797F956F" w14:textId="77777777" w:rsidR="00171C59" w:rsidRPr="009E1B38" w:rsidRDefault="00171C59" w:rsidP="00171C59">
      <w:pPr>
        <w:pStyle w:val="ListeParagraf"/>
        <w:ind w:left="709"/>
        <w:jc w:val="left"/>
        <w:rPr>
          <w:rFonts w:ascii="Times New Roman" w:hAnsi="Times New Roman"/>
          <w:i/>
        </w:rPr>
      </w:pPr>
    </w:p>
    <w:p w14:paraId="2E94B777"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sentence has been added to the end of the first paragraph of Article 57 titled</w:t>
      </w:r>
      <w:r w:rsidRPr="009E1B38">
        <w:rPr>
          <w:rFonts w:ascii="Times New Roman" w:hAnsi="Times New Roman"/>
          <w:i/>
        </w:rPr>
        <w:t xml:space="preserve"> "Share transfers”, </w:t>
      </w:r>
      <w:r w:rsidRPr="009E1B38">
        <w:rPr>
          <w:rFonts w:ascii="Times New Roman" w:hAnsi="Times New Roman"/>
        </w:rPr>
        <w:t>the second paragraph has been amended as follows, and the seventh and eighth paragraphs of the same article have been repealed.</w:t>
      </w:r>
    </w:p>
    <w:p w14:paraId="1A4F18B0" w14:textId="77777777" w:rsidR="00171C59" w:rsidRPr="009E1B38" w:rsidRDefault="00171C59" w:rsidP="00171C59">
      <w:pPr>
        <w:pStyle w:val="ListeParagraf"/>
        <w:ind w:left="709"/>
        <w:jc w:val="left"/>
        <w:rPr>
          <w:rFonts w:ascii="Times New Roman" w:hAnsi="Times New Roman"/>
        </w:rPr>
      </w:pPr>
    </w:p>
    <w:p w14:paraId="6772E43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"Changes within the scope of this paragraph must be notified to the Authority through EMRA Application System within six months from the date of realization."</w:t>
      </w:r>
    </w:p>
    <w:p w14:paraId="3DA9E860" w14:textId="77777777" w:rsidR="00171C59" w:rsidRPr="009E1B38" w:rsidRDefault="00171C59" w:rsidP="00171C59">
      <w:pPr>
        <w:pStyle w:val="ListeParagraf"/>
        <w:ind w:left="709"/>
        <w:jc w:val="left"/>
        <w:rPr>
          <w:rFonts w:ascii="Times New Roman" w:hAnsi="Times New Roman"/>
          <w:i/>
        </w:rPr>
      </w:pPr>
    </w:p>
    <w:p w14:paraId="3A446EE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The acquisition of shares representing ten percent or more of the capital of the licensee legal entities carrying out activities subject to tariff regulation and the acquisition of shares representing five percent or more of the capital in state companies by a real or legal entity directly or indirectly and the transfer of shares that result in the change of control in the partnership structure of the legal entity regardless of the changes in the capital share mentioned above or other transactions that result in this result and the establishment of a pledge on the shares of the said licensee legal entities and the establishment of an account pledge for these legal entities are subject to the approval of the Board at each time.</w:t>
      </w:r>
      <w:r w:rsidRPr="009E1B38">
        <w:rPr>
          <w:rFonts w:ascii="Times New Roman" w:hAnsi="Times New Roman"/>
        </w:rPr>
        <w:t xml:space="preserve"> </w:t>
      </w:r>
      <w:r w:rsidRPr="009E1B38">
        <w:rPr>
          <w:rFonts w:ascii="Times New Roman" w:hAnsi="Times New Roman"/>
          <w:i/>
        </w:rPr>
        <w:t>Direct share changes representing four percent or more of the capital of the legal entity are subject to the approval of the Board, regardless of the above-mentioned capital share changes in the shareholding structures of the legal entities holding the market operating license.</w:t>
      </w:r>
      <w:r w:rsidRPr="009E1B38">
        <w:rPr>
          <w:rFonts w:ascii="Times New Roman" w:hAnsi="Times New Roman"/>
        </w:rPr>
        <w:t xml:space="preserve"> </w:t>
      </w:r>
      <w:r w:rsidRPr="009E1B38">
        <w:rPr>
          <w:rFonts w:ascii="Times New Roman" w:hAnsi="Times New Roman"/>
          <w:i/>
        </w:rPr>
        <w:t>However, direct or indirect share changes that arise due to the use of the priority right and do not change the control structure are not subject to approval.</w:t>
      </w:r>
      <w:r w:rsidRPr="009E1B38">
        <w:rPr>
          <w:rFonts w:ascii="Times New Roman" w:hAnsi="Times New Roman"/>
        </w:rPr>
        <w:t xml:space="preserve"> </w:t>
      </w:r>
      <w:r w:rsidRPr="009E1B38">
        <w:rPr>
          <w:rFonts w:ascii="Times New Roman" w:hAnsi="Times New Roman"/>
          <w:i/>
        </w:rPr>
        <w:t>If the share transfer is not completed within six months from the date of approval, the approval granted shall be invalid.</w:t>
      </w:r>
      <w:r w:rsidRPr="009E1B38">
        <w:rPr>
          <w:rFonts w:ascii="Times New Roman" w:hAnsi="Times New Roman"/>
        </w:rPr>
        <w:t xml:space="preserve"> </w:t>
      </w:r>
      <w:r w:rsidRPr="009E1B38">
        <w:rPr>
          <w:rFonts w:ascii="Times New Roman" w:hAnsi="Times New Roman"/>
          <w:i/>
        </w:rPr>
        <w:t>It is obligatory to request a license amendment within three months from the date of completion of the share transfer.</w:t>
      </w:r>
      <w:r w:rsidRPr="009E1B38">
        <w:rPr>
          <w:rFonts w:ascii="Times New Roman" w:hAnsi="Times New Roman"/>
        </w:rPr>
        <w:t xml:space="preserve"> </w:t>
      </w:r>
      <w:r w:rsidRPr="009E1B38">
        <w:rPr>
          <w:rFonts w:ascii="Times New Roman" w:hAnsi="Times New Roman"/>
          <w:i/>
        </w:rPr>
        <w:t>The provision of this paragraph shall not apply to publicly traded legal entities and to changes in the shareholding structure of a legal entity with a publicly traded legal entity partner arising from the publicly traded shares of such partner, limited to its publicly traded shares.</w:t>
      </w:r>
      <w:r w:rsidRPr="009E1B38">
        <w:rPr>
          <w:rFonts w:ascii="Times New Roman" w:hAnsi="Times New Roman"/>
        </w:rPr>
        <w:t xml:space="preserve"> </w:t>
      </w:r>
      <w:r w:rsidRPr="009E1B38">
        <w:rPr>
          <w:rFonts w:ascii="Times New Roman" w:hAnsi="Times New Roman"/>
          <w:i/>
        </w:rPr>
        <w:t>If other changes that do not require approval under this paragraph are notified to the Authority and required for these changes, it is obligatory to request a license amendment within six months from the date of the change.</w:t>
      </w:r>
      <w:r w:rsidRPr="009E1B38">
        <w:rPr>
          <w:rFonts w:ascii="Times New Roman" w:hAnsi="Times New Roman"/>
        </w:rPr>
        <w:t xml:space="preserve"> </w:t>
      </w:r>
      <w:r w:rsidRPr="009E1B38">
        <w:rPr>
          <w:rFonts w:ascii="Times New Roman" w:hAnsi="Times New Roman"/>
          <w:i/>
        </w:rPr>
        <w:t>For legal entities holding generation license; it is obligatory to notify the Authority of the changes within the scope of this paragraph within six months from the date of realization through EMRA Application System. "</w:t>
      </w:r>
    </w:p>
    <w:p w14:paraId="6E5FB7C9" w14:textId="77777777" w:rsidR="00171C59" w:rsidRPr="009E1B38" w:rsidRDefault="00171C59" w:rsidP="00171C59">
      <w:pPr>
        <w:pStyle w:val="ListeParagraf"/>
        <w:ind w:left="709"/>
        <w:jc w:val="left"/>
        <w:rPr>
          <w:rFonts w:ascii="Times New Roman" w:hAnsi="Times New Roman"/>
        </w:rPr>
      </w:pPr>
    </w:p>
    <w:p w14:paraId="691A7D5F"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sentence has been added to the end of the second paragraph of the provisional article 15 titled</w:t>
      </w:r>
      <w:r w:rsidRPr="009E1B38">
        <w:rPr>
          <w:rFonts w:ascii="Times New Roman" w:hAnsi="Times New Roman"/>
          <w:i/>
        </w:rPr>
        <w:t xml:space="preserve"> "Giving six months to existing license holders ".</w:t>
      </w:r>
    </w:p>
    <w:p w14:paraId="3848A052" w14:textId="77777777" w:rsidR="00171C59" w:rsidRPr="009E1B38" w:rsidRDefault="00171C59" w:rsidP="00171C59">
      <w:pPr>
        <w:pStyle w:val="ListeParagraf"/>
        <w:ind w:left="709"/>
        <w:jc w:val="left"/>
        <w:rPr>
          <w:rFonts w:ascii="Times New Roman" w:hAnsi="Times New Roman"/>
          <w:i/>
        </w:rPr>
      </w:pPr>
    </w:p>
    <w:p w14:paraId="553B387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“The guarantees submitted to the Authority within the scope of the generation license shall not be returned until the obligations under the first paragraph are completed, even if the facility in question has been commissioned.”</w:t>
      </w:r>
    </w:p>
    <w:p w14:paraId="5BF1FC6E" w14:textId="77777777" w:rsidR="00171C59" w:rsidRPr="009E1B38" w:rsidRDefault="00171C59" w:rsidP="00171C59">
      <w:pPr>
        <w:pStyle w:val="ListeParagraf"/>
        <w:ind w:left="709"/>
        <w:jc w:val="left"/>
        <w:rPr>
          <w:rFonts w:ascii="Times New Roman" w:hAnsi="Times New Roman"/>
          <w:i/>
        </w:rPr>
      </w:pPr>
    </w:p>
    <w:p w14:paraId="6D6DE193"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The following provisional articles have been added to the same Regulation.</w:t>
      </w:r>
    </w:p>
    <w:p w14:paraId="2B73A789" w14:textId="77777777" w:rsidR="00171C59" w:rsidRPr="009E1B38" w:rsidRDefault="00171C59" w:rsidP="00171C59">
      <w:pPr>
        <w:pStyle w:val="ListeParagraf"/>
        <w:ind w:left="709"/>
        <w:jc w:val="left"/>
        <w:rPr>
          <w:rFonts w:ascii="Times New Roman" w:hAnsi="Times New Roman"/>
          <w:i/>
        </w:rPr>
      </w:pPr>
    </w:p>
    <w:p w14:paraId="0EEEF23D"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“Declarations of shareholding structure changes</w:t>
      </w:r>
    </w:p>
    <w:p w14:paraId="7FCFBBDD" w14:textId="77777777" w:rsidR="00171C59" w:rsidRPr="009E1B38" w:rsidRDefault="00171C59" w:rsidP="00171C59">
      <w:pPr>
        <w:pStyle w:val="ListeParagraf"/>
        <w:ind w:left="709"/>
        <w:jc w:val="left"/>
        <w:rPr>
          <w:rFonts w:ascii="Times New Roman" w:hAnsi="Times New Roman"/>
          <w:b/>
          <w:i/>
        </w:rPr>
      </w:pPr>
    </w:p>
    <w:p w14:paraId="5F6705D8"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31</w:t>
      </w:r>
    </w:p>
    <w:p w14:paraId="0E58135A" w14:textId="77777777" w:rsidR="00171C59" w:rsidRPr="009E1B38" w:rsidRDefault="00171C59" w:rsidP="00171C59">
      <w:pPr>
        <w:pStyle w:val="ListeParagraf"/>
        <w:ind w:left="709"/>
        <w:jc w:val="left"/>
        <w:rPr>
          <w:rFonts w:ascii="Times New Roman" w:hAnsi="Times New Roman"/>
          <w:b/>
          <w:i/>
        </w:rPr>
      </w:pPr>
    </w:p>
    <w:p w14:paraId="63EB1C0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Within the scope of the first and second paragraphs of Article 57 of this Regulation, notifications to be made through EMRA Application System may be made in writing until 1/6/2021.</w:t>
      </w:r>
    </w:p>
    <w:p w14:paraId="4D9F9C40" w14:textId="77777777" w:rsidR="00171C59" w:rsidRPr="009E1B38" w:rsidRDefault="00171C59" w:rsidP="00171C59">
      <w:pPr>
        <w:pStyle w:val="ListeParagraf"/>
        <w:ind w:left="709"/>
        <w:jc w:val="left"/>
        <w:rPr>
          <w:rFonts w:ascii="Times New Roman" w:hAnsi="Times New Roman"/>
          <w:i/>
        </w:rPr>
      </w:pPr>
    </w:p>
    <w:p w14:paraId="7F3A1D4F"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Existing applications for multi-source power generation plants</w:t>
      </w:r>
    </w:p>
    <w:p w14:paraId="73836CA3" w14:textId="77777777" w:rsidR="00171C59" w:rsidRPr="009E1B38" w:rsidRDefault="00171C59" w:rsidP="00171C59">
      <w:pPr>
        <w:pStyle w:val="ListeParagraf"/>
        <w:ind w:left="709"/>
        <w:jc w:val="left"/>
        <w:rPr>
          <w:rFonts w:ascii="Times New Roman" w:hAnsi="Times New Roman"/>
          <w:b/>
          <w:i/>
        </w:rPr>
      </w:pPr>
    </w:p>
    <w:p w14:paraId="13EB9CAF"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32</w:t>
      </w:r>
    </w:p>
    <w:p w14:paraId="50E6959A" w14:textId="77777777" w:rsidR="00171C59" w:rsidRPr="009E1B38" w:rsidRDefault="00171C59" w:rsidP="00171C59">
      <w:pPr>
        <w:pStyle w:val="ListeParagraf"/>
        <w:ind w:left="709"/>
        <w:jc w:val="left"/>
        <w:rPr>
          <w:rFonts w:ascii="Times New Roman" w:hAnsi="Times New Roman"/>
          <w:b/>
          <w:i/>
        </w:rPr>
      </w:pPr>
    </w:p>
    <w:p w14:paraId="39061F5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As of the date of entry into force of this article, the process of creating a connection opinion regarding the applications of the legal entities who apply to the Authority within the scope of the provisions of this Regulation regarding the establishment of more than one source electricity generation plant shall be determined by the Board decision. "</w:t>
      </w:r>
    </w:p>
    <w:p w14:paraId="3AED4A1C" w14:textId="77777777" w:rsidR="00171C59" w:rsidRPr="009E1B38" w:rsidRDefault="00171C59" w:rsidP="00171C59">
      <w:pPr>
        <w:pStyle w:val="ListeParagraf"/>
        <w:ind w:left="709"/>
        <w:jc w:val="left"/>
        <w:rPr>
          <w:rFonts w:ascii="Times New Roman" w:hAnsi="Times New Roman"/>
          <w:i/>
        </w:rPr>
      </w:pPr>
    </w:p>
    <w:p w14:paraId="3C40F787" w14:textId="77777777" w:rsidR="00171C59" w:rsidRPr="009E1B38" w:rsidRDefault="00171C59" w:rsidP="003C5E4D">
      <w:pPr>
        <w:pStyle w:val="ListeParagraf"/>
        <w:numPr>
          <w:ilvl w:val="0"/>
          <w:numId w:val="91"/>
        </w:numPr>
        <w:spacing w:after="160" w:line="259" w:lineRule="auto"/>
        <w:ind w:left="709" w:firstLine="0"/>
        <w:jc w:val="left"/>
        <w:rPr>
          <w:rFonts w:ascii="Times New Roman" w:hAnsi="Times New Roman"/>
          <w:i/>
        </w:rPr>
      </w:pPr>
      <w:r w:rsidRPr="009E1B38">
        <w:rPr>
          <w:rFonts w:ascii="Times New Roman" w:hAnsi="Times New Roman"/>
        </w:rPr>
        <w:t xml:space="preserve">The Amendment Regulation published in the Official Gazette dated 09.05.2021 and numbered 31479 and </w:t>
      </w:r>
      <w:r w:rsidRPr="009E1B38">
        <w:rPr>
          <w:rFonts w:ascii="Times New Roman" w:hAnsi="Times New Roman"/>
          <w:b/>
        </w:rPr>
        <w:t>the Electricity Market Balancing and Settlement Regulation</w:t>
      </w:r>
    </w:p>
    <w:p w14:paraId="2364CA57" w14:textId="77777777" w:rsidR="00171C59" w:rsidRPr="009E1B38" w:rsidRDefault="00171C59" w:rsidP="00171C59">
      <w:pPr>
        <w:pStyle w:val="ListeParagraf"/>
        <w:ind w:left="709"/>
        <w:jc w:val="left"/>
        <w:rPr>
          <w:rFonts w:ascii="Times New Roman" w:hAnsi="Times New Roman"/>
          <w:b/>
        </w:rPr>
      </w:pPr>
    </w:p>
    <w:p w14:paraId="6CB32C57"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The paragraphs (s) and (ddddd) of the first paragraph of Article 4 titled "Definitions" have been amended as follows, the phrase " Presidential decree, Presidential decision " has been added after the phrase "law " in the clause (pp) and the following paragraph has been added to the same paragraph.</w:t>
      </w:r>
    </w:p>
    <w:p w14:paraId="30B90369" w14:textId="77777777" w:rsidR="00171C59" w:rsidRPr="009E1B38" w:rsidRDefault="00171C59" w:rsidP="00171C59">
      <w:pPr>
        <w:pStyle w:val="ListeParagraf"/>
        <w:ind w:left="709"/>
        <w:jc w:val="left"/>
        <w:rPr>
          <w:rFonts w:ascii="Times New Roman" w:hAnsi="Times New Roman"/>
          <w:i/>
        </w:rPr>
      </w:pPr>
    </w:p>
    <w:p w14:paraId="44C4AC1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“s) Balancing entity: A generation, consumption or electricity storage facility or a part of the generation or consumption facility that can participate in balancing,”</w:t>
      </w:r>
    </w:p>
    <w:p w14:paraId="480A92C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"ddddd) Market Operator default management contribution: The amount that the Market Operator undertakes to pay from the market operation revenue ceiling in case of default of the participants in the markets where it carries out financial settlement transactions except for the ancillary services market and provides services as a central counterparty,"</w:t>
      </w:r>
    </w:p>
    <w:p w14:paraId="58AD740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"iiiiii) Electricity storage facility: The facility that can store electrical energy and give the stored energy to the system,"</w:t>
      </w:r>
    </w:p>
    <w:p w14:paraId="1149BA18" w14:textId="77777777" w:rsidR="00171C59" w:rsidRPr="009E1B38" w:rsidRDefault="00171C59" w:rsidP="00171C59">
      <w:pPr>
        <w:pStyle w:val="ListeParagraf"/>
        <w:ind w:left="709"/>
        <w:jc w:val="left"/>
        <w:rPr>
          <w:rFonts w:ascii="Times New Roman" w:hAnsi="Times New Roman"/>
        </w:rPr>
      </w:pPr>
    </w:p>
    <w:p w14:paraId="5474D401"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 xml:space="preserve">Clauses (a) and (b) of the third paragraph of Article 17 titled </w:t>
      </w:r>
      <w:r w:rsidRPr="009E1B38">
        <w:rPr>
          <w:rFonts w:ascii="Times New Roman" w:hAnsi="Times New Roman"/>
          <w:i/>
        </w:rPr>
        <w:t xml:space="preserve">"Registration obligation of market participants" </w:t>
      </w:r>
      <w:r w:rsidRPr="009E1B38">
        <w:rPr>
          <w:rFonts w:ascii="Times New Roman" w:hAnsi="Times New Roman"/>
        </w:rPr>
        <w:t>are amended as follows.</w:t>
      </w:r>
    </w:p>
    <w:p w14:paraId="20F6076D" w14:textId="77777777" w:rsidR="00171C59" w:rsidRPr="009E1B38" w:rsidRDefault="00171C59" w:rsidP="00171C59">
      <w:pPr>
        <w:pStyle w:val="ListeParagraf"/>
        <w:ind w:left="709"/>
        <w:jc w:val="left"/>
        <w:rPr>
          <w:rFonts w:ascii="Times New Roman" w:hAnsi="Times New Roman"/>
        </w:rPr>
      </w:pPr>
    </w:p>
    <w:p w14:paraId="1987AB0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 xml:space="preserve">"a) In the event that the registration procedures for a generation or electricity storage facility accepted by the Ministry are not completed, the electricity energy given to the transmission or distribution system by the said generation or electricity storage facility shall not be taken into account in the settlement </w:t>
      </w:r>
      <w:r w:rsidRPr="009E1B38">
        <w:rPr>
          <w:rFonts w:ascii="Times New Roman" w:hAnsi="Times New Roman"/>
          <w:i/>
        </w:rPr>
        <w:lastRenderedPageBreak/>
        <w:t>calculations. No accrual and payment shall be made by the Market Operator in relation to the amount of electrical energy supplied to the transmission or distribution system. The amount of electrical energy drawn from the transmission or distribution system of this generation or electrical storage facility is evaluated within the framework of the provisions of the relevant legislation regarding the consumption of irregular electrical energy.</w:t>
      </w:r>
    </w:p>
    <w:p w14:paraId="04B8070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It is essential that a generation or electricity storage facility, which has been connected to the system but has not been accepted by the Ministry, procures the electricity it draws from the transmission or distribution system from the authorized supply company operating in the distribution region within its boundaries or by registering the settlement aggregation unit of the relevant generation plant to the Market Operator.</w:t>
      </w:r>
      <w:r w:rsidRPr="009E1B38">
        <w:rPr>
          <w:rFonts w:ascii="Times New Roman" w:hAnsi="Times New Roman"/>
        </w:rPr>
        <w:t xml:space="preserve"> </w:t>
      </w:r>
      <w:r w:rsidRPr="009E1B38">
        <w:rPr>
          <w:rFonts w:ascii="Times New Roman" w:hAnsi="Times New Roman"/>
          <w:i/>
        </w:rPr>
        <w:t>Otherwise, the amount of electrical energy drawn from the transmission or distribution system of this generation or electrical storage facility shall be evaluated within the framework of the provisions of the relevant legislation regarding the consumption of irregular electrical energy.</w:t>
      </w:r>
      <w:r w:rsidRPr="009E1B38">
        <w:rPr>
          <w:rFonts w:ascii="Times New Roman" w:hAnsi="Times New Roman"/>
        </w:rPr>
        <w:t xml:space="preserve"> </w:t>
      </w:r>
      <w:r w:rsidRPr="009E1B38">
        <w:rPr>
          <w:rFonts w:ascii="Times New Roman" w:hAnsi="Times New Roman"/>
          <w:i/>
        </w:rPr>
        <w:t>Electrical energy given to the transmission or distribution system by the said generation or electrical storage facility shall not be taken into account in the settlement calculations. "</w:t>
      </w:r>
    </w:p>
    <w:p w14:paraId="22F16956" w14:textId="77777777" w:rsidR="00171C59" w:rsidRPr="009E1B38" w:rsidRDefault="00171C59" w:rsidP="00171C59">
      <w:pPr>
        <w:pStyle w:val="ListeParagraf"/>
        <w:ind w:left="709"/>
        <w:jc w:val="left"/>
        <w:rPr>
          <w:rFonts w:ascii="Times New Roman" w:hAnsi="Times New Roman"/>
          <w:i/>
        </w:rPr>
      </w:pPr>
    </w:p>
    <w:p w14:paraId="2262D605"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The phrase</w:t>
      </w:r>
      <w:r w:rsidRPr="009E1B38">
        <w:rPr>
          <w:rFonts w:ascii="Times New Roman" w:hAnsi="Times New Roman"/>
          <w:i/>
        </w:rPr>
        <w:t xml:space="preserve"> "transmission " </w:t>
      </w:r>
      <w:r w:rsidRPr="009E1B38">
        <w:rPr>
          <w:rFonts w:ascii="Times New Roman" w:hAnsi="Times New Roman"/>
        </w:rPr>
        <w:t>in the first paragraph of Article 18/B titled</w:t>
      </w:r>
      <w:r w:rsidRPr="009E1B38">
        <w:rPr>
          <w:rFonts w:ascii="Times New Roman" w:hAnsi="Times New Roman"/>
          <w:i/>
        </w:rPr>
        <w:t xml:space="preserve"> "Registrations of market participants to the futures electricity market ", </w:t>
      </w:r>
      <w:r w:rsidRPr="009E1B38">
        <w:rPr>
          <w:rFonts w:ascii="Times New Roman" w:hAnsi="Times New Roman"/>
        </w:rPr>
        <w:t>the phrase</w:t>
      </w:r>
      <w:r w:rsidRPr="009E1B38">
        <w:rPr>
          <w:rFonts w:ascii="Times New Roman" w:hAnsi="Times New Roman"/>
          <w:i/>
        </w:rPr>
        <w:t xml:space="preserve"> " distribution license holder legal entities to make transactions only by submitting a sales offer" </w:t>
      </w:r>
      <w:r w:rsidRPr="009E1B38">
        <w:rPr>
          <w:rFonts w:ascii="Times New Roman" w:hAnsi="Times New Roman"/>
        </w:rPr>
        <w:t>and the phrase</w:t>
      </w:r>
      <w:r w:rsidRPr="009E1B38">
        <w:rPr>
          <w:rFonts w:ascii="Times New Roman" w:hAnsi="Times New Roman"/>
          <w:i/>
        </w:rPr>
        <w:t xml:space="preserve"> " temporary" </w:t>
      </w:r>
      <w:r w:rsidRPr="009E1B38">
        <w:rPr>
          <w:rFonts w:ascii="Times New Roman" w:hAnsi="Times New Roman"/>
        </w:rPr>
        <w:t>in the clause (b) of the same paragraph have been repealed and the following paragraph has been added to the same paragraph.</w:t>
      </w:r>
    </w:p>
    <w:p w14:paraId="44B9461F" w14:textId="77777777" w:rsidR="00171C59" w:rsidRPr="009E1B38" w:rsidRDefault="00171C59" w:rsidP="00171C59">
      <w:pPr>
        <w:pStyle w:val="ListeParagraf"/>
        <w:ind w:left="709"/>
        <w:jc w:val="left"/>
        <w:rPr>
          <w:rFonts w:ascii="Times New Roman" w:hAnsi="Times New Roman"/>
        </w:rPr>
      </w:pPr>
    </w:p>
    <w:p w14:paraId="12C3F7F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having signed the Day Ahead Market Participation Agreement and the Intraday Market Participation Agreement,”</w:t>
      </w:r>
    </w:p>
    <w:p w14:paraId="030C9D5E" w14:textId="77777777" w:rsidR="00171C59" w:rsidRPr="009E1B38" w:rsidRDefault="00171C59" w:rsidP="00171C59">
      <w:pPr>
        <w:pStyle w:val="ListeParagraf"/>
        <w:ind w:left="709"/>
        <w:jc w:val="left"/>
        <w:rPr>
          <w:rFonts w:ascii="Times New Roman" w:hAnsi="Times New Roman"/>
          <w:i/>
        </w:rPr>
      </w:pPr>
    </w:p>
    <w:p w14:paraId="15FDE270"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i/>
        </w:rPr>
        <w:t>​</w:t>
      </w:r>
      <w:r w:rsidRPr="009E1B38">
        <w:rPr>
          <w:rFonts w:ascii="Times New Roman" w:hAnsi="Times New Roman"/>
        </w:rPr>
        <w:t>The phrase</w:t>
      </w:r>
      <w:r w:rsidRPr="009E1B38">
        <w:rPr>
          <w:rFonts w:ascii="Times New Roman" w:hAnsi="Times New Roman"/>
          <w:i/>
        </w:rPr>
        <w:t xml:space="preserve"> “connection point." </w:t>
      </w:r>
      <w:r w:rsidRPr="009E1B38">
        <w:rPr>
          <w:rFonts w:ascii="Times New Roman" w:hAnsi="Times New Roman"/>
        </w:rPr>
        <w:t>in the second paragraph (f) of Article 21 titled</w:t>
      </w:r>
      <w:r w:rsidRPr="009E1B38">
        <w:rPr>
          <w:rFonts w:ascii="Times New Roman" w:hAnsi="Times New Roman"/>
          <w:i/>
        </w:rPr>
        <w:t xml:space="preserve"> "Settlement aggregation entities and registration rules" </w:t>
      </w:r>
      <w:r w:rsidRPr="009E1B38">
        <w:rPr>
          <w:rFonts w:ascii="Times New Roman" w:hAnsi="Times New Roman"/>
        </w:rPr>
        <w:t>has been changed as</w:t>
      </w:r>
      <w:r w:rsidRPr="009E1B38">
        <w:rPr>
          <w:rFonts w:ascii="Times New Roman" w:hAnsi="Times New Roman"/>
          <w:i/>
        </w:rPr>
        <w:t xml:space="preserve"> "connection point,"​and</w:t>
      </w:r>
      <w:r w:rsidRPr="009E1B38">
        <w:rPr>
          <w:rFonts w:ascii="Times New Roman" w:hAnsi="Times New Roman"/>
        </w:rPr>
        <w:t xml:space="preserve"> the following paragraph has been added to the same paragraph.</w:t>
      </w:r>
    </w:p>
    <w:p w14:paraId="47E49A83" w14:textId="77777777" w:rsidR="00171C59" w:rsidRPr="009E1B38" w:rsidRDefault="00171C59" w:rsidP="00171C59">
      <w:pPr>
        <w:pStyle w:val="ListeParagraf"/>
        <w:ind w:left="709"/>
        <w:jc w:val="left"/>
        <w:rPr>
          <w:rFonts w:ascii="Times New Roman" w:hAnsi="Times New Roman"/>
        </w:rPr>
      </w:pPr>
    </w:p>
    <w:p w14:paraId="28086A6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“g) Electricity storage facilities,”</w:t>
      </w:r>
    </w:p>
    <w:p w14:paraId="65E7EBCE" w14:textId="77777777" w:rsidR="00171C59" w:rsidRPr="009E1B38" w:rsidRDefault="00171C59" w:rsidP="00171C59">
      <w:pPr>
        <w:pStyle w:val="ListeParagraf"/>
        <w:ind w:left="709"/>
        <w:jc w:val="left"/>
        <w:rPr>
          <w:rFonts w:ascii="Times New Roman" w:hAnsi="Times New Roman"/>
          <w:i/>
        </w:rPr>
      </w:pPr>
    </w:p>
    <w:p w14:paraId="0D4E229E"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The first sentence of the second paragraph of Article 22​titled</w:t>
      </w:r>
      <w:r w:rsidRPr="009E1B38">
        <w:rPr>
          <w:rFonts w:ascii="Times New Roman" w:hAnsi="Times New Roman"/>
          <w:i/>
        </w:rPr>
        <w:t xml:space="preserve"> "Balancing units and registration rules"​has</w:t>
      </w:r>
      <w:r w:rsidRPr="009E1B38">
        <w:rPr>
          <w:rFonts w:ascii="Times New Roman" w:hAnsi="Times New Roman"/>
        </w:rPr>
        <w:t xml:space="preserve"> been amended as follows, the phrase</w:t>
      </w:r>
      <w:r w:rsidRPr="009E1B38">
        <w:rPr>
          <w:rFonts w:ascii="Times New Roman" w:hAnsi="Times New Roman"/>
          <w:i/>
        </w:rPr>
        <w:t xml:space="preserve"> "units” </w:t>
      </w:r>
      <w:r w:rsidRPr="009E1B38">
        <w:rPr>
          <w:rFonts w:ascii="Times New Roman" w:hAnsi="Times New Roman"/>
        </w:rPr>
        <w:t>in the clause (a) of the same paragraph has been changed to</w:t>
      </w:r>
      <w:r w:rsidRPr="009E1B38">
        <w:rPr>
          <w:rFonts w:ascii="Times New Roman" w:hAnsi="Times New Roman"/>
          <w:i/>
        </w:rPr>
        <w:t xml:space="preserve"> “units"​​ </w:t>
      </w:r>
      <w:r w:rsidRPr="009E1B38">
        <w:rPr>
          <w:rFonts w:ascii="Times New Roman" w:hAnsi="Times New Roman"/>
        </w:rPr>
        <w:t>and the following clause has been added to the same paragraph.</w:t>
      </w:r>
    </w:p>
    <w:p w14:paraId="0992C6A4" w14:textId="77777777" w:rsidR="00171C59" w:rsidRPr="009E1B38" w:rsidRDefault="00171C59" w:rsidP="00171C59">
      <w:pPr>
        <w:pStyle w:val="ListeParagraf"/>
        <w:ind w:left="709"/>
        <w:jc w:val="left"/>
        <w:rPr>
          <w:rFonts w:ascii="Times New Roman" w:hAnsi="Times New Roman"/>
        </w:rPr>
      </w:pPr>
    </w:p>
    <w:p w14:paraId="5EDB40B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“Each of the following is a balancing entity from generation, consumption or electricity storage facilities or units that can independently take loads, throw loads and can be measured independently on the basis of the settlement period by means of meters established in accordance with the provisions of the relevant legislation:”</w:t>
      </w:r>
    </w:p>
    <w:p w14:paraId="1C4F9796" w14:textId="77777777" w:rsidR="00171C59" w:rsidRPr="009E1B38" w:rsidRDefault="00171C59" w:rsidP="00171C59">
      <w:pPr>
        <w:pStyle w:val="ListeParagraf"/>
        <w:ind w:left="709"/>
        <w:jc w:val="left"/>
        <w:rPr>
          <w:rFonts w:ascii="Times New Roman" w:hAnsi="Times New Roman"/>
          <w:i/>
        </w:rPr>
      </w:pPr>
    </w:p>
    <w:p w14:paraId="347711C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Electricity storage facilities requested by the market participant on whose behalf it is registered and whose participation is approved by the System Operator."</w:t>
      </w:r>
    </w:p>
    <w:p w14:paraId="56F31481" w14:textId="77777777" w:rsidR="00171C59" w:rsidRPr="009E1B38" w:rsidRDefault="00171C59" w:rsidP="00171C59">
      <w:pPr>
        <w:pStyle w:val="ListeParagraf"/>
        <w:ind w:left="709"/>
        <w:jc w:val="left"/>
        <w:rPr>
          <w:rFonts w:ascii="Times New Roman" w:hAnsi="Times New Roman"/>
          <w:i/>
        </w:rPr>
      </w:pPr>
    </w:p>
    <w:p w14:paraId="46667EB1"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paragraphs (c) and (ç) of the first paragraph of Article 28​ titled</w:t>
      </w:r>
      <w:r w:rsidRPr="009E1B38">
        <w:rPr>
          <w:rFonts w:ascii="Times New Roman" w:hAnsi="Times New Roman"/>
          <w:i/>
        </w:rPr>
        <w:t xml:space="preserve"> "Registration process of settlement aggregation entities​ " </w:t>
      </w:r>
      <w:r w:rsidRPr="009E1B38">
        <w:rPr>
          <w:rFonts w:ascii="Times New Roman" w:hAnsi="Times New Roman"/>
        </w:rPr>
        <w:t xml:space="preserve">have been amended as follows and the terms </w:t>
      </w:r>
      <w:r w:rsidRPr="009E1B38">
        <w:rPr>
          <w:rFonts w:ascii="Times New Roman" w:hAnsi="Times New Roman"/>
          <w:i/>
        </w:rPr>
        <w:t>​"temporary"​</w:t>
      </w:r>
      <w:r w:rsidRPr="009E1B38">
        <w:rPr>
          <w:rFonts w:ascii="Times New Roman" w:hAnsi="Times New Roman"/>
        </w:rPr>
        <w:t xml:space="preserve"> in the sixth paragraph have been repealed.</w:t>
      </w:r>
    </w:p>
    <w:p w14:paraId="6517205E" w14:textId="77777777" w:rsidR="00171C59" w:rsidRPr="009E1B38" w:rsidRDefault="00171C59" w:rsidP="00171C59">
      <w:pPr>
        <w:pStyle w:val="ListeParagraf"/>
        <w:ind w:left="709"/>
        <w:jc w:val="left"/>
        <w:rPr>
          <w:rFonts w:ascii="Times New Roman" w:hAnsi="Times New Roman"/>
        </w:rPr>
      </w:pPr>
    </w:p>
    <w:p w14:paraId="4341AEB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 xml:space="preserve">"c) Except for those delivered during the registration of the legal entity, a copy of the generation or supply licenses in which the licenses of the generation plants and the electricity storage unit or </w:t>
      </w:r>
      <w:r w:rsidRPr="009E1B38">
        <w:rPr>
          <w:rFonts w:ascii="Times New Roman" w:hAnsi="Times New Roman"/>
          <w:i/>
        </w:rPr>
        <w:lastRenderedPageBreak/>
        <w:t>independent electricity storage facilities integrated in the generation plant are included, signed on the company stamp by the person or persons authorized to represent and bind,</w:t>
      </w:r>
    </w:p>
    <w:p w14:paraId="49D8398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Acceptance report of generation plants, electricity storage unit integrated in generation plant and independent electricity storage facilities,”</w:t>
      </w:r>
    </w:p>
    <w:p w14:paraId="0724FAB2" w14:textId="77777777" w:rsidR="00171C59" w:rsidRPr="009E1B38" w:rsidRDefault="00171C59" w:rsidP="00171C59">
      <w:pPr>
        <w:pStyle w:val="ListeParagraf"/>
        <w:ind w:left="709"/>
        <w:jc w:val="left"/>
        <w:rPr>
          <w:rFonts w:ascii="Times New Roman" w:hAnsi="Times New Roman"/>
          <w:i/>
        </w:rPr>
      </w:pPr>
    </w:p>
    <w:p w14:paraId="30B226AD"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phrase</w:t>
      </w:r>
      <w:r w:rsidRPr="009E1B38">
        <w:rPr>
          <w:rFonts w:ascii="Times New Roman" w:hAnsi="Times New Roman"/>
          <w:i/>
        </w:rPr>
        <w:t xml:space="preserve"> "electricity storage facility" </w:t>
      </w:r>
      <w:r w:rsidRPr="009E1B38">
        <w:rPr>
          <w:rFonts w:ascii="Times New Roman" w:hAnsi="Times New Roman"/>
        </w:rPr>
        <w:t xml:space="preserve">has been added after the phrase”​generation registered in its own name"​in the clause (a) of the first paragraph of Article 68 titled </w:t>
      </w:r>
      <w:r w:rsidRPr="009E1B38">
        <w:rPr>
          <w:rFonts w:ascii="Times New Roman" w:hAnsi="Times New Roman"/>
          <w:i/>
        </w:rPr>
        <w:t>​”Balancing power market process​".</w:t>
      </w:r>
    </w:p>
    <w:p w14:paraId="3D82948A" w14:textId="77777777" w:rsidR="00171C59" w:rsidRPr="009E1B38" w:rsidRDefault="00171C59" w:rsidP="00171C59">
      <w:pPr>
        <w:pStyle w:val="ListeParagraf"/>
        <w:ind w:left="709"/>
        <w:jc w:val="left"/>
        <w:rPr>
          <w:rFonts w:ascii="Times New Roman" w:hAnsi="Times New Roman"/>
          <w:i/>
        </w:rPr>
      </w:pPr>
    </w:p>
    <w:p w14:paraId="558935DE"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fifth paragraph of Article 69​titled</w:t>
      </w:r>
      <w:r w:rsidRPr="009E1B38">
        <w:rPr>
          <w:rFonts w:ascii="Times New Roman" w:hAnsi="Times New Roman"/>
          <w:i/>
        </w:rPr>
        <w:t xml:space="preserve"> "Notification of final day ahead generation/consumption programs” </w:t>
      </w:r>
      <w:r w:rsidRPr="009E1B38">
        <w:rPr>
          <w:rFonts w:ascii="Times New Roman" w:hAnsi="Times New Roman"/>
        </w:rPr>
        <w:t>has been amended as follows.</w:t>
      </w:r>
    </w:p>
    <w:p w14:paraId="0BE46749" w14:textId="77777777" w:rsidR="00171C59" w:rsidRPr="009E1B38" w:rsidRDefault="00171C59" w:rsidP="00171C59">
      <w:pPr>
        <w:pStyle w:val="ListeParagraf"/>
        <w:ind w:left="709"/>
        <w:jc w:val="left"/>
        <w:rPr>
          <w:rFonts w:ascii="Times New Roman" w:hAnsi="Times New Roman"/>
          <w:i/>
        </w:rPr>
      </w:pPr>
    </w:p>
    <w:p w14:paraId="545B02A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“(5) Market participants are required to perform generation/consumption of relevant generation/consumption facilities and/or electricity storage facilities as specified in their KGÜP unless instructed to do so by the System Operator.</w:t>
      </w:r>
      <w:r w:rsidRPr="009E1B38">
        <w:rPr>
          <w:rFonts w:ascii="Times New Roman" w:hAnsi="Times New Roman"/>
        </w:rPr>
        <w:t xml:space="preserve"> </w:t>
      </w:r>
      <w:r w:rsidRPr="009E1B38">
        <w:rPr>
          <w:rFonts w:ascii="Times New Roman" w:hAnsi="Times New Roman"/>
          <w:i/>
        </w:rPr>
        <w:t>Whether the generation/consumption of generation/consumption facilities and/or electricity storage facilities is carried out in accordance with the instructions given by the System Operator and to the ERUs is monitored by MYTM or relevant BYTMs for generation and/or electricity storage facilities that are balancing entities and by the relevant BYTMs for other generation and/or electricity storage facilities. "</w:t>
      </w:r>
    </w:p>
    <w:p w14:paraId="4280D3A6" w14:textId="77777777" w:rsidR="00171C59" w:rsidRPr="009E1B38" w:rsidRDefault="00171C59" w:rsidP="00171C59">
      <w:pPr>
        <w:pStyle w:val="ListeParagraf"/>
        <w:ind w:left="709"/>
        <w:jc w:val="left"/>
        <w:rPr>
          <w:rFonts w:ascii="Times New Roman" w:hAnsi="Times New Roman"/>
          <w:i/>
        </w:rPr>
      </w:pPr>
    </w:p>
    <w:p w14:paraId="63445621"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Clause (g) of the fifth paragraph of Article 124​titled</w:t>
      </w:r>
      <w:r w:rsidRPr="009E1B38">
        <w:rPr>
          <w:rFonts w:ascii="Times New Roman" w:hAnsi="Times New Roman"/>
          <w:i/>
        </w:rPr>
        <w:t xml:space="preserve"> "General principles regarding guarantees" </w:t>
      </w:r>
      <w:r w:rsidRPr="009E1B38">
        <w:rPr>
          <w:rFonts w:ascii="Times New Roman" w:hAnsi="Times New Roman"/>
        </w:rPr>
        <w:t>has been amended as follows.</w:t>
      </w:r>
    </w:p>
    <w:p w14:paraId="4FA90D20" w14:textId="77777777" w:rsidR="00171C59" w:rsidRPr="009E1B38" w:rsidRDefault="00171C59" w:rsidP="00171C59">
      <w:pPr>
        <w:pStyle w:val="ListeParagraf"/>
        <w:ind w:left="709"/>
        <w:jc w:val="left"/>
        <w:rPr>
          <w:rFonts w:ascii="Times New Roman" w:hAnsi="Times New Roman"/>
        </w:rPr>
      </w:pPr>
    </w:p>
    <w:p w14:paraId="2369560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"g) It is essential that market participants sign the relevant agreement with the central settlement organization determined by the Market Operator in relation to the execution of collateral transactions.</w:t>
      </w:r>
      <w:r w:rsidRPr="009E1B38">
        <w:rPr>
          <w:rFonts w:ascii="Times New Roman" w:hAnsi="Times New Roman"/>
        </w:rPr>
        <w:t xml:space="preserve"> </w:t>
      </w:r>
      <w:r w:rsidRPr="009E1B38">
        <w:rPr>
          <w:rFonts w:ascii="Times New Roman" w:hAnsi="Times New Roman"/>
          <w:i/>
        </w:rPr>
        <w:t>All market participants, individually, open collateral accounts in the central settlement body for the execution of transactions relating to their collateral.</w:t>
      </w:r>
      <w:r w:rsidRPr="009E1B38">
        <w:rPr>
          <w:rFonts w:ascii="Times New Roman" w:hAnsi="Times New Roman"/>
        </w:rPr>
        <w:t xml:space="preserve"> </w:t>
      </w:r>
      <w:r w:rsidRPr="009E1B38">
        <w:rPr>
          <w:rFonts w:ascii="Times New Roman" w:hAnsi="Times New Roman"/>
          <w:i/>
        </w:rPr>
        <w:t>The Market Operator authorizes the central settlement body for all transactions related to this account.</w:t>
      </w:r>
      <w:r w:rsidRPr="009E1B38">
        <w:rPr>
          <w:rFonts w:ascii="Times New Roman" w:hAnsi="Times New Roman"/>
        </w:rPr>
        <w:t xml:space="preserve"> </w:t>
      </w:r>
      <w:r w:rsidRPr="009E1B38">
        <w:rPr>
          <w:rFonts w:ascii="Times New Roman" w:hAnsi="Times New Roman"/>
          <w:i/>
        </w:rPr>
        <w:t>The amounts arising from the cash collateral account are reflected to the relevant market participant after deducting the legal obligations and service fee.</w:t>
      </w:r>
      <w:r w:rsidRPr="009E1B38">
        <w:rPr>
          <w:rFonts w:ascii="Times New Roman" w:hAnsi="Times New Roman"/>
        </w:rPr>
        <w:t xml:space="preserve"> </w:t>
      </w:r>
      <w:r w:rsidRPr="009E1B38">
        <w:rPr>
          <w:rFonts w:ascii="Times New Roman" w:hAnsi="Times New Roman"/>
          <w:i/>
        </w:rPr>
        <w:t>Market participants can present their collaterals using more than one bank. ”</w:t>
      </w:r>
    </w:p>
    <w:p w14:paraId="1B14FB85" w14:textId="77777777" w:rsidR="00171C59" w:rsidRPr="009E1B38" w:rsidRDefault="00171C59" w:rsidP="00171C59">
      <w:pPr>
        <w:pStyle w:val="ListeParagraf"/>
        <w:ind w:left="709"/>
        <w:jc w:val="left"/>
        <w:rPr>
          <w:rFonts w:ascii="Times New Roman" w:hAnsi="Times New Roman"/>
        </w:rPr>
      </w:pPr>
    </w:p>
    <w:p w14:paraId="0F01D5AA"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The following paragraph has been added to come after the fourth paragraph of Article 124/A​</w:t>
      </w:r>
      <w:r w:rsidRPr="009E1B38">
        <w:rPr>
          <w:rFonts w:ascii="Times New Roman" w:hAnsi="Times New Roman"/>
          <w:i/>
        </w:rPr>
        <w:t>titled "Principles related to term electricity market guarantees​​ "</w:t>
      </w:r>
      <w:r w:rsidRPr="009E1B38">
        <w:rPr>
          <w:rFonts w:ascii="Times New Roman" w:hAnsi="Times New Roman"/>
        </w:rPr>
        <w:t xml:space="preserve"> and the other paragraph has been accepted accordingly.</w:t>
      </w:r>
    </w:p>
    <w:p w14:paraId="546EA503" w14:textId="77777777" w:rsidR="00171C59" w:rsidRPr="009E1B38" w:rsidRDefault="00171C59" w:rsidP="00171C59">
      <w:pPr>
        <w:pStyle w:val="ListeParagraf"/>
        <w:ind w:left="709"/>
        <w:jc w:val="left"/>
        <w:rPr>
          <w:rFonts w:ascii="Times New Roman" w:hAnsi="Times New Roman"/>
        </w:rPr>
      </w:pPr>
    </w:p>
    <w:p w14:paraId="33BD3E2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“(5) Futures electricity market collateral transactions of market participants shall be carried out in accordance with the provisions of (g) clause of fifth paragraph of Article 124.”</w:t>
      </w:r>
    </w:p>
    <w:p w14:paraId="7E0644BE" w14:textId="77777777" w:rsidR="00171C59" w:rsidRPr="009E1B38" w:rsidRDefault="00171C59" w:rsidP="00171C59">
      <w:pPr>
        <w:pStyle w:val="ListeParagraf"/>
        <w:ind w:left="709"/>
        <w:jc w:val="left"/>
        <w:rPr>
          <w:rFonts w:ascii="Times New Roman" w:hAnsi="Times New Roman"/>
          <w:i/>
        </w:rPr>
      </w:pPr>
    </w:p>
    <w:p w14:paraId="5188206A"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phrase</w:t>
      </w:r>
      <w:r w:rsidRPr="009E1B38">
        <w:rPr>
          <w:rFonts w:ascii="Times New Roman" w:hAnsi="Times New Roman"/>
          <w:i/>
        </w:rPr>
        <w:t xml:space="preserve"> “balancing activities" </w:t>
      </w:r>
      <w:r w:rsidRPr="009E1B38">
        <w:rPr>
          <w:rFonts w:ascii="Times New Roman" w:hAnsi="Times New Roman"/>
        </w:rPr>
        <w:t>in the fourth paragraph of Article 132/C titled "</w:t>
      </w:r>
      <w:r w:rsidRPr="009E1B38">
        <w:rPr>
          <w:rFonts w:ascii="Times New Roman" w:hAnsi="Times New Roman"/>
          <w:i/>
        </w:rPr>
        <w:t xml:space="preserve">Invoicing” </w:t>
      </w:r>
      <w:r w:rsidRPr="009E1B38">
        <w:rPr>
          <w:rFonts w:ascii="Times New Roman" w:hAnsi="Times New Roman"/>
        </w:rPr>
        <w:t>has been changed to</w:t>
      </w:r>
      <w:r w:rsidRPr="009E1B38">
        <w:rPr>
          <w:rFonts w:ascii="Times New Roman" w:hAnsi="Times New Roman"/>
          <w:i/>
        </w:rPr>
        <w:t xml:space="preserve"> ​ "market”.</w:t>
      </w:r>
    </w:p>
    <w:p w14:paraId="6E5051DB" w14:textId="77777777" w:rsidR="00171C59" w:rsidRPr="009E1B38" w:rsidRDefault="00171C59" w:rsidP="00171C59">
      <w:pPr>
        <w:pStyle w:val="ListeParagraf"/>
        <w:ind w:left="709"/>
        <w:jc w:val="left"/>
        <w:rPr>
          <w:rFonts w:ascii="Times New Roman" w:hAnsi="Times New Roman"/>
          <w:i/>
        </w:rPr>
      </w:pPr>
    </w:p>
    <w:p w14:paraId="1A61261D"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phrase​</w:t>
      </w:r>
      <w:r w:rsidRPr="009E1B38">
        <w:rPr>
          <w:rFonts w:ascii="Times New Roman" w:hAnsi="Times New Roman"/>
          <w:i/>
        </w:rPr>
        <w:t xml:space="preserve"> "and​ /or short" </w:t>
      </w:r>
      <w:r w:rsidRPr="009E1B38">
        <w:rPr>
          <w:rFonts w:ascii="Times New Roman" w:hAnsi="Times New Roman"/>
        </w:rPr>
        <w:t>has been added after the phrase</w:t>
      </w:r>
      <w:r w:rsidRPr="009E1B38">
        <w:rPr>
          <w:rFonts w:ascii="Times New Roman" w:hAnsi="Times New Roman"/>
          <w:i/>
        </w:rPr>
        <w:t xml:space="preserve"> ​"started long" </w:t>
      </w:r>
      <w:r w:rsidRPr="009E1B38">
        <w:rPr>
          <w:rFonts w:ascii="Times New Roman" w:hAnsi="Times New Roman"/>
        </w:rPr>
        <w:t xml:space="preserve">in the​ sixteenth paragraph of Article 132 ​/Ç titled </w:t>
      </w:r>
      <w:r w:rsidRPr="009E1B38">
        <w:rPr>
          <w:rFonts w:ascii="Times New Roman" w:hAnsi="Times New Roman"/>
          <w:i/>
        </w:rPr>
        <w:t xml:space="preserve">"Payments and​ collection" </w:t>
      </w:r>
      <w:r w:rsidRPr="009E1B38">
        <w:rPr>
          <w:rFonts w:ascii="Times New Roman" w:hAnsi="Times New Roman"/>
        </w:rPr>
        <w:t xml:space="preserve">and the phrase ​ </w:t>
      </w:r>
      <w:r w:rsidRPr="009E1B38">
        <w:rPr>
          <w:rFonts w:ascii="Times New Roman" w:hAnsi="Times New Roman"/>
          <w:i/>
        </w:rPr>
        <w:t xml:space="preserve">"payment of​ advance debt" </w:t>
      </w:r>
      <w:r w:rsidRPr="009E1B38">
        <w:rPr>
          <w:rFonts w:ascii="Times New Roman" w:hAnsi="Times New Roman"/>
        </w:rPr>
        <w:t>has been added after the phrase</w:t>
      </w:r>
      <w:r w:rsidRPr="009E1B38">
        <w:rPr>
          <w:rFonts w:ascii="Times New Roman" w:hAnsi="Times New Roman"/>
          <w:i/>
        </w:rPr>
        <w:t xml:space="preserve"> " ​ blocked".</w:t>
      </w:r>
    </w:p>
    <w:p w14:paraId="1BFFDB36" w14:textId="77777777" w:rsidR="00171C59" w:rsidRPr="009E1B38" w:rsidRDefault="00171C59" w:rsidP="00171C59">
      <w:pPr>
        <w:pStyle w:val="ListeParagraf"/>
        <w:ind w:left="709"/>
        <w:jc w:val="left"/>
        <w:rPr>
          <w:rFonts w:ascii="Times New Roman" w:hAnsi="Times New Roman"/>
          <w:i/>
        </w:rPr>
      </w:pPr>
    </w:p>
    <w:p w14:paraId="418974B1"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second paragraph of Article 132/D​titled</w:t>
      </w:r>
      <w:r w:rsidRPr="009E1B38">
        <w:rPr>
          <w:rFonts w:ascii="Times New Roman" w:hAnsi="Times New Roman"/>
          <w:i/>
        </w:rPr>
        <w:t xml:space="preserve"> "Failure to make advance payments” </w:t>
      </w:r>
      <w:r w:rsidRPr="009E1B38">
        <w:rPr>
          <w:rFonts w:ascii="Times New Roman" w:hAnsi="Times New Roman"/>
        </w:rPr>
        <w:t>has been amended as follows.</w:t>
      </w:r>
    </w:p>
    <w:p w14:paraId="514E8E7B" w14:textId="77777777" w:rsidR="00171C59" w:rsidRPr="009E1B38" w:rsidRDefault="00171C59" w:rsidP="00171C59">
      <w:pPr>
        <w:pStyle w:val="ListeParagraf"/>
        <w:ind w:left="709"/>
        <w:jc w:val="left"/>
        <w:rPr>
          <w:rFonts w:ascii="Times New Roman" w:hAnsi="Times New Roman"/>
          <w:i/>
        </w:rPr>
      </w:pPr>
    </w:p>
    <w:p w14:paraId="4DBCD8E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“(2) In the event that the cash collateral amount in TL, which is above the total collateral amount that the market participant must submit in accordance with the Guarantee Procedures and Principles and/or the amount in its free current account, is at a level that will meet the participant's debt regarding the relevant advance payment notification, the advance debt of the participant shall be automatically covered from these amounts and the participant shall not be in default.”</w:t>
      </w:r>
    </w:p>
    <w:p w14:paraId="60D9F60D" w14:textId="77777777" w:rsidR="00171C59" w:rsidRPr="009E1B38" w:rsidRDefault="00171C59" w:rsidP="00171C59">
      <w:pPr>
        <w:pStyle w:val="ListeParagraf"/>
        <w:ind w:left="709"/>
        <w:jc w:val="left"/>
        <w:rPr>
          <w:rFonts w:ascii="Times New Roman" w:hAnsi="Times New Roman"/>
          <w:i/>
        </w:rPr>
      </w:pPr>
    </w:p>
    <w:p w14:paraId="24C12C49"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The second paragraph of Article 132/E​ titled</w:t>
      </w:r>
      <w:r w:rsidRPr="009E1B38">
        <w:rPr>
          <w:rFonts w:ascii="Times New Roman" w:hAnsi="Times New Roman"/>
          <w:i/>
        </w:rPr>
        <w:t xml:space="preserve"> "Failure to make invoice payments ​​" </w:t>
      </w:r>
      <w:r w:rsidRPr="009E1B38">
        <w:rPr>
          <w:rFonts w:ascii="Times New Roman" w:hAnsi="Times New Roman"/>
        </w:rPr>
        <w:t>has been amended as follows, clause (b) of the fifth paragraph has been repealed and the following sentences have been added at the end of clauses (ç) and (f) of the same paragraph respectively.</w:t>
      </w:r>
    </w:p>
    <w:p w14:paraId="21CCC503" w14:textId="77777777" w:rsidR="00171C59" w:rsidRPr="009E1B38" w:rsidRDefault="00171C59" w:rsidP="00171C59">
      <w:pPr>
        <w:pStyle w:val="ListeParagraf"/>
        <w:ind w:left="709"/>
        <w:jc w:val="left"/>
        <w:rPr>
          <w:rFonts w:ascii="Times New Roman" w:hAnsi="Times New Roman"/>
        </w:rPr>
      </w:pPr>
    </w:p>
    <w:p w14:paraId="47AECB6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In case the cash collateral amount in TL, which is above the total collateral amount that the market participant must submit in accordance with the Collateral Procedures and Principles and VEP Procedures and Principles, is at a level that will meet the participant's debt regarding the relevant invoice notification, the debt of the relevant participant shall be automatically covered from these amounts and the participant shall not be in default."</w:t>
      </w:r>
    </w:p>
    <w:p w14:paraId="17BEC514" w14:textId="77777777" w:rsidR="00171C59" w:rsidRPr="009E1B38" w:rsidRDefault="00171C59" w:rsidP="00171C59">
      <w:pPr>
        <w:pStyle w:val="ListeParagraf"/>
        <w:ind w:left="709"/>
        <w:jc w:val="left"/>
        <w:rPr>
          <w:rFonts w:ascii="Times New Roman" w:hAnsi="Times New Roman"/>
          <w:i/>
        </w:rPr>
      </w:pPr>
    </w:p>
    <w:p w14:paraId="0C9B57C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“Information about the transaction is provided on the website of the market operator.</w:t>
      </w:r>
      <w:r w:rsidRPr="009E1B38">
        <w:rPr>
          <w:rFonts w:ascii="Times New Roman" w:hAnsi="Times New Roman"/>
        </w:rPr>
        <w:t xml:space="preserve"> </w:t>
      </w:r>
      <w:r w:rsidRPr="009E1B38">
        <w:rPr>
          <w:rFonts w:ascii="Times New Roman" w:hAnsi="Times New Roman"/>
          <w:i/>
        </w:rPr>
        <w:t>This market participant is not allowed to register eligible consumers in its portfolio for three billing periods following the completion of all its financial obligations to the market operator.</w:t>
      </w:r>
      <w:r w:rsidRPr="009E1B38">
        <w:rPr>
          <w:rFonts w:ascii="Times New Roman" w:hAnsi="Times New Roman"/>
        </w:rPr>
        <w:t xml:space="preserve"> </w:t>
      </w:r>
      <w:r w:rsidRPr="009E1B38">
        <w:rPr>
          <w:rFonts w:ascii="Times New Roman" w:hAnsi="Times New Roman"/>
          <w:i/>
        </w:rPr>
        <w:t>The Authority shall be informed immediately about the said market participant and the transaction shall be established within the framework of Article 16 of the Law. "</w:t>
      </w:r>
    </w:p>
    <w:p w14:paraId="3E821F2A" w14:textId="77777777" w:rsidR="00171C59" w:rsidRPr="009E1B38" w:rsidRDefault="00171C59" w:rsidP="00171C59">
      <w:pPr>
        <w:pStyle w:val="ListeParagraf"/>
        <w:ind w:left="709"/>
        <w:jc w:val="left"/>
        <w:rPr>
          <w:rFonts w:ascii="Times New Roman" w:hAnsi="Times New Roman"/>
          <w:i/>
        </w:rPr>
      </w:pPr>
    </w:p>
    <w:p w14:paraId="20F273D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“This market participant is not allowed to register eligible consumers in its portfolio for three billing periods following the completion of all its financial obligations to the market operator.</w:t>
      </w:r>
      <w:r w:rsidRPr="009E1B38">
        <w:rPr>
          <w:rFonts w:ascii="Times New Roman" w:hAnsi="Times New Roman"/>
        </w:rPr>
        <w:t xml:space="preserve"> </w:t>
      </w:r>
      <w:r w:rsidRPr="009E1B38">
        <w:rPr>
          <w:rFonts w:ascii="Times New Roman" w:hAnsi="Times New Roman"/>
          <w:i/>
        </w:rPr>
        <w:t>The Authority shall be informed immediately about the said market participant and the transaction shall be established within the framework of Article 16 of the Law. "</w:t>
      </w:r>
    </w:p>
    <w:p w14:paraId="1053A474" w14:textId="77777777" w:rsidR="00171C59" w:rsidRPr="009E1B38" w:rsidRDefault="00171C59" w:rsidP="00171C59">
      <w:pPr>
        <w:pStyle w:val="ListeParagraf"/>
        <w:ind w:left="709"/>
        <w:jc w:val="left"/>
        <w:rPr>
          <w:rFonts w:ascii="Times New Roman" w:hAnsi="Times New Roman"/>
          <w:i/>
        </w:rPr>
      </w:pPr>
    </w:p>
    <w:p w14:paraId="73D8AE56"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Clause (d) of the first paragraph of Article 132/G​titled</w:t>
      </w:r>
      <w:r w:rsidRPr="009E1B38">
        <w:rPr>
          <w:rFonts w:ascii="Times New Roman" w:hAnsi="Times New Roman"/>
          <w:i/>
        </w:rPr>
        <w:t xml:space="preserve"> "Provisions to be applied in the cancellation or termination of the license” </w:t>
      </w:r>
      <w:r w:rsidRPr="009E1B38">
        <w:rPr>
          <w:rFonts w:ascii="Times New Roman" w:hAnsi="Times New Roman"/>
        </w:rPr>
        <w:t>is amended as follows.</w:t>
      </w:r>
    </w:p>
    <w:p w14:paraId="5AA4FBEC" w14:textId="77777777" w:rsidR="00171C59" w:rsidRPr="009E1B38" w:rsidRDefault="00171C59" w:rsidP="00171C59">
      <w:pPr>
        <w:pStyle w:val="ListeParagraf"/>
        <w:ind w:left="709"/>
        <w:jc w:val="left"/>
        <w:rPr>
          <w:rFonts w:ascii="Times New Roman" w:hAnsi="Times New Roman"/>
        </w:rPr>
      </w:pPr>
    </w:p>
    <w:p w14:paraId="06616F1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For periods after the expiry of the license or notification of the cancellation decision, the electricity energy provided to the transmission or distribution system by the generation plants or electricity storage facilities in the portfolio of the said market participant shall not be taken into account in the settlement calculations.</w:t>
      </w:r>
      <w:r w:rsidRPr="009E1B38">
        <w:rPr>
          <w:rFonts w:ascii="Times New Roman" w:hAnsi="Times New Roman"/>
        </w:rPr>
        <w:t xml:space="preserve"> </w:t>
      </w:r>
      <w:r w:rsidRPr="009E1B38">
        <w:rPr>
          <w:rFonts w:ascii="Times New Roman" w:hAnsi="Times New Roman"/>
          <w:i/>
        </w:rPr>
        <w:t>No accrual and payment shall be made by the Market Operator in relation to the amount of electrical energy supplied to the transmission or distribution system.</w:t>
      </w:r>
      <w:r w:rsidRPr="009E1B38">
        <w:rPr>
          <w:rFonts w:ascii="Times New Roman" w:hAnsi="Times New Roman"/>
        </w:rPr>
        <w:t xml:space="preserve"> </w:t>
      </w:r>
      <w:r w:rsidRPr="009E1B38">
        <w:rPr>
          <w:rFonts w:ascii="Times New Roman" w:hAnsi="Times New Roman"/>
          <w:i/>
        </w:rPr>
        <w:t>The amount of electrical energy drawn from the transmission or distribution system of this generation plant or electrical storage facilities shall be evaluated within the framework of the provisions of the relevant legislation regarding the consumption of irregular electrical energy. "</w:t>
      </w:r>
    </w:p>
    <w:p w14:paraId="62F09854" w14:textId="77777777" w:rsidR="00171C59" w:rsidRPr="009E1B38" w:rsidRDefault="00171C59" w:rsidP="00171C59">
      <w:pPr>
        <w:pStyle w:val="ListeParagraf"/>
        <w:ind w:left="709"/>
        <w:jc w:val="left"/>
        <w:rPr>
          <w:rFonts w:ascii="Times New Roman" w:hAnsi="Times New Roman"/>
          <w:i/>
        </w:rPr>
      </w:pPr>
    </w:p>
    <w:p w14:paraId="4310C4D4"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The second paragraph of Article 132/İ​ titled</w:t>
      </w:r>
      <w:r w:rsidRPr="009E1B38">
        <w:rPr>
          <w:rFonts w:ascii="Times New Roman" w:hAnsi="Times New Roman"/>
          <w:i/>
        </w:rPr>
        <w:t xml:space="preserve"> "Failure to make invoice payments related to the futures electricity market​ " </w:t>
      </w:r>
      <w:r w:rsidRPr="009E1B38">
        <w:rPr>
          <w:rFonts w:ascii="Times New Roman" w:hAnsi="Times New Roman"/>
        </w:rPr>
        <w:t>has been amended as follows and the phrase ", (j)" has been added after the phrase "(i)" in the clause (c) of the seventh paragraph.</w:t>
      </w:r>
    </w:p>
    <w:p w14:paraId="755BCB95" w14:textId="77777777" w:rsidR="00171C59" w:rsidRPr="009E1B38" w:rsidRDefault="00171C59" w:rsidP="00171C59">
      <w:pPr>
        <w:pStyle w:val="ListeParagraf"/>
        <w:ind w:left="709"/>
        <w:jc w:val="left"/>
        <w:rPr>
          <w:rFonts w:ascii="Times New Roman" w:hAnsi="Times New Roman"/>
        </w:rPr>
      </w:pPr>
    </w:p>
    <w:p w14:paraId="5D9E19C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 xml:space="preserve">“(2) In case the surplus cash collateral in TL and/or surplus cash surplus in TL default guarantee account contribution in TL, which is above the total collateral amount required to be submitted by the market participant in its free current account in accordance with VEP Procedures and Principles, is at a level to meet the debt of the market participant in relation to the relevant invoice notification; the debt </w:t>
      </w:r>
      <w:r w:rsidRPr="009E1B38">
        <w:rPr>
          <w:rFonts w:ascii="Times New Roman" w:hAnsi="Times New Roman"/>
          <w:i/>
        </w:rPr>
        <w:lastRenderedPageBreak/>
        <w:t>of the market participant shall be automatically covered from these amounts and the market participant shall not be subject to invoice default.”</w:t>
      </w:r>
    </w:p>
    <w:p w14:paraId="154FAA82" w14:textId="77777777" w:rsidR="00171C59" w:rsidRPr="009E1B38" w:rsidRDefault="00171C59" w:rsidP="00171C59">
      <w:pPr>
        <w:pStyle w:val="ListeParagraf"/>
        <w:ind w:left="709"/>
        <w:jc w:val="left"/>
        <w:rPr>
          <w:rFonts w:ascii="Times New Roman" w:hAnsi="Times New Roman"/>
          <w:i/>
        </w:rPr>
      </w:pPr>
    </w:p>
    <w:p w14:paraId="2C4CEE15" w14:textId="77777777" w:rsidR="00171C59" w:rsidRPr="009E1B38" w:rsidRDefault="00171C59" w:rsidP="003C5E4D">
      <w:pPr>
        <w:pStyle w:val="ListeParagraf"/>
        <w:numPr>
          <w:ilvl w:val="0"/>
          <w:numId w:val="92"/>
        </w:numPr>
        <w:spacing w:after="160" w:line="259" w:lineRule="auto"/>
        <w:ind w:left="709" w:firstLine="0"/>
        <w:jc w:val="left"/>
        <w:rPr>
          <w:rFonts w:ascii="Times New Roman" w:hAnsi="Times New Roman"/>
        </w:rPr>
      </w:pPr>
      <w:r w:rsidRPr="009E1B38">
        <w:rPr>
          <w:rFonts w:ascii="Times New Roman" w:hAnsi="Times New Roman"/>
        </w:rPr>
        <w:t>Amending Regulation published in the Official Gazette dated 09.05.2021 and numbered 31479 and the​ ​</w:t>
      </w:r>
      <w:r w:rsidRPr="009E1B38">
        <w:rPr>
          <w:rFonts w:ascii="Times New Roman" w:hAnsi="Times New Roman"/>
          <w:b/>
        </w:rPr>
        <w:t>Electricity Network Regulation</w:t>
      </w:r>
    </w:p>
    <w:p w14:paraId="1E565F97" w14:textId="77777777" w:rsidR="00171C59" w:rsidRPr="009E1B38" w:rsidRDefault="00171C59" w:rsidP="00171C59">
      <w:pPr>
        <w:pStyle w:val="ListeParagraf"/>
        <w:ind w:left="709"/>
        <w:jc w:val="left"/>
        <w:rPr>
          <w:rFonts w:ascii="Times New Roman" w:hAnsi="Times New Roman"/>
          <w:b/>
        </w:rPr>
      </w:pPr>
    </w:p>
    <w:p w14:paraId="729DF407"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clause (ii) of the first paragraph of Article 4​1​titled</w:t>
      </w:r>
      <w:r w:rsidRPr="009E1B38">
        <w:rPr>
          <w:rFonts w:ascii="Times New Roman" w:hAnsi="Times New Roman"/>
          <w:i/>
        </w:rPr>
        <w:t xml:space="preserve"> "Definitions” </w:t>
      </w:r>
      <w:r w:rsidRPr="009E1B38">
        <w:rPr>
          <w:rFonts w:ascii="Times New Roman" w:hAnsi="Times New Roman"/>
        </w:rPr>
        <w:t>has been amended as follows and the phrase</w:t>
      </w:r>
      <w:r w:rsidRPr="009E1B38">
        <w:rPr>
          <w:rFonts w:ascii="Times New Roman" w:hAnsi="Times New Roman"/>
          <w:i/>
        </w:rPr>
        <w:t xml:space="preserve"> “Presidential decree, Presidential decision” has</w:t>
      </w:r>
      <w:r w:rsidRPr="009E1B38">
        <w:rPr>
          <w:rFonts w:ascii="Times New Roman" w:hAnsi="Times New Roman"/>
        </w:rPr>
        <w:t xml:space="preserve"> been added after the phrase</w:t>
      </w:r>
      <w:r w:rsidRPr="009E1B38">
        <w:rPr>
          <w:rFonts w:ascii="Times New Roman" w:hAnsi="Times New Roman"/>
          <w:i/>
        </w:rPr>
        <w:t xml:space="preserve"> "law​”in</w:t>
      </w:r>
      <w:r w:rsidRPr="009E1B38">
        <w:rPr>
          <w:rFonts w:ascii="Times New Roman" w:hAnsi="Times New Roman"/>
        </w:rPr>
        <w:t xml:space="preserve"> the clause (ppp).</w:t>
      </w:r>
    </w:p>
    <w:p w14:paraId="30A79805" w14:textId="77777777" w:rsidR="00171C59" w:rsidRPr="009E1B38" w:rsidRDefault="00171C59" w:rsidP="00171C59">
      <w:pPr>
        <w:pStyle w:val="ListeParagraf"/>
        <w:ind w:left="709"/>
        <w:jc w:val="left"/>
        <w:rPr>
          <w:rFonts w:ascii="Times New Roman" w:hAnsi="Times New Roman"/>
        </w:rPr>
      </w:pPr>
    </w:p>
    <w:p w14:paraId="287FCBD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"ıı) Electrical storage facility: The facility that can store electrical energy and give the stored energy to the system,"</w:t>
      </w:r>
    </w:p>
    <w:p w14:paraId="49BAB5CA" w14:textId="77777777" w:rsidR="00171C59" w:rsidRPr="009E1B38" w:rsidRDefault="00171C59" w:rsidP="00171C59">
      <w:pPr>
        <w:pStyle w:val="ListeParagraf"/>
        <w:ind w:left="709"/>
        <w:jc w:val="left"/>
        <w:rPr>
          <w:rFonts w:ascii="Times New Roman" w:hAnsi="Times New Roman"/>
        </w:rPr>
      </w:pPr>
    </w:p>
    <w:p w14:paraId="1ADCEE50"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fourth paragraph of Article 104​titled</w:t>
      </w:r>
      <w:r w:rsidRPr="009E1B38">
        <w:rPr>
          <w:rFonts w:ascii="Times New Roman" w:hAnsi="Times New Roman"/>
          <w:i/>
        </w:rPr>
        <w:t xml:space="preserve"> "Principles related to Ancillary Services” </w:t>
      </w:r>
      <w:r w:rsidRPr="009E1B38">
        <w:rPr>
          <w:rFonts w:ascii="Times New Roman" w:hAnsi="Times New Roman"/>
        </w:rPr>
        <w:t>has been amended as follows.</w:t>
      </w:r>
    </w:p>
    <w:p w14:paraId="28AF2411" w14:textId="77777777" w:rsidR="00171C59" w:rsidRPr="009E1B38" w:rsidRDefault="00171C59" w:rsidP="00171C59">
      <w:pPr>
        <w:pStyle w:val="ListeParagraf"/>
        <w:ind w:left="709"/>
        <w:jc w:val="left"/>
        <w:rPr>
          <w:rFonts w:ascii="Times New Roman" w:hAnsi="Times New Roman"/>
        </w:rPr>
      </w:pPr>
    </w:p>
    <w:p w14:paraId="6207721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Within the scope of ancillary services, which technical criteria the electricity storage facilities can be used in accordance with are determined within the framework of the technical criteria prepared and announced by TEİAŞ."</w:t>
      </w:r>
    </w:p>
    <w:p w14:paraId="52B00AD5" w14:textId="77777777" w:rsidR="00171C59" w:rsidRPr="009E1B38" w:rsidRDefault="00171C59" w:rsidP="00171C59">
      <w:pPr>
        <w:pStyle w:val="ListeParagraf"/>
        <w:ind w:left="709"/>
        <w:jc w:val="left"/>
        <w:rPr>
          <w:rFonts w:ascii="Times New Roman" w:hAnsi="Times New Roman"/>
        </w:rPr>
      </w:pPr>
    </w:p>
    <w:p w14:paraId="469C759B"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It has been amended as follows together with the title of the provisional article 1.</w:t>
      </w:r>
    </w:p>
    <w:p w14:paraId="7B58882F" w14:textId="77777777" w:rsidR="00171C59" w:rsidRPr="009E1B38" w:rsidRDefault="00171C59" w:rsidP="00171C59">
      <w:pPr>
        <w:pStyle w:val="ListeParagraf"/>
        <w:ind w:left="709"/>
        <w:jc w:val="left"/>
        <w:rPr>
          <w:rFonts w:ascii="Times New Roman" w:hAnsi="Times New Roman"/>
        </w:rPr>
      </w:pPr>
    </w:p>
    <w:p w14:paraId="0E6D5ADA"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“Connecting electricity storage facilities to the network and using them in ancillary services</w:t>
      </w:r>
    </w:p>
    <w:p w14:paraId="144326B4" w14:textId="77777777" w:rsidR="00171C59" w:rsidRPr="009E1B38" w:rsidRDefault="00171C59" w:rsidP="00171C59">
      <w:pPr>
        <w:pStyle w:val="ListeParagraf"/>
        <w:ind w:left="709"/>
        <w:jc w:val="left"/>
        <w:rPr>
          <w:rFonts w:ascii="Times New Roman" w:hAnsi="Times New Roman"/>
          <w:b/>
          <w:i/>
        </w:rPr>
      </w:pPr>
    </w:p>
    <w:p w14:paraId="6F308222"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1</w:t>
      </w:r>
    </w:p>
    <w:p w14:paraId="32FD3BC7" w14:textId="77777777" w:rsidR="00171C59" w:rsidRPr="009E1B38" w:rsidRDefault="00171C59" w:rsidP="00171C59">
      <w:pPr>
        <w:pStyle w:val="ListeParagraf"/>
        <w:ind w:left="709"/>
        <w:jc w:val="left"/>
        <w:rPr>
          <w:rFonts w:ascii="Times New Roman" w:hAnsi="Times New Roman"/>
          <w:b/>
          <w:i/>
        </w:rPr>
      </w:pPr>
    </w:p>
    <w:p w14:paraId="37EB0AA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Technical criteria for the use of electricity storage facilities within the scope of network connection, monitoring with SCADA and ancillary services shall be prepared and announced by TEİAŞ until 1/9/2021 following the receipt of the opinions of distribution license holder legal entities. "</w:t>
      </w:r>
    </w:p>
    <w:p w14:paraId="4F045579" w14:textId="77777777" w:rsidR="00171C59" w:rsidRPr="009E1B38" w:rsidRDefault="00171C59" w:rsidP="00171C59">
      <w:pPr>
        <w:pStyle w:val="ListeParagraf"/>
        <w:ind w:left="709"/>
        <w:jc w:val="left"/>
        <w:rPr>
          <w:rFonts w:ascii="Times New Roman" w:hAnsi="Times New Roman"/>
          <w:i/>
        </w:rPr>
      </w:pPr>
    </w:p>
    <w:p w14:paraId="744FF49F" w14:textId="77777777" w:rsidR="00171C59" w:rsidRPr="009E1B38" w:rsidRDefault="00171C59" w:rsidP="003C5E4D">
      <w:pPr>
        <w:pStyle w:val="ListeParagraf"/>
        <w:numPr>
          <w:ilvl w:val="0"/>
          <w:numId w:val="92"/>
        </w:numPr>
        <w:spacing w:after="160" w:line="259" w:lineRule="auto"/>
        <w:ind w:left="709" w:firstLine="0"/>
        <w:jc w:val="left"/>
        <w:rPr>
          <w:rFonts w:ascii="Times New Roman" w:hAnsi="Times New Roman"/>
        </w:rPr>
      </w:pPr>
      <w:r w:rsidRPr="009E1B38">
        <w:rPr>
          <w:rFonts w:ascii="Times New Roman" w:hAnsi="Times New Roman"/>
        </w:rPr>
        <w:t xml:space="preserve">The Amendment Regulation published in the Official Gazette dated 09.05.2021 and numbered 31479 and </w:t>
      </w:r>
      <w:r w:rsidRPr="009E1B38">
        <w:rPr>
          <w:rFonts w:ascii="Times New Roman" w:hAnsi="Times New Roman"/>
          <w:b/>
        </w:rPr>
        <w:t>the Regulation ​on the Certification and Support of Renewable Energy Sources</w:t>
      </w:r>
    </w:p>
    <w:p w14:paraId="3A6866A8" w14:textId="77777777" w:rsidR="00171C59" w:rsidRPr="009E1B38" w:rsidRDefault="00171C59" w:rsidP="00171C59">
      <w:pPr>
        <w:pStyle w:val="ListeParagraf"/>
        <w:ind w:left="709"/>
        <w:jc w:val="left"/>
        <w:rPr>
          <w:rFonts w:ascii="Times New Roman" w:hAnsi="Times New Roman"/>
          <w:b/>
        </w:rPr>
      </w:pPr>
    </w:p>
    <w:p w14:paraId="52370E47"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Clauses (a), (e), (f) and (t) of the first paragraph of Article 3​titled</w:t>
      </w:r>
      <w:r w:rsidRPr="009E1B38">
        <w:rPr>
          <w:rFonts w:ascii="Times New Roman" w:hAnsi="Times New Roman"/>
          <w:i/>
        </w:rPr>
        <w:t xml:space="preserve"> "Definitions"​</w:t>
      </w:r>
      <w:r w:rsidRPr="009E1B38">
        <w:rPr>
          <w:rFonts w:ascii="Times New Roman" w:hAnsi="Times New Roman"/>
        </w:rPr>
        <w:t>have been amended as follows, clauses (b), (c) and (j) have been repealed, the phrase</w:t>
      </w:r>
      <w:r w:rsidRPr="009E1B38">
        <w:rPr>
          <w:rFonts w:ascii="Times New Roman" w:hAnsi="Times New Roman"/>
          <w:i/>
        </w:rPr>
        <w:t xml:space="preserve"> "amounts​" </w:t>
      </w:r>
      <w:r w:rsidRPr="009E1B38">
        <w:rPr>
          <w:rFonts w:ascii="Times New Roman" w:hAnsi="Times New Roman"/>
        </w:rPr>
        <w:t>has been added after the phrase</w:t>
      </w:r>
      <w:r w:rsidRPr="009E1B38">
        <w:rPr>
          <w:rFonts w:ascii="Times New Roman" w:hAnsi="Times New Roman"/>
          <w:i/>
        </w:rPr>
        <w:t xml:space="preserve"> "periods"​</w:t>
      </w:r>
      <w:r w:rsidRPr="009E1B38">
        <w:rPr>
          <w:rFonts w:ascii="Times New Roman" w:hAnsi="Times New Roman"/>
        </w:rPr>
        <w:t>in clause (s), the phrase</w:t>
      </w:r>
      <w:r w:rsidRPr="009E1B38">
        <w:rPr>
          <w:rFonts w:ascii="Times New Roman" w:hAnsi="Times New Roman"/>
          <w:i/>
        </w:rPr>
        <w:t xml:space="preserve">​ "​gas ​obtained from biomass (including garbage gas)" </w:t>
      </w:r>
      <w:r w:rsidRPr="009E1B38">
        <w:rPr>
          <w:rFonts w:ascii="Times New Roman" w:hAnsi="Times New Roman"/>
        </w:rPr>
        <w:t>in clause (v) has been repealed and the following paragraph has been added to the same paragraph.</w:t>
      </w:r>
    </w:p>
    <w:p w14:paraId="252B8C11" w14:textId="77777777" w:rsidR="00171C59" w:rsidRPr="009E1B38" w:rsidRDefault="00171C59" w:rsidP="00171C59">
      <w:pPr>
        <w:pStyle w:val="ListeParagraf"/>
        <w:ind w:left="709"/>
        <w:jc w:val="left"/>
        <w:rPr>
          <w:rFonts w:ascii="Times New Roman" w:hAnsi="Times New Roman"/>
        </w:rPr>
      </w:pPr>
    </w:p>
    <w:p w14:paraId="12A92C9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Biomass: Provided that it is not imported; vegetable oil wastes, agricultural wastes without food and feed value, resources obtained from by-products arising from the processing of forest products other than industrial wood and waste tires and industrial waste sludges and treatment sludges, in addition to municipal wastes (including garbage gas),"</w:t>
      </w:r>
    </w:p>
    <w:p w14:paraId="7F204A1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 Relevant legislation: Law on the electricity market, Presidential decree, Presidential decision, regulation, communiqué, license, circular and Board decisions,</w:t>
      </w:r>
    </w:p>
    <w:p w14:paraId="14C8094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f) Geothermal resource: Water, steam and gases from dry rocks, as well as natural water, steam and gases that have a temperature above the regional atmospheric average temperature due to natural heat in the earth's crust and that may contain molten matter and gas.</w:t>
      </w:r>
    </w:p>
    <w:p w14:paraId="59190BC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 xml:space="preserve">"t) RES total price (YEKTOB): The sum of the amounts calculated in Turkish Lira or Turkish Lira over the buying rate of exchange of the Central Bank of the Republic of Türkiye at the time the energy is </w:t>
      </w:r>
      <w:r w:rsidRPr="009E1B38">
        <w:rPr>
          <w:rFonts w:ascii="Times New Roman" w:hAnsi="Times New Roman"/>
          <w:i/>
        </w:rPr>
        <w:lastRenderedPageBreak/>
        <w:t>given to the system, by multiplying the amount of electricity energy produced in each of the licensed generation plants of the legal entities subject to RES Support Mechanism and given to the transmission or distribution system with the prices in the final RES list, and the sum of LÜYTOB,"</w:t>
      </w:r>
    </w:p>
    <w:p w14:paraId="30E5144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"dd) RES Price: The price obtained by multiplying the prices in the charts of ANNEX-I and ANNEX-II of the RES Law and the buying rate of exchange of the Central Bank of the Republic of Türkiye at the time the energy was given to the system or the price to be applied for electricity generation plants based on renewable energy sources within the scope of the Presidential Decree dated 29/1/2021 and numbered 3453,"</w:t>
      </w:r>
    </w:p>
    <w:p w14:paraId="5F48AD5B" w14:textId="77777777" w:rsidR="00171C59" w:rsidRPr="009E1B38" w:rsidRDefault="00171C59" w:rsidP="00171C59">
      <w:pPr>
        <w:pStyle w:val="ListeParagraf"/>
        <w:ind w:left="709"/>
        <w:jc w:val="left"/>
        <w:rPr>
          <w:rFonts w:ascii="Times New Roman" w:hAnsi="Times New Roman"/>
          <w:i/>
        </w:rPr>
      </w:pPr>
    </w:p>
    <w:p w14:paraId="022F5EAB"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second paragraph of Article 4​titled</w:t>
      </w:r>
      <w:r w:rsidRPr="009E1B38">
        <w:rPr>
          <w:rFonts w:ascii="Times New Roman" w:hAnsi="Times New Roman"/>
          <w:i/>
        </w:rPr>
        <w:t xml:space="preserve"> "RES support mechanism"​</w:t>
      </w:r>
      <w:r w:rsidRPr="009E1B38">
        <w:rPr>
          <w:rFonts w:ascii="Times New Roman" w:hAnsi="Times New Roman"/>
        </w:rPr>
        <w:t>has been amended as follows and the following paragraph has been added to the same article.</w:t>
      </w:r>
    </w:p>
    <w:p w14:paraId="6E4F7B18" w14:textId="77777777" w:rsidR="00171C59" w:rsidRPr="009E1B38" w:rsidRDefault="00171C59" w:rsidP="00171C59">
      <w:pPr>
        <w:pStyle w:val="ListeParagraf"/>
        <w:ind w:left="709"/>
        <w:jc w:val="left"/>
        <w:rPr>
          <w:rFonts w:ascii="Times New Roman" w:hAnsi="Times New Roman"/>
        </w:rPr>
      </w:pPr>
    </w:p>
    <w:p w14:paraId="7A3231A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YEKDEM is operated by the Market Operator on a calendar year basis.</w:t>
      </w:r>
      <w:r w:rsidRPr="009E1B38">
        <w:rPr>
          <w:rFonts w:ascii="Times New Roman" w:hAnsi="Times New Roman"/>
        </w:rPr>
        <w:t xml:space="preserve"> </w:t>
      </w:r>
      <w:r w:rsidRPr="009E1B38">
        <w:rPr>
          <w:rFonts w:ascii="Times New Roman" w:hAnsi="Times New Roman"/>
          <w:i/>
        </w:rPr>
        <w:t>Generation license holders who are subject to YEKDEM for a calendar year cannot leave YEKDEM within the calendar year they are included in the application.</w:t>
      </w:r>
      <w:r w:rsidRPr="009E1B38">
        <w:rPr>
          <w:rFonts w:ascii="Times New Roman" w:hAnsi="Times New Roman"/>
        </w:rPr>
        <w:t xml:space="preserve"> </w:t>
      </w:r>
      <w:r w:rsidRPr="009E1B38">
        <w:rPr>
          <w:rFonts w:ascii="Times New Roman" w:hAnsi="Times New Roman"/>
          <w:i/>
        </w:rPr>
        <w:t>Persons who produce from renewable energy sources within the scope of LÜY cannot go out of application for ten years from the date of partial or complete commissioning.</w:t>
      </w:r>
      <w:r w:rsidRPr="009E1B38">
        <w:rPr>
          <w:rFonts w:ascii="Times New Roman" w:hAnsi="Times New Roman"/>
        </w:rPr>
        <w:t xml:space="preserve"> </w:t>
      </w:r>
      <w:r w:rsidRPr="009E1B38">
        <w:rPr>
          <w:rFonts w:ascii="Times New Roman" w:hAnsi="Times New Roman"/>
          <w:i/>
        </w:rPr>
        <w:t>The generation license holders within the scope of YEKA benefit from YEKDEM within the framework of the conditions specified in the said Contract and/or the relevant YEKA Specification as of the date of signature of the Contract. "</w:t>
      </w:r>
    </w:p>
    <w:p w14:paraId="72A857E4" w14:textId="77777777" w:rsidR="00171C59" w:rsidRPr="009E1B38" w:rsidRDefault="00171C59" w:rsidP="00171C59">
      <w:pPr>
        <w:pStyle w:val="ListeParagraf"/>
        <w:ind w:left="709"/>
        <w:jc w:val="left"/>
        <w:rPr>
          <w:rFonts w:ascii="Times New Roman" w:hAnsi="Times New Roman"/>
          <w:i/>
        </w:rPr>
      </w:pPr>
    </w:p>
    <w:p w14:paraId="3F40BFE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"(6) The net amount of energy produced and delivered to the system in biomass based generation plants that will enter into operation after 1/7/2021 and that contain processes subject to different YEKDEM prices is evaluated within the scope of YEKDEM over the lowest of the prices determined in accordance with the Presidential Decision dated 29/1/2021 and numbered 3453 for the processes used in the generation plant."</w:t>
      </w:r>
    </w:p>
    <w:p w14:paraId="320E3D42" w14:textId="77777777" w:rsidR="00171C59" w:rsidRPr="009E1B38" w:rsidRDefault="00171C59" w:rsidP="00171C59">
      <w:pPr>
        <w:pStyle w:val="ListeParagraf"/>
        <w:ind w:left="709"/>
        <w:jc w:val="left"/>
        <w:rPr>
          <w:rFonts w:ascii="Times New Roman" w:hAnsi="Times New Roman"/>
          <w:i/>
        </w:rPr>
      </w:pPr>
    </w:p>
    <w:p w14:paraId="6750E5FD" w14:textId="35E928D4"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The following sentence has been added before the last sentence of the first paragraph of Article 8​</w:t>
      </w:r>
      <w:r w:rsidR="00A32D13">
        <w:rPr>
          <w:rFonts w:ascii="Times New Roman" w:hAnsi="Times New Roman"/>
          <w:i/>
        </w:rPr>
        <w:t xml:space="preserve"> </w:t>
      </w:r>
      <w:r w:rsidRPr="009E1B38">
        <w:rPr>
          <w:rFonts w:ascii="Times New Roman" w:hAnsi="Times New Roman"/>
          <w:i/>
        </w:rPr>
        <w:t>titled "Those who can benefit from YEKDEM"​ and the following paragraphs have been added to the same article.</w:t>
      </w:r>
    </w:p>
    <w:p w14:paraId="25941306" w14:textId="77777777" w:rsidR="00171C59" w:rsidRPr="009E1B38" w:rsidRDefault="00171C59" w:rsidP="00171C59">
      <w:pPr>
        <w:pStyle w:val="ListeParagraf"/>
        <w:ind w:left="709"/>
        <w:jc w:val="left"/>
        <w:rPr>
          <w:rFonts w:ascii="Times New Roman" w:hAnsi="Times New Roman"/>
          <w:i/>
        </w:rPr>
      </w:pPr>
    </w:p>
    <w:p w14:paraId="3CAA872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"Within the scope of the Presidential Decree dated 17/9/2020 and numbered 2949, generation facilities that will be put into operation partially or completely from 1/1/2021 to 30/6/2021 may benefit from YEKDEM until 31/12/2030."</w:t>
      </w:r>
    </w:p>
    <w:p w14:paraId="75109373" w14:textId="77777777" w:rsidR="00171C59" w:rsidRPr="009E1B38" w:rsidRDefault="00171C59" w:rsidP="00171C59">
      <w:pPr>
        <w:pStyle w:val="ListeParagraf"/>
        <w:ind w:left="709"/>
        <w:jc w:val="left"/>
        <w:rPr>
          <w:rFonts w:ascii="Times New Roman" w:hAnsi="Times New Roman"/>
          <w:i/>
        </w:rPr>
      </w:pPr>
    </w:p>
    <w:p w14:paraId="17F5954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“(5) The settlement amounts of the electricity storage units integrated in the generation plants within the scope of YEKDEM shall not be evaluated within the scope of YEKDEM.</w:t>
      </w:r>
    </w:p>
    <w:p w14:paraId="436C4086" w14:textId="77777777" w:rsidR="00171C59" w:rsidRPr="009E1B38" w:rsidRDefault="00171C59" w:rsidP="00171C59">
      <w:pPr>
        <w:pStyle w:val="ListeParagraf"/>
        <w:ind w:left="709"/>
        <w:jc w:val="left"/>
        <w:rPr>
          <w:rFonts w:ascii="Times New Roman" w:hAnsi="Times New Roman"/>
          <w:i/>
        </w:rPr>
      </w:pPr>
    </w:p>
    <w:p w14:paraId="2AF420F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(6) If the main equipment, used in a generation facility that has benefited and is benefiting from YEKDEM and has been used in a generation facility that was previously subject to acceptance is included in a generation facility, which is established within the scope of this Regulation, the RES fee shall not be applied for the said new generation facility. "</w:t>
      </w:r>
    </w:p>
    <w:p w14:paraId="72A12D65" w14:textId="77777777" w:rsidR="00171C59" w:rsidRPr="009E1B38" w:rsidRDefault="00171C59" w:rsidP="00171C59">
      <w:pPr>
        <w:pStyle w:val="ListeParagraf"/>
        <w:ind w:left="709"/>
        <w:jc w:val="left"/>
        <w:rPr>
          <w:rFonts w:ascii="Times New Roman" w:hAnsi="Times New Roman"/>
          <w:i/>
        </w:rPr>
      </w:pPr>
    </w:p>
    <w:p w14:paraId="2C576617"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The first paragraph of Article 12​titled "Calculation of total cost of RES" has been amended as follows.</w:t>
      </w:r>
    </w:p>
    <w:p w14:paraId="2FF45780" w14:textId="77777777" w:rsidR="00171C59" w:rsidRPr="009E1B38" w:rsidRDefault="00171C59" w:rsidP="00171C59">
      <w:pPr>
        <w:pStyle w:val="ListeParagraf"/>
        <w:ind w:left="709"/>
        <w:jc w:val="left"/>
        <w:rPr>
          <w:rFonts w:ascii="Times New Roman" w:hAnsi="Times New Roman"/>
          <w:i/>
        </w:rPr>
      </w:pPr>
    </w:p>
    <w:p w14:paraId="4BCD867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The total amount of RES to be paid to YEKDEM participants for each invoicing period (YEKTOB) is calculated according to the following formula:</w:t>
      </w:r>
    </w:p>
    <w:p w14:paraId="26AD6412" w14:textId="77777777" w:rsidR="00171C59" w:rsidRPr="009E1B38" w:rsidRDefault="00171C59" w:rsidP="00171C59">
      <w:pPr>
        <w:pStyle w:val="ListeParagraf"/>
        <w:ind w:left="709"/>
        <w:jc w:val="left"/>
        <w:rPr>
          <w:rFonts w:ascii="Times New Roman" w:hAnsi="Times New Roman"/>
          <w:i/>
        </w:rPr>
      </w:pPr>
    </w:p>
    <w:p w14:paraId="64E4C74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noProof/>
          <w:lang w:val="tr-TR" w:eastAsia="tr-TR"/>
        </w:rPr>
        <w:lastRenderedPageBreak/>
        <w:drawing>
          <wp:inline distT="0" distB="0" distL="0" distR="0" wp14:anchorId="76508AC8" wp14:editId="0AE900B6">
            <wp:extent cx="4775200" cy="457200"/>
            <wp:effectExtent l="0" t="0" r="6350" b="0"/>
            <wp:docPr id="23" name="Resim 23" descr="https://www.lexpera.com.tr/Appendix/PUBLICATION_TR/images/RG801Y2021N31479S6_392374174_1.JPG">
              <a:hlinkClick xmlns:a="http://schemas.openxmlformats.org/drawingml/2006/main" r:id="rId34"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 descr="https://www.lexpera.com.tr/Appendix/PUBLICATION_TR/images/RG801Y2021N31479S6_392374174_1.JPG">
                      <a:hlinkClick r:id="rId34" tgtFrame="&quot;_blank&quot;" tooltip="&quot;&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75200" cy="457200"/>
                    </a:xfrm>
                    <a:prstGeom prst="rect">
                      <a:avLst/>
                    </a:prstGeom>
                    <a:noFill/>
                    <a:ln>
                      <a:noFill/>
                    </a:ln>
                  </pic:spPr>
                </pic:pic>
              </a:graphicData>
            </a:graphic>
          </wp:inline>
        </w:drawing>
      </w:r>
    </w:p>
    <w:p w14:paraId="37BDC63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In this formula; the following means as follows:</w:t>
      </w:r>
    </w:p>
    <w:p w14:paraId="066AC4AA" w14:textId="77777777" w:rsidR="00171C59" w:rsidRPr="009E1B38" w:rsidRDefault="00171C59" w:rsidP="00171C59">
      <w:pPr>
        <w:pStyle w:val="ListeParagraf"/>
        <w:ind w:left="709"/>
        <w:jc w:val="left"/>
        <w:rPr>
          <w:rFonts w:ascii="Times New Roman" w:hAnsi="Times New Roman"/>
          <w:i/>
        </w:rPr>
      </w:pPr>
    </w:p>
    <w:p w14:paraId="4907719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YEKTOB: The total amount of RES calculated for each billing period (TL),</w:t>
      </w:r>
    </w:p>
    <w:p w14:paraId="3D9CB04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LÜYTOBj: The total amount (TL) to be paid to real and/or legal entities in the region and calculated by the supply company in charge of "j" for each invoicing period in relation to the exempted generation in the region,</w:t>
      </w:r>
    </w:p>
    <w:p w14:paraId="3F235D2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UEVMi,b,t,u: i YEKDEM participant's b settlement aggregation unit within the scope of YEKDEM, the settlement aggregation amount (MWh) for the u settlement period,</w:t>
      </w:r>
    </w:p>
    <w:p w14:paraId="4AB94DF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YEKFi,b: i YEKDEM participant b refers to the RES Price to be applied for the generation plant to which the settlement entity is affiliated,</w:t>
      </w:r>
    </w:p>
    <w:p w14:paraId="41F13B2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yi,b, t,u: i refers to the coefficient calculated due to the installed power increase of the YEKDEM participant's b settlement aggregation entity within the scope of YEKDEM within the scope of the second paragraph of Article 6/C of the RES Law for the u settlement period in the t bidding region,</w:t>
      </w:r>
    </w:p>
    <w:p w14:paraId="5E76032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The number of YEKDEM participants, which is a licensed generation facility,</w:t>
      </w:r>
    </w:p>
    <w:p w14:paraId="7063E8C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n: The number of settlement aggregation entities of each YEKDEM participant with a licensed generation plant,</w:t>
      </w:r>
    </w:p>
    <w:p w14:paraId="43E5EC9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l: The number of bidding zones,</w:t>
      </w:r>
    </w:p>
    <w:p w14:paraId="66B13B3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k: The number of settlement periods for the relevant invoice period,</w:t>
      </w:r>
    </w:p>
    <w:p w14:paraId="383A4E5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m: The number of authorized procurement companies that are YEKDEM participants.”</w:t>
      </w:r>
    </w:p>
    <w:p w14:paraId="2FDCBF91" w14:textId="77777777" w:rsidR="00171C59" w:rsidRPr="009E1B38" w:rsidRDefault="00171C59" w:rsidP="00171C59">
      <w:pPr>
        <w:pStyle w:val="ListeParagraf"/>
        <w:ind w:left="709"/>
        <w:jc w:val="left"/>
        <w:rPr>
          <w:rFonts w:ascii="Times New Roman" w:hAnsi="Times New Roman"/>
          <w:i/>
        </w:rPr>
      </w:pPr>
    </w:p>
    <w:p w14:paraId="42ADF498"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The first paragraph of Article 18 has been amended as follows.</w:t>
      </w:r>
    </w:p>
    <w:p w14:paraId="268D39AC" w14:textId="77777777" w:rsidR="00171C59" w:rsidRPr="009E1B38" w:rsidRDefault="00171C59" w:rsidP="00171C59">
      <w:pPr>
        <w:pStyle w:val="ListeParagraf"/>
        <w:ind w:left="709"/>
        <w:jc w:val="left"/>
        <w:rPr>
          <w:rFonts w:ascii="Times New Roman" w:hAnsi="Times New Roman"/>
          <w:i/>
        </w:rPr>
      </w:pPr>
    </w:p>
    <w:p w14:paraId="12EA35C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The RES fee (YEKBED) to be paid to the licensee for each licensed generation plant that is a YEKDEM participant or to be paid by the licensee to the market operator shall be calculated in accordance with the following formula, including YEKDEM income:</w:t>
      </w:r>
    </w:p>
    <w:p w14:paraId="3E1DF945" w14:textId="77777777" w:rsidR="00171C59" w:rsidRPr="009E1B38" w:rsidRDefault="00171C59" w:rsidP="00171C59">
      <w:pPr>
        <w:pStyle w:val="ListeParagraf"/>
        <w:ind w:left="709"/>
        <w:jc w:val="left"/>
        <w:rPr>
          <w:rFonts w:ascii="Times New Roman" w:hAnsi="Times New Roman"/>
          <w:i/>
        </w:rPr>
      </w:pPr>
    </w:p>
    <w:p w14:paraId="1EF0AE1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noProof/>
          <w:lang w:val="tr-TR" w:eastAsia="tr-TR"/>
        </w:rPr>
        <w:drawing>
          <wp:inline distT="0" distB="0" distL="0" distR="0" wp14:anchorId="27CD08E1" wp14:editId="7FDA7381">
            <wp:extent cx="4533900" cy="285750"/>
            <wp:effectExtent l="0" t="0" r="0" b="0"/>
            <wp:docPr id="24" name="Resim 24" descr="https://www.lexpera.com.tr/Appendix/PUBLICATION_TR/images/RG801Y2021N31479S6_392374175_1.JPG">
              <a:hlinkClick xmlns:a="http://schemas.openxmlformats.org/drawingml/2006/main" r:id="rId3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 descr="https://www.lexpera.com.tr/Appendix/PUBLICATION_TR/images/RG801Y2021N31479S6_392374175_1.JPG">
                      <a:hlinkClick r:id="rId36" tgtFrame="&quot;_blank&quot;" tooltip="&quot;&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33900" cy="285750"/>
                    </a:xfrm>
                    <a:prstGeom prst="rect">
                      <a:avLst/>
                    </a:prstGeom>
                    <a:noFill/>
                    <a:ln>
                      <a:noFill/>
                    </a:ln>
                  </pic:spPr>
                </pic:pic>
              </a:graphicData>
            </a:graphic>
          </wp:inline>
        </w:drawing>
      </w:r>
    </w:p>
    <w:p w14:paraId="1252D8DC" w14:textId="77777777" w:rsidR="00171C59" w:rsidRPr="009E1B38" w:rsidRDefault="00171C59" w:rsidP="00171C59">
      <w:pPr>
        <w:pStyle w:val="ListeParagraf"/>
        <w:ind w:left="709"/>
        <w:jc w:val="left"/>
        <w:rPr>
          <w:rFonts w:ascii="Times New Roman" w:hAnsi="Times New Roman"/>
          <w:i/>
        </w:rPr>
      </w:pPr>
    </w:p>
    <w:p w14:paraId="0F562E1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In this formula; the following means as follows:</w:t>
      </w:r>
    </w:p>
    <w:p w14:paraId="7833DF3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YEKBEDI: RES price (TL) to be paid to i YEKDEM participant for an invoice period or to be paid to market operator by the participant,</w:t>
      </w:r>
    </w:p>
    <w:p w14:paraId="7907CC5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UEVMi,b,t,u: i YEKDEM participant's b settlement aggregation unit within the scope of YEKDEM, the settlement aggregation amount (MWh) for the u settlement period,</w:t>
      </w:r>
    </w:p>
    <w:p w14:paraId="3B36699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yi,b, t,u: i refers to the coefficient calculated due to the installed power increase of the YEKDEM participant's b settlement aggregation entity within the scope of YEKDEM within the scope of the second paragraph of Article 6/C of the RES Law for the u settlement period in the t bidding region,</w:t>
      </w:r>
    </w:p>
    <w:p w14:paraId="317D8CD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YEKFi,b: i YEKDEM participant b refers to the RES Price to be applied for the generation plant to which the settlement entity is affiliated,</w:t>
      </w:r>
    </w:p>
    <w:p w14:paraId="388FE1E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PTFt,u: Market Clearing Price (TL/MWh) for the bidding region t and settlement period u,</w:t>
      </w:r>
    </w:p>
    <w:p w14:paraId="02DB1D3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k: The number of settlement periods for the relevant invoice period,</w:t>
      </w:r>
    </w:p>
    <w:p w14:paraId="2AFB76F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l: the number of t bidding zones,</w:t>
      </w:r>
    </w:p>
    <w:p w14:paraId="0C104C0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j: Tolerance coefficient determined by the Board for licensed generation plants,</w:t>
      </w:r>
    </w:p>
    <w:p w14:paraId="6841BF5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n: The number of settlement aggregation entities within the scope of YEKDEM belonging to i YEKDEM participant”</w:t>
      </w:r>
    </w:p>
    <w:p w14:paraId="3D579201" w14:textId="77777777" w:rsidR="00171C59" w:rsidRPr="009E1B38" w:rsidRDefault="00171C59" w:rsidP="00171C59">
      <w:pPr>
        <w:pStyle w:val="ListeParagraf"/>
        <w:ind w:left="709"/>
        <w:jc w:val="left"/>
        <w:rPr>
          <w:rFonts w:ascii="Times New Roman" w:hAnsi="Times New Roman"/>
          <w:i/>
        </w:rPr>
      </w:pPr>
    </w:p>
    <w:p w14:paraId="6388F8D1" w14:textId="77777777" w:rsidR="00171C59" w:rsidRPr="009E1B38" w:rsidRDefault="00171C59" w:rsidP="00171C59">
      <w:pPr>
        <w:pStyle w:val="ListeParagraf"/>
        <w:ind w:left="709"/>
        <w:jc w:val="left"/>
        <w:rPr>
          <w:rFonts w:ascii="Times New Roman" w:hAnsi="Times New Roman"/>
          <w:i/>
        </w:rPr>
      </w:pPr>
    </w:p>
    <w:p w14:paraId="18BE5C92" w14:textId="77777777" w:rsidR="00171C59" w:rsidRPr="009E1B38" w:rsidRDefault="00171C59" w:rsidP="00171C59">
      <w:pPr>
        <w:pStyle w:val="ListeParagraf"/>
        <w:ind w:left="709"/>
        <w:jc w:val="left"/>
        <w:rPr>
          <w:rFonts w:ascii="Times New Roman" w:hAnsi="Times New Roman"/>
          <w:i/>
        </w:rPr>
      </w:pPr>
    </w:p>
    <w:p w14:paraId="59F1FD11"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b/>
          <w:i/>
        </w:rPr>
      </w:pPr>
      <w:r w:rsidRPr="009E1B38">
        <w:rPr>
          <w:rFonts w:ascii="Times New Roman" w:hAnsi="Times New Roman"/>
        </w:rPr>
        <w:t>Article 21titled​</w:t>
      </w:r>
      <w:r w:rsidRPr="009E1B38">
        <w:rPr>
          <w:rFonts w:ascii="Times New Roman" w:hAnsi="Times New Roman"/>
          <w:i/>
        </w:rPr>
        <w:t xml:space="preserve"> “Objections, invoicing and payment process"</w:t>
      </w:r>
      <w:r w:rsidRPr="009E1B38">
        <w:rPr>
          <w:rFonts w:ascii="Times New Roman" w:hAnsi="Times New Roman"/>
        </w:rPr>
        <w:t xml:space="preserve"> </w:t>
      </w:r>
      <w:r w:rsidRPr="009E1B38">
        <w:rPr>
          <w:rFonts w:ascii="Times New Roman" w:hAnsi="Times New Roman"/>
          <w:i/>
        </w:rPr>
        <w:t>​</w:t>
      </w:r>
      <w:r w:rsidRPr="009E1B38">
        <w:rPr>
          <w:rFonts w:ascii="Times New Roman" w:hAnsi="Times New Roman"/>
        </w:rPr>
        <w:t>has been amended as follows:</w:t>
      </w:r>
    </w:p>
    <w:p w14:paraId="33865F93"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21</w:t>
      </w:r>
    </w:p>
    <w:p w14:paraId="450D618B" w14:textId="77777777" w:rsidR="00171C59" w:rsidRPr="009E1B38" w:rsidRDefault="00171C59" w:rsidP="00171C59">
      <w:pPr>
        <w:pStyle w:val="ListeParagraf"/>
        <w:ind w:left="709"/>
        <w:jc w:val="left"/>
        <w:rPr>
          <w:rFonts w:ascii="Times New Roman" w:hAnsi="Times New Roman"/>
          <w:b/>
          <w:i/>
        </w:rPr>
      </w:pPr>
    </w:p>
    <w:p w14:paraId="2D63F4DA" w14:textId="77777777" w:rsidR="00171C59" w:rsidRPr="009E1B38" w:rsidRDefault="00171C59" w:rsidP="00171C59">
      <w:pPr>
        <w:pStyle w:val="ListeParagraf"/>
        <w:ind w:left="709"/>
        <w:jc w:val="left"/>
        <w:rPr>
          <w:rFonts w:ascii="Times New Roman" w:hAnsi="Times New Roman"/>
          <w:b/>
          <w:i/>
        </w:rPr>
      </w:pPr>
    </w:p>
    <w:p w14:paraId="6EB5237D" w14:textId="55D92E21"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The provisions of the relevant legislation regulating the settlement procedures shall be applied for the processes related to invoicing, payment, non-payment, objections to settlement notifications and invoices and corrections.</w:t>
      </w:r>
    </w:p>
    <w:p w14:paraId="361F5983" w14:textId="77777777" w:rsidR="00171C59" w:rsidRPr="009E1B38" w:rsidRDefault="00171C59" w:rsidP="00171C59">
      <w:pPr>
        <w:pStyle w:val="ListeParagraf"/>
        <w:ind w:left="709"/>
        <w:jc w:val="left"/>
        <w:rPr>
          <w:rFonts w:ascii="Times New Roman" w:hAnsi="Times New Roman"/>
          <w:i/>
        </w:rPr>
      </w:pPr>
    </w:p>
    <w:p w14:paraId="6BB9CE0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Except for the corrections made within the scope of the relevant legislation regulating the conciliation procedures;</w:t>
      </w:r>
    </w:p>
    <w:p w14:paraId="5221E1C5" w14:textId="77777777" w:rsidR="00171C59" w:rsidRPr="009E1B38" w:rsidRDefault="00171C59" w:rsidP="00171C59">
      <w:pPr>
        <w:pStyle w:val="ListeParagraf"/>
        <w:ind w:left="709"/>
        <w:jc w:val="left"/>
        <w:rPr>
          <w:rFonts w:ascii="Times New Roman" w:hAnsi="Times New Roman"/>
          <w:i/>
        </w:rPr>
      </w:pPr>
    </w:p>
    <w:p w14:paraId="78DF2CE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In case the payments made within the scope of this Regulation are taken back, the amount collected is added to the current invoice period YEKDEM income item.</w:t>
      </w:r>
    </w:p>
    <w:p w14:paraId="24C9F70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In cases where support payment is required for previous periods within the scope of this Regulation, the amount to be paid shall be taken into account in the YEKTOB account of the current invoice period.</w:t>
      </w:r>
    </w:p>
    <w:p w14:paraId="7315A29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Except for the amounts determined in this Regulation, for the deductions made within the scope of YEKDEM in accordance with the Renewable Energy Resource Areas Usage Right Agreement, the transaction shall be established in accordance with the provisions of clause (a), and for the added amounts, the transaction shall be established in accordance with the provisions of clause (b). "</w:t>
      </w:r>
    </w:p>
    <w:p w14:paraId="200CB5FC" w14:textId="77777777" w:rsidR="00171C59" w:rsidRPr="009E1B38" w:rsidRDefault="00171C59" w:rsidP="00171C59">
      <w:pPr>
        <w:pStyle w:val="ListeParagraf"/>
        <w:ind w:left="709"/>
        <w:jc w:val="left"/>
        <w:rPr>
          <w:rFonts w:ascii="Times New Roman" w:hAnsi="Times New Roman"/>
          <w:i/>
        </w:rPr>
      </w:pPr>
    </w:p>
    <w:p w14:paraId="22AE40B7" w14:textId="3ABDEEFC"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 xml:space="preserve">The third paragraph of Article </w:t>
      </w:r>
      <w:r w:rsidR="00D32127" w:rsidRPr="009E1B38">
        <w:rPr>
          <w:rFonts w:ascii="Times New Roman" w:hAnsi="Times New Roman"/>
        </w:rPr>
        <w:t>23 titled</w:t>
      </w:r>
      <w:r w:rsidRPr="009E1B38">
        <w:rPr>
          <w:rFonts w:ascii="Times New Roman" w:hAnsi="Times New Roman"/>
          <w:i/>
        </w:rPr>
        <w:t xml:space="preserve"> "Obligations of YEKDEM participants” </w:t>
      </w:r>
      <w:r w:rsidRPr="009E1B38">
        <w:rPr>
          <w:rFonts w:ascii="Times New Roman" w:hAnsi="Times New Roman"/>
        </w:rPr>
        <w:t>has been amended as follows and the following paragraph has been added to the same article.</w:t>
      </w:r>
    </w:p>
    <w:p w14:paraId="11F580DA" w14:textId="77777777" w:rsidR="00171C59" w:rsidRPr="009E1B38" w:rsidRDefault="00171C59" w:rsidP="00171C59">
      <w:pPr>
        <w:pStyle w:val="ListeParagraf"/>
        <w:ind w:left="709"/>
        <w:jc w:val="left"/>
        <w:rPr>
          <w:rFonts w:ascii="Times New Roman" w:hAnsi="Times New Roman"/>
        </w:rPr>
      </w:pPr>
    </w:p>
    <w:p w14:paraId="125CF2E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YEKDEM participant generation license holder legal entities are obliged to comply with the instructions given by TEİAŞ as a system operator and to implement all kinds of measures it deems necessary."</w:t>
      </w:r>
    </w:p>
    <w:p w14:paraId="12DF5B3E" w14:textId="77777777" w:rsidR="00171C59" w:rsidRPr="009E1B38" w:rsidRDefault="00171C59" w:rsidP="00171C59">
      <w:pPr>
        <w:pStyle w:val="ListeParagraf"/>
        <w:ind w:left="709"/>
        <w:jc w:val="left"/>
        <w:rPr>
          <w:rFonts w:ascii="Times New Roman" w:hAnsi="Times New Roman"/>
          <w:i/>
        </w:rPr>
      </w:pPr>
    </w:p>
    <w:p w14:paraId="1DBC0C6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“(6) YEKDEM participant generation license holder legal entities that do not comply with the emergency and/or balancing power market load shedding instructions given by the System Operator shall not be included in the YEKDEM calculations and no RES payment shall be made to the relevant market participant.</w:t>
      </w:r>
      <w:r w:rsidRPr="009E1B38">
        <w:rPr>
          <w:rFonts w:ascii="Times New Roman" w:hAnsi="Times New Roman"/>
        </w:rPr>
        <w:t xml:space="preserve"> </w:t>
      </w:r>
      <w:r w:rsidRPr="009E1B38">
        <w:rPr>
          <w:rFonts w:ascii="Times New Roman" w:hAnsi="Times New Roman"/>
          <w:i/>
        </w:rPr>
        <w:t>In the calculations made within the scope of this paragraph, the amount of unfulfilled energy notified by the market participants within the instruction agreement period specified in the relevant legislation shall not be deducted from the amount of instructions given. "</w:t>
      </w:r>
    </w:p>
    <w:p w14:paraId="52348BB5" w14:textId="77777777" w:rsidR="00171C59" w:rsidRPr="009E1B38" w:rsidRDefault="00171C59" w:rsidP="00171C59">
      <w:pPr>
        <w:pStyle w:val="ListeParagraf"/>
        <w:ind w:left="709"/>
        <w:jc w:val="left"/>
        <w:rPr>
          <w:rFonts w:ascii="Times New Roman" w:hAnsi="Times New Roman"/>
          <w:i/>
        </w:rPr>
      </w:pPr>
    </w:p>
    <w:p w14:paraId="44E072C0"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Article 27 has been amended together with its title as follows.</w:t>
      </w:r>
    </w:p>
    <w:p w14:paraId="719EFAFA" w14:textId="77777777" w:rsidR="00171C59" w:rsidRPr="009E1B38" w:rsidRDefault="00171C59" w:rsidP="00171C59">
      <w:pPr>
        <w:pStyle w:val="ListeParagraf"/>
        <w:ind w:left="709"/>
        <w:jc w:val="left"/>
        <w:rPr>
          <w:rFonts w:ascii="Times New Roman" w:hAnsi="Times New Roman"/>
          <w:b/>
          <w:i/>
        </w:rPr>
      </w:pPr>
    </w:p>
    <w:p w14:paraId="7B0F30BE"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“Refund of unfair and undue payments</w:t>
      </w:r>
    </w:p>
    <w:p w14:paraId="10CDE6D5" w14:textId="77777777" w:rsidR="00171C59" w:rsidRPr="009E1B38" w:rsidRDefault="00171C59" w:rsidP="00171C59">
      <w:pPr>
        <w:pStyle w:val="ListeParagraf"/>
        <w:ind w:left="709"/>
        <w:jc w:val="left"/>
        <w:rPr>
          <w:rFonts w:ascii="Times New Roman" w:hAnsi="Times New Roman"/>
          <w:b/>
          <w:i/>
        </w:rPr>
      </w:pPr>
    </w:p>
    <w:p w14:paraId="461D2BF5"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27</w:t>
      </w:r>
    </w:p>
    <w:p w14:paraId="682C20C8" w14:textId="77777777" w:rsidR="00171C59" w:rsidRPr="009E1B38" w:rsidRDefault="00171C59" w:rsidP="00171C59">
      <w:pPr>
        <w:pStyle w:val="ListeParagraf"/>
        <w:ind w:left="709"/>
        <w:jc w:val="left"/>
        <w:rPr>
          <w:rFonts w:ascii="Times New Roman" w:hAnsi="Times New Roman"/>
          <w:b/>
          <w:i/>
        </w:rPr>
      </w:pPr>
    </w:p>
    <w:p w14:paraId="7FF27D22" w14:textId="77777777" w:rsidR="00171C59" w:rsidRPr="009E1B38" w:rsidRDefault="00171C59" w:rsidP="00171C59">
      <w:pPr>
        <w:pStyle w:val="ListeParagraf"/>
        <w:ind w:left="709"/>
        <w:jc w:val="left"/>
        <w:rPr>
          <w:rFonts w:ascii="Times New Roman" w:hAnsi="Times New Roman"/>
          <w:b/>
          <w:i/>
        </w:rPr>
      </w:pPr>
    </w:p>
    <w:p w14:paraId="14B7717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 xml:space="preserve">(1) In accordance with the provisions of this Regulation, if it is determined that the applicant has provided and/or issued misleading information and/or documents, the generation license holder legal entity shall not benefit from the rights under this Regulation and the amount calculated as a result of multiplying the amount of electricity produced by the RES Price shall be updated with the interest rate determined in accordance with Article 51 of the Law on the Collection Procedure of Public Receivables </w:t>
      </w:r>
      <w:r w:rsidRPr="009E1B38">
        <w:rPr>
          <w:rFonts w:ascii="Times New Roman" w:hAnsi="Times New Roman"/>
          <w:i/>
        </w:rPr>
        <w:lastRenderedPageBreak/>
        <w:t>dated 21/7/1953 and numbered 6183 and invoiced to the relevant legal entity by the Market Operator.</w:t>
      </w:r>
      <w:r w:rsidRPr="009E1B38">
        <w:rPr>
          <w:rFonts w:ascii="Times New Roman" w:hAnsi="Times New Roman"/>
        </w:rPr>
        <w:t xml:space="preserve"> </w:t>
      </w:r>
      <w:r w:rsidRPr="009E1B38">
        <w:rPr>
          <w:rFonts w:ascii="Times New Roman" w:hAnsi="Times New Roman"/>
          <w:i/>
        </w:rPr>
        <w:t>A transaction shall be established for the said generation license holder legal entity within the framework of the provisions of Article 16 of the Law.</w:t>
      </w:r>
    </w:p>
    <w:p w14:paraId="5C87F210" w14:textId="77777777" w:rsidR="00171C59" w:rsidRPr="009E1B38" w:rsidRDefault="00171C59" w:rsidP="00171C59">
      <w:pPr>
        <w:pStyle w:val="ListeParagraf"/>
        <w:ind w:left="709"/>
        <w:jc w:val="left"/>
        <w:rPr>
          <w:rFonts w:ascii="Times New Roman" w:hAnsi="Times New Roman"/>
          <w:i/>
        </w:rPr>
      </w:pPr>
    </w:p>
    <w:p w14:paraId="665E2CD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The generation license holder legal entity determined to benefit from YEKDEM even though it does not have the right to participate in YEKDEM shall be removed from the final RES list of the relevant year.</w:t>
      </w:r>
      <w:r w:rsidRPr="009E1B38">
        <w:rPr>
          <w:rFonts w:ascii="Times New Roman" w:hAnsi="Times New Roman"/>
        </w:rPr>
        <w:t xml:space="preserve"> </w:t>
      </w:r>
      <w:r w:rsidRPr="009E1B38">
        <w:rPr>
          <w:rFonts w:ascii="Times New Roman" w:hAnsi="Times New Roman"/>
          <w:i/>
        </w:rPr>
        <w:t>This person is invoiced by the Market Operator by updating the RES amounts paid in accordance with Article 18 for each settlement period within the scope of YEKDEM retrospectively with the interest rate determined in accordance with Article 51 of the Law on the Collection Procedure of Public Receivables.</w:t>
      </w:r>
    </w:p>
    <w:p w14:paraId="45EC57C7" w14:textId="77777777" w:rsidR="00171C59" w:rsidRPr="009E1B38" w:rsidRDefault="00171C59" w:rsidP="00171C59">
      <w:pPr>
        <w:pStyle w:val="ListeParagraf"/>
        <w:ind w:left="709"/>
        <w:jc w:val="left"/>
        <w:rPr>
          <w:rFonts w:ascii="Times New Roman" w:hAnsi="Times New Roman"/>
          <w:i/>
        </w:rPr>
      </w:pPr>
    </w:p>
    <w:p w14:paraId="16F0554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Without prejudice to the provisions of the first and second paragraphs, the amount to be collected from the YEKDEM participant shall be updated with the interest rate determined in accordance with Article 51 of the Law on the Collection Procedure of Public Receivables and invoiced by the Market Operator in relation to the amounts determined to be overpaid within the scope of this Regulation and the amounts to be collected in accordance with the judicial decision.</w:t>
      </w:r>
    </w:p>
    <w:p w14:paraId="1D04FC95" w14:textId="77777777" w:rsidR="00171C59" w:rsidRPr="009E1B38" w:rsidRDefault="00171C59" w:rsidP="00171C59">
      <w:pPr>
        <w:pStyle w:val="ListeParagraf"/>
        <w:ind w:left="709"/>
        <w:jc w:val="left"/>
        <w:rPr>
          <w:rFonts w:ascii="Times New Roman" w:hAnsi="Times New Roman"/>
          <w:i/>
        </w:rPr>
      </w:pPr>
    </w:p>
    <w:p w14:paraId="635AADE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Regarding the unlicensed generation plants determined to be overpaid or benefited from YEKDEM even if they do not meet the necessary conditions within the scope of this Regulation, the payment amounts made retrospectively to the owner of the relevant generation plant for each settlement period shall be updated by the relevant assigned supply company with the interest rate determined in accordance with Article 51 of the Law on the Collection Procedure of Public Receivables and collected from the person owning the generation plant.</w:t>
      </w:r>
      <w:r w:rsidRPr="009E1B38">
        <w:rPr>
          <w:rFonts w:ascii="Times New Roman" w:hAnsi="Times New Roman"/>
        </w:rPr>
        <w:t xml:space="preserve"> </w:t>
      </w:r>
      <w:r w:rsidRPr="009E1B38">
        <w:rPr>
          <w:rFonts w:ascii="Times New Roman" w:hAnsi="Times New Roman"/>
          <w:i/>
        </w:rPr>
        <w:t>The amount collected by the assigned supply company is notified to the market operator to be included in the LÜTYOB account for the current invoice period. "</w:t>
      </w:r>
    </w:p>
    <w:p w14:paraId="28CE6597" w14:textId="77777777" w:rsidR="00171C59" w:rsidRPr="009E1B38" w:rsidRDefault="00171C59" w:rsidP="00171C59">
      <w:pPr>
        <w:pStyle w:val="ListeParagraf"/>
        <w:ind w:left="709"/>
        <w:jc w:val="left"/>
        <w:rPr>
          <w:rFonts w:ascii="Times New Roman" w:hAnsi="Times New Roman"/>
          <w:i/>
        </w:rPr>
      </w:pPr>
    </w:p>
    <w:p w14:paraId="111C1033" w14:textId="77777777" w:rsidR="00171C59" w:rsidRPr="009E1B38" w:rsidRDefault="00171C59" w:rsidP="003C5E4D">
      <w:pPr>
        <w:pStyle w:val="ListeParagraf"/>
        <w:numPr>
          <w:ilvl w:val="0"/>
          <w:numId w:val="92"/>
        </w:numPr>
        <w:spacing w:after="160" w:line="259" w:lineRule="auto"/>
        <w:ind w:left="709" w:firstLine="0"/>
        <w:jc w:val="left"/>
        <w:rPr>
          <w:rFonts w:ascii="Times New Roman" w:hAnsi="Times New Roman"/>
        </w:rPr>
      </w:pPr>
      <w:r w:rsidRPr="009E1B38">
        <w:rPr>
          <w:rFonts w:ascii="Times New Roman" w:hAnsi="Times New Roman"/>
        </w:rPr>
        <w:t xml:space="preserve">Amending Regulation dated 09.05.2021 and numbered 31479 and </w:t>
      </w:r>
      <w:r w:rsidRPr="009E1B38">
        <w:rPr>
          <w:rFonts w:ascii="Times New Roman" w:hAnsi="Times New Roman"/>
          <w:b/>
        </w:rPr>
        <w:t>Regulation on ​Unlicensed Electricity Generation in the Electricity​​ Market</w:t>
      </w:r>
    </w:p>
    <w:p w14:paraId="7CA62CCC" w14:textId="77777777" w:rsidR="00171C59" w:rsidRPr="009E1B38" w:rsidRDefault="00171C59" w:rsidP="00171C59">
      <w:pPr>
        <w:pStyle w:val="ListeParagraf"/>
        <w:ind w:left="709"/>
        <w:jc w:val="left"/>
        <w:rPr>
          <w:rFonts w:ascii="Times New Roman" w:hAnsi="Times New Roman"/>
          <w:b/>
        </w:rPr>
      </w:pPr>
    </w:p>
    <w:p w14:paraId="0E1177C3" w14:textId="0527F863"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The clause (ı) of the first paragraph of Article 4</w:t>
      </w:r>
      <w:r w:rsidR="00A32D13">
        <w:rPr>
          <w:rFonts w:ascii="Times New Roman" w:hAnsi="Times New Roman"/>
        </w:rPr>
        <w:t xml:space="preserve"> </w:t>
      </w:r>
      <w:r w:rsidRPr="009E1B38">
        <w:rPr>
          <w:rFonts w:ascii="Times New Roman" w:hAnsi="Times New Roman"/>
        </w:rPr>
        <w:t xml:space="preserve">​titled </w:t>
      </w:r>
      <w:r w:rsidRPr="009E1B38">
        <w:rPr>
          <w:rFonts w:ascii="Times New Roman" w:hAnsi="Times New Roman"/>
          <w:i/>
        </w:rPr>
        <w:t>"Definitions and Abbreviations"​</w:t>
      </w:r>
      <w:r w:rsidRPr="009E1B38">
        <w:rPr>
          <w:rFonts w:ascii="Times New Roman" w:hAnsi="Times New Roman"/>
        </w:rPr>
        <w:t>is amended as follows.</w:t>
      </w:r>
    </w:p>
    <w:p w14:paraId="4F2C2BD0" w14:textId="77777777" w:rsidR="00171C59" w:rsidRPr="009E1B38" w:rsidRDefault="00171C59" w:rsidP="00171C59">
      <w:pPr>
        <w:pStyle w:val="ListeParagraf"/>
        <w:ind w:left="709"/>
        <w:jc w:val="left"/>
        <w:rPr>
          <w:rFonts w:ascii="Times New Roman" w:hAnsi="Times New Roman"/>
        </w:rPr>
      </w:pPr>
    </w:p>
    <w:p w14:paraId="6C99985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"ı) Special Provincial Administration: Provincial special administration of the place where the generation plant will be established or Governorship Investment Monitoring and Coordination Directorate in places where there is no special provincial administration,"</w:t>
      </w:r>
    </w:p>
    <w:p w14:paraId="5B7609E9" w14:textId="77777777" w:rsidR="00171C59" w:rsidRPr="009E1B38" w:rsidRDefault="00171C59" w:rsidP="00171C59">
      <w:pPr>
        <w:pStyle w:val="ListeParagraf"/>
        <w:ind w:left="709"/>
        <w:jc w:val="left"/>
        <w:rPr>
          <w:rFonts w:ascii="Times New Roman" w:hAnsi="Times New Roman"/>
          <w:i/>
        </w:rPr>
      </w:pPr>
    </w:p>
    <w:p w14:paraId="5A67146C"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Clause (b)​ of the first paragraph of Article 5 titled "Exemption for establishing a company with license​" has been amended as follows, the following paragraph has been added to the same paragraph, the phrase "has the same offsetting structure" has been added after the phrase ​"for a consumption facility​ in the form of a consumption facility ​​" in the fourth paragraph of the same article, the sixth paragraph of the same article has ​been amended as follows and the following paragraph has been added to the same article.</w:t>
      </w:r>
    </w:p>
    <w:p w14:paraId="3F8758D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Generation plants operating without any connection to the transmission or distribution system,”</w:t>
      </w:r>
    </w:p>
    <w:p w14:paraId="4667EF4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"h) Generation plants based on renewable energy sources, provided that they are limited to the contractual power in the connection agreement."</w:t>
      </w:r>
    </w:p>
    <w:p w14:paraId="1C5308A1" w14:textId="77777777" w:rsidR="00171C59" w:rsidRPr="009E1B38" w:rsidRDefault="00171C59" w:rsidP="00171C59">
      <w:pPr>
        <w:pStyle w:val="ListeParagraf"/>
        <w:ind w:left="709"/>
        <w:jc w:val="left"/>
        <w:rPr>
          <w:rFonts w:ascii="Times New Roman" w:hAnsi="Times New Roman"/>
          <w:i/>
        </w:rPr>
      </w:pPr>
    </w:p>
    <w:p w14:paraId="387EC4C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“(6) The installed power upper limit shall not be applied for generation plants within the scope of clauses (a), (b), (ç), (d), (f), (g), (ğ) and (h) of the first paragraph.”</w:t>
      </w:r>
    </w:p>
    <w:p w14:paraId="7250F524" w14:textId="77777777" w:rsidR="00171C59" w:rsidRPr="009E1B38" w:rsidRDefault="00171C59" w:rsidP="00171C59">
      <w:pPr>
        <w:pStyle w:val="ListeParagraf"/>
        <w:ind w:left="709"/>
        <w:jc w:val="left"/>
        <w:rPr>
          <w:rFonts w:ascii="Times New Roman" w:hAnsi="Times New Roman"/>
          <w:i/>
        </w:rPr>
      </w:pPr>
    </w:p>
    <w:p w14:paraId="26D94BE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"(8) Additional generation plant or facilities may be established within the scope of clause (h) of the first paragraph provided that other relevant obligations are fulfilled for the consumption facilities associated with generation plants whose offsetting procedures are carried out in accordance with Article 26, for which a letter of call for connection agreement is issued within the scope of clause (c) of the first paragraph, for which connection agreement is signed or acceptance procedures are completed."</w:t>
      </w:r>
    </w:p>
    <w:p w14:paraId="7941D76C" w14:textId="77777777" w:rsidR="00171C59" w:rsidRPr="009E1B38" w:rsidRDefault="00171C59" w:rsidP="00171C59">
      <w:pPr>
        <w:pStyle w:val="ListeParagraf"/>
        <w:ind w:left="709"/>
        <w:jc w:val="left"/>
        <w:rPr>
          <w:rFonts w:ascii="Times New Roman" w:hAnsi="Times New Roman"/>
          <w:i/>
        </w:rPr>
      </w:pPr>
    </w:p>
    <w:p w14:paraId="6DF249C3"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phrase</w:t>
      </w:r>
      <w:r w:rsidRPr="009E1B38">
        <w:rPr>
          <w:rFonts w:ascii="Times New Roman" w:hAnsi="Times New Roman"/>
          <w:i/>
        </w:rPr>
        <w:t xml:space="preserve"> "at the ​distribution level​ " </w:t>
      </w:r>
      <w:r w:rsidRPr="009E1B38">
        <w:rPr>
          <w:rFonts w:ascii="Times New Roman" w:hAnsi="Times New Roman"/>
        </w:rPr>
        <w:t>after the phrase</w:t>
      </w:r>
      <w:r w:rsidRPr="009E1B38">
        <w:rPr>
          <w:rFonts w:ascii="Times New Roman" w:hAnsi="Times New Roman"/>
          <w:i/>
        </w:rPr>
        <w:t xml:space="preserve"> "within the ​scope of this Regulation"​ </w:t>
      </w:r>
      <w:r w:rsidRPr="009E1B38">
        <w:rPr>
          <w:rFonts w:ascii="Times New Roman" w:hAnsi="Times New Roman"/>
        </w:rPr>
        <w:t>in the fifth paragraph of Article 7 ​titled</w:t>
      </w:r>
      <w:r w:rsidRPr="009E1B38">
        <w:rPr>
          <w:rFonts w:ascii="Times New Roman" w:hAnsi="Times New Roman"/>
          <w:i/>
        </w:rPr>
        <w:t xml:space="preserve"> "Connection principles​ "</w:t>
      </w:r>
      <w:r w:rsidRPr="009E1B38">
        <w:rPr>
          <w:rFonts w:ascii="Times New Roman" w:hAnsi="Times New Roman"/>
        </w:rPr>
        <w:t xml:space="preserve">, the phrase </w:t>
      </w:r>
      <w:r w:rsidRPr="009E1B38">
        <w:rPr>
          <w:rFonts w:ascii="Times New Roman" w:hAnsi="Times New Roman"/>
          <w:i/>
        </w:rPr>
        <w:t xml:space="preserve">"excluding the generation plants to be established within the ​scope of (h) of the first paragraph of Article 5 from the transmission level" </w:t>
      </w:r>
      <w:r w:rsidRPr="009E1B38">
        <w:rPr>
          <w:rFonts w:ascii="Times New Roman" w:hAnsi="Times New Roman"/>
        </w:rPr>
        <w:t>before the phrase</w:t>
      </w:r>
      <w:r w:rsidRPr="009E1B38">
        <w:rPr>
          <w:rFonts w:ascii="Times New Roman" w:hAnsi="Times New Roman"/>
          <w:i/>
        </w:rPr>
        <w:t xml:space="preserve"> "within the scope of this Regulation​" </w:t>
      </w:r>
      <w:r w:rsidRPr="009E1B38">
        <w:rPr>
          <w:rFonts w:ascii="Times New Roman" w:hAnsi="Times New Roman"/>
        </w:rPr>
        <w:t>in the eighth paragraph, the phrase</w:t>
      </w:r>
      <w:r w:rsidRPr="009E1B38">
        <w:rPr>
          <w:rFonts w:ascii="Times New Roman" w:hAnsi="Times New Roman"/>
          <w:i/>
        </w:rPr>
        <w:t xml:space="preserve"> "excluding the temporary subscription to the consumption facilities​ under construction ​" </w:t>
      </w:r>
      <w:r w:rsidRPr="009E1B38">
        <w:rPr>
          <w:rFonts w:ascii="Times New Roman" w:hAnsi="Times New Roman"/>
        </w:rPr>
        <w:t>after the phrase</w:t>
      </w:r>
      <w:r w:rsidRPr="009E1B38">
        <w:rPr>
          <w:rFonts w:ascii="Times New Roman" w:hAnsi="Times New Roman"/>
          <w:i/>
        </w:rPr>
        <w:t xml:space="preserve"> "(c​)" </w:t>
      </w:r>
      <w:r w:rsidRPr="009E1B38">
        <w:rPr>
          <w:rFonts w:ascii="Times New Roman" w:hAnsi="Times New Roman"/>
        </w:rPr>
        <w:t>in the tenth paragraph, the phrase</w:t>
      </w:r>
      <w:r w:rsidRPr="009E1B38">
        <w:rPr>
          <w:rFonts w:ascii="Times New Roman" w:hAnsi="Times New Roman"/>
          <w:i/>
        </w:rPr>
        <w:t xml:space="preserve"> "(f), (ğ) and (h​) ​" </w:t>
      </w:r>
      <w:r w:rsidRPr="009E1B38">
        <w:rPr>
          <w:rFonts w:ascii="Times New Roman" w:hAnsi="Times New Roman"/>
        </w:rPr>
        <w:t>and the phrase</w:t>
      </w:r>
      <w:r w:rsidRPr="009E1B38">
        <w:rPr>
          <w:rFonts w:ascii="Times New Roman" w:hAnsi="Times New Roman"/>
          <w:i/>
        </w:rPr>
        <w:t xml:space="preserve"> "excluding the temporary subscription to the consumption facilities under​​construction" </w:t>
      </w:r>
      <w:r w:rsidRPr="009E1B38">
        <w:rPr>
          <w:rFonts w:ascii="Times New Roman" w:hAnsi="Times New Roman"/>
        </w:rPr>
        <w:t>in the twelfth paragraph have been added, the seventh and fourteenth paragraphs of​ the same article have been amended as follows and the following paragraph has been added to the same article.</w:t>
      </w:r>
    </w:p>
    <w:p w14:paraId="03049DAD" w14:textId="77777777" w:rsidR="00171C59" w:rsidRPr="009E1B38" w:rsidRDefault="00171C59" w:rsidP="00171C59">
      <w:pPr>
        <w:pStyle w:val="ListeParagraf"/>
        <w:ind w:left="709"/>
        <w:jc w:val="left"/>
        <w:rPr>
          <w:rFonts w:ascii="Times New Roman" w:hAnsi="Times New Roman"/>
        </w:rPr>
      </w:pPr>
    </w:p>
    <w:p w14:paraId="6321B59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"(7) Except for the generation plants to be established within the scope of (h) clause of the first paragraph of Article 5 from the transmission level, if the temporary acceptance of the transformer station, distribution center and energy transmission line at the connection point and the distribution facilities of the consumption facility has not been made, no application can be made within the scope of this Regulation. Applications made shall be returned without any process being established. "</w:t>
      </w:r>
    </w:p>
    <w:p w14:paraId="1F41119F" w14:textId="77777777" w:rsidR="00171C59" w:rsidRPr="009E1B38" w:rsidRDefault="00171C59" w:rsidP="00171C59">
      <w:pPr>
        <w:pStyle w:val="ListeParagraf"/>
        <w:ind w:left="709"/>
        <w:jc w:val="left"/>
        <w:rPr>
          <w:rFonts w:ascii="Times New Roman" w:hAnsi="Times New Roman"/>
          <w:i/>
        </w:rPr>
      </w:pPr>
    </w:p>
    <w:p w14:paraId="1E4DB31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“(14) In case the generation plant owner wishes to make other changes including increasing, reducing DC/AC power of the generation plant, changing the protection order, changing the compensation, it is obliged to apply to the relevant network operator in advance and obtain permission in accordance with the procedures stipulated in the relevant legislation.</w:t>
      </w:r>
      <w:r w:rsidRPr="009E1B38">
        <w:rPr>
          <w:rFonts w:ascii="Times New Roman" w:hAnsi="Times New Roman"/>
        </w:rPr>
        <w:t xml:space="preserve"> </w:t>
      </w:r>
      <w:r w:rsidRPr="009E1B38">
        <w:rPr>
          <w:rFonts w:ascii="Times New Roman" w:hAnsi="Times New Roman"/>
          <w:i/>
        </w:rPr>
        <w:t>In applications based on wind or solar energy; the information contained in the technical evaluation form to be submitted regarding the change is sent to the EİGM for technical evaluation. "</w:t>
      </w:r>
    </w:p>
    <w:p w14:paraId="25DD3BC6" w14:textId="77777777" w:rsidR="00171C59" w:rsidRPr="009E1B38" w:rsidRDefault="00171C59" w:rsidP="00171C59">
      <w:pPr>
        <w:pStyle w:val="ListeParagraf"/>
        <w:ind w:left="709"/>
        <w:jc w:val="left"/>
        <w:rPr>
          <w:rFonts w:ascii="Times New Roman" w:hAnsi="Times New Roman"/>
          <w:i/>
        </w:rPr>
      </w:pPr>
    </w:p>
    <w:p w14:paraId="334AE56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“(17) Transaction shall be established within the framework of the provision contained in Electricity Market Connection and System Usage Regulation for distribution facility and/or transmission facility investments pertaining to generation plants to be established within the scope of (h) clause of first paragraph of Article 5.”</w:t>
      </w:r>
    </w:p>
    <w:p w14:paraId="5B4FB5C0"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first paragraph of Article 10​titled</w:t>
      </w:r>
      <w:r w:rsidRPr="009E1B38">
        <w:rPr>
          <w:rFonts w:ascii="Times New Roman" w:hAnsi="Times New Roman"/>
          <w:i/>
        </w:rPr>
        <w:t xml:space="preserve"> "Receipt of applications” </w:t>
      </w:r>
      <w:r w:rsidRPr="009E1B38">
        <w:rPr>
          <w:rFonts w:ascii="Times New Roman" w:hAnsi="Times New Roman"/>
        </w:rPr>
        <w:t>has been amended as follows.</w:t>
      </w:r>
    </w:p>
    <w:p w14:paraId="1BFC60F7" w14:textId="77777777" w:rsidR="00171C59" w:rsidRPr="009E1B38" w:rsidRDefault="00171C59" w:rsidP="00171C59">
      <w:pPr>
        <w:pStyle w:val="ListeParagraf"/>
        <w:ind w:left="709"/>
        <w:jc w:val="left"/>
        <w:rPr>
          <w:rFonts w:ascii="Times New Roman" w:hAnsi="Times New Roman"/>
        </w:rPr>
      </w:pPr>
    </w:p>
    <w:p w14:paraId="3C20B1E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Real or legal entities who want to produce within the scope of clauses (c), (ç), (d), (e), (f), (g), (ğ) and (h) of the first paragraph of Article 5 shall apply to the network operator regarding the information and documents determined by the Board decision."</w:t>
      </w:r>
    </w:p>
    <w:p w14:paraId="4D54EFE3" w14:textId="77777777" w:rsidR="00171C59" w:rsidRPr="009E1B38" w:rsidRDefault="00171C59" w:rsidP="00171C59">
      <w:pPr>
        <w:pStyle w:val="ListeParagraf"/>
        <w:ind w:left="709"/>
        <w:jc w:val="left"/>
        <w:rPr>
          <w:rFonts w:ascii="Times New Roman" w:hAnsi="Times New Roman"/>
          <w:i/>
        </w:rPr>
      </w:pPr>
    </w:p>
    <w:p w14:paraId="4E83A790"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w:t>
      </w:r>
      <w:r w:rsidRPr="009E1B38">
        <w:rPr>
          <w:rFonts w:ascii="Times New Roman" w:hAnsi="Times New Roman"/>
        </w:rPr>
        <w:t>The second paragraph of Article 11 titled</w:t>
      </w:r>
      <w:r w:rsidRPr="009E1B38">
        <w:rPr>
          <w:rFonts w:ascii="Times New Roman" w:hAnsi="Times New Roman"/>
          <w:i/>
        </w:rPr>
        <w:t xml:space="preserve"> "Applicable facilities"​</w:t>
      </w:r>
      <w:r w:rsidRPr="009E1B38">
        <w:rPr>
          <w:rFonts w:ascii="Times New Roman" w:hAnsi="Times New Roman"/>
        </w:rPr>
        <w:t>has been amended as follows.</w:t>
      </w:r>
    </w:p>
    <w:p w14:paraId="2BC01FD2" w14:textId="77777777" w:rsidR="00171C59" w:rsidRPr="009E1B38" w:rsidRDefault="00171C59" w:rsidP="00171C59">
      <w:pPr>
        <w:pStyle w:val="ListeParagraf"/>
        <w:ind w:left="709"/>
        <w:jc w:val="left"/>
        <w:rPr>
          <w:rFonts w:ascii="Times New Roman" w:hAnsi="Times New Roman"/>
        </w:rPr>
      </w:pPr>
    </w:p>
    <w:p w14:paraId="0491935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Not to exceed the contractual power in the connection agreement for consumption facilities belonging to state institutions and organizations, wastewater and drinking water treatment facilities belonging to natural and legal entities and facilities for agricultural irrigation, it may establish a generation plant based on renewable energy resources within the scope of (c) clause of the first paragraph of Article 5 at the same measurement point as the consumption facility on the parcel or parcels constituting an integrity."</w:t>
      </w:r>
    </w:p>
    <w:p w14:paraId="5FCDE7C3" w14:textId="77777777" w:rsidR="00171C59" w:rsidRPr="009E1B38" w:rsidRDefault="00171C59" w:rsidP="00171C59">
      <w:pPr>
        <w:pStyle w:val="ListeParagraf"/>
        <w:ind w:left="709"/>
        <w:jc w:val="left"/>
        <w:rPr>
          <w:rFonts w:ascii="Times New Roman" w:hAnsi="Times New Roman"/>
        </w:rPr>
      </w:pPr>
    </w:p>
    <w:p w14:paraId="79411368" w14:textId="44C5AA80"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 xml:space="preserve">The second paragraph of Article </w:t>
      </w:r>
      <w:r w:rsidR="00A535B4" w:rsidRPr="009E1B38">
        <w:rPr>
          <w:rFonts w:ascii="Times New Roman" w:hAnsi="Times New Roman"/>
        </w:rPr>
        <w:t>12 titled</w:t>
      </w:r>
      <w:r w:rsidRPr="009E1B38">
        <w:rPr>
          <w:rFonts w:ascii="Times New Roman" w:hAnsi="Times New Roman"/>
          <w:i/>
        </w:rPr>
        <w:t xml:space="preserve"> "Establishment of the Commission” </w:t>
      </w:r>
      <w:r w:rsidRPr="009E1B38">
        <w:rPr>
          <w:rFonts w:ascii="Times New Roman" w:hAnsi="Times New Roman"/>
        </w:rPr>
        <w:t>has been amended as follows and the following paragraph has been added to the same article.</w:t>
      </w:r>
    </w:p>
    <w:p w14:paraId="50926861" w14:textId="77777777" w:rsidR="00171C59" w:rsidRPr="009E1B38" w:rsidRDefault="00171C59" w:rsidP="00171C59">
      <w:pPr>
        <w:pStyle w:val="ListeParagraf"/>
        <w:ind w:left="709"/>
        <w:jc w:val="left"/>
        <w:rPr>
          <w:rFonts w:ascii="Times New Roman" w:hAnsi="Times New Roman"/>
        </w:rPr>
      </w:pPr>
    </w:p>
    <w:p w14:paraId="1BBB24C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The commission of the distribution companies consists of one representative of TEİAŞ, TEDAŞ and the relevant network operator and takes decisions by majority of votes.</w:t>
      </w:r>
      <w:r w:rsidRPr="009E1B38">
        <w:rPr>
          <w:rFonts w:ascii="Times New Roman" w:hAnsi="Times New Roman"/>
        </w:rPr>
        <w:t xml:space="preserve"> </w:t>
      </w:r>
      <w:r w:rsidRPr="009E1B38">
        <w:rPr>
          <w:rFonts w:ascii="Times New Roman" w:hAnsi="Times New Roman"/>
          <w:i/>
        </w:rPr>
        <w:t>The commission chairman is the representative of TEİAŞ.</w:t>
      </w:r>
      <w:r w:rsidRPr="009E1B38">
        <w:rPr>
          <w:rFonts w:ascii="Times New Roman" w:hAnsi="Times New Roman"/>
        </w:rPr>
        <w:t xml:space="preserve"> </w:t>
      </w:r>
      <w:r w:rsidRPr="009E1B38">
        <w:rPr>
          <w:rFonts w:ascii="Times New Roman" w:hAnsi="Times New Roman"/>
          <w:i/>
        </w:rPr>
        <w:t>If the relevant network operator is an OIZ distribution license holder legal entity, the commission shall consist of three members, including the OIZ manager, an expert personnel from the regional distribution company and an expert personnel from the OIZ, and shall take decisions by majority of votes.</w:t>
      </w:r>
      <w:r w:rsidRPr="009E1B38">
        <w:rPr>
          <w:rFonts w:ascii="Times New Roman" w:hAnsi="Times New Roman"/>
        </w:rPr>
        <w:t xml:space="preserve"> </w:t>
      </w:r>
      <w:r w:rsidRPr="009E1B38">
        <w:rPr>
          <w:rFonts w:ascii="Times New Roman" w:hAnsi="Times New Roman"/>
          <w:i/>
        </w:rPr>
        <w:t>The decisions taken by the Commission are signed by the members and kept in the relevant files. "</w:t>
      </w:r>
    </w:p>
    <w:p w14:paraId="757EFACC" w14:textId="77777777" w:rsidR="00171C59" w:rsidRPr="009E1B38" w:rsidRDefault="00171C59" w:rsidP="00171C59">
      <w:pPr>
        <w:pStyle w:val="ListeParagraf"/>
        <w:ind w:left="709"/>
        <w:jc w:val="left"/>
        <w:rPr>
          <w:rFonts w:ascii="Times New Roman" w:hAnsi="Times New Roman"/>
          <w:i/>
        </w:rPr>
      </w:pPr>
    </w:p>
    <w:p w14:paraId="236864C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For unlicensed generation applications to be made at the transmission level, the commission consists of 3 members, all of whom are TEİAŞ representatives, and takes decisions by majority of votes.</w:t>
      </w:r>
      <w:r w:rsidRPr="009E1B38">
        <w:rPr>
          <w:rFonts w:ascii="Times New Roman" w:hAnsi="Times New Roman"/>
        </w:rPr>
        <w:t xml:space="preserve"> </w:t>
      </w:r>
      <w:r w:rsidRPr="009E1B38">
        <w:rPr>
          <w:rFonts w:ascii="Times New Roman" w:hAnsi="Times New Roman"/>
          <w:i/>
        </w:rPr>
        <w:t>The decisions taken by the Commission are signed by the members and kept in the relevant files. "</w:t>
      </w:r>
    </w:p>
    <w:p w14:paraId="76EE6208" w14:textId="77777777" w:rsidR="00171C59" w:rsidRPr="009E1B38" w:rsidRDefault="00171C59" w:rsidP="00171C59">
      <w:pPr>
        <w:pStyle w:val="ListeParagraf"/>
        <w:ind w:left="709"/>
        <w:jc w:val="left"/>
        <w:rPr>
          <w:rFonts w:ascii="Times New Roman" w:hAnsi="Times New Roman"/>
          <w:i/>
        </w:rPr>
      </w:pPr>
    </w:p>
    <w:p w14:paraId="3233BAE7" w14:textId="193551CE"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 xml:space="preserve">The second paragraph of Article </w:t>
      </w:r>
      <w:r w:rsidR="00A535B4" w:rsidRPr="009E1B38">
        <w:rPr>
          <w:rFonts w:ascii="Times New Roman" w:hAnsi="Times New Roman"/>
        </w:rPr>
        <w:t>13 titled</w:t>
      </w:r>
      <w:r w:rsidRPr="009E1B38">
        <w:rPr>
          <w:rFonts w:ascii="Times New Roman" w:hAnsi="Times New Roman"/>
          <w:i/>
        </w:rPr>
        <w:t xml:space="preserve"> "Evaluation of applications in terms of documents” </w:t>
      </w:r>
      <w:r w:rsidRPr="009E1B38">
        <w:rPr>
          <w:rFonts w:ascii="Times New Roman" w:hAnsi="Times New Roman"/>
        </w:rPr>
        <w:t>has been amended as follows and the following paragraph has been added to the same article.</w:t>
      </w:r>
    </w:p>
    <w:p w14:paraId="0595FC46" w14:textId="77777777" w:rsidR="00171C59" w:rsidRPr="009E1B38" w:rsidRDefault="00171C59" w:rsidP="00171C59">
      <w:pPr>
        <w:pStyle w:val="ListeParagraf"/>
        <w:ind w:left="709"/>
        <w:jc w:val="left"/>
        <w:rPr>
          <w:rFonts w:ascii="Times New Roman" w:hAnsi="Times New Roman"/>
        </w:rPr>
      </w:pPr>
    </w:p>
    <w:p w14:paraId="65FBC06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The applicant shall be notified of the nature of the incompleteness or inaccuracy within three working days following the evaluation results and a copy of the application documents shall be transferred to the permanent data storage and returned to the applicant and the relevant special provincial administration shall be informed about the subject in terms of hydraulic resources.”</w:t>
      </w:r>
    </w:p>
    <w:p w14:paraId="0611FBE1" w14:textId="77777777" w:rsidR="00171C59" w:rsidRPr="009E1B38" w:rsidRDefault="00171C59" w:rsidP="00171C59">
      <w:pPr>
        <w:pStyle w:val="ListeParagraf"/>
        <w:ind w:left="709"/>
        <w:jc w:val="left"/>
        <w:rPr>
          <w:rFonts w:ascii="Times New Roman" w:hAnsi="Times New Roman"/>
          <w:i/>
        </w:rPr>
      </w:pPr>
    </w:p>
    <w:p w14:paraId="7AF897E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Within the scope of this Regulation, the new applications of natural or legal entities who want to make generation by connecting from the transmission level shall be evaluated and finalized collectively in terms of documents within the first fifteen days of the following month by means of the commission defined in the third paragraph of Article 12.</w:t>
      </w:r>
      <w:r w:rsidRPr="009E1B38">
        <w:rPr>
          <w:rFonts w:ascii="Times New Roman" w:hAnsi="Times New Roman"/>
        </w:rPr>
        <w:t xml:space="preserve"> </w:t>
      </w:r>
      <w:r w:rsidRPr="009E1B38">
        <w:rPr>
          <w:rFonts w:ascii="Times New Roman" w:hAnsi="Times New Roman"/>
          <w:i/>
        </w:rPr>
        <w:t>Applications of those who provide incomplete or incorrect documents are not taken into technical evaluation.</w:t>
      </w:r>
      <w:r w:rsidRPr="009E1B38">
        <w:rPr>
          <w:rFonts w:ascii="Times New Roman" w:hAnsi="Times New Roman"/>
        </w:rPr>
        <w:t xml:space="preserve"> </w:t>
      </w:r>
      <w:r w:rsidRPr="009E1B38">
        <w:rPr>
          <w:rFonts w:ascii="Times New Roman" w:hAnsi="Times New Roman"/>
          <w:i/>
        </w:rPr>
        <w:t>The applicant shall be notified of the nature of the incomplete or inaccurate application within three working days following the results of the evaluation and a copy of the application documents shall be returned to the applicant after being transferred to the permanent data storage.</w:t>
      </w:r>
      <w:r w:rsidRPr="009E1B38">
        <w:rPr>
          <w:rFonts w:ascii="Times New Roman" w:hAnsi="Times New Roman"/>
        </w:rPr>
        <w:t xml:space="preserve"> </w:t>
      </w:r>
      <w:r w:rsidRPr="009E1B38">
        <w:rPr>
          <w:rFonts w:ascii="Times New Roman" w:hAnsi="Times New Roman"/>
          <w:i/>
        </w:rPr>
        <w:t>The results of the evaluation made in terms of documents are published on the website of TEİAŞ including the explanations for incomplete and incorrect applications within the working day following the evaluation date. "</w:t>
      </w:r>
    </w:p>
    <w:p w14:paraId="2DE7E5AA" w14:textId="77777777" w:rsidR="00171C59" w:rsidRPr="009E1B38" w:rsidRDefault="00171C59" w:rsidP="00171C59">
      <w:pPr>
        <w:pStyle w:val="ListeParagraf"/>
        <w:ind w:left="709"/>
        <w:jc w:val="left"/>
        <w:rPr>
          <w:rFonts w:ascii="Times New Roman" w:hAnsi="Times New Roman"/>
          <w:i/>
        </w:rPr>
      </w:pPr>
    </w:p>
    <w:p w14:paraId="34626A86"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i/>
        </w:rPr>
        <w:t>​</w:t>
      </w:r>
      <w:r w:rsidRPr="009E1B38">
        <w:rPr>
          <w:rFonts w:ascii="Times New Roman" w:hAnsi="Times New Roman"/>
        </w:rPr>
        <w:t>In the first paragraph of Article 14 titled</w:t>
      </w:r>
      <w:r w:rsidRPr="009E1B38">
        <w:rPr>
          <w:rFonts w:ascii="Times New Roman" w:hAnsi="Times New Roman"/>
          <w:i/>
        </w:rPr>
        <w:t xml:space="preserve"> "Technical evaluation of applications​", </w:t>
      </w:r>
      <w:r w:rsidRPr="009E1B38">
        <w:rPr>
          <w:rFonts w:ascii="Times New Roman" w:hAnsi="Times New Roman"/>
        </w:rPr>
        <w:t>the phrase</w:t>
      </w:r>
      <w:r w:rsidRPr="009E1B38">
        <w:rPr>
          <w:rFonts w:ascii="Times New Roman" w:hAnsi="Times New Roman"/>
          <w:i/>
        </w:rPr>
        <w:t xml:space="preserve"> "and the applications of persons who have been notified within the scope of the provision of the second paragraph of Article 13 and who have completed their deficiencies within the month subject to the application" ​​</w:t>
      </w:r>
      <w:r w:rsidRPr="009E1B38">
        <w:rPr>
          <w:rFonts w:ascii="Times New Roman" w:hAnsi="Times New Roman"/>
        </w:rPr>
        <w:t>has been repealed and the following paragraph has been added to the same article.</w:t>
      </w:r>
    </w:p>
    <w:p w14:paraId="3E9D6042" w14:textId="77777777" w:rsidR="00171C59" w:rsidRPr="009E1B38" w:rsidRDefault="00171C59" w:rsidP="00171C59">
      <w:pPr>
        <w:pStyle w:val="ListeParagraf"/>
        <w:ind w:left="709"/>
        <w:jc w:val="left"/>
        <w:rPr>
          <w:rFonts w:ascii="Times New Roman" w:hAnsi="Times New Roman"/>
        </w:rPr>
      </w:pPr>
    </w:p>
    <w:p w14:paraId="3682AC0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"(8) Applications determined to be made in full within the scope of the fourth paragraph of Article 13 shall be evaluated technically by the commission defined in the third paragraph of Article 12 within the first fifteen days of the evaluation made in terms of documents.</w:t>
      </w:r>
      <w:r w:rsidRPr="009E1B38">
        <w:rPr>
          <w:rFonts w:ascii="Times New Roman" w:hAnsi="Times New Roman"/>
        </w:rPr>
        <w:t xml:space="preserve"> </w:t>
      </w:r>
      <w:r w:rsidRPr="009E1B38">
        <w:rPr>
          <w:rFonts w:ascii="Times New Roman" w:hAnsi="Times New Roman"/>
          <w:i/>
        </w:rPr>
        <w:t>Each application is evaluated independently from the others in terms of connection and system use, but together in terms of connection point.</w:t>
      </w:r>
      <w:r w:rsidRPr="009E1B38">
        <w:rPr>
          <w:rFonts w:ascii="Times New Roman" w:hAnsi="Times New Roman"/>
        </w:rPr>
        <w:t xml:space="preserve"> </w:t>
      </w:r>
      <w:r w:rsidRPr="009E1B38">
        <w:rPr>
          <w:rFonts w:ascii="Times New Roman" w:hAnsi="Times New Roman"/>
          <w:i/>
        </w:rPr>
        <w:t>Technical evaluation is completed by evaluating the facility planned to be established within the scope of short circuit current limit calculations of the relevant transformer center and connectable capacity based on compliance of the application with the relevant legislation with this Regulation and the relevant technical legislation in terms of measurement and protection system. "</w:t>
      </w:r>
    </w:p>
    <w:p w14:paraId="4E0F5406" w14:textId="77777777" w:rsidR="00171C59" w:rsidRPr="009E1B38" w:rsidRDefault="00171C59" w:rsidP="00171C59">
      <w:pPr>
        <w:pStyle w:val="ListeParagraf"/>
        <w:ind w:left="709"/>
        <w:jc w:val="left"/>
        <w:rPr>
          <w:rFonts w:ascii="Times New Roman" w:hAnsi="Times New Roman"/>
          <w:i/>
        </w:rPr>
      </w:pPr>
    </w:p>
    <w:p w14:paraId="3D175A33"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In order to come after the phrase​</w:t>
      </w:r>
      <w:r w:rsidRPr="009E1B38">
        <w:rPr>
          <w:rFonts w:ascii="Times New Roman" w:hAnsi="Times New Roman"/>
          <w:i/>
        </w:rPr>
        <w:t xml:space="preserve"> "existing belonging to the applicant" </w:t>
      </w:r>
      <w:r w:rsidRPr="009E1B38">
        <w:rPr>
          <w:rFonts w:ascii="Times New Roman" w:hAnsi="Times New Roman"/>
        </w:rPr>
        <w:t xml:space="preserve">in the clause (a) of the sixth paragraph of Article 17 titled </w:t>
      </w:r>
      <w:r w:rsidRPr="009E1B38">
        <w:rPr>
          <w:rFonts w:ascii="Times New Roman" w:hAnsi="Times New Roman"/>
          <w:i/>
        </w:rPr>
        <w:t>"Application​ for a ​connection agreement​ "</w:t>
      </w:r>
      <w:r w:rsidRPr="009E1B38">
        <w:rPr>
          <w:rFonts w:ascii="Times New Roman" w:hAnsi="Times New Roman"/>
        </w:rPr>
        <w:t xml:space="preserve">, the phrase ​"​ </w:t>
      </w:r>
      <w:r w:rsidRPr="009E1B38">
        <w:rPr>
          <w:rFonts w:ascii="Times New Roman" w:hAnsi="Times New Roman"/>
          <w:i/>
        </w:rPr>
        <w:t xml:space="preserve">with a call letter" </w:t>
      </w:r>
      <w:r w:rsidRPr="009E1B38">
        <w:rPr>
          <w:rFonts w:ascii="Times New Roman" w:hAnsi="Times New Roman"/>
        </w:rPr>
        <w:t>has been added to the connection agreement and the clauses (b) and (c) of the same paragraph have been amended as follows.</w:t>
      </w:r>
    </w:p>
    <w:p w14:paraId="43EC1F35" w14:textId="77777777" w:rsidR="00171C59" w:rsidRPr="009E1B38" w:rsidRDefault="00171C59" w:rsidP="00171C59">
      <w:pPr>
        <w:pStyle w:val="ListeParagraf"/>
        <w:ind w:left="709"/>
        <w:jc w:val="left"/>
        <w:rPr>
          <w:rFonts w:ascii="Times New Roman" w:hAnsi="Times New Roman"/>
        </w:rPr>
      </w:pPr>
    </w:p>
    <w:p w14:paraId="5476156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In case of request for installed power increase for generation plants for which a call letter is given to the connection agreement and if the said request is given a positive opinion by the commission, an additional period of ninety days shall be granted to the periods specified in the first paragraph in order for the applicant to complete its obligations under the second paragraph as of the date of notification of the call letter to the revised connection agreement within the scope of the power increase.</w:t>
      </w:r>
      <w:r w:rsidRPr="009E1B38">
        <w:rPr>
          <w:rFonts w:ascii="Times New Roman" w:hAnsi="Times New Roman"/>
        </w:rPr>
        <w:t xml:space="preserve"> </w:t>
      </w:r>
      <w:r w:rsidRPr="009E1B38">
        <w:rPr>
          <w:rFonts w:ascii="Times New Roman" w:hAnsi="Times New Roman"/>
          <w:i/>
        </w:rPr>
        <w:t>If no application is made to the relevant network operator for the signing of the connection agreement within the period, the right to sign the connection agreement shall be lost and all relevant documents shall be returned to the person requesting the power increase.</w:t>
      </w:r>
    </w:p>
    <w:p w14:paraId="512133B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In case a request for power increase is made in the generation plants that have signed a connection agreement or whose acceptance has been completed and the said request is given a positive opinion by the commission, an additional period of one year shall be granted for the completion of the obligations of the generation plant under the second paragraph and the acceptance procedures of the revised connection agreement and the invitation letter to the revised connection agreement as of the date of notification of the invitation letter to the applicant within the scope of the power increase. "</w:t>
      </w:r>
    </w:p>
    <w:p w14:paraId="01C9DF02"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title of Article 18​titled</w:t>
      </w:r>
      <w:r w:rsidRPr="009E1B38">
        <w:rPr>
          <w:rFonts w:ascii="Times New Roman" w:hAnsi="Times New Roman"/>
          <w:i/>
        </w:rPr>
        <w:t xml:space="preserve"> "Compliance, maintenance, tests and acceptance"​</w:t>
      </w:r>
      <w:r w:rsidRPr="009E1B38">
        <w:rPr>
          <w:rFonts w:ascii="Times New Roman" w:hAnsi="Times New Roman"/>
        </w:rPr>
        <w:t xml:space="preserve">and the </w:t>
      </w:r>
      <w:r w:rsidRPr="009E1B38">
        <w:rPr>
          <w:rFonts w:ascii="Times New Roman" w:hAnsi="Times New Roman"/>
          <w:i/>
        </w:rPr>
        <w:t>“provisional"​</w:t>
      </w:r>
      <w:r w:rsidRPr="009E1B38">
        <w:rPr>
          <w:rFonts w:ascii="Times New Roman" w:hAnsi="Times New Roman"/>
        </w:rPr>
        <w:t>statements in the first, third and fourth paragraphs have been repealed.</w:t>
      </w:r>
    </w:p>
    <w:p w14:paraId="387CF5F1" w14:textId="77777777" w:rsidR="00171C59" w:rsidRPr="009E1B38" w:rsidRDefault="00171C59" w:rsidP="00171C59">
      <w:pPr>
        <w:pStyle w:val="ListeParagraf"/>
        <w:ind w:left="709"/>
        <w:jc w:val="left"/>
        <w:rPr>
          <w:rFonts w:ascii="Times New Roman" w:hAnsi="Times New Roman"/>
        </w:rPr>
      </w:pPr>
    </w:p>
    <w:p w14:paraId="2CF3EA75"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The first paragraph of Article 19​ ​titled</w:t>
      </w:r>
      <w:r w:rsidRPr="009E1B38">
        <w:rPr>
          <w:rFonts w:ascii="Times New Roman" w:hAnsi="Times New Roman"/>
          <w:i/>
        </w:rPr>
        <w:t xml:space="preserve"> "Commissioning of generation plants and system use"​has</w:t>
      </w:r>
      <w:r w:rsidRPr="009E1B38">
        <w:rPr>
          <w:rFonts w:ascii="Times New Roman" w:hAnsi="Times New Roman"/>
        </w:rPr>
        <w:t xml:space="preserve"> been amended as follows and the</w:t>
      </w:r>
      <w:r w:rsidRPr="009E1B38">
        <w:rPr>
          <w:rFonts w:ascii="Times New Roman" w:hAnsi="Times New Roman"/>
          <w:i/>
        </w:rPr>
        <w:t xml:space="preserve"> phrase “temporary"​in</w:t>
      </w:r>
      <w:r w:rsidRPr="009E1B38">
        <w:rPr>
          <w:rFonts w:ascii="Times New Roman" w:hAnsi="Times New Roman"/>
        </w:rPr>
        <w:t xml:space="preserve"> the third paragraph has been repealed.</w:t>
      </w:r>
    </w:p>
    <w:p w14:paraId="2476550F" w14:textId="77777777" w:rsidR="00171C59" w:rsidRPr="009E1B38" w:rsidRDefault="00171C59" w:rsidP="00171C59">
      <w:pPr>
        <w:pStyle w:val="ListeParagraf"/>
        <w:ind w:left="709"/>
        <w:jc w:val="left"/>
        <w:rPr>
          <w:rFonts w:ascii="Times New Roman" w:hAnsi="Times New Roman"/>
        </w:rPr>
      </w:pPr>
    </w:p>
    <w:p w14:paraId="6AA9F00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According to the provisions of this Regulation, the acceptance procedures of the generation plants to be connected to the network, as of the date of signature of the connection agreement, according to the point where the meter is installed must be completed within;</w:t>
      </w:r>
    </w:p>
    <w:p w14:paraId="1469EC4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Three years in generation plants based on hydraulic source to be connected from MV level,</w:t>
      </w:r>
    </w:p>
    <w:p w14:paraId="3E9A07F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Two years in generation plants other than generation plants based on hydraulic source to be connected from MV level,</w:t>
      </w:r>
    </w:p>
    <w:p w14:paraId="3630034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 One year in all generation plants to be connected from LV level,</w:t>
      </w:r>
    </w:p>
    <w:p w14:paraId="6AFA298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The period stipulated for generation plants with the same qualifications within the framework of the Electricity Market Licensing Regulation published in the Official Gazette dated 2/11/2013 and numbered 28809 in generation plants to be connected to the transmission network.</w:t>
      </w:r>
      <w:r w:rsidRPr="009E1B38">
        <w:rPr>
          <w:rFonts w:ascii="Times New Roman" w:hAnsi="Times New Roman"/>
        </w:rPr>
        <w:t xml:space="preserve"> </w:t>
      </w:r>
      <w:r w:rsidRPr="009E1B38">
        <w:rPr>
          <w:rFonts w:ascii="Times New Roman" w:hAnsi="Times New Roman"/>
          <w:i/>
        </w:rPr>
        <w:t>Except for the force majeure specified in Article 35 of the Electricity Market License Regulation and when deemed appropriate by the Board, if the generation plant is not completed at the end of these periods, the connection agreement, the allocated capacity, the technical interaction permit and the permit documents related to the water usage rights shall automatically become invalid. "</w:t>
      </w:r>
    </w:p>
    <w:p w14:paraId="1A193555"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sentence has been added to the end of the first paragraph of Article 21 titled</w:t>
      </w:r>
      <w:r w:rsidRPr="009E1B38">
        <w:rPr>
          <w:rFonts w:ascii="Times New Roman" w:hAnsi="Times New Roman"/>
          <w:i/>
        </w:rPr>
        <w:t xml:space="preserve"> “Meters, remote monitoring, protection and control systems​" </w:t>
      </w:r>
      <w:r w:rsidRPr="009E1B38">
        <w:rPr>
          <w:rFonts w:ascii="Times New Roman" w:hAnsi="Times New Roman"/>
        </w:rPr>
        <w:t>and the third and seventh paragraphs of the same article have been amended as follows.</w:t>
      </w:r>
    </w:p>
    <w:p w14:paraId="541FC463" w14:textId="77777777" w:rsidR="00171C59" w:rsidRPr="009E1B38" w:rsidRDefault="00171C59" w:rsidP="00171C59">
      <w:pPr>
        <w:pStyle w:val="ListeParagraf"/>
        <w:ind w:left="709"/>
        <w:jc w:val="left"/>
        <w:rPr>
          <w:rFonts w:ascii="Times New Roman" w:hAnsi="Times New Roman"/>
        </w:rPr>
      </w:pPr>
    </w:p>
    <w:p w14:paraId="61BDE0E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second meter can be installed for control purposes by the network operator for bidirectional meters.”​</w:t>
      </w:r>
    </w:p>
    <w:p w14:paraId="4C690C8D" w14:textId="77777777" w:rsidR="00171C59" w:rsidRPr="009E1B38" w:rsidRDefault="00171C59" w:rsidP="00171C59">
      <w:pPr>
        <w:pStyle w:val="ListeParagraf"/>
        <w:ind w:left="709"/>
        <w:jc w:val="left"/>
        <w:rPr>
          <w:rFonts w:ascii="Times New Roman" w:hAnsi="Times New Roman"/>
          <w:i/>
        </w:rPr>
      </w:pPr>
    </w:p>
    <w:p w14:paraId="75135DE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“(3) For generation plants with an installed power of more than 10 kW, the meters installed in accordance with the first paragraph must be compatible with the automatic meter reading system to be established in accordance with the relevant legislation.</w:t>
      </w:r>
      <w:r w:rsidRPr="009E1B38">
        <w:rPr>
          <w:rFonts w:ascii="Times New Roman" w:hAnsi="Times New Roman"/>
        </w:rPr>
        <w:t xml:space="preserve"> </w:t>
      </w:r>
      <w:r w:rsidRPr="009E1B38">
        <w:rPr>
          <w:rFonts w:ascii="Times New Roman" w:hAnsi="Times New Roman"/>
          <w:i/>
        </w:rPr>
        <w:t>The meters installed for the generation plants with an installed power of more than 10 kW are connected with the measurement and communication monitoring system."</w:t>
      </w:r>
    </w:p>
    <w:p w14:paraId="030566B8" w14:textId="77777777" w:rsidR="00171C59" w:rsidRPr="009E1B38" w:rsidRDefault="00171C59" w:rsidP="00171C59">
      <w:pPr>
        <w:pStyle w:val="ListeParagraf"/>
        <w:ind w:left="709"/>
        <w:jc w:val="left"/>
        <w:rPr>
          <w:rFonts w:ascii="Times New Roman" w:hAnsi="Times New Roman"/>
          <w:i/>
        </w:rPr>
      </w:pPr>
    </w:p>
    <w:p w14:paraId="01425C9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"(7) The connection of the generation plants with an installed power of 50 kW or more from the generation plants within the scope of this Regulation to the SCADA control center belonging to the network operator to which the generation plants are connected shall be made in accordance with the provisions of the Electricity Network Regulation.</w:t>
      </w:r>
      <w:r w:rsidRPr="009E1B38">
        <w:rPr>
          <w:rFonts w:ascii="Times New Roman" w:hAnsi="Times New Roman"/>
        </w:rPr>
        <w:t xml:space="preserve"> </w:t>
      </w:r>
      <w:r w:rsidRPr="009E1B38">
        <w:rPr>
          <w:rFonts w:ascii="Times New Roman" w:hAnsi="Times New Roman"/>
          <w:i/>
        </w:rPr>
        <w:t>The equipment and infrastructure required by the generation plant for the connection shall be provided and installed by the real or legal entity who owns the generation plant. "</w:t>
      </w:r>
    </w:p>
    <w:p w14:paraId="69E5D13C" w14:textId="77777777" w:rsidR="00171C59" w:rsidRPr="009E1B38" w:rsidRDefault="00171C59" w:rsidP="00171C59">
      <w:pPr>
        <w:pStyle w:val="ListeParagraf"/>
        <w:ind w:left="709"/>
        <w:jc w:val="left"/>
        <w:rPr>
          <w:rFonts w:ascii="Times New Roman" w:hAnsi="Times New Roman"/>
          <w:i/>
        </w:rPr>
      </w:pPr>
    </w:p>
    <w:p w14:paraId="3098E23A" w14:textId="4229F8FC"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paragraph has been added to Article 22​</w:t>
      </w:r>
      <w:r w:rsidR="00A535B4"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"Business”.</w:t>
      </w:r>
    </w:p>
    <w:p w14:paraId="742BA655" w14:textId="77777777" w:rsidR="00171C59" w:rsidRPr="009E1B38" w:rsidRDefault="00171C59" w:rsidP="00171C59">
      <w:pPr>
        <w:pStyle w:val="ListeParagraf"/>
        <w:ind w:left="709"/>
        <w:jc w:val="left"/>
        <w:rPr>
          <w:rFonts w:ascii="Times New Roman" w:hAnsi="Times New Roman"/>
          <w:i/>
        </w:rPr>
      </w:pPr>
    </w:p>
    <w:p w14:paraId="4998EDD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Disconnection of the generation plant under the necessary conditions is carried out in accordance with Article 27 of the Electricity Market Connection and System Usage Regulation.”</w:t>
      </w:r>
    </w:p>
    <w:p w14:paraId="0AE9E8D1" w14:textId="77777777" w:rsidR="00171C59" w:rsidRPr="009E1B38" w:rsidRDefault="00171C59" w:rsidP="00171C59">
      <w:pPr>
        <w:pStyle w:val="ListeParagraf"/>
        <w:ind w:left="709"/>
        <w:jc w:val="left"/>
        <w:rPr>
          <w:rFonts w:ascii="Times New Roman" w:hAnsi="Times New Roman"/>
          <w:i/>
        </w:rPr>
      </w:pPr>
    </w:p>
    <w:p w14:paraId="4A954FE0"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sentence has been added to the end of the first paragraph of Article 24​titled</w:t>
      </w:r>
      <w:r w:rsidRPr="009E1B38">
        <w:rPr>
          <w:rFonts w:ascii="Times New Roman" w:hAnsi="Times New Roman"/>
          <w:i/>
        </w:rPr>
        <w:t xml:space="preserve"> "Evaluation of surplus energy​".</w:t>
      </w:r>
    </w:p>
    <w:p w14:paraId="5D2615D2" w14:textId="77777777" w:rsidR="00171C59" w:rsidRPr="009E1B38" w:rsidRDefault="00171C59" w:rsidP="00171C59">
      <w:pPr>
        <w:pStyle w:val="ListeParagraf"/>
        <w:ind w:left="709"/>
        <w:jc w:val="left"/>
        <w:rPr>
          <w:rFonts w:ascii="Times New Roman" w:hAnsi="Times New Roman"/>
          <w:i/>
        </w:rPr>
      </w:pPr>
    </w:p>
    <w:p w14:paraId="1920042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"As of the end of the ten-year period, the procedures and principles regarding the implementation of these facilities are determined by the President in accordance with the second paragraph of Article 6 of the RES Law."</w:t>
      </w:r>
    </w:p>
    <w:p w14:paraId="7C4B8D4D" w14:textId="77777777" w:rsidR="00171C59" w:rsidRPr="009E1B38" w:rsidRDefault="00171C59" w:rsidP="00171C59">
      <w:pPr>
        <w:pStyle w:val="ListeParagraf"/>
        <w:ind w:left="709"/>
        <w:jc w:val="left"/>
        <w:rPr>
          <w:rFonts w:ascii="Times New Roman" w:hAnsi="Times New Roman"/>
          <w:i/>
        </w:rPr>
      </w:pPr>
    </w:p>
    <w:p w14:paraId="7978B3F6"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phrase</w:t>
      </w:r>
      <w:r w:rsidRPr="009E1B38">
        <w:rPr>
          <w:rFonts w:ascii="Times New Roman" w:hAnsi="Times New Roman"/>
          <w:i/>
        </w:rPr>
        <w:t xml:space="preserve"> “and based on renewable energy sources whose generation and consumption are at the same measurement point" </w:t>
      </w:r>
      <w:r w:rsidRPr="009E1B38">
        <w:rPr>
          <w:rFonts w:ascii="Times New Roman" w:hAnsi="Times New Roman"/>
        </w:rPr>
        <w:t>in the first paragraph of Article 26 titled</w:t>
      </w:r>
      <w:r w:rsidRPr="009E1B38">
        <w:rPr>
          <w:rFonts w:ascii="Times New Roman" w:hAnsi="Times New Roman"/>
          <w:i/>
        </w:rPr>
        <w:t xml:space="preserve"> "Implementation of monthly offsetting" </w:t>
      </w:r>
      <w:r w:rsidRPr="009E1B38">
        <w:rPr>
          <w:rFonts w:ascii="Times New Roman" w:hAnsi="Times New Roman"/>
        </w:rPr>
        <w:t>has been repealed, the following sentence has been added to the fourth paragraph, the phrase</w:t>
      </w:r>
      <w:r w:rsidRPr="009E1B38">
        <w:rPr>
          <w:rFonts w:ascii="Times New Roman" w:hAnsi="Times New Roman"/>
          <w:i/>
        </w:rPr>
        <w:t xml:space="preserve"> “day of” </w:t>
      </w:r>
      <w:r w:rsidRPr="009E1B38">
        <w:rPr>
          <w:rFonts w:ascii="Times New Roman" w:hAnsi="Times New Roman"/>
        </w:rPr>
        <w:t>in the clause (e) of the sixth paragraph has been changed to</w:t>
      </w:r>
      <w:r w:rsidRPr="009E1B38">
        <w:rPr>
          <w:rFonts w:ascii="Times New Roman" w:hAnsi="Times New Roman"/>
          <w:i/>
        </w:rPr>
        <w:t xml:space="preserve">​"working day​" </w:t>
      </w:r>
      <w:r w:rsidRPr="009E1B38">
        <w:rPr>
          <w:rFonts w:ascii="Times New Roman" w:hAnsi="Times New Roman"/>
        </w:rPr>
        <w:t>and the following paragraphs have been added to the same article.</w:t>
      </w:r>
    </w:p>
    <w:p w14:paraId="269CE146" w14:textId="77777777" w:rsidR="00171C59" w:rsidRPr="009E1B38" w:rsidRDefault="00171C59" w:rsidP="00171C59">
      <w:pPr>
        <w:pStyle w:val="ListeParagraf"/>
        <w:ind w:left="709"/>
        <w:jc w:val="left"/>
        <w:rPr>
          <w:rFonts w:ascii="Times New Roman" w:hAnsi="Times New Roman"/>
        </w:rPr>
      </w:pPr>
    </w:p>
    <w:p w14:paraId="6B7B0C7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"As of the end of the ten-year period, the procedures and principles regarding the implementation of these facilities are determined by the President in accordance with the second paragraph of Article 6 of the RES Law."</w:t>
      </w:r>
    </w:p>
    <w:p w14:paraId="6A9A7A30" w14:textId="77777777" w:rsidR="00171C59" w:rsidRPr="009E1B38" w:rsidRDefault="00171C59" w:rsidP="00171C59">
      <w:pPr>
        <w:pStyle w:val="ListeParagraf"/>
        <w:ind w:left="709"/>
        <w:jc w:val="left"/>
        <w:rPr>
          <w:rFonts w:ascii="Times New Roman" w:hAnsi="Times New Roman"/>
          <w:i/>
        </w:rPr>
      </w:pPr>
    </w:p>
    <w:p w14:paraId="434E639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“(9) In the event that generation plant or facilities connected to the system from distribution or transmission level are established within the scope of clauses (ç) and (h) of the first paragraph of Article 5 for the consumption facilities connected to the system from transmission level, the electricity energy draught amounts of the consumption facility shall be determined on an hourly basis from the meter data attached to the place specified in the connection agreement and notified to the relevant distribution company by TEİAŞ until the third working day of each month and the works and transactions within the scope of this article shall be carried out by the relevant distribution company and the assigned supply company.</w:t>
      </w:r>
    </w:p>
    <w:p w14:paraId="314EB39A" w14:textId="77777777" w:rsidR="00171C59" w:rsidRPr="009E1B38" w:rsidRDefault="00171C59" w:rsidP="00171C59">
      <w:pPr>
        <w:pStyle w:val="ListeParagraf"/>
        <w:ind w:left="709"/>
        <w:jc w:val="left"/>
        <w:rPr>
          <w:rFonts w:ascii="Times New Roman" w:hAnsi="Times New Roman"/>
          <w:i/>
        </w:rPr>
      </w:pPr>
    </w:p>
    <w:p w14:paraId="334CF37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(10) In the event that the assigned supply company defaults in payment, the default interest determined in accordance with Article 51 of the Law on the Collection Procedure of Public Receivables shall be applied at twice the rate.</w:t>
      </w:r>
    </w:p>
    <w:p w14:paraId="2A23D705" w14:textId="77777777" w:rsidR="00171C59" w:rsidRPr="009E1B38" w:rsidRDefault="00171C59" w:rsidP="00171C59">
      <w:pPr>
        <w:pStyle w:val="ListeParagraf"/>
        <w:ind w:left="709"/>
        <w:jc w:val="left"/>
        <w:rPr>
          <w:rFonts w:ascii="Times New Roman" w:hAnsi="Times New Roman"/>
          <w:i/>
        </w:rPr>
      </w:pPr>
    </w:p>
    <w:p w14:paraId="3BFCB1A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(11) Local content prices to be applied in Turkish Lira to unlicensed generation plants whose surplus energy given to the network and to be commissioned for the first time after 30/6/2021 are purchased at a certain price, updating of these prices, period to be applied and other procedures and principles related to the application are determined by the President in accordance with the second paragraph of Article 6/B of RES Law. "</w:t>
      </w:r>
    </w:p>
    <w:p w14:paraId="683867E0" w14:textId="77777777" w:rsidR="00171C59" w:rsidRPr="009E1B38" w:rsidRDefault="00171C59" w:rsidP="00171C59">
      <w:pPr>
        <w:pStyle w:val="ListeParagraf"/>
        <w:ind w:left="709"/>
        <w:jc w:val="left"/>
        <w:rPr>
          <w:rFonts w:ascii="Times New Roman" w:hAnsi="Times New Roman"/>
        </w:rPr>
      </w:pPr>
    </w:p>
    <w:p w14:paraId="56F5E127" w14:textId="02C19D05"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At the end of the fifth paragraph of Article 28</w:t>
      </w:r>
      <w:r w:rsidR="00233E4E"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"Consumption facilities”, </w:t>
      </w:r>
      <w:r w:rsidRPr="009E1B38">
        <w:rPr>
          <w:rFonts w:ascii="Times New Roman" w:hAnsi="Times New Roman"/>
        </w:rPr>
        <w:t xml:space="preserve">the following sentence has been added, the eighth paragraph has been amended as follows, the phrase </w:t>
      </w:r>
      <w:r w:rsidRPr="009E1B38">
        <w:rPr>
          <w:rFonts w:ascii="Times New Roman" w:hAnsi="Times New Roman"/>
          <w:i/>
        </w:rPr>
        <w:t xml:space="preserve">“temporary"​ </w:t>
      </w:r>
      <w:r w:rsidRPr="009E1B38">
        <w:rPr>
          <w:rFonts w:ascii="Times New Roman" w:hAnsi="Times New Roman"/>
        </w:rPr>
        <w:t>in the ninth paragraph has been repealed and the following paragraph has been added to the same article.</w:t>
      </w:r>
    </w:p>
    <w:p w14:paraId="31CB7AC6" w14:textId="77777777" w:rsidR="00171C59" w:rsidRPr="009E1B38" w:rsidRDefault="00171C59" w:rsidP="00171C59">
      <w:pPr>
        <w:pStyle w:val="ListeParagraf"/>
        <w:ind w:left="709"/>
        <w:jc w:val="left"/>
        <w:rPr>
          <w:rFonts w:ascii="Times New Roman" w:hAnsi="Times New Roman"/>
        </w:rPr>
      </w:pPr>
    </w:p>
    <w:p w14:paraId="6631BD1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“Consumption facility change procedures shall be concluded simultaneously by the assigned supply company and distribution company within the same day as a result of the requests made as of the last working day of each month in case the required documents are whole and complete.”</w:t>
      </w:r>
    </w:p>
    <w:p w14:paraId="1D302048" w14:textId="77777777" w:rsidR="00171C59" w:rsidRPr="009E1B38" w:rsidRDefault="00171C59" w:rsidP="00171C59">
      <w:pPr>
        <w:pStyle w:val="ListeParagraf"/>
        <w:ind w:left="709"/>
        <w:jc w:val="left"/>
        <w:rPr>
          <w:rFonts w:ascii="Times New Roman" w:hAnsi="Times New Roman"/>
          <w:i/>
        </w:rPr>
      </w:pPr>
    </w:p>
    <w:p w14:paraId="5A53267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"(8) Regarding the generation plants that are completed and commissioned; in the event that the agreement or contract for consumption becomes invalid for any of the consumption facilities or facilities associated with the generation plant and/or the contract power in the connection agreement based on the application for the said consumption facilities decreases, no payment shall be made by the market operator and the authorized supply company in relation to this energy by assuming that the energy produced for the relevant month has been produced and given to the system by the authorized supply company and the energy given to the system within this scope shall be taken into consideration as a free contribution to YEKDEM."</w:t>
      </w:r>
    </w:p>
    <w:p w14:paraId="42F7D243" w14:textId="77777777" w:rsidR="00171C59" w:rsidRPr="009E1B38" w:rsidRDefault="00171C59" w:rsidP="00171C59">
      <w:pPr>
        <w:pStyle w:val="ListeParagraf"/>
        <w:ind w:left="709"/>
        <w:jc w:val="left"/>
        <w:rPr>
          <w:rFonts w:ascii="Times New Roman" w:hAnsi="Times New Roman"/>
          <w:i/>
        </w:rPr>
      </w:pPr>
    </w:p>
    <w:p w14:paraId="384A3A2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“(10) All consumption facilities associated with the unlicensed generation plant are obliged to be consuming energy as of the date of acceptance of the relevant generation plant at the latest.</w:t>
      </w:r>
      <w:r w:rsidRPr="009E1B38">
        <w:rPr>
          <w:rFonts w:ascii="Times New Roman" w:hAnsi="Times New Roman"/>
        </w:rPr>
        <w:t xml:space="preserve"> </w:t>
      </w:r>
      <w:r w:rsidRPr="009E1B38">
        <w:rPr>
          <w:rFonts w:ascii="Times New Roman" w:hAnsi="Times New Roman"/>
          <w:i/>
        </w:rPr>
        <w:t>In the event that the consumption facility or facilities to be met do not consume energy as of the date of acceptance of the relevant generation plant, it is accepted that the energy produced until the consumption is made is produced by the supply company in charge and given to the system and no payment is made by the supply company in charge in relation to this energy and the energy given to the system in this context is considered as a free contribution to YEKDEM. "</w:t>
      </w:r>
    </w:p>
    <w:p w14:paraId="12A657B2" w14:textId="77777777" w:rsidR="00171C59" w:rsidRPr="009E1B38" w:rsidRDefault="00171C59" w:rsidP="00171C59">
      <w:pPr>
        <w:pStyle w:val="ListeParagraf"/>
        <w:ind w:left="709"/>
        <w:jc w:val="left"/>
        <w:rPr>
          <w:rFonts w:ascii="Times New Roman" w:hAnsi="Times New Roman"/>
          <w:i/>
        </w:rPr>
      </w:pPr>
    </w:p>
    <w:p w14:paraId="127EF380" w14:textId="36CF8284"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Article 29</w:t>
      </w:r>
      <w:r w:rsidR="00A32D13">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"Consumption aggregation" ​</w:t>
      </w:r>
      <w:r w:rsidRPr="009E1B38">
        <w:rPr>
          <w:rFonts w:ascii="Times New Roman" w:hAnsi="Times New Roman"/>
        </w:rPr>
        <w:t>has been amended as follows</w:t>
      </w:r>
      <w:r w:rsidRPr="009E1B38">
        <w:rPr>
          <w:rFonts w:ascii="Times New Roman" w:hAnsi="Times New Roman"/>
          <w:i/>
        </w:rPr>
        <w:t>.</w:t>
      </w:r>
    </w:p>
    <w:p w14:paraId="2B5032F1" w14:textId="77777777" w:rsidR="00171C59" w:rsidRPr="009E1B38" w:rsidRDefault="00171C59" w:rsidP="00171C59">
      <w:pPr>
        <w:pStyle w:val="ListeParagraf"/>
        <w:ind w:left="709"/>
        <w:jc w:val="left"/>
        <w:rPr>
          <w:rFonts w:ascii="Times New Roman" w:hAnsi="Times New Roman"/>
          <w:i/>
        </w:rPr>
      </w:pPr>
    </w:p>
    <w:p w14:paraId="3EBF1F4B"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29</w:t>
      </w:r>
    </w:p>
    <w:p w14:paraId="45204E9F" w14:textId="77777777" w:rsidR="00171C59" w:rsidRPr="009E1B38" w:rsidRDefault="00171C59" w:rsidP="00171C59">
      <w:pPr>
        <w:pStyle w:val="ListeParagraf"/>
        <w:ind w:left="709"/>
        <w:jc w:val="left"/>
        <w:rPr>
          <w:rFonts w:ascii="Times New Roman" w:hAnsi="Times New Roman"/>
          <w:b/>
          <w:i/>
        </w:rPr>
      </w:pPr>
    </w:p>
    <w:p w14:paraId="0375037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It may establish generation plant or facilities within the scope of this Regulation by aggregating its consumption for electricity energy consumed in the facilities belonging to one or more real and/or legal entities whose electricity energy consumption can be measured with a single shared meter.</w:t>
      </w:r>
    </w:p>
    <w:p w14:paraId="3B123CE0" w14:textId="77777777" w:rsidR="00171C59" w:rsidRPr="009E1B38" w:rsidRDefault="00171C59" w:rsidP="00171C59">
      <w:pPr>
        <w:pStyle w:val="ListeParagraf"/>
        <w:ind w:left="709"/>
        <w:jc w:val="left"/>
        <w:rPr>
          <w:rFonts w:ascii="Times New Roman" w:hAnsi="Times New Roman"/>
          <w:i/>
        </w:rPr>
      </w:pPr>
    </w:p>
    <w:p w14:paraId="45B63F0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Consumption aggregation shall be made with a written application to the relevant network operator.</w:t>
      </w:r>
    </w:p>
    <w:p w14:paraId="7B9BFD33" w14:textId="77777777" w:rsidR="00171C59" w:rsidRPr="009E1B38" w:rsidRDefault="00171C59" w:rsidP="00171C59">
      <w:pPr>
        <w:pStyle w:val="ListeParagraf"/>
        <w:ind w:left="709"/>
        <w:jc w:val="left"/>
        <w:rPr>
          <w:rFonts w:ascii="Times New Roman" w:hAnsi="Times New Roman"/>
          <w:i/>
        </w:rPr>
      </w:pPr>
    </w:p>
    <w:p w14:paraId="2A4D86B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Persons who aggregate their consumption within the scope of this Regulation shall resolve any disputes arising from such combinations among themselves.</w:t>
      </w:r>
      <w:r w:rsidRPr="009E1B38">
        <w:rPr>
          <w:rFonts w:ascii="Times New Roman" w:hAnsi="Times New Roman"/>
        </w:rPr>
        <w:t xml:space="preserve"> </w:t>
      </w:r>
      <w:r w:rsidRPr="009E1B38">
        <w:rPr>
          <w:rFonts w:ascii="Times New Roman" w:hAnsi="Times New Roman"/>
          <w:i/>
        </w:rPr>
        <w:t>No dispute may be referred to the relevant network operator and/or assigned supply company.</w:t>
      </w:r>
    </w:p>
    <w:p w14:paraId="7B34DCD5" w14:textId="77777777" w:rsidR="00171C59" w:rsidRPr="009E1B38" w:rsidRDefault="00171C59" w:rsidP="00171C59">
      <w:pPr>
        <w:pStyle w:val="ListeParagraf"/>
        <w:ind w:left="709"/>
        <w:jc w:val="left"/>
        <w:rPr>
          <w:rFonts w:ascii="Times New Roman" w:hAnsi="Times New Roman"/>
          <w:i/>
        </w:rPr>
      </w:pPr>
    </w:p>
    <w:p w14:paraId="3608E1D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According to the Construction Law dated 3/5/1985 and numbered 3194, in buildings constructed within the scope of a single construction license, consumption aggregation can be made over the approved zoning project within the framework of the provisions of consumption aggregation.</w:t>
      </w:r>
    </w:p>
    <w:p w14:paraId="0DCD0F16" w14:textId="77777777" w:rsidR="00171C59" w:rsidRPr="009E1B38" w:rsidRDefault="00171C59" w:rsidP="00171C59">
      <w:pPr>
        <w:pStyle w:val="ListeParagraf"/>
        <w:ind w:left="709"/>
        <w:jc w:val="left"/>
        <w:rPr>
          <w:rFonts w:ascii="Times New Roman" w:hAnsi="Times New Roman"/>
          <w:i/>
        </w:rPr>
      </w:pPr>
    </w:p>
    <w:p w14:paraId="0EC87CE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(5) In generation plants established through renewable energy generation cooperatives established within the scope of the Cooperatives Law dated 24/4/1969 and numbered 1163, the legal entity of the cooperative may be authorized without a consumption facility for the purpose of carrying out the works and transactions within the scope of this Regulation. "</w:t>
      </w:r>
    </w:p>
    <w:p w14:paraId="3C6BC54A" w14:textId="1AF0E8FA"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 xml:space="preserve">The first paragraph of Article 30 has been amended as follows and the </w:t>
      </w:r>
      <w:r w:rsidR="00A32D13" w:rsidRPr="009E1B38">
        <w:rPr>
          <w:rFonts w:ascii="Times New Roman" w:hAnsi="Times New Roman"/>
        </w:rPr>
        <w:t>phrase</w:t>
      </w:r>
      <w:r w:rsidR="00A32D13" w:rsidRPr="009E1B38">
        <w:rPr>
          <w:rFonts w:ascii="Times New Roman" w:hAnsi="Times New Roman"/>
          <w:i/>
        </w:rPr>
        <w:t xml:space="preserve"> “</w:t>
      </w:r>
      <w:r w:rsidRPr="009E1B38">
        <w:rPr>
          <w:rFonts w:ascii="Times New Roman" w:hAnsi="Times New Roman"/>
          <w:i/>
        </w:rPr>
        <w:t xml:space="preserve">temporary"​ </w:t>
      </w:r>
      <w:r w:rsidRPr="009E1B38">
        <w:rPr>
          <w:rFonts w:ascii="Times New Roman" w:hAnsi="Times New Roman"/>
        </w:rPr>
        <w:t>in the seventh paragraph of the same article has been repealed.</w:t>
      </w:r>
    </w:p>
    <w:p w14:paraId="0D7C83E6" w14:textId="77777777" w:rsidR="00171C59" w:rsidRPr="009E1B38" w:rsidRDefault="00171C59" w:rsidP="00171C59">
      <w:pPr>
        <w:pStyle w:val="ListeParagraf"/>
        <w:ind w:left="709"/>
        <w:jc w:val="left"/>
        <w:rPr>
          <w:rFonts w:ascii="Times New Roman" w:hAnsi="Times New Roman"/>
        </w:rPr>
      </w:pPr>
    </w:p>
    <w:p w14:paraId="7CDCC42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In order to meet the electricity needs of the consumption facilities, a generation plant based on renewable energy resources can be established within the scope of (h) clause of first paragraph of Article 5, not exceeding the contractual power of the relevant consumption facilities in the connection agreement.</w:t>
      </w:r>
      <w:r w:rsidRPr="009E1B38">
        <w:rPr>
          <w:rFonts w:ascii="Times New Roman" w:hAnsi="Times New Roman"/>
        </w:rPr>
        <w:t xml:space="preserve"> </w:t>
      </w:r>
      <w:r w:rsidRPr="009E1B38">
        <w:rPr>
          <w:rFonts w:ascii="Times New Roman" w:hAnsi="Times New Roman"/>
          <w:i/>
        </w:rPr>
        <w:t>Within the scope of this article, a generation plant based on renewable energy resources can be established by state institutions and organizations within the scope of clause (c) of the first paragraph of Article 5. "</w:t>
      </w:r>
    </w:p>
    <w:p w14:paraId="3C5CFAF5" w14:textId="77777777" w:rsidR="00171C59" w:rsidRPr="009E1B38" w:rsidRDefault="00171C59" w:rsidP="00171C59">
      <w:pPr>
        <w:pStyle w:val="ListeParagraf"/>
        <w:ind w:left="709"/>
        <w:jc w:val="left"/>
        <w:rPr>
          <w:rFonts w:ascii="Times New Roman" w:hAnsi="Times New Roman"/>
          <w:i/>
        </w:rPr>
      </w:pPr>
    </w:p>
    <w:p w14:paraId="5614623E" w14:textId="50D8D1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terms​</w:t>
      </w:r>
      <w:r w:rsidRPr="009E1B38">
        <w:rPr>
          <w:rFonts w:ascii="Times New Roman" w:hAnsi="Times New Roman"/>
          <w:i/>
        </w:rPr>
        <w:t xml:space="preserve">  "temporary" ​ </w:t>
      </w:r>
      <w:r w:rsidRPr="009E1B38">
        <w:rPr>
          <w:rFonts w:ascii="Times New Roman" w:hAnsi="Times New Roman"/>
        </w:rPr>
        <w:t>in the first paragraph of Article 35 titled</w:t>
      </w:r>
      <w:r w:rsidRPr="009E1B38">
        <w:rPr>
          <w:rFonts w:ascii="Times New Roman" w:hAnsi="Times New Roman"/>
          <w:i/>
        </w:rPr>
        <w:t xml:space="preserve"> "Transfer of generation </w:t>
      </w:r>
      <w:r w:rsidR="00A32D13" w:rsidRPr="009E1B38">
        <w:rPr>
          <w:rFonts w:ascii="Times New Roman" w:hAnsi="Times New Roman"/>
          <w:i/>
        </w:rPr>
        <w:t>plant”</w:t>
      </w:r>
      <w:r w:rsidRPr="009E1B38">
        <w:rPr>
          <w:rFonts w:ascii="Times New Roman" w:hAnsi="Times New Roman"/>
          <w:i/>
        </w:rPr>
        <w:t xml:space="preserve">​  </w:t>
      </w:r>
      <w:r w:rsidRPr="009E1B38">
        <w:rPr>
          <w:rFonts w:ascii="Times New Roman" w:hAnsi="Times New Roman"/>
        </w:rPr>
        <w:t>have been repealed.</w:t>
      </w:r>
    </w:p>
    <w:p w14:paraId="6709CB2C" w14:textId="77777777" w:rsidR="00171C59" w:rsidRPr="009E1B38" w:rsidRDefault="00171C59" w:rsidP="00171C59">
      <w:pPr>
        <w:pStyle w:val="ListeParagraf"/>
        <w:ind w:left="709"/>
        <w:jc w:val="left"/>
        <w:rPr>
          <w:rFonts w:ascii="Times New Roman" w:hAnsi="Times New Roman"/>
        </w:rPr>
      </w:pPr>
    </w:p>
    <w:p w14:paraId="7DC45157"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third paragraph of Article 36 titled</w:t>
      </w:r>
      <w:r w:rsidRPr="009E1B38">
        <w:rPr>
          <w:rFonts w:ascii="Times New Roman" w:hAnsi="Times New Roman"/>
          <w:i/>
        </w:rPr>
        <w:t xml:space="preserve"> "Fees" </w:t>
      </w:r>
      <w:r w:rsidRPr="009E1B38">
        <w:rPr>
          <w:rFonts w:ascii="Times New Roman" w:hAnsi="Times New Roman"/>
        </w:rPr>
        <w:t>has been amended as follows.</w:t>
      </w:r>
    </w:p>
    <w:p w14:paraId="6F716832" w14:textId="77777777" w:rsidR="00171C59" w:rsidRPr="009E1B38" w:rsidRDefault="00171C59" w:rsidP="00171C59">
      <w:pPr>
        <w:pStyle w:val="ListeParagraf"/>
        <w:ind w:left="709"/>
        <w:jc w:val="left"/>
        <w:rPr>
          <w:rFonts w:ascii="Times New Roman" w:hAnsi="Times New Roman"/>
          <w:i/>
        </w:rPr>
      </w:pPr>
    </w:p>
    <w:p w14:paraId="6CB72E1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Real and legal entities producing within the scope of this Regulation are obliged to pay the system usage fees determined by the Board Decision.</w:t>
      </w:r>
      <w:r w:rsidRPr="009E1B38">
        <w:rPr>
          <w:rFonts w:ascii="Times New Roman" w:hAnsi="Times New Roman"/>
        </w:rPr>
        <w:t xml:space="preserve"> </w:t>
      </w:r>
      <w:r w:rsidRPr="009E1B38">
        <w:rPr>
          <w:rFonts w:ascii="Times New Roman" w:hAnsi="Times New Roman"/>
          <w:i/>
        </w:rPr>
        <w:t>In the event that the system usage fees are not paid by the unlicensed generation plant owner until the deadline specified in the invoice, the generation plant shall be separated from the network by the relevant network operator without the need for any notification and the reason for leaving shall be notified to the generation plant owner in written within three working days. "</w:t>
      </w:r>
    </w:p>
    <w:p w14:paraId="4A6FFFCC" w14:textId="77777777" w:rsidR="00171C59" w:rsidRPr="009E1B38" w:rsidRDefault="00171C59" w:rsidP="00171C59">
      <w:pPr>
        <w:pStyle w:val="ListeParagraf"/>
        <w:ind w:left="709"/>
        <w:jc w:val="left"/>
        <w:rPr>
          <w:rFonts w:ascii="Times New Roman" w:hAnsi="Times New Roman"/>
          <w:i/>
        </w:rPr>
      </w:pPr>
    </w:p>
    <w:p w14:paraId="45B50E0D"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seventh and eighth paragraphs of Article 37​ titled</w:t>
      </w:r>
      <w:r w:rsidRPr="009E1B38">
        <w:rPr>
          <w:rFonts w:ascii="Times New Roman" w:hAnsi="Times New Roman"/>
          <w:i/>
        </w:rPr>
        <w:t xml:space="preserve"> "Other provisions"​ </w:t>
      </w:r>
      <w:r w:rsidRPr="009E1B38">
        <w:rPr>
          <w:rFonts w:ascii="Times New Roman" w:hAnsi="Times New Roman"/>
        </w:rPr>
        <w:t xml:space="preserve">have been amended as follows, the </w:t>
      </w:r>
      <w:r w:rsidRPr="009E1B38">
        <w:rPr>
          <w:rFonts w:ascii="Times New Roman" w:hAnsi="Times New Roman"/>
          <w:i/>
        </w:rPr>
        <w:t xml:space="preserve">​"temporary"​ </w:t>
      </w:r>
      <w:r w:rsidRPr="009E1B38">
        <w:rPr>
          <w:rFonts w:ascii="Times New Roman" w:hAnsi="Times New Roman"/>
        </w:rPr>
        <w:t>statements in the ninth paragraph have been repealed and the following clauses have been added to the same paragraph.</w:t>
      </w:r>
    </w:p>
    <w:p w14:paraId="4DE8D380" w14:textId="77777777" w:rsidR="00171C59" w:rsidRPr="009E1B38" w:rsidRDefault="00171C59" w:rsidP="00171C59">
      <w:pPr>
        <w:pStyle w:val="ListeParagraf"/>
        <w:ind w:left="709"/>
        <w:jc w:val="left"/>
        <w:rPr>
          <w:rFonts w:ascii="Times New Roman" w:hAnsi="Times New Roman"/>
        </w:rPr>
      </w:pPr>
    </w:p>
    <w:p w14:paraId="7806B9FA" w14:textId="54247B12"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"(7) In the event that an unlicensed generation plant owner legal entity wishes to merge with all its assets and obligations under its own legal entity or within the body of another legal entity, the merger process shall be carried out within the scope of the legislation in force, provided that all of the relevant generation plant or plants are accepted.</w:t>
      </w:r>
      <w:r w:rsidRPr="009E1B38">
        <w:rPr>
          <w:rFonts w:ascii="Times New Roman" w:hAnsi="Times New Roman"/>
        </w:rPr>
        <w:t xml:space="preserve"> </w:t>
      </w:r>
      <w:r w:rsidRPr="009E1B38">
        <w:rPr>
          <w:rFonts w:ascii="Times New Roman" w:hAnsi="Times New Roman"/>
          <w:i/>
        </w:rPr>
        <w:t xml:space="preserve">Acceptance is not required </w:t>
      </w:r>
      <w:r w:rsidR="00A32D13" w:rsidRPr="009E1B38">
        <w:rPr>
          <w:rFonts w:ascii="Times New Roman" w:hAnsi="Times New Roman"/>
          <w:i/>
        </w:rPr>
        <w:t>provided</w:t>
      </w:r>
      <w:r w:rsidRPr="009E1B38">
        <w:rPr>
          <w:rFonts w:ascii="Times New Roman" w:hAnsi="Times New Roman"/>
          <w:i/>
        </w:rPr>
        <w:t xml:space="preserve"> that the legal entity owning the unlicensed generation facility remains the same and the share rates do not change. Before the aggregation process takes place, an application is made to the relevant network operator within the first ten days of the relevant month for the works and transactions within the scope of the relevant legislation.</w:t>
      </w:r>
      <w:r w:rsidRPr="009E1B38">
        <w:rPr>
          <w:rFonts w:ascii="Times New Roman" w:hAnsi="Times New Roman"/>
        </w:rPr>
        <w:t xml:space="preserve"> </w:t>
      </w:r>
      <w:r w:rsidRPr="009E1B38">
        <w:rPr>
          <w:rFonts w:ascii="Times New Roman" w:hAnsi="Times New Roman"/>
          <w:i/>
        </w:rPr>
        <w:t>In the event that the documents required to be submitted within the scope of the aggregation request are whole and complete, the aggregation process and the works and transactions required to be performed within the scope of the relevant legislation shall be completed simultaneously by the relevant parties and finalized as of the end of the invoice period.</w:t>
      </w:r>
      <w:r w:rsidRPr="009E1B38">
        <w:rPr>
          <w:rFonts w:ascii="Times New Roman" w:hAnsi="Times New Roman"/>
        </w:rPr>
        <w:t xml:space="preserve"> </w:t>
      </w:r>
      <w:r w:rsidRPr="009E1B38">
        <w:rPr>
          <w:rFonts w:ascii="Times New Roman" w:hAnsi="Times New Roman"/>
          <w:i/>
        </w:rPr>
        <w:t>In the event that no whole and complete application is made, the request is not evaluated by the relevant network operators and the addressees are notified of the deficiencies within 5 working days.</w:t>
      </w:r>
      <w:r w:rsidRPr="009E1B38">
        <w:rPr>
          <w:rFonts w:ascii="Times New Roman" w:hAnsi="Times New Roman"/>
        </w:rPr>
        <w:t xml:space="preserve"> </w:t>
      </w:r>
      <w:r w:rsidRPr="009E1B38">
        <w:rPr>
          <w:rFonts w:ascii="Times New Roman" w:hAnsi="Times New Roman"/>
          <w:i/>
        </w:rPr>
        <w:t xml:space="preserve">In the event that the aggregation process is not completed by the relevant legal entities in accordance with the above-mentioned issues, the energy produced in the relevant month is deemed to have been produced by the authorized supply company and given to the system and no payment is made by the market operator and the authorized supply company </w:t>
      </w:r>
      <w:r w:rsidRPr="009E1B38">
        <w:rPr>
          <w:rFonts w:ascii="Times New Roman" w:hAnsi="Times New Roman"/>
          <w:i/>
        </w:rPr>
        <w:lastRenderedPageBreak/>
        <w:t>in relation to this energy and the energy given to the system in this context is considered as a free contribution to YEKDEM.</w:t>
      </w:r>
    </w:p>
    <w:p w14:paraId="35199BEA" w14:textId="77777777" w:rsidR="00171C59" w:rsidRPr="009E1B38" w:rsidRDefault="00171C59" w:rsidP="00171C59">
      <w:pPr>
        <w:pStyle w:val="ListeParagraf"/>
        <w:ind w:left="709"/>
        <w:jc w:val="left"/>
        <w:rPr>
          <w:rFonts w:ascii="Times New Roman" w:hAnsi="Times New Roman"/>
          <w:i/>
        </w:rPr>
      </w:pPr>
    </w:p>
    <w:p w14:paraId="327F2FA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(8) In the event that a legal entity within the scope of this Regulation wishes to be divided in whole or in part, provided that all of the generation facilities under its responsibility have been accepted, the division process shall be carried out within the scope of the legislation in force.</w:t>
      </w:r>
      <w:r w:rsidRPr="009E1B38">
        <w:rPr>
          <w:rFonts w:ascii="Times New Roman" w:hAnsi="Times New Roman"/>
        </w:rPr>
        <w:t xml:space="preserve"> </w:t>
      </w:r>
      <w:r w:rsidRPr="009E1B38">
        <w:rPr>
          <w:rFonts w:ascii="Times New Roman" w:hAnsi="Times New Roman"/>
          <w:i/>
        </w:rPr>
        <w:t>Acceptance is not required provided that the legal entity owning the unlicensed generation facility remains the same and the share rates do not change.</w:t>
      </w:r>
      <w:r w:rsidRPr="009E1B38">
        <w:rPr>
          <w:rFonts w:ascii="Times New Roman" w:hAnsi="Times New Roman"/>
        </w:rPr>
        <w:t xml:space="preserve"> </w:t>
      </w:r>
      <w:r w:rsidRPr="009E1B38">
        <w:rPr>
          <w:rFonts w:ascii="Times New Roman" w:hAnsi="Times New Roman"/>
          <w:i/>
        </w:rPr>
        <w:t>Before the division process takes place, an application is made to the relevant network operator within the first ten days of the relevant month for the works and transactions within the scope of the relevant legislation.</w:t>
      </w:r>
      <w:r w:rsidRPr="009E1B38">
        <w:rPr>
          <w:rFonts w:ascii="Times New Roman" w:hAnsi="Times New Roman"/>
        </w:rPr>
        <w:t xml:space="preserve"> </w:t>
      </w:r>
      <w:r w:rsidRPr="009E1B38">
        <w:rPr>
          <w:rFonts w:ascii="Times New Roman" w:hAnsi="Times New Roman"/>
          <w:i/>
        </w:rPr>
        <w:t>In the event that the documents required to be submitted within the scope of the division request are whole and complete, the division process and the works and procedures required to be performed within the scope of the relevant legislation shall be completed simultaneously by the relevant parties and finalized by the end of the invoice period.</w:t>
      </w:r>
      <w:r w:rsidRPr="009E1B38">
        <w:rPr>
          <w:rFonts w:ascii="Times New Roman" w:hAnsi="Times New Roman"/>
        </w:rPr>
        <w:t xml:space="preserve"> </w:t>
      </w:r>
      <w:r w:rsidRPr="009E1B38">
        <w:rPr>
          <w:rFonts w:ascii="Times New Roman" w:hAnsi="Times New Roman"/>
          <w:i/>
        </w:rPr>
        <w:t>In the event that no whole and complete application is made, the request is not evaluated by the relevant network operators and the addressees are notified of the deficiencies within 5 working days.</w:t>
      </w:r>
      <w:r w:rsidRPr="009E1B38">
        <w:rPr>
          <w:rFonts w:ascii="Times New Roman" w:hAnsi="Times New Roman"/>
        </w:rPr>
        <w:t xml:space="preserve"> </w:t>
      </w:r>
      <w:r w:rsidRPr="009E1B38">
        <w:rPr>
          <w:rFonts w:ascii="Times New Roman" w:hAnsi="Times New Roman"/>
          <w:i/>
        </w:rPr>
        <w:t>In the event that the division process is not completed by the relevant legal entities in accordance with the above-mentioned issues, the energy generated in the relevant month shall be deemed to have been produced by the authorized supply company and given to the system and no payment shall be made by the market operator and the authorized supply company in relation to this energy and the energy given to the system shall be taken into consideration as a free contribution to YEKDEM. "</w:t>
      </w:r>
    </w:p>
    <w:p w14:paraId="54541D17" w14:textId="77777777" w:rsidR="00171C59" w:rsidRPr="009E1B38" w:rsidRDefault="00171C59" w:rsidP="00171C59">
      <w:pPr>
        <w:pStyle w:val="ListeParagraf"/>
        <w:ind w:left="709"/>
        <w:jc w:val="left"/>
        <w:rPr>
          <w:rFonts w:ascii="Times New Roman" w:hAnsi="Times New Roman"/>
          <w:i/>
        </w:rPr>
      </w:pPr>
    </w:p>
    <w:p w14:paraId="39ECEC2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Direct or indirect share changes made between existing partners who have direct or indirect shares in the partnership structure of the unlicensed generation facility owner legal entity in a way that does not create a control change in the partnership structure of the related unlicensed generation facility owner legal entity,</w:t>
      </w:r>
    </w:p>
    <w:p w14:paraId="512B494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 Direct or indirect changes in the partnership structure of the unlicensed generation plant owner legal entity as a result of the share transfers made between the spouses and real persons who have a direct or indirect share in the partnership structure of the unlicensed generation plant owner legal entity and who have a first-degree kinship by blood between them,</w:t>
      </w:r>
    </w:p>
    <w:p w14:paraId="04A66DAE" w14:textId="77777777" w:rsidR="00171C59" w:rsidRPr="009E1B38" w:rsidRDefault="00171C59" w:rsidP="00171C59">
      <w:pPr>
        <w:pStyle w:val="ListeParagraf"/>
        <w:ind w:left="709"/>
        <w:jc w:val="left"/>
        <w:rPr>
          <w:rFonts w:ascii="Times New Roman" w:hAnsi="Times New Roman"/>
          <w:i/>
        </w:rPr>
      </w:pPr>
    </w:p>
    <w:p w14:paraId="7FCA539F"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The following provisional article has been added to the same Regulation.</w:t>
      </w:r>
    </w:p>
    <w:p w14:paraId="0FF6E96F" w14:textId="77777777" w:rsidR="00171C59" w:rsidRPr="009E1B38" w:rsidRDefault="00171C59" w:rsidP="00171C59">
      <w:pPr>
        <w:pStyle w:val="ListeParagraf"/>
        <w:ind w:left="709"/>
        <w:jc w:val="left"/>
        <w:rPr>
          <w:rFonts w:ascii="Times New Roman" w:hAnsi="Times New Roman"/>
        </w:rPr>
      </w:pPr>
    </w:p>
    <w:p w14:paraId="0E6605BE"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"Facilities that may be subject to monthly offsetting</w:t>
      </w:r>
    </w:p>
    <w:p w14:paraId="7AF70942" w14:textId="77777777" w:rsidR="00171C59" w:rsidRPr="009E1B38" w:rsidRDefault="00171C59" w:rsidP="00171C59">
      <w:pPr>
        <w:pStyle w:val="ListeParagraf"/>
        <w:ind w:left="709"/>
        <w:jc w:val="left"/>
        <w:rPr>
          <w:rFonts w:ascii="Times New Roman" w:hAnsi="Times New Roman"/>
          <w:b/>
          <w:i/>
        </w:rPr>
      </w:pPr>
    </w:p>
    <w:p w14:paraId="722B34DD"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4</w:t>
      </w:r>
    </w:p>
    <w:p w14:paraId="7E980748" w14:textId="77777777" w:rsidR="00171C59" w:rsidRPr="009E1B38" w:rsidRDefault="00171C59" w:rsidP="00171C59">
      <w:pPr>
        <w:pStyle w:val="ListeParagraf"/>
        <w:ind w:left="709"/>
        <w:jc w:val="left"/>
        <w:rPr>
          <w:rFonts w:ascii="Times New Roman" w:hAnsi="Times New Roman"/>
          <w:b/>
          <w:i/>
        </w:rPr>
      </w:pPr>
    </w:p>
    <w:p w14:paraId="295C3EE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If an application is made by the relevant parties within sixty days from the date of entry into force of this article in relation to the electricity generation facilities whose connection agreement has been signed or whose acceptance has been completed and which have been commissioned by issuing a letter of invitation to the connection agreement within the scope of (c) clause of first paragraph of Article 5 with the installed power of 10 kW and below and clause (ç) of first paragraph of Article 5 before 12/5/2019, the transaction shall be established in accordance with the provisions of Article 26 as of the month following the application.</w:t>
      </w:r>
    </w:p>
    <w:p w14:paraId="52E522F7" w14:textId="77777777" w:rsidR="00171C59" w:rsidRPr="009E1B38" w:rsidRDefault="00171C59" w:rsidP="00171C59">
      <w:pPr>
        <w:pStyle w:val="ListeParagraf"/>
        <w:ind w:left="709"/>
        <w:jc w:val="left"/>
        <w:rPr>
          <w:rFonts w:ascii="Times New Roman" w:hAnsi="Times New Roman"/>
          <w:i/>
        </w:rPr>
      </w:pPr>
    </w:p>
    <w:p w14:paraId="3B7B46C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The provisions of Article 26 shall apply until the connection and system utilization agreements of the generation plants included in the scope of the first paragraph are terminated and/or canceled. "</w:t>
      </w:r>
    </w:p>
    <w:p w14:paraId="03573376" w14:textId="77777777" w:rsidR="00171C59" w:rsidRPr="009E1B38" w:rsidRDefault="00171C59" w:rsidP="00171C59">
      <w:pPr>
        <w:pStyle w:val="ListeParagraf"/>
        <w:ind w:left="709"/>
        <w:jc w:val="left"/>
        <w:rPr>
          <w:rFonts w:ascii="Times New Roman" w:hAnsi="Times New Roman"/>
          <w:i/>
        </w:rPr>
      </w:pPr>
    </w:p>
    <w:p w14:paraId="435DF050" w14:textId="77777777" w:rsidR="00171C59" w:rsidRPr="009E1B38" w:rsidRDefault="00171C59" w:rsidP="003C5E4D">
      <w:pPr>
        <w:pStyle w:val="ListeParagraf"/>
        <w:numPr>
          <w:ilvl w:val="0"/>
          <w:numId w:val="92"/>
        </w:numPr>
        <w:spacing w:after="160" w:line="259" w:lineRule="auto"/>
        <w:ind w:left="709" w:firstLine="0"/>
        <w:jc w:val="left"/>
        <w:rPr>
          <w:rFonts w:ascii="Times New Roman" w:hAnsi="Times New Roman"/>
        </w:rPr>
      </w:pPr>
      <w:r w:rsidRPr="009E1B38">
        <w:rPr>
          <w:rFonts w:ascii="Times New Roman" w:hAnsi="Times New Roman"/>
        </w:rPr>
        <w:lastRenderedPageBreak/>
        <w:t xml:space="preserve">Within the scope of the Electricity Market Law dated 14.03.2013 and numbered 6446, published in the Official Gazette dated 09.05.2021 and numbered 31479, </w:t>
      </w:r>
      <w:r w:rsidRPr="009E1B38">
        <w:rPr>
          <w:rFonts w:ascii="Times New Roman" w:hAnsi="Times New Roman"/>
          <w:b/>
        </w:rPr>
        <w:t>the ​Regulation on Storage Activities in the Electricity Market</w:t>
      </w:r>
      <w:r w:rsidRPr="009E1B38">
        <w:rPr>
          <w:rFonts w:ascii="Times New Roman" w:hAnsi="Times New Roman"/>
        </w:rPr>
        <w:t xml:space="preserve"> ​, which aims to determine the procedures and principles regarding the establishment of electricity storage units or facilities, their connection to the transmission or distribution system and the use of these units or facilities in market activities, has entered into force as of its publication.</w:t>
      </w:r>
    </w:p>
    <w:p w14:paraId="05D8FA9E" w14:textId="77777777" w:rsidR="00171C59" w:rsidRPr="009E1B38" w:rsidRDefault="00171C59" w:rsidP="00171C59">
      <w:pPr>
        <w:pStyle w:val="ListeParagraf"/>
        <w:ind w:left="709"/>
        <w:jc w:val="left"/>
        <w:rPr>
          <w:rFonts w:ascii="Times New Roman" w:hAnsi="Times New Roman"/>
        </w:rPr>
      </w:pPr>
    </w:p>
    <w:p w14:paraId="701332CC" w14:textId="3A578F6F" w:rsidR="00171C59" w:rsidRPr="009E1B38" w:rsidRDefault="00171C59" w:rsidP="003C5E4D">
      <w:pPr>
        <w:pStyle w:val="ListeParagraf"/>
        <w:numPr>
          <w:ilvl w:val="0"/>
          <w:numId w:val="92"/>
        </w:numPr>
        <w:spacing w:after="160" w:line="259" w:lineRule="auto"/>
        <w:ind w:left="709" w:firstLine="0"/>
        <w:jc w:val="left"/>
        <w:rPr>
          <w:rFonts w:ascii="Times New Roman" w:hAnsi="Times New Roman"/>
        </w:rPr>
      </w:pPr>
      <w:r w:rsidRPr="009E1B38">
        <w:rPr>
          <w:rFonts w:ascii="Times New Roman" w:hAnsi="Times New Roman"/>
        </w:rPr>
        <w:t>The Amendment Regulation published in the Official Gazette dated 21.05.2021 and numbered 31487 and the repealed ​</w:t>
      </w:r>
      <w:r w:rsidRPr="009E1B38">
        <w:rPr>
          <w:rFonts w:ascii="Times New Roman" w:hAnsi="Times New Roman"/>
          <w:b/>
        </w:rPr>
        <w:t>Electricity Market Capacity Mechanism Regulation</w:t>
      </w:r>
    </w:p>
    <w:p w14:paraId="2B90AD2E" w14:textId="77777777" w:rsidR="00171C59" w:rsidRPr="009E1B38" w:rsidRDefault="00171C59" w:rsidP="00171C59">
      <w:pPr>
        <w:pStyle w:val="ListeParagraf"/>
        <w:ind w:left="709"/>
        <w:jc w:val="left"/>
        <w:rPr>
          <w:rFonts w:ascii="Times New Roman" w:hAnsi="Times New Roman"/>
        </w:rPr>
      </w:pPr>
    </w:p>
    <w:p w14:paraId="685074EE"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 has been added at the end of clause (m) of the first paragraph of Article 4 and the following clause has been added to the same paragraph.</w:t>
      </w:r>
    </w:p>
    <w:p w14:paraId="71A2C9A4" w14:textId="77777777" w:rsidR="00171C59" w:rsidRPr="009E1B38" w:rsidRDefault="00171C59" w:rsidP="00171C59">
      <w:pPr>
        <w:pStyle w:val="ListeParagraf"/>
        <w:ind w:left="709"/>
        <w:jc w:val="left"/>
        <w:rPr>
          <w:rFonts w:ascii="Times New Roman" w:hAnsi="Times New Roman"/>
        </w:rPr>
      </w:pPr>
    </w:p>
    <w:p w14:paraId="0D1E8A1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"n) EÜAŞ: Electricity Generation Corporation"</w:t>
      </w:r>
    </w:p>
    <w:p w14:paraId="67A49BC0" w14:textId="77777777" w:rsidR="00171C59" w:rsidRPr="009E1B38" w:rsidRDefault="00171C59" w:rsidP="00171C59">
      <w:pPr>
        <w:pStyle w:val="ListeParagraf"/>
        <w:ind w:left="709"/>
        <w:jc w:val="left"/>
        <w:rPr>
          <w:rFonts w:ascii="Times New Roman" w:hAnsi="Times New Roman"/>
          <w:i/>
        </w:rPr>
      </w:pPr>
    </w:p>
    <w:p w14:paraId="30F7F735"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The phrase</w:t>
      </w:r>
      <w:r w:rsidRPr="009E1B38">
        <w:rPr>
          <w:rFonts w:ascii="Times New Roman" w:hAnsi="Times New Roman"/>
          <w:i/>
        </w:rPr>
        <w:t xml:space="preserve"> "Build operate and " </w:t>
      </w:r>
      <w:r w:rsidRPr="009E1B38">
        <w:rPr>
          <w:rFonts w:ascii="Times New Roman" w:hAnsi="Times New Roman"/>
        </w:rPr>
        <w:t xml:space="preserve">in clause (b) of the second paragraph of Article 6 has been repealed, the phrase </w:t>
      </w:r>
      <w:r w:rsidRPr="009E1B38">
        <w:rPr>
          <w:rFonts w:ascii="Times New Roman" w:hAnsi="Times New Roman"/>
          <w:i/>
        </w:rPr>
        <w:t xml:space="preserve">"build​ ​operate and transfer"​ </w:t>
      </w:r>
      <w:r w:rsidRPr="009E1B38">
        <w:rPr>
          <w:rFonts w:ascii="Times New Roman" w:hAnsi="Times New Roman"/>
        </w:rPr>
        <w:t>has been changed to</w:t>
      </w:r>
      <w:r w:rsidRPr="009E1B38">
        <w:rPr>
          <w:rFonts w:ascii="Times New Roman" w:hAnsi="Times New Roman"/>
          <w:i/>
        </w:rPr>
        <w:t xml:space="preserve"> ​"Build Operate and Transfer", </w:t>
      </w:r>
      <w:r w:rsidRPr="009E1B38">
        <w:rPr>
          <w:rFonts w:ascii="Times New Roman" w:hAnsi="Times New Roman"/>
        </w:rPr>
        <w:t>clause (g) of the​ same paragraph has been repealed, clause (ğ) has been amended as follows, and the phrase</w:t>
      </w:r>
      <w:r w:rsidRPr="009E1B38">
        <w:rPr>
          <w:rFonts w:ascii="Times New Roman" w:hAnsi="Times New Roman"/>
          <w:i/>
        </w:rPr>
        <w:t xml:space="preserve"> ", (g)"​ </w:t>
      </w:r>
      <w:r w:rsidRPr="009E1B38">
        <w:rPr>
          <w:rFonts w:ascii="Times New Roman" w:hAnsi="Times New Roman"/>
        </w:rPr>
        <w:t>in the fourth paragraph of the same article has been repealed.</w:t>
      </w:r>
    </w:p>
    <w:p w14:paraId="33D379A8" w14:textId="77777777" w:rsidR="00171C59" w:rsidRPr="009E1B38" w:rsidRDefault="00171C59" w:rsidP="00171C59">
      <w:pPr>
        <w:pStyle w:val="ListeParagraf"/>
        <w:ind w:left="709"/>
        <w:jc w:val="left"/>
        <w:rPr>
          <w:rFonts w:ascii="Times New Roman" w:hAnsi="Times New Roman"/>
        </w:rPr>
      </w:pPr>
    </w:p>
    <w:p w14:paraId="52EEEDD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“ğ) Within the scope of acceptance, in the authenticating document regarding the efficiency performance test or in the results of the repeated efficiency performance test by applying to the Ministry, the power plants whose efficiency rate is determined to be below 50% and which are not based on domestic resources (in the calculation of the efficiency condition of natural gas plants, the upper thermal value of natural gas is 9.155 kCal/m3),”</w:t>
      </w:r>
    </w:p>
    <w:p w14:paraId="3327E3DE" w14:textId="77777777" w:rsidR="00171C59" w:rsidRPr="009E1B38" w:rsidRDefault="00171C59" w:rsidP="00171C59">
      <w:pPr>
        <w:pStyle w:val="ListeParagraf"/>
        <w:ind w:left="709"/>
        <w:jc w:val="left"/>
        <w:rPr>
          <w:rFonts w:ascii="Times New Roman" w:hAnsi="Times New Roman"/>
          <w:i/>
        </w:rPr>
      </w:pPr>
    </w:p>
    <w:p w14:paraId="1C5D986A"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The following sentence has been added to the fourth paragraph of Article 9 and the fifth paragraph of the same article has been amended as follows.</w:t>
      </w:r>
    </w:p>
    <w:p w14:paraId="4DACC90A" w14:textId="77777777" w:rsidR="00171C59" w:rsidRPr="009E1B38" w:rsidRDefault="00171C59" w:rsidP="00171C59">
      <w:pPr>
        <w:pStyle w:val="ListeParagraf"/>
        <w:ind w:left="709"/>
        <w:jc w:val="left"/>
        <w:rPr>
          <w:rFonts w:ascii="Times New Roman" w:hAnsi="Times New Roman"/>
        </w:rPr>
      </w:pPr>
    </w:p>
    <w:p w14:paraId="78A956C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“The weighted average capacity utilization rate is calculated by the Market Operator and notified to TEİAŞ before the commencement of the payment year.”</w:t>
      </w:r>
    </w:p>
    <w:p w14:paraId="137206F4" w14:textId="77777777" w:rsidR="00171C59" w:rsidRPr="009E1B38" w:rsidRDefault="00171C59" w:rsidP="00171C59">
      <w:pPr>
        <w:pStyle w:val="ListeParagraf"/>
        <w:ind w:left="709"/>
        <w:jc w:val="left"/>
        <w:rPr>
          <w:rFonts w:ascii="Times New Roman" w:hAnsi="Times New Roman"/>
          <w:i/>
        </w:rPr>
      </w:pPr>
    </w:p>
    <w:p w14:paraId="1881743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"​(5) In case of electricity generation by using domestic coal or domestic natural gas in a billing period in imported coal or natural gas-fired plants, capacity payment shall be made in proportion to the generation amount, which is made by using domestic coal or domestic natural gas.​​</w:t>
      </w:r>
      <w:r w:rsidRPr="009E1B38">
        <w:rPr>
          <w:rFonts w:ascii="Times New Roman" w:hAnsi="Times New Roman"/>
        </w:rPr>
        <w:t xml:space="preserve"> </w:t>
      </w:r>
      <w:r w:rsidRPr="009E1B38">
        <w:rPr>
          <w:rFonts w:ascii="Times New Roman" w:hAnsi="Times New Roman"/>
          <w:i/>
        </w:rPr>
        <w:t>In order to be used in the aforementioned payment calculations, if any, the rate of generation amount of the power plants that have an energy purchase agreement with EÜAŞ by using domestic coal shall be notified to TEİAŞ by EUAŞ as long as the relevant agreement is valid; and the rate of generation amount of the power plants by using domestic natural gas shall be notified to TEİAŞ by BOTAŞ through the electronic notification system notified to the Authority by the relevant legal entities.</w:t>
      </w:r>
      <w:r w:rsidRPr="009E1B38">
        <w:rPr>
          <w:rFonts w:ascii="Times New Roman" w:hAnsi="Times New Roman"/>
        </w:rPr>
        <w:t xml:space="preserve"> </w:t>
      </w:r>
      <w:r w:rsidRPr="009E1B38">
        <w:rPr>
          <w:rFonts w:ascii="Times New Roman" w:hAnsi="Times New Roman"/>
          <w:i/>
        </w:rPr>
        <w:t>TEİAŞ determines the rate of generation of the plants that have not made an energy purchase agreement with EÜAŞ by using domestic coal. "</w:t>
      </w:r>
    </w:p>
    <w:p w14:paraId="395436F3" w14:textId="77777777" w:rsidR="00171C59" w:rsidRPr="009E1B38" w:rsidRDefault="00171C59" w:rsidP="00171C59">
      <w:pPr>
        <w:pStyle w:val="ListeParagraf"/>
        <w:ind w:left="709"/>
        <w:jc w:val="left"/>
        <w:rPr>
          <w:rFonts w:ascii="Times New Roman" w:hAnsi="Times New Roman"/>
          <w:i/>
        </w:rPr>
      </w:pPr>
    </w:p>
    <w:p w14:paraId="6ECCE15D"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The following provisional article has been added to the same Regulation.​</w:t>
      </w:r>
    </w:p>
    <w:p w14:paraId="44EEABDD" w14:textId="77777777" w:rsidR="00171C59" w:rsidRPr="009E1B38" w:rsidRDefault="00171C59" w:rsidP="00171C59">
      <w:pPr>
        <w:pStyle w:val="ListeParagraf"/>
        <w:ind w:left="709"/>
        <w:jc w:val="left"/>
        <w:rPr>
          <w:rFonts w:ascii="Times New Roman" w:hAnsi="Times New Roman"/>
        </w:rPr>
      </w:pPr>
    </w:p>
    <w:p w14:paraId="13441986"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“Applications for 2021</w:t>
      </w:r>
    </w:p>
    <w:p w14:paraId="3693F429" w14:textId="77777777" w:rsidR="00171C59" w:rsidRPr="009E1B38" w:rsidRDefault="00171C59" w:rsidP="00171C59">
      <w:pPr>
        <w:pStyle w:val="ListeParagraf"/>
        <w:ind w:left="709"/>
        <w:jc w:val="left"/>
        <w:rPr>
          <w:rFonts w:ascii="Times New Roman" w:hAnsi="Times New Roman"/>
          <w:b/>
          <w:i/>
        </w:rPr>
      </w:pPr>
    </w:p>
    <w:p w14:paraId="650A9180"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4</w:t>
      </w:r>
    </w:p>
    <w:p w14:paraId="617CB5B6" w14:textId="77777777" w:rsidR="00171C59" w:rsidRPr="009E1B38" w:rsidRDefault="00171C59" w:rsidP="00171C59">
      <w:pPr>
        <w:pStyle w:val="ListeParagraf"/>
        <w:ind w:left="709"/>
        <w:jc w:val="left"/>
        <w:rPr>
          <w:rFonts w:ascii="Times New Roman" w:hAnsi="Times New Roman"/>
        </w:rPr>
      </w:pPr>
    </w:p>
    <w:p w14:paraId="0853FBA2"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(1) License holder legal entities who are affected by the amendments made within the scope of clauses (b) and (g) of the second paragraph of Article 6 and the Regulation establishing this article and who want to apply to the Capacity Mechanism in 2021 shall apply to the System Operator within 15 days from the date of publication of this article and the plants of the legal entities whose applications are approved shall be added to the list of facilities that will benefit from the capacity mechanism as of the date of application. "</w:t>
      </w:r>
    </w:p>
    <w:p w14:paraId="18E93AA3" w14:textId="77777777" w:rsidR="00171C59" w:rsidRPr="009E1B38" w:rsidRDefault="00171C59" w:rsidP="00171C59">
      <w:pPr>
        <w:pStyle w:val="ListeParagraf"/>
        <w:ind w:left="709"/>
        <w:jc w:val="left"/>
        <w:rPr>
          <w:rFonts w:ascii="Times New Roman" w:hAnsi="Times New Roman"/>
          <w:i/>
        </w:rPr>
      </w:pPr>
    </w:p>
    <w:p w14:paraId="467B4F50" w14:textId="77777777" w:rsidR="00171C59" w:rsidRPr="009E1B38" w:rsidRDefault="00171C59" w:rsidP="003C5E4D">
      <w:pPr>
        <w:pStyle w:val="ListeParagraf"/>
        <w:numPr>
          <w:ilvl w:val="0"/>
          <w:numId w:val="91"/>
        </w:numPr>
        <w:spacing w:after="160" w:line="259" w:lineRule="auto"/>
        <w:ind w:left="709" w:firstLine="0"/>
        <w:jc w:val="left"/>
        <w:rPr>
          <w:rFonts w:ascii="Times New Roman" w:hAnsi="Times New Roman"/>
          <w:i/>
        </w:rPr>
      </w:pPr>
      <w:r w:rsidRPr="009E1B38">
        <w:rPr>
          <w:rFonts w:ascii="Times New Roman" w:hAnsi="Times New Roman"/>
          <w:i/>
        </w:rPr>
        <w:t>The Amendment Regulation published in the Official Gazette dated 21.05.2021 and numbered 31487 and the Regulation on ​Renewable Energy Source Guarantee of origin Certificate in the Electricity Market ​</w:t>
      </w:r>
    </w:p>
    <w:p w14:paraId="039E9093" w14:textId="77777777" w:rsidR="00171C59" w:rsidRPr="009E1B38" w:rsidRDefault="00171C59" w:rsidP="00171C59">
      <w:pPr>
        <w:pStyle w:val="ListeParagraf"/>
        <w:ind w:left="709"/>
        <w:jc w:val="left"/>
        <w:rPr>
          <w:rFonts w:ascii="Times New Roman" w:hAnsi="Times New Roman"/>
          <w:i/>
        </w:rPr>
      </w:pPr>
    </w:p>
    <w:p w14:paraId="751D0914"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phrase</w:t>
      </w:r>
      <w:r w:rsidRPr="009E1B38">
        <w:rPr>
          <w:rFonts w:ascii="Times New Roman" w:hAnsi="Times New Roman"/>
          <w:i/>
        </w:rPr>
        <w:t xml:space="preserve"> "Presidential decree, Presidential decree," </w:t>
      </w:r>
      <w:r w:rsidRPr="009E1B38">
        <w:rPr>
          <w:rFonts w:ascii="Times New Roman" w:hAnsi="Times New Roman"/>
        </w:rPr>
        <w:t>has been added after the</w:t>
      </w:r>
      <w:r w:rsidRPr="009E1B38">
        <w:rPr>
          <w:rFonts w:ascii="Times New Roman" w:hAnsi="Times New Roman"/>
          <w:i/>
        </w:rPr>
        <w:t xml:space="preserve"> </w:t>
      </w:r>
      <w:r w:rsidRPr="009E1B38">
        <w:rPr>
          <w:rFonts w:ascii="Times New Roman" w:hAnsi="Times New Roman"/>
        </w:rPr>
        <w:t>phrase</w:t>
      </w:r>
      <w:r w:rsidRPr="009E1B38">
        <w:rPr>
          <w:rFonts w:ascii="Times New Roman" w:hAnsi="Times New Roman"/>
          <w:i/>
        </w:rPr>
        <w:t xml:space="preserve"> “law,”​ </w:t>
      </w:r>
      <w:r w:rsidRPr="009E1B38">
        <w:rPr>
          <w:rFonts w:ascii="Times New Roman" w:hAnsi="Times New Roman"/>
        </w:rPr>
        <w:t xml:space="preserve">in the clause (h) of the first paragraph of Article 4 titled </w:t>
      </w:r>
      <w:r w:rsidRPr="009E1B38">
        <w:rPr>
          <w:rFonts w:ascii="Times New Roman" w:hAnsi="Times New Roman"/>
          <w:i/>
        </w:rPr>
        <w:t xml:space="preserve">​"Definitions and abbreviations ​", </w:t>
      </w:r>
      <w:r w:rsidRPr="009E1B38">
        <w:rPr>
          <w:rFonts w:ascii="Times New Roman" w:hAnsi="Times New Roman"/>
        </w:rPr>
        <w:t>and the phrase</w:t>
      </w:r>
      <w:r w:rsidRPr="009E1B38">
        <w:rPr>
          <w:rFonts w:ascii="Times New Roman" w:hAnsi="Times New Roman"/>
          <w:i/>
        </w:rPr>
        <w:t xml:space="preserve"> "gas​ obtained from biomass (including garbage gas)" </w:t>
      </w:r>
      <w:r w:rsidRPr="009E1B38">
        <w:rPr>
          <w:rFonts w:ascii="Times New Roman" w:hAnsi="Times New Roman"/>
        </w:rPr>
        <w:t>and</w:t>
      </w:r>
      <w:r w:rsidRPr="009E1B38">
        <w:rPr>
          <w:rFonts w:ascii="Times New Roman" w:hAnsi="Times New Roman"/>
          <w:i/>
        </w:rPr>
        <w:t xml:space="preserve"> "energy" </w:t>
      </w:r>
      <w:r w:rsidRPr="009E1B38">
        <w:rPr>
          <w:rFonts w:ascii="Times New Roman" w:hAnsi="Times New Roman"/>
        </w:rPr>
        <w:t>in the clause (ıı) of the same paragraph have been repealed and the following paragraph has been added to the same paragraph.</w:t>
      </w:r>
    </w:p>
    <w:p w14:paraId="75F22E83" w14:textId="77777777" w:rsidR="00171C59" w:rsidRPr="009E1B38" w:rsidRDefault="00171C59" w:rsidP="00171C59">
      <w:pPr>
        <w:pStyle w:val="ListeParagraf"/>
        <w:ind w:left="709"/>
        <w:jc w:val="left"/>
        <w:rPr>
          <w:rFonts w:ascii="Times New Roman" w:hAnsi="Times New Roman"/>
        </w:rPr>
      </w:pPr>
    </w:p>
    <w:p w14:paraId="66EF474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“jj) Session: The time period when contracts are open for trading,”</w:t>
      </w:r>
    </w:p>
    <w:p w14:paraId="048F74F3" w14:textId="77777777" w:rsidR="00171C59" w:rsidRPr="009E1B38" w:rsidRDefault="00171C59" w:rsidP="00171C59">
      <w:pPr>
        <w:pStyle w:val="ListeParagraf"/>
        <w:ind w:left="709"/>
        <w:jc w:val="left"/>
        <w:rPr>
          <w:rFonts w:ascii="Times New Roman" w:hAnsi="Times New Roman"/>
          <w:i/>
        </w:rPr>
      </w:pPr>
    </w:p>
    <w:p w14:paraId="0E863A30"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i/>
        </w:rPr>
      </w:pPr>
      <w:r w:rsidRPr="009E1B38">
        <w:rPr>
          <w:rFonts w:ascii="Times New Roman" w:hAnsi="Times New Roman"/>
        </w:rPr>
        <w:t>The following sentence has been added to clause (b) of the second paragraph of Article 8​ titled</w:t>
      </w:r>
      <w:r w:rsidRPr="009E1B38">
        <w:rPr>
          <w:rFonts w:ascii="Times New Roman" w:hAnsi="Times New Roman"/>
          <w:i/>
        </w:rPr>
        <w:t xml:space="preserve"> "Rights and Obligations of Market Operator​ ".</w:t>
      </w:r>
    </w:p>
    <w:p w14:paraId="4E7307D9" w14:textId="77777777" w:rsidR="00171C59" w:rsidRPr="009E1B38" w:rsidRDefault="00171C59" w:rsidP="00171C59">
      <w:pPr>
        <w:pStyle w:val="ListeParagraf"/>
        <w:ind w:left="709"/>
        <w:jc w:val="left"/>
        <w:rPr>
          <w:rFonts w:ascii="Times New Roman" w:hAnsi="Times New Roman"/>
          <w:i/>
        </w:rPr>
      </w:pPr>
    </w:p>
    <w:p w14:paraId="2E00E37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"The provisions of Article 16 shall apply in case of failure and maintenance that may occur in YEK-G system and organized YEK-G market."</w:t>
      </w:r>
    </w:p>
    <w:p w14:paraId="7322A7E3" w14:textId="77777777" w:rsidR="00171C59" w:rsidRPr="009E1B38" w:rsidRDefault="00171C59" w:rsidP="00171C59">
      <w:pPr>
        <w:pStyle w:val="ListeParagraf"/>
        <w:ind w:left="709"/>
        <w:jc w:val="left"/>
        <w:rPr>
          <w:rFonts w:ascii="Times New Roman" w:hAnsi="Times New Roman"/>
          <w:i/>
        </w:rPr>
      </w:pPr>
    </w:p>
    <w:p w14:paraId="138FAC00"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The following provisional articles have been added to the same Regulation.</w:t>
      </w:r>
    </w:p>
    <w:p w14:paraId="09C62B49" w14:textId="77777777" w:rsidR="00171C59" w:rsidRPr="009E1B38" w:rsidRDefault="00171C59" w:rsidP="00171C59">
      <w:pPr>
        <w:pStyle w:val="ListeParagraf"/>
        <w:ind w:left="709"/>
        <w:jc w:val="left"/>
        <w:rPr>
          <w:rFonts w:ascii="Times New Roman" w:hAnsi="Times New Roman"/>
        </w:rPr>
      </w:pPr>
    </w:p>
    <w:p w14:paraId="1277343D"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“Transitional period issuance transactions</w:t>
      </w:r>
    </w:p>
    <w:p w14:paraId="021BBBCA" w14:textId="77777777" w:rsidR="00171C59" w:rsidRPr="009E1B38" w:rsidRDefault="00171C59" w:rsidP="00171C59">
      <w:pPr>
        <w:pStyle w:val="ListeParagraf"/>
        <w:ind w:left="709"/>
        <w:jc w:val="left"/>
        <w:rPr>
          <w:rFonts w:ascii="Times New Roman" w:hAnsi="Times New Roman"/>
          <w:b/>
          <w:i/>
        </w:rPr>
      </w:pPr>
    </w:p>
    <w:p w14:paraId="7CFFEDA0"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2</w:t>
      </w:r>
    </w:p>
    <w:p w14:paraId="014C0AA4" w14:textId="77777777" w:rsidR="00171C59" w:rsidRPr="009E1B38" w:rsidRDefault="00171C59" w:rsidP="00171C59">
      <w:pPr>
        <w:pStyle w:val="ListeParagraf"/>
        <w:ind w:left="709"/>
        <w:jc w:val="left"/>
        <w:rPr>
          <w:rFonts w:ascii="Times New Roman" w:hAnsi="Times New Roman"/>
          <w:b/>
          <w:i/>
        </w:rPr>
      </w:pPr>
    </w:p>
    <w:p w14:paraId="5D40F53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Market Operator shall calculate the amount of documentable generation for the generations performed by YEK-G system users between the dates of 1/3/2021-31/5/2021 as of the date of publication of the final settlement notification in May 2021 within the scope of DUY and announce it to the relevant YEK-G system users via MMS (Market Management System).</w:t>
      </w:r>
      <w:r w:rsidRPr="009E1B38">
        <w:rPr>
          <w:rFonts w:ascii="Times New Roman" w:hAnsi="Times New Roman"/>
        </w:rPr>
        <w:t xml:space="preserve"> </w:t>
      </w:r>
      <w:r w:rsidRPr="009E1B38">
        <w:rPr>
          <w:rFonts w:ascii="Times New Roman" w:hAnsi="Times New Roman"/>
          <w:i/>
        </w:rPr>
        <w:t>YEK-G system users may request YEK-G certificate to be issued to the Market Operator following the notification of the documentable generation amounts calculated by the Market Operator within the scope of this paragraph.</w:t>
      </w:r>
    </w:p>
    <w:p w14:paraId="200B3ACF" w14:textId="77777777" w:rsidR="00171C59" w:rsidRPr="009E1B38" w:rsidRDefault="00171C59" w:rsidP="00171C59">
      <w:pPr>
        <w:pStyle w:val="ListeParagraf"/>
        <w:ind w:left="709"/>
        <w:jc w:val="left"/>
        <w:rPr>
          <w:rFonts w:ascii="Times New Roman" w:hAnsi="Times New Roman"/>
          <w:i/>
        </w:rPr>
      </w:pPr>
    </w:p>
    <w:p w14:paraId="69DBEC9E"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Transition period redemption transactions</w:t>
      </w:r>
    </w:p>
    <w:p w14:paraId="351145F0" w14:textId="77777777" w:rsidR="00171C59" w:rsidRPr="009E1B38" w:rsidRDefault="00171C59" w:rsidP="00171C59">
      <w:pPr>
        <w:pStyle w:val="ListeParagraf"/>
        <w:ind w:left="709"/>
        <w:jc w:val="left"/>
        <w:rPr>
          <w:rFonts w:ascii="Times New Roman" w:hAnsi="Times New Roman"/>
          <w:b/>
          <w:i/>
        </w:rPr>
      </w:pPr>
    </w:p>
    <w:p w14:paraId="72B4C82C"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PROVISIONAL ARTICLE 3</w:t>
      </w:r>
    </w:p>
    <w:p w14:paraId="1C7044D6" w14:textId="77777777" w:rsidR="00171C59" w:rsidRPr="009E1B38" w:rsidRDefault="00171C59" w:rsidP="00171C59">
      <w:pPr>
        <w:pStyle w:val="ListeParagraf"/>
        <w:ind w:left="709"/>
        <w:jc w:val="left"/>
        <w:rPr>
          <w:rFonts w:ascii="Times New Roman" w:hAnsi="Times New Roman"/>
          <w:b/>
          <w:i/>
        </w:rPr>
      </w:pPr>
    </w:p>
    <w:p w14:paraId="1A0D7B2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YEK-G documents to be redeemed due to the consumption of consumers between 1/1/2021-31/5/2021 shall be subject to redemption notification by the suppliers as of the date of publication of the final settlement notification within the scope of DUY 2021. "</w:t>
      </w:r>
    </w:p>
    <w:p w14:paraId="123AE7A8" w14:textId="77777777" w:rsidR="00171C59" w:rsidRPr="009E1B38" w:rsidRDefault="00171C59" w:rsidP="00171C59">
      <w:pPr>
        <w:pStyle w:val="ListeParagraf"/>
        <w:ind w:left="709"/>
        <w:jc w:val="left"/>
        <w:rPr>
          <w:rFonts w:ascii="Times New Roman" w:hAnsi="Times New Roman"/>
          <w:i/>
        </w:rPr>
      </w:pPr>
    </w:p>
    <w:p w14:paraId="78D5D2FF" w14:textId="77777777" w:rsidR="00171C59" w:rsidRPr="009E1B38" w:rsidRDefault="00171C59" w:rsidP="003C5E4D">
      <w:pPr>
        <w:pStyle w:val="ListeParagraf"/>
        <w:numPr>
          <w:ilvl w:val="0"/>
          <w:numId w:val="91"/>
        </w:numPr>
        <w:spacing w:after="160" w:line="259" w:lineRule="auto"/>
        <w:ind w:left="709" w:firstLine="0"/>
        <w:jc w:val="left"/>
        <w:rPr>
          <w:rFonts w:ascii="Times New Roman" w:hAnsi="Times New Roman"/>
        </w:rPr>
      </w:pPr>
      <w:r w:rsidRPr="009E1B38">
        <w:rPr>
          <w:rFonts w:ascii="Times New Roman" w:hAnsi="Times New Roman"/>
        </w:rPr>
        <w:t xml:space="preserve">The Amendment Regulation published in the Official Gazette dated 19.08.2021 and numbered 31573 and </w:t>
      </w:r>
      <w:r w:rsidRPr="009E1B38">
        <w:rPr>
          <w:rFonts w:ascii="Times New Roman" w:hAnsi="Times New Roman"/>
          <w:b/>
        </w:rPr>
        <w:t>the Regulation​ on the Certification and Support of Renewable Energy Sources​</w:t>
      </w:r>
    </w:p>
    <w:p w14:paraId="3E0C7EF7" w14:textId="77777777" w:rsidR="00171C59" w:rsidRPr="009E1B38" w:rsidRDefault="00171C59" w:rsidP="00171C59">
      <w:pPr>
        <w:pStyle w:val="ListeParagraf"/>
        <w:ind w:left="709"/>
        <w:jc w:val="left"/>
        <w:rPr>
          <w:rFonts w:ascii="Times New Roman" w:hAnsi="Times New Roman"/>
          <w:b/>
        </w:rPr>
      </w:pPr>
    </w:p>
    <w:p w14:paraId="006FAD2A"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lastRenderedPageBreak/>
        <w:t xml:space="preserve">The statements of </w:t>
      </w:r>
      <w:r w:rsidRPr="009E1B38">
        <w:rPr>
          <w:rFonts w:ascii="Times New Roman" w:hAnsi="Times New Roman"/>
          <w:i/>
        </w:rPr>
        <w:t>“31 October"</w:t>
      </w:r>
      <w:r w:rsidRPr="009E1B38">
        <w:rPr>
          <w:rFonts w:ascii="Times New Roman" w:hAnsi="Times New Roman"/>
        </w:rPr>
        <w:t xml:space="preserve"> in the first, second and fourth paragraphs of Article 5 titled </w:t>
      </w:r>
      <w:r w:rsidRPr="009E1B38">
        <w:rPr>
          <w:rFonts w:ascii="Times New Roman" w:hAnsi="Times New Roman"/>
          <w:i/>
        </w:rPr>
        <w:t>“Registration applications to YEKDEM​"</w:t>
      </w:r>
      <w:r w:rsidRPr="009E1B38">
        <w:rPr>
          <w:rFonts w:ascii="Times New Roman" w:hAnsi="Times New Roman"/>
        </w:rPr>
        <w:t xml:space="preserve"> have been changed to </w:t>
      </w:r>
      <w:r w:rsidRPr="009E1B38">
        <w:rPr>
          <w:rFonts w:ascii="Times New Roman" w:hAnsi="Times New Roman"/>
          <w:i/>
        </w:rPr>
        <w:t>"30 November”.</w:t>
      </w:r>
    </w:p>
    <w:p w14:paraId="5752D928" w14:textId="77777777" w:rsidR="00171C59" w:rsidRPr="009E1B38" w:rsidRDefault="00171C59" w:rsidP="00171C59">
      <w:pPr>
        <w:pStyle w:val="ListeParagraf"/>
        <w:ind w:left="709"/>
        <w:jc w:val="left"/>
        <w:rPr>
          <w:rFonts w:ascii="Times New Roman" w:hAnsi="Times New Roman"/>
        </w:rPr>
      </w:pPr>
    </w:p>
    <w:p w14:paraId="2061B684"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 xml:space="preserve">The phrase​  </w:t>
      </w:r>
      <w:r w:rsidRPr="009E1B38">
        <w:rPr>
          <w:rFonts w:ascii="Times New Roman" w:hAnsi="Times New Roman"/>
          <w:i/>
        </w:rPr>
        <w:t>"November"</w:t>
      </w:r>
      <w:r w:rsidRPr="009E1B38">
        <w:rPr>
          <w:rFonts w:ascii="Times New Roman" w:hAnsi="Times New Roman"/>
        </w:rPr>
        <w:t xml:space="preserve"> in the first paragraph of Article 6 titled​  </w:t>
      </w:r>
      <w:r w:rsidRPr="009E1B38">
        <w:rPr>
          <w:rFonts w:ascii="Times New Roman" w:hAnsi="Times New Roman"/>
          <w:i/>
        </w:rPr>
        <w:t>"Objections to YEKDEM registration applications and finalization of objections"​</w:t>
      </w:r>
      <w:r w:rsidRPr="009E1B38">
        <w:rPr>
          <w:rFonts w:ascii="Times New Roman" w:hAnsi="Times New Roman"/>
        </w:rPr>
        <w:t xml:space="preserve"> has been changed to </w:t>
      </w:r>
      <w:r w:rsidRPr="009E1B38">
        <w:rPr>
          <w:rFonts w:ascii="Times New Roman" w:hAnsi="Times New Roman"/>
          <w:i/>
        </w:rPr>
        <w:t>​"December"​.​​</w:t>
      </w:r>
    </w:p>
    <w:p w14:paraId="5FA3A2DE" w14:textId="77777777" w:rsidR="00171C59" w:rsidRPr="009E1B38" w:rsidRDefault="00171C59" w:rsidP="00171C59">
      <w:pPr>
        <w:pStyle w:val="ListeParagraf"/>
        <w:ind w:left="709"/>
        <w:jc w:val="left"/>
        <w:rPr>
          <w:rFonts w:ascii="Times New Roman" w:hAnsi="Times New Roman"/>
        </w:rPr>
      </w:pPr>
    </w:p>
    <w:p w14:paraId="23AC1257" w14:textId="77777777" w:rsidR="00171C59" w:rsidRPr="009E1B38" w:rsidRDefault="00171C59" w:rsidP="003C5E4D">
      <w:pPr>
        <w:pStyle w:val="ListeParagraf"/>
        <w:numPr>
          <w:ilvl w:val="0"/>
          <w:numId w:val="87"/>
        </w:numPr>
        <w:spacing w:after="160" w:line="259" w:lineRule="auto"/>
        <w:ind w:left="709" w:firstLine="0"/>
        <w:jc w:val="left"/>
        <w:rPr>
          <w:rFonts w:ascii="Times New Roman" w:hAnsi="Times New Roman"/>
        </w:rPr>
      </w:pPr>
      <w:r w:rsidRPr="009E1B38">
        <w:rPr>
          <w:rFonts w:ascii="Times New Roman" w:hAnsi="Times New Roman"/>
        </w:rPr>
        <w:t xml:space="preserve">The phrase​  </w:t>
      </w:r>
      <w:r w:rsidRPr="009E1B38">
        <w:rPr>
          <w:rFonts w:ascii="Times New Roman" w:hAnsi="Times New Roman"/>
          <w:i/>
        </w:rPr>
        <w:t>"30 November"</w:t>
      </w:r>
      <w:r w:rsidRPr="009E1B38">
        <w:rPr>
          <w:rFonts w:ascii="Times New Roman" w:hAnsi="Times New Roman"/>
        </w:rPr>
        <w:t xml:space="preserve"> in the first paragraph of Article 7 titled​  </w:t>
      </w:r>
      <w:r w:rsidRPr="009E1B38">
        <w:rPr>
          <w:rFonts w:ascii="Times New Roman" w:hAnsi="Times New Roman"/>
          <w:i/>
        </w:rPr>
        <w:t xml:space="preserve">"Finalization of RES support mechanism applications"​  </w:t>
      </w:r>
      <w:r w:rsidRPr="009E1B38">
        <w:rPr>
          <w:rFonts w:ascii="Times New Roman" w:hAnsi="Times New Roman"/>
        </w:rPr>
        <w:t>has been changed to “</w:t>
      </w:r>
      <w:r w:rsidRPr="009E1B38">
        <w:rPr>
          <w:rFonts w:ascii="Times New Roman" w:hAnsi="Times New Roman"/>
          <w:i/>
        </w:rPr>
        <w:t>31 December”.</w:t>
      </w:r>
    </w:p>
    <w:p w14:paraId="1B485878" w14:textId="77777777" w:rsidR="00171C59" w:rsidRPr="009E1B38" w:rsidRDefault="00171C59" w:rsidP="00171C59">
      <w:pPr>
        <w:pStyle w:val="ListeParagraf"/>
        <w:ind w:left="709"/>
        <w:jc w:val="left"/>
        <w:rPr>
          <w:rFonts w:ascii="Times New Roman" w:hAnsi="Times New Roman"/>
        </w:rPr>
      </w:pPr>
    </w:p>
    <w:p w14:paraId="4176A44C" w14:textId="4C2661FA" w:rsidR="00171C59" w:rsidRPr="009E1B38" w:rsidRDefault="00171C59" w:rsidP="003C5E4D">
      <w:pPr>
        <w:pStyle w:val="ListeParagraf"/>
        <w:numPr>
          <w:ilvl w:val="0"/>
          <w:numId w:val="91"/>
        </w:numPr>
        <w:spacing w:after="160" w:line="259" w:lineRule="auto"/>
        <w:ind w:left="709" w:firstLine="0"/>
        <w:jc w:val="left"/>
        <w:rPr>
          <w:rFonts w:ascii="Times New Roman" w:hAnsi="Times New Roman"/>
        </w:rPr>
      </w:pPr>
      <w:r w:rsidRPr="009E1B38">
        <w:rPr>
          <w:rFonts w:ascii="Times New Roman" w:hAnsi="Times New Roman"/>
        </w:rPr>
        <w:t xml:space="preserve">According to the Amendment Regulation published in the Official Gazette dated 31.10.2021 and numbered 31645 the section in the Amendment Regulation has been added to Annex 17 of </w:t>
      </w:r>
      <w:r w:rsidRPr="009E1B38">
        <w:rPr>
          <w:rFonts w:ascii="Times New Roman" w:hAnsi="Times New Roman"/>
          <w:b/>
        </w:rPr>
        <w:t xml:space="preserve">the Electricity Network Regulation </w:t>
      </w:r>
      <w:r w:rsidRPr="009E1B38">
        <w:rPr>
          <w:rFonts w:ascii="Times New Roman" w:hAnsi="Times New Roman"/>
        </w:rPr>
        <w:t>to come after section E.17.C.2.2.</w:t>
      </w:r>
    </w:p>
    <w:p w14:paraId="7F89D3FE" w14:textId="77777777" w:rsidR="00171C59" w:rsidRPr="009E1B38" w:rsidRDefault="00171C59" w:rsidP="00171C59">
      <w:pPr>
        <w:pStyle w:val="ListeParagraf"/>
        <w:ind w:left="709"/>
        <w:jc w:val="left"/>
        <w:rPr>
          <w:rFonts w:ascii="Times New Roman" w:hAnsi="Times New Roman"/>
        </w:rPr>
      </w:pPr>
    </w:p>
    <w:p w14:paraId="6596B60D" w14:textId="77777777" w:rsidR="00171C59" w:rsidRPr="009E1B38" w:rsidRDefault="00171C59" w:rsidP="003C5E4D">
      <w:pPr>
        <w:pStyle w:val="ListeParagraf"/>
        <w:numPr>
          <w:ilvl w:val="0"/>
          <w:numId w:val="91"/>
        </w:numPr>
        <w:spacing w:after="160" w:line="259" w:lineRule="auto"/>
        <w:ind w:left="709" w:firstLine="0"/>
        <w:jc w:val="left"/>
        <w:rPr>
          <w:rFonts w:ascii="Times New Roman" w:hAnsi="Times New Roman"/>
        </w:rPr>
      </w:pPr>
      <w:r w:rsidRPr="009E1B38">
        <w:rPr>
          <w:rFonts w:ascii="Times New Roman" w:hAnsi="Times New Roman"/>
        </w:rPr>
        <w:t xml:space="preserve">The Amendment Regulation published in the Official Gazette dated 31.10.2021 and numbered 31645 and </w:t>
      </w:r>
      <w:r w:rsidRPr="009E1B38">
        <w:rPr>
          <w:rFonts w:ascii="Times New Roman" w:hAnsi="Times New Roman"/>
          <w:b/>
        </w:rPr>
        <w:t>the Regulation on ​Unlicensed Electricity Generation in the Electricity  Market</w:t>
      </w:r>
    </w:p>
    <w:p w14:paraId="61D2F773" w14:textId="77777777" w:rsidR="00171C59" w:rsidRPr="009E1B38" w:rsidRDefault="00171C59" w:rsidP="00171C59">
      <w:pPr>
        <w:pStyle w:val="ListeParagraf"/>
        <w:ind w:left="709"/>
        <w:jc w:val="left"/>
        <w:rPr>
          <w:rFonts w:ascii="Times New Roman" w:hAnsi="Times New Roman"/>
        </w:rPr>
      </w:pPr>
    </w:p>
    <w:p w14:paraId="756BD1BD" w14:textId="77777777"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The ninth paragraph of Article 28​ titled</w:t>
      </w:r>
      <w:r w:rsidRPr="009E1B38">
        <w:rPr>
          <w:rFonts w:ascii="Times New Roman" w:hAnsi="Times New Roman"/>
          <w:i/>
        </w:rPr>
        <w:t xml:space="preserve"> "Consumption facilities"​ </w:t>
      </w:r>
      <w:r w:rsidRPr="009E1B38">
        <w:rPr>
          <w:rFonts w:ascii="Times New Roman" w:hAnsi="Times New Roman"/>
        </w:rPr>
        <w:t>has been rearranged as follows.</w:t>
      </w:r>
    </w:p>
    <w:p w14:paraId="445A2D21" w14:textId="77777777" w:rsidR="00171C59" w:rsidRPr="009E1B38" w:rsidRDefault="00171C59" w:rsidP="00171C59">
      <w:pPr>
        <w:pStyle w:val="ListeParagraf"/>
        <w:ind w:left="709"/>
        <w:jc w:val="left"/>
        <w:rPr>
          <w:rFonts w:ascii="Times New Roman" w:hAnsi="Times New Roman"/>
          <w:i/>
        </w:rPr>
      </w:pPr>
    </w:p>
    <w:p w14:paraId="5282335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"(9) Regarding the generation facilities that are completed and commissioned; in case there is no electricity consumption in the consumption facility or facilities associated with the generation facility, except for force majeure, the energy produced for the relevant month is deemed to have been produced by the authorized supply company and given to the system and no payment is made by the market operator and the authorized supply company in relation to this energy and the energy given to the system is taken into consideration as a free contribution to YEKDEM."</w:t>
      </w:r>
    </w:p>
    <w:p w14:paraId="67F95199" w14:textId="77777777" w:rsidR="00171C59" w:rsidRPr="009E1B38" w:rsidRDefault="00171C59" w:rsidP="00171C59">
      <w:pPr>
        <w:pStyle w:val="ListeParagraf"/>
        <w:ind w:left="709"/>
        <w:jc w:val="left"/>
        <w:rPr>
          <w:rFonts w:ascii="Times New Roman" w:hAnsi="Times New Roman"/>
          <w:i/>
        </w:rPr>
      </w:pPr>
    </w:p>
    <w:p w14:paraId="62BC3A1D" w14:textId="77777777" w:rsidR="00171C59" w:rsidRPr="009E1B38" w:rsidRDefault="00171C59" w:rsidP="003C5E4D">
      <w:pPr>
        <w:pStyle w:val="ListeParagraf"/>
        <w:numPr>
          <w:ilvl w:val="0"/>
          <w:numId w:val="94"/>
        </w:numPr>
        <w:spacing w:after="160" w:line="259" w:lineRule="auto"/>
        <w:ind w:left="709" w:firstLine="0"/>
        <w:jc w:val="left"/>
        <w:rPr>
          <w:rFonts w:ascii="Times New Roman" w:hAnsi="Times New Roman"/>
        </w:rPr>
      </w:pPr>
      <w:r w:rsidRPr="009E1B38">
        <w:rPr>
          <w:rFonts w:ascii="Times New Roman" w:hAnsi="Times New Roman"/>
        </w:rPr>
        <w:t xml:space="preserve">The Electricity Market Capacity Mechanism Regulation, which was published in the Official Gazette dated 18.12.2021 and numbered 31693 and the purpose of which is to determine the rules regarding the capacity mechanism to be operated by the System Operator in order to create sufficient installed power capacity, including the necessary spare capacity, to ensure supply security in the electricity market and/or to maintain the reliable installed power capacity to ensure long-term system security, has been published and the said regulation has repealed </w:t>
      </w:r>
      <w:r w:rsidRPr="009E1B38">
        <w:rPr>
          <w:rFonts w:ascii="Times New Roman" w:hAnsi="Times New Roman"/>
          <w:b/>
        </w:rPr>
        <w:t>the ​Electricity Market Capacity Mechanism Regulation</w:t>
      </w:r>
      <w:r w:rsidRPr="009E1B38">
        <w:rPr>
          <w:rFonts w:ascii="Times New Roman" w:hAnsi="Times New Roman"/>
        </w:rPr>
        <w:t xml:space="preserve"> ​published in the Official Gazette dated 20.1.2018 and numbered 30307 and the regulation has entered into force as of 01.01.2022.</w:t>
      </w:r>
    </w:p>
    <w:p w14:paraId="6A0E5B13" w14:textId="77777777" w:rsidR="00171C59" w:rsidRPr="009E1B38" w:rsidRDefault="00171C59" w:rsidP="00171C59">
      <w:pPr>
        <w:pStyle w:val="ListeParagraf"/>
        <w:ind w:left="709"/>
        <w:jc w:val="left"/>
        <w:rPr>
          <w:rFonts w:ascii="Times New Roman" w:hAnsi="Times New Roman"/>
        </w:rPr>
      </w:pPr>
    </w:p>
    <w:p w14:paraId="43C8E15C" w14:textId="77777777" w:rsidR="00171C59" w:rsidRPr="009E1B38" w:rsidRDefault="00171C59" w:rsidP="00171C59">
      <w:pPr>
        <w:pStyle w:val="ListeParagraf"/>
        <w:ind w:left="709"/>
        <w:jc w:val="left"/>
        <w:rPr>
          <w:rFonts w:ascii="Times New Roman" w:hAnsi="Times New Roman"/>
        </w:rPr>
      </w:pPr>
    </w:p>
    <w:p w14:paraId="0C7A7120" w14:textId="77777777" w:rsidR="00171C59" w:rsidRPr="009E1B38" w:rsidRDefault="00171C59" w:rsidP="00171C59">
      <w:pPr>
        <w:pStyle w:val="ListeParagraf"/>
        <w:ind w:left="709"/>
        <w:jc w:val="left"/>
        <w:rPr>
          <w:rFonts w:ascii="Times New Roman" w:hAnsi="Times New Roman"/>
        </w:rPr>
      </w:pPr>
    </w:p>
    <w:p w14:paraId="50527EEA" w14:textId="77777777" w:rsidR="00171C59" w:rsidRPr="009E1B38" w:rsidRDefault="00171C59" w:rsidP="00171C59">
      <w:pPr>
        <w:pStyle w:val="ListeParagraf"/>
        <w:ind w:left="709"/>
        <w:jc w:val="left"/>
        <w:rPr>
          <w:rFonts w:ascii="Times New Roman" w:hAnsi="Times New Roman"/>
          <w:b/>
        </w:rPr>
      </w:pPr>
      <w:r w:rsidRPr="009E1B38">
        <w:rPr>
          <w:rFonts w:ascii="Times New Roman" w:hAnsi="Times New Roman"/>
          <w:b/>
        </w:rPr>
        <w:t>2.1.1    Communiqués</w:t>
      </w:r>
    </w:p>
    <w:p w14:paraId="07DBA9E2" w14:textId="77777777" w:rsidR="00171C59" w:rsidRPr="009E1B38" w:rsidRDefault="00171C59" w:rsidP="00171C59">
      <w:pPr>
        <w:pStyle w:val="ListeParagraf"/>
        <w:ind w:left="709"/>
        <w:jc w:val="left"/>
        <w:rPr>
          <w:rFonts w:ascii="Times New Roman" w:hAnsi="Times New Roman"/>
          <w:b/>
        </w:rPr>
      </w:pPr>
    </w:p>
    <w:p w14:paraId="1110F289"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In 2021, the following communiqué studies were carried out in the electricity market:</w:t>
      </w:r>
    </w:p>
    <w:p w14:paraId="5235246C" w14:textId="77777777" w:rsidR="00171C59" w:rsidRPr="009E1B38" w:rsidRDefault="00171C59" w:rsidP="00171C59">
      <w:pPr>
        <w:pStyle w:val="ListeParagraf"/>
        <w:ind w:left="709"/>
        <w:jc w:val="left"/>
        <w:rPr>
          <w:rFonts w:ascii="Times New Roman" w:hAnsi="Times New Roman"/>
        </w:rPr>
      </w:pPr>
    </w:p>
    <w:p w14:paraId="5BC314FB" w14:textId="77777777" w:rsidR="00171C59" w:rsidRPr="009E1B38" w:rsidRDefault="00171C59" w:rsidP="00171C59">
      <w:pPr>
        <w:pStyle w:val="ListeParagraf"/>
        <w:ind w:left="709"/>
        <w:jc w:val="left"/>
        <w:rPr>
          <w:rFonts w:ascii="Times New Roman" w:hAnsi="Times New Roman"/>
        </w:rPr>
      </w:pPr>
    </w:p>
    <w:p w14:paraId="6608C18A" w14:textId="77777777" w:rsidR="00171C59" w:rsidRPr="009E1B38" w:rsidRDefault="00171C59" w:rsidP="003C5E4D">
      <w:pPr>
        <w:pStyle w:val="ListeParagraf"/>
        <w:numPr>
          <w:ilvl w:val="0"/>
          <w:numId w:val="94"/>
        </w:numPr>
        <w:spacing w:after="160" w:line="259" w:lineRule="auto"/>
        <w:ind w:left="709" w:firstLine="0"/>
        <w:jc w:val="left"/>
        <w:rPr>
          <w:rFonts w:ascii="Times New Roman" w:hAnsi="Times New Roman"/>
        </w:rPr>
      </w:pPr>
      <w:r w:rsidRPr="009E1B38">
        <w:rPr>
          <w:rFonts w:ascii="Times New Roman" w:hAnsi="Times New Roman"/>
        </w:rPr>
        <w:t>The Communiqué published in the Official Gazette dated 03.12.2021 and numbered 31678 and the Communiqué on the Notification and Collection Procedure of the Annual License Fee and Participation Share to be Paid by the License and Certified Legal Entities Operating in the Electricity and Natural Gas Market have been​ repealed.</w:t>
      </w:r>
    </w:p>
    <w:p w14:paraId="78F5BB99" w14:textId="77777777" w:rsidR="00171C59" w:rsidRPr="009E1B38" w:rsidRDefault="00171C59" w:rsidP="00171C59">
      <w:pPr>
        <w:pStyle w:val="ListeParagraf"/>
        <w:ind w:left="709"/>
        <w:jc w:val="left"/>
        <w:rPr>
          <w:rFonts w:ascii="Times New Roman" w:hAnsi="Times New Roman"/>
        </w:rPr>
      </w:pPr>
    </w:p>
    <w:p w14:paraId="062ACF14" w14:textId="77777777" w:rsidR="00171C59" w:rsidRPr="009E1B38" w:rsidRDefault="00171C59" w:rsidP="003C5E4D">
      <w:pPr>
        <w:pStyle w:val="ListeParagraf"/>
        <w:numPr>
          <w:ilvl w:val="0"/>
          <w:numId w:val="94"/>
        </w:numPr>
        <w:spacing w:after="160" w:line="259" w:lineRule="auto"/>
        <w:ind w:left="709" w:firstLine="0"/>
        <w:jc w:val="left"/>
        <w:rPr>
          <w:rFonts w:ascii="Times New Roman" w:hAnsi="Times New Roman"/>
        </w:rPr>
      </w:pPr>
      <w:r w:rsidRPr="009E1B38">
        <w:rPr>
          <w:rFonts w:ascii="Times New Roman" w:hAnsi="Times New Roman"/>
        </w:rPr>
        <w:t xml:space="preserve">Administrative fines to be applied in 2022 have been determined with the Communiqué dated 09.12.2021 and numbered 10618-1, the purpose of which is to increase and reprice the administrative </w:t>
      </w:r>
      <w:r w:rsidRPr="009E1B38">
        <w:rPr>
          <w:rFonts w:ascii="Times New Roman" w:hAnsi="Times New Roman"/>
        </w:rPr>
        <w:lastRenderedPageBreak/>
        <w:t>fines issued in Article 16 of the Electricity Market Law dated 14.3.2013 and numbered 6446 published in the Official Gazette dated 17.12.2021 and numbered 31692 by 36.20% (thirty-six point twenty) determined as the revaluation rate for 2021 in the General Communiqué of the Tax Procedure Law (item no:533) published in the Official Gazette dated 27.11.2021 and numbered 31672.</w:t>
      </w:r>
    </w:p>
    <w:p w14:paraId="3356D45C" w14:textId="77777777" w:rsidR="00171C59" w:rsidRPr="009E1B38" w:rsidRDefault="00171C59" w:rsidP="00171C59">
      <w:pPr>
        <w:pStyle w:val="ListeParagraf"/>
        <w:ind w:left="709"/>
        <w:jc w:val="left"/>
        <w:rPr>
          <w:rFonts w:ascii="Times New Roman" w:hAnsi="Times New Roman"/>
        </w:rPr>
      </w:pPr>
    </w:p>
    <w:p w14:paraId="251D99B3" w14:textId="77777777" w:rsidR="00171C59" w:rsidRPr="009E1B38" w:rsidRDefault="00171C59" w:rsidP="00171C59">
      <w:pPr>
        <w:pStyle w:val="ListeParagraf"/>
        <w:ind w:left="709"/>
        <w:jc w:val="left"/>
        <w:rPr>
          <w:rFonts w:ascii="Times New Roman" w:hAnsi="Times New Roman"/>
        </w:rPr>
      </w:pPr>
    </w:p>
    <w:p w14:paraId="7B9E3E6B" w14:textId="77777777" w:rsidR="00171C59" w:rsidRPr="009E1B38" w:rsidRDefault="00171C59" w:rsidP="00171C59">
      <w:pPr>
        <w:pStyle w:val="ListeParagraf"/>
        <w:ind w:left="709"/>
        <w:jc w:val="left"/>
        <w:rPr>
          <w:rFonts w:ascii="Times New Roman" w:hAnsi="Times New Roman"/>
        </w:rPr>
      </w:pPr>
    </w:p>
    <w:p w14:paraId="00CD7946" w14:textId="77777777" w:rsidR="00171C59" w:rsidRPr="009E1B38" w:rsidRDefault="00171C59" w:rsidP="00171C59">
      <w:pPr>
        <w:ind w:left="709"/>
        <w:jc w:val="left"/>
        <w:rPr>
          <w:rFonts w:ascii="Times New Roman" w:hAnsi="Times New Roman"/>
          <w:b/>
        </w:rPr>
      </w:pPr>
      <w:r w:rsidRPr="009E1B38">
        <w:rPr>
          <w:rFonts w:ascii="Times New Roman" w:hAnsi="Times New Roman"/>
          <w:b/>
        </w:rPr>
        <w:t>2.1.2 Board Decisions</w:t>
      </w:r>
    </w:p>
    <w:p w14:paraId="65B22335" w14:textId="77777777" w:rsidR="00171C59" w:rsidRPr="009E1B38" w:rsidRDefault="00171C59" w:rsidP="00171C59">
      <w:pPr>
        <w:ind w:left="709"/>
        <w:jc w:val="left"/>
        <w:rPr>
          <w:rFonts w:ascii="Times New Roman" w:hAnsi="Times New Roman"/>
          <w:b/>
        </w:rPr>
      </w:pPr>
    </w:p>
    <w:p w14:paraId="7DFD8B9B" w14:textId="77777777" w:rsidR="00171C59" w:rsidRPr="009E1B38" w:rsidRDefault="00171C59" w:rsidP="00171C59">
      <w:pPr>
        <w:ind w:left="709"/>
        <w:jc w:val="left"/>
        <w:rPr>
          <w:rFonts w:ascii="Times New Roman" w:hAnsi="Times New Roman"/>
        </w:rPr>
      </w:pPr>
      <w:r w:rsidRPr="009E1B38">
        <w:rPr>
          <w:rFonts w:ascii="Times New Roman" w:hAnsi="Times New Roman"/>
        </w:rPr>
        <w:t>In 2021, the following Board Decisions were established as a regulatory procedure in the electricity market:</w:t>
      </w:r>
    </w:p>
    <w:p w14:paraId="02E1BF6F" w14:textId="77777777" w:rsidR="00171C59" w:rsidRPr="009E1B38" w:rsidRDefault="00171C59" w:rsidP="00171C59">
      <w:pPr>
        <w:ind w:left="709"/>
        <w:jc w:val="left"/>
        <w:rPr>
          <w:rFonts w:ascii="Times New Roman" w:hAnsi="Times New Roman"/>
        </w:rPr>
      </w:pPr>
    </w:p>
    <w:p w14:paraId="2979BE32" w14:textId="77777777" w:rsidR="00171C59" w:rsidRPr="009E1B38" w:rsidRDefault="00171C59" w:rsidP="003C5E4D">
      <w:pPr>
        <w:pStyle w:val="ListeParagraf"/>
        <w:numPr>
          <w:ilvl w:val="0"/>
          <w:numId w:val="95"/>
        </w:numPr>
        <w:spacing w:after="160" w:line="259" w:lineRule="auto"/>
        <w:ind w:left="709" w:firstLine="0"/>
        <w:jc w:val="left"/>
        <w:rPr>
          <w:rFonts w:ascii="Times New Roman" w:hAnsi="Times New Roman"/>
        </w:rPr>
      </w:pPr>
      <w:r w:rsidRPr="009E1B38">
        <w:rPr>
          <w:rFonts w:ascii="Times New Roman" w:hAnsi="Times New Roman"/>
        </w:rPr>
        <w:t>Pursuant to the Board Decision dated 16.12.2021 and numbered 10623 published in the Official Gazette dated 22.12.2021 and numbered 31697, it was decided to apply the eligible consumer limit for the year 2022 as 1.100 kWh in accordance with the provisions of clause (b) of the sixth paragraph of Article 5 of the Law on the Organization and Duties of the Energy Market Regulatory Authority and Article 41 of the Electricity Market Consumer Services Regulation. The theoretical market openness rate corresponding to this limit was calculated as 98.1%.</w:t>
      </w:r>
    </w:p>
    <w:p w14:paraId="3E8258D6" w14:textId="77777777" w:rsidR="00171C59" w:rsidRPr="009E1B38" w:rsidRDefault="00171C59" w:rsidP="00171C59">
      <w:pPr>
        <w:pStyle w:val="ListeParagraf"/>
        <w:ind w:left="709"/>
        <w:jc w:val="left"/>
        <w:rPr>
          <w:rFonts w:ascii="Times New Roman" w:hAnsi="Times New Roman"/>
        </w:rPr>
      </w:pPr>
    </w:p>
    <w:p w14:paraId="2996DDF7" w14:textId="77777777" w:rsidR="00171C59" w:rsidRPr="009E1B38" w:rsidRDefault="00171C59" w:rsidP="00171C59">
      <w:pPr>
        <w:pStyle w:val="ListeParagraf"/>
        <w:ind w:left="709"/>
        <w:jc w:val="left"/>
        <w:rPr>
          <w:rFonts w:ascii="Times New Roman" w:hAnsi="Times New Roman"/>
        </w:rPr>
      </w:pPr>
    </w:p>
    <w:p w14:paraId="1BCE0681" w14:textId="6AA59E69" w:rsidR="00171C59" w:rsidRPr="009E1B38" w:rsidRDefault="00171C59" w:rsidP="00171C59">
      <w:pPr>
        <w:pStyle w:val="ListeParagraf"/>
        <w:ind w:left="709"/>
        <w:jc w:val="left"/>
        <w:rPr>
          <w:rFonts w:ascii="Times New Roman" w:hAnsi="Times New Roman"/>
        </w:rPr>
      </w:pPr>
      <w:r w:rsidRPr="009E1B38">
        <w:rPr>
          <w:rFonts w:ascii="Times New Roman" w:hAnsi="Times New Roman"/>
        </w:rPr>
        <w:t>The change in the eligible consumer limit in the electricity market over the</w:t>
      </w:r>
      <w:r w:rsidR="00A32D13" w:rsidRPr="009E1B38">
        <w:rPr>
          <w:rFonts w:ascii="Times New Roman" w:hAnsi="Times New Roman"/>
        </w:rPr>
        <w:t>​</w:t>
      </w:r>
      <w:r w:rsidR="00A32D13">
        <w:rPr>
          <w:rFonts w:ascii="Times New Roman" w:hAnsi="Times New Roman"/>
        </w:rPr>
        <w:t xml:space="preserve"> </w:t>
      </w:r>
      <w:r w:rsidR="00A32D13" w:rsidRPr="009E1B38">
        <w:rPr>
          <w:rFonts w:ascii="Times New Roman" w:hAnsi="Times New Roman"/>
        </w:rPr>
        <w:t>years</w:t>
      </w:r>
      <w:r w:rsidRPr="009E1B38">
        <w:rPr>
          <w:rFonts w:ascii="Times New Roman" w:hAnsi="Times New Roman"/>
        </w:rPr>
        <w:t xml:space="preserve"> is given in Table 2.1.</w:t>
      </w:r>
    </w:p>
    <w:p w14:paraId="49DC3810" w14:textId="77777777" w:rsidR="00171C59" w:rsidRPr="009E1B38" w:rsidRDefault="00171C59" w:rsidP="00171C59">
      <w:pPr>
        <w:ind w:left="709"/>
        <w:jc w:val="left"/>
        <w:rPr>
          <w:rFonts w:ascii="Times New Roman" w:hAnsi="Times New Roman"/>
        </w:rPr>
      </w:pPr>
    </w:p>
    <w:p w14:paraId="205F964E" w14:textId="77777777" w:rsidR="00171C59" w:rsidRPr="009E1B38" w:rsidRDefault="00171C59" w:rsidP="00171C59">
      <w:pPr>
        <w:ind w:left="709"/>
        <w:jc w:val="left"/>
        <w:rPr>
          <w:rFonts w:ascii="Times New Roman" w:hAnsi="Times New Roman"/>
          <w:b/>
        </w:rPr>
      </w:pPr>
      <w:r w:rsidRPr="009E1B38">
        <w:rPr>
          <w:rFonts w:ascii="Times New Roman" w:hAnsi="Times New Roman"/>
          <w:b/>
        </w:rPr>
        <w:t>Table 2.1: Change of Eligible Consumer Limit in the Electricity Market by Years (2003-2022)</w:t>
      </w:r>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190"/>
        <w:gridCol w:w="3898"/>
        <w:gridCol w:w="3515"/>
      </w:tblGrid>
      <w:tr w:rsidR="00171C59" w:rsidRPr="009E1B38" w14:paraId="53985EB6" w14:textId="77777777" w:rsidTr="0098405A">
        <w:trPr>
          <w:trHeight w:val="788"/>
          <w:jc w:val="center"/>
        </w:trPr>
        <w:tc>
          <w:tcPr>
            <w:tcW w:w="0" w:type="auto"/>
            <w:shd w:val="clear" w:color="auto" w:fill="6E9ECA"/>
            <w:vAlign w:val="center"/>
          </w:tcPr>
          <w:p w14:paraId="0E15F5AC"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b/>
                <w:color w:val="FFFFFF" w:themeColor="background1"/>
                <w:sz w:val="21"/>
                <w:szCs w:val="21"/>
              </w:rPr>
            </w:pPr>
            <w:r w:rsidRPr="009E1B38">
              <w:rPr>
                <w:rFonts w:ascii="Times New Roman" w:hAnsi="Times New Roman"/>
                <w:b/>
                <w:bCs/>
                <w:color w:val="FFFFFF" w:themeColor="background1"/>
              </w:rPr>
              <w:t>Applied Year</w:t>
            </w:r>
          </w:p>
        </w:tc>
        <w:tc>
          <w:tcPr>
            <w:tcW w:w="0" w:type="auto"/>
            <w:shd w:val="clear" w:color="auto" w:fill="6E9ECA"/>
          </w:tcPr>
          <w:p w14:paraId="7B7E77F6"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eastAsia="Times New Roman" w:hAnsi="Times New Roman"/>
                <w:b/>
                <w:bCs/>
                <w:color w:val="FFFFFF" w:themeColor="background1"/>
                <w:sz w:val="21"/>
                <w:szCs w:val="21"/>
                <w:lang w:eastAsia="tr-TR"/>
              </w:rPr>
            </w:pPr>
          </w:p>
          <w:p w14:paraId="3DCD0636"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eastAsia="Times New Roman" w:hAnsi="Times New Roman"/>
                <w:b/>
                <w:bCs/>
                <w:color w:val="FFFFFF" w:themeColor="background1"/>
                <w:sz w:val="21"/>
                <w:szCs w:val="21"/>
                <w:lang w:eastAsia="tr-TR"/>
              </w:rPr>
            </w:pPr>
            <w:r w:rsidRPr="009E1B38">
              <w:rPr>
                <w:rFonts w:ascii="Times New Roman" w:hAnsi="Times New Roman"/>
                <w:b/>
                <w:bCs/>
                <w:color w:val="FFFFFF" w:themeColor="background1"/>
              </w:rPr>
              <w:t xml:space="preserve">Eligible Consumer Limit </w:t>
            </w:r>
            <w:r w:rsidRPr="009E1B38">
              <w:rPr>
                <w:rFonts w:ascii="Times New Roman" w:eastAsia="Times New Roman" w:hAnsi="Times New Roman"/>
                <w:b/>
                <w:bCs/>
                <w:color w:val="FFFFFF" w:themeColor="background1"/>
                <w:sz w:val="21"/>
                <w:szCs w:val="21"/>
                <w:lang w:eastAsia="tr-TR"/>
              </w:rPr>
              <w:t>(kWh)</w:t>
            </w:r>
          </w:p>
        </w:tc>
        <w:tc>
          <w:tcPr>
            <w:tcW w:w="0" w:type="auto"/>
            <w:shd w:val="clear" w:color="auto" w:fill="6E9ECA"/>
            <w:vAlign w:val="center"/>
          </w:tcPr>
          <w:p w14:paraId="7D742A8B"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b/>
                <w:color w:val="FFFFFF" w:themeColor="background1"/>
                <w:sz w:val="21"/>
                <w:szCs w:val="21"/>
              </w:rPr>
            </w:pPr>
          </w:p>
          <w:p w14:paraId="6C910A08" w14:textId="778986B0"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b/>
                <w:color w:val="FFFFFF" w:themeColor="background1"/>
                <w:sz w:val="21"/>
                <w:szCs w:val="21"/>
              </w:rPr>
            </w:pPr>
            <w:r w:rsidRPr="009E1B38">
              <w:rPr>
                <w:rFonts w:ascii="Times New Roman" w:hAnsi="Times New Roman"/>
                <w:b/>
                <w:color w:val="FFFFFF" w:themeColor="background1"/>
                <w:sz w:val="21"/>
                <w:szCs w:val="21"/>
              </w:rPr>
              <w:t>Theoretical market openness</w:t>
            </w:r>
          </w:p>
          <w:p w14:paraId="133AD8B5"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b/>
                <w:color w:val="FFFFFF" w:themeColor="background1"/>
                <w:sz w:val="21"/>
                <w:szCs w:val="21"/>
              </w:rPr>
            </w:pPr>
            <w:r w:rsidRPr="009E1B38">
              <w:rPr>
                <w:rFonts w:ascii="Times New Roman" w:hAnsi="Times New Roman"/>
                <w:b/>
                <w:color w:val="FFFFFF" w:themeColor="background1"/>
                <w:sz w:val="21"/>
                <w:szCs w:val="21"/>
              </w:rPr>
              <w:t>rate (%)</w:t>
            </w:r>
          </w:p>
        </w:tc>
      </w:tr>
      <w:tr w:rsidR="00171C59" w:rsidRPr="009E1B38" w14:paraId="6E2932CD" w14:textId="77777777" w:rsidTr="0098405A">
        <w:trPr>
          <w:trHeight w:hRule="exact" w:val="369"/>
          <w:jc w:val="center"/>
        </w:trPr>
        <w:tc>
          <w:tcPr>
            <w:tcW w:w="0" w:type="auto"/>
            <w:vAlign w:val="center"/>
          </w:tcPr>
          <w:p w14:paraId="1776467C"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2003</w:t>
            </w:r>
          </w:p>
        </w:tc>
        <w:tc>
          <w:tcPr>
            <w:tcW w:w="0" w:type="auto"/>
            <w:vAlign w:val="center"/>
          </w:tcPr>
          <w:p w14:paraId="2F7AB8C6"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9.000.000</w:t>
            </w:r>
          </w:p>
        </w:tc>
        <w:tc>
          <w:tcPr>
            <w:tcW w:w="0" w:type="auto"/>
            <w:vAlign w:val="center"/>
          </w:tcPr>
          <w:p w14:paraId="120F407A"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w:t>
            </w:r>
          </w:p>
        </w:tc>
      </w:tr>
      <w:tr w:rsidR="00171C59" w:rsidRPr="009E1B38" w14:paraId="67B513BF" w14:textId="77777777" w:rsidTr="0098405A">
        <w:trPr>
          <w:trHeight w:hRule="exact" w:val="369"/>
          <w:jc w:val="center"/>
        </w:trPr>
        <w:tc>
          <w:tcPr>
            <w:tcW w:w="0" w:type="auto"/>
            <w:vAlign w:val="center"/>
          </w:tcPr>
          <w:p w14:paraId="3D8EE24D"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2004</w:t>
            </w:r>
          </w:p>
        </w:tc>
        <w:tc>
          <w:tcPr>
            <w:tcW w:w="0" w:type="auto"/>
            <w:vAlign w:val="center"/>
          </w:tcPr>
          <w:p w14:paraId="2D8C7951"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7.800.000</w:t>
            </w:r>
          </w:p>
        </w:tc>
        <w:tc>
          <w:tcPr>
            <w:tcW w:w="0" w:type="auto"/>
            <w:vAlign w:val="bottom"/>
          </w:tcPr>
          <w:p w14:paraId="0116EE00"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27,8</w:t>
            </w:r>
          </w:p>
        </w:tc>
      </w:tr>
      <w:tr w:rsidR="00171C59" w:rsidRPr="009E1B38" w14:paraId="710C91A2" w14:textId="77777777" w:rsidTr="0098405A">
        <w:trPr>
          <w:trHeight w:hRule="exact" w:val="369"/>
          <w:jc w:val="center"/>
        </w:trPr>
        <w:tc>
          <w:tcPr>
            <w:tcW w:w="0" w:type="auto"/>
            <w:vAlign w:val="center"/>
          </w:tcPr>
          <w:p w14:paraId="28C36480"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2005</w:t>
            </w:r>
          </w:p>
        </w:tc>
        <w:tc>
          <w:tcPr>
            <w:tcW w:w="0" w:type="auto"/>
            <w:vAlign w:val="center"/>
          </w:tcPr>
          <w:p w14:paraId="6AF346D5"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7.700.000</w:t>
            </w:r>
          </w:p>
        </w:tc>
        <w:tc>
          <w:tcPr>
            <w:tcW w:w="0" w:type="auto"/>
            <w:vAlign w:val="center"/>
          </w:tcPr>
          <w:p w14:paraId="11F14C66"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30</w:t>
            </w:r>
          </w:p>
        </w:tc>
      </w:tr>
      <w:tr w:rsidR="00171C59" w:rsidRPr="009E1B38" w14:paraId="0CBAFB91" w14:textId="77777777" w:rsidTr="0098405A">
        <w:trPr>
          <w:trHeight w:hRule="exact" w:val="369"/>
          <w:jc w:val="center"/>
        </w:trPr>
        <w:tc>
          <w:tcPr>
            <w:tcW w:w="0" w:type="auto"/>
            <w:vAlign w:val="center"/>
          </w:tcPr>
          <w:p w14:paraId="0A3BF6FB"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2006</w:t>
            </w:r>
          </w:p>
        </w:tc>
        <w:tc>
          <w:tcPr>
            <w:tcW w:w="0" w:type="auto"/>
            <w:vAlign w:val="center"/>
          </w:tcPr>
          <w:p w14:paraId="397EA9DD"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6.000.000</w:t>
            </w:r>
          </w:p>
        </w:tc>
        <w:tc>
          <w:tcPr>
            <w:tcW w:w="0" w:type="auto"/>
            <w:vAlign w:val="center"/>
          </w:tcPr>
          <w:p w14:paraId="4B476358"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32</w:t>
            </w:r>
          </w:p>
        </w:tc>
      </w:tr>
      <w:tr w:rsidR="00171C59" w:rsidRPr="009E1B38" w14:paraId="5BBB3CBC" w14:textId="77777777" w:rsidTr="0098405A">
        <w:trPr>
          <w:trHeight w:hRule="exact" w:val="369"/>
          <w:jc w:val="center"/>
        </w:trPr>
        <w:tc>
          <w:tcPr>
            <w:tcW w:w="0" w:type="auto"/>
            <w:vAlign w:val="center"/>
          </w:tcPr>
          <w:p w14:paraId="7C519FEC"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2007</w:t>
            </w:r>
          </w:p>
        </w:tc>
        <w:tc>
          <w:tcPr>
            <w:tcW w:w="0" w:type="auto"/>
            <w:vAlign w:val="center"/>
          </w:tcPr>
          <w:p w14:paraId="62710E0E"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3.000.000</w:t>
            </w:r>
          </w:p>
        </w:tc>
        <w:tc>
          <w:tcPr>
            <w:tcW w:w="0" w:type="auto"/>
            <w:vAlign w:val="center"/>
          </w:tcPr>
          <w:p w14:paraId="26350987"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38,6</w:t>
            </w:r>
          </w:p>
        </w:tc>
      </w:tr>
      <w:tr w:rsidR="00171C59" w:rsidRPr="009E1B38" w14:paraId="304B5BAB" w14:textId="77777777" w:rsidTr="0098405A">
        <w:trPr>
          <w:trHeight w:hRule="exact" w:val="369"/>
          <w:jc w:val="center"/>
        </w:trPr>
        <w:tc>
          <w:tcPr>
            <w:tcW w:w="0" w:type="auto"/>
            <w:vAlign w:val="center"/>
          </w:tcPr>
          <w:p w14:paraId="3915D715"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2008</w:t>
            </w:r>
          </w:p>
        </w:tc>
        <w:tc>
          <w:tcPr>
            <w:tcW w:w="0" w:type="auto"/>
            <w:vAlign w:val="center"/>
          </w:tcPr>
          <w:p w14:paraId="15E911DB"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1.200.000</w:t>
            </w:r>
          </w:p>
        </w:tc>
        <w:tc>
          <w:tcPr>
            <w:tcW w:w="0" w:type="auto"/>
            <w:vAlign w:val="center"/>
          </w:tcPr>
          <w:p w14:paraId="295EAE24"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41</w:t>
            </w:r>
          </w:p>
        </w:tc>
      </w:tr>
      <w:tr w:rsidR="00171C59" w:rsidRPr="009E1B38" w14:paraId="4B1DCC34" w14:textId="77777777" w:rsidTr="0098405A">
        <w:trPr>
          <w:trHeight w:hRule="exact" w:val="369"/>
          <w:jc w:val="center"/>
        </w:trPr>
        <w:tc>
          <w:tcPr>
            <w:tcW w:w="0" w:type="auto"/>
            <w:vAlign w:val="center"/>
          </w:tcPr>
          <w:p w14:paraId="560878A0"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2009</w:t>
            </w:r>
          </w:p>
        </w:tc>
        <w:tc>
          <w:tcPr>
            <w:tcW w:w="0" w:type="auto"/>
            <w:vAlign w:val="center"/>
          </w:tcPr>
          <w:p w14:paraId="1E08733C"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480.000</w:t>
            </w:r>
          </w:p>
        </w:tc>
        <w:tc>
          <w:tcPr>
            <w:tcW w:w="0" w:type="auto"/>
            <w:vAlign w:val="center"/>
          </w:tcPr>
          <w:p w14:paraId="453987DC"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49,2</w:t>
            </w:r>
          </w:p>
        </w:tc>
      </w:tr>
      <w:tr w:rsidR="00171C59" w:rsidRPr="009E1B38" w14:paraId="008E125A" w14:textId="77777777" w:rsidTr="0098405A">
        <w:trPr>
          <w:trHeight w:hRule="exact" w:val="369"/>
          <w:jc w:val="center"/>
        </w:trPr>
        <w:tc>
          <w:tcPr>
            <w:tcW w:w="0" w:type="auto"/>
            <w:vAlign w:val="center"/>
          </w:tcPr>
          <w:p w14:paraId="512FB318"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2010</w:t>
            </w:r>
          </w:p>
        </w:tc>
        <w:tc>
          <w:tcPr>
            <w:tcW w:w="0" w:type="auto"/>
            <w:vAlign w:val="center"/>
          </w:tcPr>
          <w:p w14:paraId="2DF66F25"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100.000</w:t>
            </w:r>
          </w:p>
        </w:tc>
        <w:tc>
          <w:tcPr>
            <w:tcW w:w="0" w:type="auto"/>
            <w:vAlign w:val="center"/>
          </w:tcPr>
          <w:p w14:paraId="6212A698"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63,3</w:t>
            </w:r>
          </w:p>
        </w:tc>
      </w:tr>
      <w:tr w:rsidR="00171C59" w:rsidRPr="009E1B38" w14:paraId="34678DF4" w14:textId="77777777" w:rsidTr="0098405A">
        <w:trPr>
          <w:trHeight w:hRule="exact" w:val="369"/>
          <w:jc w:val="center"/>
        </w:trPr>
        <w:tc>
          <w:tcPr>
            <w:tcW w:w="0" w:type="auto"/>
            <w:vAlign w:val="center"/>
          </w:tcPr>
          <w:p w14:paraId="6562C735"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2011</w:t>
            </w:r>
          </w:p>
        </w:tc>
        <w:tc>
          <w:tcPr>
            <w:tcW w:w="0" w:type="auto"/>
            <w:vAlign w:val="center"/>
          </w:tcPr>
          <w:p w14:paraId="19812528"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30.000</w:t>
            </w:r>
          </w:p>
        </w:tc>
        <w:tc>
          <w:tcPr>
            <w:tcW w:w="0" w:type="auto"/>
            <w:vAlign w:val="center"/>
          </w:tcPr>
          <w:p w14:paraId="0A7B39DD"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78</w:t>
            </w:r>
          </w:p>
        </w:tc>
      </w:tr>
      <w:tr w:rsidR="00171C59" w:rsidRPr="009E1B38" w14:paraId="0E428C53" w14:textId="77777777" w:rsidTr="0098405A">
        <w:trPr>
          <w:trHeight w:hRule="exact" w:val="369"/>
          <w:jc w:val="center"/>
        </w:trPr>
        <w:tc>
          <w:tcPr>
            <w:tcW w:w="0" w:type="auto"/>
            <w:vAlign w:val="center"/>
          </w:tcPr>
          <w:p w14:paraId="03BDAC1A"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2012</w:t>
            </w:r>
          </w:p>
        </w:tc>
        <w:tc>
          <w:tcPr>
            <w:tcW w:w="0" w:type="auto"/>
            <w:vAlign w:val="center"/>
          </w:tcPr>
          <w:p w14:paraId="1E80087C"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25.000</w:t>
            </w:r>
          </w:p>
        </w:tc>
        <w:tc>
          <w:tcPr>
            <w:tcW w:w="0" w:type="auto"/>
            <w:vAlign w:val="center"/>
          </w:tcPr>
          <w:p w14:paraId="30D248E0"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83</w:t>
            </w:r>
          </w:p>
        </w:tc>
      </w:tr>
      <w:tr w:rsidR="00171C59" w:rsidRPr="009E1B38" w14:paraId="567C39A7" w14:textId="77777777" w:rsidTr="0098405A">
        <w:trPr>
          <w:trHeight w:hRule="exact" w:val="369"/>
          <w:jc w:val="center"/>
        </w:trPr>
        <w:tc>
          <w:tcPr>
            <w:tcW w:w="0" w:type="auto"/>
            <w:vAlign w:val="center"/>
          </w:tcPr>
          <w:p w14:paraId="2A0E028D"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2013</w:t>
            </w:r>
          </w:p>
        </w:tc>
        <w:tc>
          <w:tcPr>
            <w:tcW w:w="0" w:type="auto"/>
            <w:vAlign w:val="center"/>
          </w:tcPr>
          <w:p w14:paraId="7684B01D"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5.000</w:t>
            </w:r>
          </w:p>
        </w:tc>
        <w:tc>
          <w:tcPr>
            <w:tcW w:w="0" w:type="auto"/>
            <w:vAlign w:val="center"/>
          </w:tcPr>
          <w:p w14:paraId="5B654105"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84</w:t>
            </w:r>
          </w:p>
        </w:tc>
      </w:tr>
      <w:tr w:rsidR="00171C59" w:rsidRPr="009E1B38" w14:paraId="27DF0C7D" w14:textId="77777777" w:rsidTr="0098405A">
        <w:trPr>
          <w:trHeight w:hRule="exact" w:val="369"/>
          <w:jc w:val="center"/>
        </w:trPr>
        <w:tc>
          <w:tcPr>
            <w:tcW w:w="0" w:type="auto"/>
            <w:vAlign w:val="center"/>
          </w:tcPr>
          <w:p w14:paraId="76BC9787"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2014</w:t>
            </w:r>
          </w:p>
        </w:tc>
        <w:tc>
          <w:tcPr>
            <w:tcW w:w="0" w:type="auto"/>
            <w:vAlign w:val="center"/>
          </w:tcPr>
          <w:p w14:paraId="3C0E0A68"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4.500</w:t>
            </w:r>
          </w:p>
        </w:tc>
        <w:tc>
          <w:tcPr>
            <w:tcW w:w="0" w:type="auto"/>
            <w:vAlign w:val="center"/>
          </w:tcPr>
          <w:p w14:paraId="01B21512"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85</w:t>
            </w:r>
          </w:p>
        </w:tc>
      </w:tr>
      <w:tr w:rsidR="00171C59" w:rsidRPr="009E1B38" w14:paraId="4E0A0B55" w14:textId="77777777" w:rsidTr="0098405A">
        <w:trPr>
          <w:trHeight w:hRule="exact" w:val="369"/>
          <w:jc w:val="center"/>
        </w:trPr>
        <w:tc>
          <w:tcPr>
            <w:tcW w:w="0" w:type="auto"/>
            <w:vAlign w:val="center"/>
          </w:tcPr>
          <w:p w14:paraId="32EECCB0"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2015</w:t>
            </w:r>
          </w:p>
        </w:tc>
        <w:tc>
          <w:tcPr>
            <w:tcW w:w="0" w:type="auto"/>
            <w:vAlign w:val="center"/>
          </w:tcPr>
          <w:p w14:paraId="0E2F4C0A"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4.000</w:t>
            </w:r>
          </w:p>
        </w:tc>
        <w:tc>
          <w:tcPr>
            <w:tcW w:w="0" w:type="auto"/>
            <w:vAlign w:val="center"/>
          </w:tcPr>
          <w:p w14:paraId="4784D5C7"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85,04</w:t>
            </w:r>
          </w:p>
        </w:tc>
      </w:tr>
      <w:tr w:rsidR="00171C59" w:rsidRPr="009E1B38" w14:paraId="28006479" w14:textId="77777777" w:rsidTr="0098405A">
        <w:trPr>
          <w:trHeight w:hRule="exact" w:val="369"/>
          <w:jc w:val="center"/>
        </w:trPr>
        <w:tc>
          <w:tcPr>
            <w:tcW w:w="0" w:type="auto"/>
            <w:vAlign w:val="center"/>
          </w:tcPr>
          <w:p w14:paraId="7261A620"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lastRenderedPageBreak/>
              <w:t>2016</w:t>
            </w:r>
          </w:p>
        </w:tc>
        <w:tc>
          <w:tcPr>
            <w:tcW w:w="0" w:type="auto"/>
            <w:vAlign w:val="center"/>
          </w:tcPr>
          <w:p w14:paraId="272F0932"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3.600</w:t>
            </w:r>
          </w:p>
        </w:tc>
        <w:tc>
          <w:tcPr>
            <w:tcW w:w="0" w:type="auto"/>
            <w:vAlign w:val="center"/>
          </w:tcPr>
          <w:p w14:paraId="52808879"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85,8</w:t>
            </w:r>
          </w:p>
        </w:tc>
      </w:tr>
      <w:tr w:rsidR="00171C59" w:rsidRPr="009E1B38" w14:paraId="2BF46E91" w14:textId="77777777" w:rsidTr="0098405A">
        <w:trPr>
          <w:trHeight w:hRule="exact" w:val="369"/>
          <w:jc w:val="center"/>
        </w:trPr>
        <w:tc>
          <w:tcPr>
            <w:tcW w:w="0" w:type="auto"/>
            <w:vAlign w:val="center"/>
          </w:tcPr>
          <w:p w14:paraId="321B399E"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2017</w:t>
            </w:r>
          </w:p>
        </w:tc>
        <w:tc>
          <w:tcPr>
            <w:tcW w:w="0" w:type="auto"/>
            <w:vAlign w:val="center"/>
          </w:tcPr>
          <w:p w14:paraId="597E3D0F"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2.400</w:t>
            </w:r>
          </w:p>
        </w:tc>
        <w:tc>
          <w:tcPr>
            <w:tcW w:w="0" w:type="auto"/>
            <w:vAlign w:val="center"/>
          </w:tcPr>
          <w:p w14:paraId="5AF96068"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90</w:t>
            </w:r>
          </w:p>
        </w:tc>
      </w:tr>
      <w:tr w:rsidR="00171C59" w:rsidRPr="009E1B38" w14:paraId="2BADBBE7" w14:textId="77777777" w:rsidTr="0098405A">
        <w:trPr>
          <w:trHeight w:hRule="exact" w:val="369"/>
          <w:jc w:val="center"/>
        </w:trPr>
        <w:tc>
          <w:tcPr>
            <w:tcW w:w="0" w:type="auto"/>
            <w:vAlign w:val="center"/>
          </w:tcPr>
          <w:p w14:paraId="5B428305"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2018</w:t>
            </w:r>
          </w:p>
        </w:tc>
        <w:tc>
          <w:tcPr>
            <w:tcW w:w="0" w:type="auto"/>
            <w:vAlign w:val="center"/>
          </w:tcPr>
          <w:p w14:paraId="21A9488F"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2.000</w:t>
            </w:r>
          </w:p>
        </w:tc>
        <w:tc>
          <w:tcPr>
            <w:tcW w:w="0" w:type="auto"/>
            <w:vAlign w:val="center"/>
          </w:tcPr>
          <w:p w14:paraId="76516572"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92,6</w:t>
            </w:r>
          </w:p>
        </w:tc>
      </w:tr>
      <w:tr w:rsidR="00171C59" w:rsidRPr="009E1B38" w14:paraId="7304B9EC" w14:textId="77777777" w:rsidTr="0098405A">
        <w:trPr>
          <w:trHeight w:hRule="exact" w:val="369"/>
          <w:jc w:val="center"/>
        </w:trPr>
        <w:tc>
          <w:tcPr>
            <w:tcW w:w="0" w:type="auto"/>
            <w:vAlign w:val="center"/>
          </w:tcPr>
          <w:p w14:paraId="430E5F90"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2019</w:t>
            </w:r>
          </w:p>
        </w:tc>
        <w:tc>
          <w:tcPr>
            <w:tcW w:w="0" w:type="auto"/>
            <w:vAlign w:val="center"/>
          </w:tcPr>
          <w:p w14:paraId="1974FE91"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1.600</w:t>
            </w:r>
          </w:p>
        </w:tc>
        <w:tc>
          <w:tcPr>
            <w:tcW w:w="0" w:type="auto"/>
            <w:vAlign w:val="center"/>
          </w:tcPr>
          <w:p w14:paraId="3856BFB1"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000000" w:themeColor="text1"/>
              </w:rPr>
            </w:pPr>
            <w:r w:rsidRPr="009E1B38">
              <w:rPr>
                <w:rFonts w:ascii="Times New Roman" w:hAnsi="Times New Roman"/>
                <w:color w:val="000000" w:themeColor="text1"/>
              </w:rPr>
              <w:t>95,4</w:t>
            </w:r>
          </w:p>
        </w:tc>
      </w:tr>
      <w:tr w:rsidR="00171C59" w:rsidRPr="009E1B38" w14:paraId="073A0ABF" w14:textId="77777777" w:rsidTr="0098405A">
        <w:trPr>
          <w:trHeight w:hRule="exact" w:val="369"/>
          <w:jc w:val="center"/>
        </w:trPr>
        <w:tc>
          <w:tcPr>
            <w:tcW w:w="0" w:type="auto"/>
            <w:vAlign w:val="center"/>
          </w:tcPr>
          <w:p w14:paraId="175D7DA9"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rPr>
            </w:pPr>
            <w:r w:rsidRPr="009E1B38">
              <w:rPr>
                <w:rFonts w:ascii="Times New Roman" w:hAnsi="Times New Roman"/>
              </w:rPr>
              <w:t>2020</w:t>
            </w:r>
          </w:p>
        </w:tc>
        <w:tc>
          <w:tcPr>
            <w:tcW w:w="0" w:type="auto"/>
            <w:vAlign w:val="center"/>
          </w:tcPr>
          <w:p w14:paraId="78AA77A9"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rPr>
            </w:pPr>
            <w:r w:rsidRPr="009E1B38">
              <w:rPr>
                <w:rFonts w:ascii="Times New Roman" w:hAnsi="Times New Roman"/>
              </w:rPr>
              <w:t>1.400</w:t>
            </w:r>
          </w:p>
        </w:tc>
        <w:tc>
          <w:tcPr>
            <w:tcW w:w="0" w:type="auto"/>
            <w:vAlign w:val="center"/>
          </w:tcPr>
          <w:p w14:paraId="3EBD823C"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FF0000"/>
              </w:rPr>
            </w:pPr>
            <w:r w:rsidRPr="009E1B38">
              <w:rPr>
                <w:rFonts w:ascii="Times New Roman" w:hAnsi="Times New Roman"/>
              </w:rPr>
              <w:t>96,8</w:t>
            </w:r>
          </w:p>
        </w:tc>
      </w:tr>
      <w:tr w:rsidR="00171C59" w:rsidRPr="009E1B38" w14:paraId="4FE7E3D3" w14:textId="77777777" w:rsidTr="0098405A">
        <w:trPr>
          <w:trHeight w:hRule="exact" w:val="369"/>
          <w:jc w:val="center"/>
        </w:trPr>
        <w:tc>
          <w:tcPr>
            <w:tcW w:w="0" w:type="auto"/>
            <w:vAlign w:val="center"/>
          </w:tcPr>
          <w:p w14:paraId="58BAF7C9"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rPr>
            </w:pPr>
            <w:r w:rsidRPr="009E1B38">
              <w:rPr>
                <w:rFonts w:ascii="Times New Roman" w:hAnsi="Times New Roman"/>
              </w:rPr>
              <w:t>2021</w:t>
            </w:r>
          </w:p>
        </w:tc>
        <w:tc>
          <w:tcPr>
            <w:tcW w:w="0" w:type="auto"/>
            <w:vAlign w:val="center"/>
          </w:tcPr>
          <w:p w14:paraId="17C0AEEB"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rPr>
            </w:pPr>
            <w:r w:rsidRPr="009E1B38">
              <w:rPr>
                <w:rFonts w:ascii="Times New Roman" w:hAnsi="Times New Roman"/>
              </w:rPr>
              <w:t>1.200</w:t>
            </w:r>
          </w:p>
        </w:tc>
        <w:tc>
          <w:tcPr>
            <w:tcW w:w="0" w:type="auto"/>
            <w:vAlign w:val="center"/>
          </w:tcPr>
          <w:p w14:paraId="56031921"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color w:val="FF0000"/>
              </w:rPr>
            </w:pPr>
            <w:r w:rsidRPr="009E1B38">
              <w:rPr>
                <w:rFonts w:ascii="Times New Roman" w:hAnsi="Times New Roman"/>
              </w:rPr>
              <w:t>97,2</w:t>
            </w:r>
          </w:p>
        </w:tc>
      </w:tr>
      <w:tr w:rsidR="00171C59" w:rsidRPr="009E1B38" w14:paraId="15B9CE8A" w14:textId="77777777" w:rsidTr="0098405A">
        <w:trPr>
          <w:trHeight w:hRule="exact" w:val="369"/>
          <w:jc w:val="center"/>
        </w:trPr>
        <w:tc>
          <w:tcPr>
            <w:tcW w:w="0" w:type="auto"/>
            <w:vAlign w:val="center"/>
          </w:tcPr>
          <w:p w14:paraId="0E1BF185"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rPr>
            </w:pPr>
            <w:r w:rsidRPr="009E1B38">
              <w:rPr>
                <w:rFonts w:ascii="Times New Roman" w:hAnsi="Times New Roman"/>
              </w:rPr>
              <w:t>2022</w:t>
            </w:r>
          </w:p>
        </w:tc>
        <w:tc>
          <w:tcPr>
            <w:tcW w:w="0" w:type="auto"/>
            <w:vAlign w:val="center"/>
          </w:tcPr>
          <w:p w14:paraId="610D22F4"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rPr>
            </w:pPr>
            <w:r w:rsidRPr="009E1B38">
              <w:rPr>
                <w:rFonts w:ascii="Times New Roman" w:hAnsi="Times New Roman"/>
              </w:rPr>
              <w:t>1.100</w:t>
            </w:r>
          </w:p>
        </w:tc>
        <w:tc>
          <w:tcPr>
            <w:tcW w:w="0" w:type="auto"/>
            <w:vAlign w:val="center"/>
          </w:tcPr>
          <w:p w14:paraId="5002C7DA" w14:textId="77777777" w:rsidR="00171C59" w:rsidRPr="009E1B38" w:rsidRDefault="00171C59" w:rsidP="00171C59">
            <w:pPr>
              <w:pStyle w:val="ListeParagraf"/>
              <w:tabs>
                <w:tab w:val="left" w:pos="284"/>
                <w:tab w:val="left" w:pos="567"/>
                <w:tab w:val="left" w:pos="709"/>
                <w:tab w:val="left" w:pos="851"/>
              </w:tabs>
              <w:ind w:left="709"/>
              <w:jc w:val="left"/>
              <w:rPr>
                <w:rFonts w:ascii="Times New Roman" w:hAnsi="Times New Roman"/>
              </w:rPr>
            </w:pPr>
            <w:r w:rsidRPr="009E1B38">
              <w:rPr>
                <w:rFonts w:ascii="Times New Roman" w:hAnsi="Times New Roman"/>
              </w:rPr>
              <w:t>98,1</w:t>
            </w:r>
          </w:p>
        </w:tc>
      </w:tr>
    </w:tbl>
    <w:p w14:paraId="14353D88" w14:textId="77777777" w:rsidR="00171C59" w:rsidRPr="009E1B38" w:rsidRDefault="00171C59" w:rsidP="00171C59">
      <w:pPr>
        <w:ind w:left="709"/>
        <w:jc w:val="left"/>
        <w:rPr>
          <w:rFonts w:ascii="Times New Roman" w:hAnsi="Times New Roman"/>
        </w:rPr>
      </w:pPr>
    </w:p>
    <w:p w14:paraId="59864320" w14:textId="77777777" w:rsidR="00171C59" w:rsidRPr="009E1B38" w:rsidRDefault="00171C59" w:rsidP="00171C59">
      <w:pPr>
        <w:ind w:left="709"/>
        <w:jc w:val="left"/>
        <w:rPr>
          <w:rFonts w:ascii="Times New Roman" w:hAnsi="Times New Roman"/>
        </w:rPr>
      </w:pPr>
    </w:p>
    <w:p w14:paraId="0ECA0FB9" w14:textId="77777777" w:rsidR="00171C59" w:rsidRPr="009E1B38" w:rsidRDefault="00171C59" w:rsidP="003C5E4D">
      <w:pPr>
        <w:pStyle w:val="ListeParagraf"/>
        <w:numPr>
          <w:ilvl w:val="0"/>
          <w:numId w:val="95"/>
        </w:numPr>
        <w:spacing w:after="160" w:line="259" w:lineRule="auto"/>
        <w:ind w:left="709" w:firstLine="0"/>
        <w:jc w:val="left"/>
        <w:rPr>
          <w:rFonts w:ascii="Times New Roman" w:hAnsi="Times New Roman"/>
        </w:rPr>
      </w:pPr>
      <w:r w:rsidRPr="009E1B38">
        <w:rPr>
          <w:rFonts w:ascii="Times New Roman" w:hAnsi="Times New Roman"/>
        </w:rPr>
        <w:t xml:space="preserve">The phrase "01/01/2021" in ​Article 24 of </w:t>
      </w:r>
      <w:r w:rsidRPr="009E1B38">
        <w:rPr>
          <w:rFonts w:ascii="Times New Roman" w:hAnsi="Times New Roman"/>
          <w:b/>
        </w:rPr>
        <w:t>the ​Procedures and Principles regarding the Determination of Power Plant Sites of Generation Facilities Subject to Preliminary License or Licenses</w:t>
      </w:r>
      <w:r w:rsidRPr="009E1B38">
        <w:rPr>
          <w:rFonts w:ascii="Times New Roman" w:hAnsi="Times New Roman"/>
        </w:rPr>
        <w:t xml:space="preserve"> in the Electricity Market published in the Official Gazette dated 25.06.2020 and numbered 31166 and approved by the Board Decision dated 8.06.2020 and numbered 9392 and​ published in the Official Gazette dated 16.01.2021 and numbered 31366 has been amended as "01/07/2021".</w:t>
      </w:r>
    </w:p>
    <w:p w14:paraId="78C9F1AA" w14:textId="77777777" w:rsidR="00171C59" w:rsidRPr="009E1B38" w:rsidRDefault="00171C59" w:rsidP="00171C59">
      <w:pPr>
        <w:pStyle w:val="ListeParagraf"/>
        <w:ind w:left="709"/>
        <w:jc w:val="left"/>
        <w:rPr>
          <w:rFonts w:ascii="Times New Roman" w:hAnsi="Times New Roman"/>
        </w:rPr>
      </w:pPr>
    </w:p>
    <w:p w14:paraId="7648EF34" w14:textId="77777777" w:rsidR="00171C59" w:rsidRPr="009E1B38" w:rsidRDefault="00171C59" w:rsidP="00171C59">
      <w:pPr>
        <w:pStyle w:val="ListeParagraf"/>
        <w:ind w:left="709"/>
        <w:jc w:val="left"/>
        <w:rPr>
          <w:rFonts w:ascii="Times New Roman" w:hAnsi="Times New Roman"/>
        </w:rPr>
      </w:pPr>
    </w:p>
    <w:p w14:paraId="670DA62F" w14:textId="77777777" w:rsidR="00171C59" w:rsidRPr="009E1B38" w:rsidRDefault="00171C59" w:rsidP="003C5E4D">
      <w:pPr>
        <w:pStyle w:val="ListeParagraf"/>
        <w:numPr>
          <w:ilvl w:val="0"/>
          <w:numId w:val="95"/>
        </w:numPr>
        <w:spacing w:after="160" w:line="259" w:lineRule="auto"/>
        <w:ind w:left="709" w:firstLine="0"/>
        <w:jc w:val="left"/>
        <w:rPr>
          <w:rFonts w:ascii="Times New Roman" w:hAnsi="Times New Roman"/>
        </w:rPr>
      </w:pPr>
      <w:r w:rsidRPr="009E1B38">
        <w:rPr>
          <w:rFonts w:ascii="Times New Roman" w:hAnsi="Times New Roman"/>
        </w:rPr>
        <w:t>Due to the fact that the Board Decision dated 25.02.2021 and numbered 10045-17 published in the Official Gazette dated 03.03.2021 and numbered 31412 informed that it was decided to allocate the 2000 MW wind power plant capacity to investors within the framework of the Renewable Energy Resource Areas Regulation with the letter dated 09.02.2021 and numbered 21789 of the Ministry of Energy and Natural Resources, it was decided not to receive the preliminary license application based on wind energy for the said 2000 MW capacity notified by the letter of TEİAŞ dated 15.05.2015 and numbered BG5UA0ZC barcode.</w:t>
      </w:r>
    </w:p>
    <w:p w14:paraId="11AD4280" w14:textId="77777777" w:rsidR="00171C59" w:rsidRPr="009E1B38" w:rsidRDefault="00171C59" w:rsidP="003C5E4D">
      <w:pPr>
        <w:pStyle w:val="ListeParagraf"/>
        <w:numPr>
          <w:ilvl w:val="0"/>
          <w:numId w:val="95"/>
        </w:numPr>
        <w:spacing w:after="160" w:line="259" w:lineRule="auto"/>
        <w:ind w:left="709" w:firstLine="0"/>
        <w:jc w:val="left"/>
        <w:rPr>
          <w:rFonts w:ascii="Times New Roman" w:hAnsi="Times New Roman"/>
        </w:rPr>
      </w:pPr>
      <w:r w:rsidRPr="009E1B38">
        <w:rPr>
          <w:rFonts w:ascii="Times New Roman" w:hAnsi="Times New Roman"/>
        </w:rPr>
        <w:t xml:space="preserve">With the Board Decision dated 15.04.2021 and numbered 10142 published in the Official Gazette dated 17.04.2021 and numbered 31457, </w:t>
      </w:r>
      <w:r w:rsidRPr="009E1B38">
        <w:rPr>
          <w:rFonts w:ascii="Times New Roman" w:hAnsi="Times New Roman"/>
          <w:b/>
        </w:rPr>
        <w:t xml:space="preserve">the ​Procedures and Principles Regarding the Determination of Power Plant Sites of Generation Facilities Subject to Preliminary License or Licenses in the Electricity Market </w:t>
      </w:r>
      <w:r w:rsidRPr="009E1B38">
        <w:rPr>
          <w:rFonts w:ascii="Times New Roman" w:hAnsi="Times New Roman"/>
        </w:rPr>
        <w:t>published in the Official Gazette dated 25.06.2020 and ​numbered 31166 ​​</w:t>
      </w:r>
    </w:p>
    <w:p w14:paraId="3EDCF1C8" w14:textId="77777777" w:rsidR="00171C59" w:rsidRPr="009E1B38" w:rsidRDefault="00171C59" w:rsidP="00171C59">
      <w:pPr>
        <w:pStyle w:val="ListeParagraf"/>
        <w:ind w:left="709"/>
        <w:jc w:val="left"/>
        <w:rPr>
          <w:rFonts w:ascii="Times New Roman" w:hAnsi="Times New Roman"/>
        </w:rPr>
      </w:pPr>
    </w:p>
    <w:p w14:paraId="3D3451DC" w14:textId="4F4C4F55"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rPr>
      </w:pPr>
      <w:r w:rsidRPr="009E1B38">
        <w:rPr>
          <w:rFonts w:ascii="Times New Roman" w:hAnsi="Times New Roman"/>
        </w:rPr>
        <w:t>Clause (a) of the first paragraph of Article 4</w:t>
      </w:r>
      <w:r w:rsidR="0098405A" w:rsidRPr="009E1B38">
        <w:rPr>
          <w:rFonts w:ascii="Times New Roman" w:hAnsi="Times New Roman"/>
        </w:rPr>
        <w:t xml:space="preserve"> ​titled</w:t>
      </w:r>
      <w:r w:rsidRPr="009E1B38">
        <w:rPr>
          <w:rFonts w:ascii="Times New Roman" w:hAnsi="Times New Roman"/>
        </w:rPr>
        <w:t xml:space="preserve"> </w:t>
      </w:r>
      <w:r w:rsidRPr="009E1B38">
        <w:rPr>
          <w:rFonts w:ascii="Times New Roman" w:hAnsi="Times New Roman"/>
          <w:i/>
        </w:rPr>
        <w:t>"Definitions"​</w:t>
      </w:r>
      <w:r w:rsidRPr="009E1B38">
        <w:rPr>
          <w:rFonts w:ascii="Times New Roman" w:hAnsi="Times New Roman"/>
        </w:rPr>
        <w:t xml:space="preserve"> has been amended as follows.</w:t>
      </w:r>
    </w:p>
    <w:p w14:paraId="1B353459" w14:textId="77777777" w:rsidR="00171C59" w:rsidRPr="009E1B38" w:rsidRDefault="00171C59" w:rsidP="00171C59">
      <w:pPr>
        <w:pStyle w:val="ListeParagraf"/>
        <w:ind w:left="709"/>
        <w:jc w:val="left"/>
        <w:rPr>
          <w:rFonts w:ascii="Times New Roman" w:hAnsi="Times New Roman"/>
        </w:rPr>
      </w:pPr>
    </w:p>
    <w:p w14:paraId="6326027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Power plant area: The area where the facilities such as turbine, engine, generator, etc. related to the implementation of power generation and the administrative units, fire intervention units, fire water tanks, treatment plants, auxiliary fuel tanks, emergency generators, warehouses, workshops, etc. required for the operating and operation of the facility are located together,"</w:t>
      </w:r>
    </w:p>
    <w:p w14:paraId="443A4C2D" w14:textId="77777777" w:rsidR="00171C59" w:rsidRPr="009E1B38" w:rsidRDefault="00171C59" w:rsidP="00171C59">
      <w:pPr>
        <w:pStyle w:val="ListeParagraf"/>
        <w:ind w:left="709"/>
        <w:jc w:val="left"/>
        <w:rPr>
          <w:rFonts w:ascii="Times New Roman" w:hAnsi="Times New Roman"/>
        </w:rPr>
      </w:pPr>
    </w:p>
    <w:p w14:paraId="0B89413A" w14:textId="77777777"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rPr>
      </w:pPr>
      <w:r w:rsidRPr="009E1B38">
        <w:rPr>
          <w:rFonts w:ascii="Times New Roman" w:hAnsi="Times New Roman"/>
        </w:rPr>
        <w:t xml:space="preserve">The second, third and fourth paragraphs of Article 5​ ​titled </w:t>
      </w:r>
      <w:r w:rsidRPr="009E1B38">
        <w:rPr>
          <w:rFonts w:ascii="Times New Roman" w:hAnsi="Times New Roman"/>
          <w:i/>
        </w:rPr>
        <w:t xml:space="preserve">"General provisions related to power plant sites​" </w:t>
      </w:r>
      <w:r w:rsidRPr="009E1B38">
        <w:rPr>
          <w:rFonts w:ascii="Times New Roman" w:hAnsi="Times New Roman"/>
        </w:rPr>
        <w:t>have been amended as follows.</w:t>
      </w:r>
    </w:p>
    <w:p w14:paraId="2B98109C" w14:textId="77777777" w:rsidR="00171C59" w:rsidRPr="009E1B38" w:rsidRDefault="00171C59" w:rsidP="00171C59">
      <w:pPr>
        <w:pStyle w:val="ListeParagraf"/>
        <w:ind w:left="709"/>
        <w:jc w:val="left"/>
        <w:rPr>
          <w:rFonts w:ascii="Times New Roman" w:hAnsi="Times New Roman"/>
        </w:rPr>
      </w:pPr>
    </w:p>
    <w:p w14:paraId="03C1EF8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The coordinates of the switchyard, if found with the power plant area, social area and other areas specified in the fourth paragraph and the integrated site surrounding the areas specified in the relevant article shall be compiled as the power plant site, including the safety band, to the preliminary license or generation licenses granted for electricity generation facilities.</w:t>
      </w:r>
      <w:r w:rsidRPr="009E1B38">
        <w:rPr>
          <w:rFonts w:ascii="Times New Roman" w:hAnsi="Times New Roman"/>
        </w:rPr>
        <w:t xml:space="preserve"> </w:t>
      </w:r>
      <w:r w:rsidRPr="009E1B38">
        <w:rPr>
          <w:rFonts w:ascii="Times New Roman" w:hAnsi="Times New Roman"/>
          <w:i/>
        </w:rPr>
        <w:t>Data on other elements are kept in EMRA Application System.</w:t>
      </w:r>
    </w:p>
    <w:p w14:paraId="420F43D2" w14:textId="77777777" w:rsidR="00171C59" w:rsidRPr="009E1B38" w:rsidRDefault="00171C59" w:rsidP="00171C59">
      <w:pPr>
        <w:pStyle w:val="ListeParagraf"/>
        <w:ind w:left="709"/>
        <w:jc w:val="left"/>
        <w:rPr>
          <w:rFonts w:ascii="Times New Roman" w:hAnsi="Times New Roman"/>
          <w:i/>
        </w:rPr>
      </w:pPr>
    </w:p>
    <w:p w14:paraId="5EA99C1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(3) The generation facility site must be integrated.</w:t>
      </w:r>
      <w:r w:rsidRPr="009E1B38">
        <w:rPr>
          <w:rFonts w:ascii="Times New Roman" w:hAnsi="Times New Roman"/>
        </w:rPr>
        <w:t xml:space="preserve"> </w:t>
      </w:r>
      <w:r w:rsidRPr="009E1B38">
        <w:rPr>
          <w:rFonts w:ascii="Times New Roman" w:hAnsi="Times New Roman"/>
          <w:i/>
        </w:rPr>
        <w:t>Reasonable distances other than technical requirements may be left between the areas or elements constituting the power plant site.</w:t>
      </w:r>
      <w:r w:rsidRPr="009E1B38">
        <w:rPr>
          <w:rFonts w:ascii="Times New Roman" w:hAnsi="Times New Roman"/>
        </w:rPr>
        <w:t xml:space="preserve"> </w:t>
      </w:r>
      <w:r w:rsidRPr="009E1B38">
        <w:rPr>
          <w:rFonts w:ascii="Times New Roman" w:hAnsi="Times New Roman"/>
          <w:i/>
        </w:rPr>
        <w:t>The use of these distances for the purpose of obtaining the rights defined in the legislation is not considered as a reasonable distance.</w:t>
      </w:r>
      <w:r w:rsidRPr="009E1B38">
        <w:rPr>
          <w:rFonts w:ascii="Times New Roman" w:hAnsi="Times New Roman"/>
        </w:rPr>
        <w:t xml:space="preserve"> </w:t>
      </w:r>
      <w:r w:rsidRPr="009E1B38">
        <w:rPr>
          <w:rFonts w:ascii="Times New Roman" w:hAnsi="Times New Roman"/>
          <w:i/>
        </w:rPr>
        <w:t>In addition, the power plant site cannot be expanded in order to create a corridor.</w:t>
      </w:r>
      <w:r w:rsidRPr="009E1B38">
        <w:rPr>
          <w:rFonts w:ascii="Times New Roman" w:hAnsi="Times New Roman"/>
        </w:rPr>
        <w:t xml:space="preserve"> </w:t>
      </w:r>
      <w:r w:rsidRPr="009E1B38">
        <w:rPr>
          <w:rFonts w:ascii="Times New Roman" w:hAnsi="Times New Roman"/>
          <w:i/>
        </w:rPr>
        <w:t>However, in coal-fired generation facilities, the area created to remain within the mine operation license site and to be combined with a corridor to the power plant site can be added to the power plant site.</w:t>
      </w:r>
    </w:p>
    <w:p w14:paraId="2BD5FF2A" w14:textId="77777777" w:rsidR="00171C59" w:rsidRPr="009E1B38" w:rsidRDefault="00171C59" w:rsidP="00171C59">
      <w:pPr>
        <w:pStyle w:val="ListeParagraf"/>
        <w:ind w:left="709"/>
        <w:jc w:val="left"/>
        <w:rPr>
          <w:rFonts w:ascii="Times New Roman" w:hAnsi="Times New Roman"/>
          <w:i/>
        </w:rPr>
      </w:pPr>
    </w:p>
    <w:p w14:paraId="4BAABBC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(4) Areas not included in the relevant provision of these Procedures and Principles for each resource type and facility type and required to be included in the power plant site due to the requirements arising from the characteristics of the facility site or facility technology or other legislation and auxiliary resource unit area and electrical storage unit area can be placed on the map and included in the power plant site. "</w:t>
      </w:r>
    </w:p>
    <w:p w14:paraId="6FF3CDF6" w14:textId="77777777" w:rsidR="00171C59" w:rsidRPr="009E1B38" w:rsidRDefault="00171C59" w:rsidP="00171C59">
      <w:pPr>
        <w:pStyle w:val="ListeParagraf"/>
        <w:ind w:left="709"/>
        <w:jc w:val="left"/>
        <w:rPr>
          <w:rFonts w:ascii="Times New Roman" w:hAnsi="Times New Roman"/>
          <w:i/>
        </w:rPr>
      </w:pPr>
    </w:p>
    <w:p w14:paraId="7731476E" w14:textId="77777777"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Clause (d) of the first paragraph and the second paragraph of Article 6​ titled</w:t>
      </w:r>
      <w:r w:rsidRPr="009E1B38">
        <w:rPr>
          <w:rFonts w:ascii="Times New Roman" w:hAnsi="Times New Roman"/>
          <w:i/>
        </w:rPr>
        <w:t xml:space="preserve"> "Power plant site in generation facilities with reservoir type based on hydraulic energy" </w:t>
      </w:r>
      <w:r w:rsidRPr="009E1B38">
        <w:rPr>
          <w:rFonts w:ascii="Times New Roman" w:hAnsi="Times New Roman"/>
        </w:rPr>
        <w:t>have been amended as follows.</w:t>
      </w:r>
    </w:p>
    <w:p w14:paraId="388E4AE9" w14:textId="77777777" w:rsidR="00171C59" w:rsidRPr="009E1B38" w:rsidRDefault="00171C59" w:rsidP="00171C59">
      <w:pPr>
        <w:pStyle w:val="ListeParagraf"/>
        <w:ind w:left="709"/>
        <w:jc w:val="left"/>
        <w:rPr>
          <w:rFonts w:ascii="Times New Roman" w:hAnsi="Times New Roman"/>
        </w:rPr>
      </w:pPr>
    </w:p>
    <w:p w14:paraId="45DCA18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“(d) Water transmission structure,”</w:t>
      </w:r>
    </w:p>
    <w:p w14:paraId="3C2DFD41" w14:textId="77777777" w:rsidR="00171C59" w:rsidRPr="009E1B38" w:rsidRDefault="00171C59" w:rsidP="00171C59">
      <w:pPr>
        <w:pStyle w:val="ListeParagraf"/>
        <w:ind w:left="709"/>
        <w:jc w:val="left"/>
        <w:rPr>
          <w:rFonts w:ascii="Times New Roman" w:hAnsi="Times New Roman"/>
          <w:i/>
        </w:rPr>
      </w:pPr>
    </w:p>
    <w:p w14:paraId="4B598373"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In addition to the common elements, each element specified in the first paragraph and these Procedures and Principles shall be marked on the map and if necessary, the distances such as protection, health, safety band etc. defined in the relevant legislation shall be added and the power plant site shall be determined by linearly combining over the external line to be found by taking the projection according to the maximum reservoir water elevation level determined by the DSI and the tail water elevation level to be approved by the DSI for the other elements of the generation facility (Example Annex-1-a or 1-b)."</w:t>
      </w:r>
    </w:p>
    <w:p w14:paraId="4414AEA4" w14:textId="77777777" w:rsidR="00171C59" w:rsidRPr="009E1B38" w:rsidRDefault="00171C59" w:rsidP="00171C59">
      <w:pPr>
        <w:pStyle w:val="ListeParagraf"/>
        <w:ind w:left="709"/>
        <w:jc w:val="left"/>
        <w:rPr>
          <w:rFonts w:ascii="Times New Roman" w:hAnsi="Times New Roman"/>
          <w:i/>
        </w:rPr>
      </w:pPr>
    </w:p>
    <w:p w14:paraId="687C9794" w14:textId="77777777"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i/>
        </w:rPr>
        <w:t>Clauses (a), (b) and (e) of the first paragraph of Article 7​ titled "Power plant site in generation facilities based on hydraulic energy​" have been amended as follows and the following paragraph has been added to the same paragraph and the second paragraph of the same article has been amended as follows.</w:t>
      </w:r>
    </w:p>
    <w:p w14:paraId="0ECFE5FB" w14:textId="77777777" w:rsidR="00171C59" w:rsidRPr="009E1B38" w:rsidRDefault="00171C59" w:rsidP="00171C59">
      <w:pPr>
        <w:pStyle w:val="ListeParagraf"/>
        <w:ind w:left="709"/>
        <w:jc w:val="left"/>
        <w:rPr>
          <w:rFonts w:ascii="Times New Roman" w:hAnsi="Times New Roman"/>
          <w:i/>
        </w:rPr>
      </w:pPr>
    </w:p>
    <w:p w14:paraId="58B6802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Lake area if there is a regulator,</w:t>
      </w:r>
    </w:p>
    <w:p w14:paraId="6C5F84A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Water transmission structure,”</w:t>
      </w:r>
    </w:p>
    <w:p w14:paraId="2770D9C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“e) Excavation berms,</w:t>
      </w:r>
    </w:p>
    <w:p w14:paraId="2F5E87E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f) Power plant tail water area. "</w:t>
      </w:r>
    </w:p>
    <w:p w14:paraId="58913529" w14:textId="77777777" w:rsidR="00171C59" w:rsidRPr="009E1B38" w:rsidRDefault="00171C59" w:rsidP="00171C59">
      <w:pPr>
        <w:pStyle w:val="ListeParagraf"/>
        <w:ind w:left="709"/>
        <w:jc w:val="left"/>
        <w:rPr>
          <w:rFonts w:ascii="Times New Roman" w:hAnsi="Times New Roman"/>
          <w:i/>
        </w:rPr>
      </w:pPr>
    </w:p>
    <w:p w14:paraId="55B14A3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In addition to the common elements, each element specified in the first paragraph and these Procedures and Principles shall be marked on the map and if necessary, the distances such as protection, health, safety band etc. defined in the relevant legislation shall be added and the power plant site shall be determined by linearly combining over the external line to be found by taking the projection according to the maximum water level, level of the regulator determined by the DSI and the level of the tail water level to be approved by the DSI for the other elements of the generation facility.</w:t>
      </w:r>
      <w:r w:rsidRPr="009E1B38">
        <w:rPr>
          <w:rFonts w:ascii="Times New Roman" w:hAnsi="Times New Roman"/>
        </w:rPr>
        <w:t xml:space="preserve"> </w:t>
      </w:r>
      <w:r w:rsidRPr="009E1B38">
        <w:rPr>
          <w:rFonts w:ascii="Times New Roman" w:hAnsi="Times New Roman"/>
          <w:i/>
        </w:rPr>
        <w:t>(Example Annex Figure-2) "</w:t>
      </w:r>
    </w:p>
    <w:p w14:paraId="0D794EDE" w14:textId="77777777" w:rsidR="00171C59" w:rsidRPr="009E1B38" w:rsidRDefault="00171C59" w:rsidP="00171C59">
      <w:pPr>
        <w:pStyle w:val="ListeParagraf"/>
        <w:ind w:left="709"/>
        <w:jc w:val="left"/>
        <w:rPr>
          <w:rFonts w:ascii="Times New Roman" w:hAnsi="Times New Roman"/>
          <w:i/>
        </w:rPr>
      </w:pPr>
    </w:p>
    <w:p w14:paraId="01D34C2E" w14:textId="64942940"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The second paragraph of Article 10</w:t>
      </w:r>
      <w:r w:rsidR="00CC77F1"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"Power plant site in generation facilities based on geothermal energy" </w:t>
      </w:r>
      <w:r w:rsidRPr="009E1B38">
        <w:rPr>
          <w:rFonts w:ascii="Times New Roman" w:hAnsi="Times New Roman"/>
        </w:rPr>
        <w:t>has been amended as follows.</w:t>
      </w:r>
    </w:p>
    <w:p w14:paraId="221E36A9" w14:textId="77777777" w:rsidR="00171C59" w:rsidRPr="009E1B38" w:rsidRDefault="00171C59" w:rsidP="00171C59">
      <w:pPr>
        <w:pStyle w:val="ListeParagraf"/>
        <w:ind w:left="709"/>
        <w:jc w:val="left"/>
        <w:rPr>
          <w:rFonts w:ascii="Times New Roman" w:hAnsi="Times New Roman"/>
        </w:rPr>
      </w:pPr>
    </w:p>
    <w:p w14:paraId="7C23C2D7"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"(2) In addition to the common elements, each element specified in the first paragraph and these Procedures and Principles is marked on the map and if necessary, the power plant site is determined by linearly combining the distances defined in the relevant legislation such as protection, health, safety band etc. over the external line to be found.</w:t>
      </w:r>
      <w:r w:rsidRPr="009E1B38">
        <w:rPr>
          <w:rFonts w:ascii="Times New Roman" w:hAnsi="Times New Roman"/>
        </w:rPr>
        <w:t xml:space="preserve"> </w:t>
      </w:r>
      <w:r w:rsidRPr="009E1B38">
        <w:rPr>
          <w:rFonts w:ascii="Times New Roman" w:hAnsi="Times New Roman"/>
          <w:i/>
        </w:rPr>
        <w:t>(Example Annex Figure-3).</w:t>
      </w:r>
      <w:r w:rsidRPr="009E1B38">
        <w:rPr>
          <w:rFonts w:ascii="Times New Roman" w:hAnsi="Times New Roman"/>
        </w:rPr>
        <w:t xml:space="preserve"> </w:t>
      </w:r>
      <w:r w:rsidRPr="009E1B38">
        <w:rPr>
          <w:rFonts w:ascii="Times New Roman" w:hAnsi="Times New Roman"/>
          <w:i/>
        </w:rPr>
        <w:t>A generation or reinjection well can only be included in a pre-license or generation license.”</w:t>
      </w:r>
    </w:p>
    <w:p w14:paraId="02F6B3F6" w14:textId="77777777" w:rsidR="00171C59" w:rsidRPr="009E1B38" w:rsidRDefault="00171C59" w:rsidP="00171C59">
      <w:pPr>
        <w:pStyle w:val="ListeParagraf"/>
        <w:ind w:left="709"/>
        <w:jc w:val="left"/>
        <w:rPr>
          <w:rFonts w:ascii="Times New Roman" w:hAnsi="Times New Roman"/>
          <w:i/>
        </w:rPr>
      </w:pPr>
    </w:p>
    <w:p w14:paraId="4D628F9A" w14:textId="69E4FC7A"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The second paragraph of Article 11</w:t>
      </w:r>
      <w:r w:rsidR="00CC77F1"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"Plant site in generation facilities using direct combustion technology based on biomass energy” </w:t>
      </w:r>
      <w:r w:rsidRPr="009E1B38">
        <w:rPr>
          <w:rFonts w:ascii="Times New Roman" w:hAnsi="Times New Roman"/>
        </w:rPr>
        <w:t>has been amended as follows and the following paragraph has been added to the same article.</w:t>
      </w:r>
    </w:p>
    <w:p w14:paraId="592BD95E" w14:textId="77777777" w:rsidR="00171C59" w:rsidRPr="009E1B38" w:rsidRDefault="00171C59" w:rsidP="00171C59">
      <w:pPr>
        <w:pStyle w:val="ListeParagraf"/>
        <w:ind w:left="709"/>
        <w:jc w:val="left"/>
        <w:rPr>
          <w:rFonts w:ascii="Times New Roman" w:hAnsi="Times New Roman"/>
        </w:rPr>
      </w:pPr>
    </w:p>
    <w:p w14:paraId="023ED48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In addition to the common elements, each element specified in the first paragraph and these Procedures and Principles is marked on the map and if necessary, the power plant site is determined by linearly combining the distances defined in the relevant legislation such as protection, health, safety band etc. over the external line to be found.</w:t>
      </w:r>
      <w:r w:rsidRPr="009E1B38">
        <w:rPr>
          <w:rFonts w:ascii="Times New Roman" w:hAnsi="Times New Roman"/>
        </w:rPr>
        <w:t xml:space="preserve"> </w:t>
      </w:r>
      <w:r w:rsidRPr="009E1B38">
        <w:rPr>
          <w:rFonts w:ascii="Times New Roman" w:hAnsi="Times New Roman"/>
          <w:i/>
        </w:rPr>
        <w:t>(Example Annex Figure-4).</w:t>
      </w:r>
    </w:p>
    <w:p w14:paraId="3F6AF4D0" w14:textId="77777777" w:rsidR="00171C59" w:rsidRPr="009E1B38" w:rsidRDefault="00171C59" w:rsidP="00171C59">
      <w:pPr>
        <w:pStyle w:val="ListeParagraf"/>
        <w:ind w:left="709"/>
        <w:jc w:val="left"/>
        <w:rPr>
          <w:rFonts w:ascii="Times New Roman" w:hAnsi="Times New Roman"/>
          <w:i/>
        </w:rPr>
      </w:pPr>
    </w:p>
    <w:p w14:paraId="053E9FE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Electricity generation facilities within the scope of this article shall be considered as thermal disposal type. "</w:t>
      </w:r>
    </w:p>
    <w:p w14:paraId="4E88AD84" w14:textId="77777777" w:rsidR="00171C59" w:rsidRPr="009E1B38" w:rsidRDefault="00171C59" w:rsidP="00171C59">
      <w:pPr>
        <w:pStyle w:val="ListeParagraf"/>
        <w:ind w:left="709"/>
        <w:jc w:val="left"/>
        <w:rPr>
          <w:rFonts w:ascii="Times New Roman" w:hAnsi="Times New Roman"/>
          <w:i/>
        </w:rPr>
      </w:pPr>
    </w:p>
    <w:p w14:paraId="6C7589ED" w14:textId="30068D4C"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The second paragraph of Article 12</w:t>
      </w:r>
      <w:r w:rsidR="00CC77F1"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"Plant site in generation facilities using biomethanization technology based on biomass energy” </w:t>
      </w:r>
      <w:r w:rsidRPr="009E1B38">
        <w:rPr>
          <w:rFonts w:ascii="Times New Roman" w:hAnsi="Times New Roman"/>
        </w:rPr>
        <w:t>has been amended as follows and the following paragraph has been added to the same article.</w:t>
      </w:r>
    </w:p>
    <w:p w14:paraId="7439354B" w14:textId="77777777" w:rsidR="00171C59" w:rsidRPr="009E1B38" w:rsidRDefault="00171C59" w:rsidP="00171C59">
      <w:pPr>
        <w:pStyle w:val="ListeParagraf"/>
        <w:ind w:left="709"/>
        <w:jc w:val="left"/>
        <w:rPr>
          <w:rFonts w:ascii="Times New Roman" w:hAnsi="Times New Roman"/>
        </w:rPr>
      </w:pPr>
    </w:p>
    <w:p w14:paraId="51BE632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In addition to the common elements, each element specified in the first paragraph and these Procedures and Principles is marked on the map and if necessary, the power plant site is determined by linearly combining the distances defined in the relevant legislation such as protection, health, safety band etc. over the external line to be found.</w:t>
      </w:r>
      <w:r w:rsidRPr="009E1B38">
        <w:rPr>
          <w:rFonts w:ascii="Times New Roman" w:hAnsi="Times New Roman"/>
        </w:rPr>
        <w:t xml:space="preserve"> </w:t>
      </w:r>
      <w:r w:rsidRPr="009E1B38">
        <w:rPr>
          <w:rFonts w:ascii="Times New Roman" w:hAnsi="Times New Roman"/>
          <w:i/>
        </w:rPr>
        <w:t>(Example Appendix Figure-5).</w:t>
      </w:r>
    </w:p>
    <w:p w14:paraId="0FEF829A" w14:textId="77777777" w:rsidR="00171C59" w:rsidRPr="009E1B38" w:rsidRDefault="00171C59" w:rsidP="00171C59">
      <w:pPr>
        <w:pStyle w:val="ListeParagraf"/>
        <w:ind w:left="709"/>
        <w:jc w:val="left"/>
        <w:rPr>
          <w:rFonts w:ascii="Times New Roman" w:hAnsi="Times New Roman"/>
          <w:i/>
        </w:rPr>
      </w:pPr>
    </w:p>
    <w:p w14:paraId="72720BD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The elements included in the first paragraph of this article shall not be included in the electricity generation facilities where garbage gas is used as fuel, and the power plant site in this type of generation facilities shall consist of the common elements specified in the first paragraph of the fifth article. "</w:t>
      </w:r>
    </w:p>
    <w:p w14:paraId="1C3CEBEF" w14:textId="77777777" w:rsidR="00171C59" w:rsidRPr="009E1B38" w:rsidRDefault="00171C59" w:rsidP="00171C59">
      <w:pPr>
        <w:pStyle w:val="ListeParagraf"/>
        <w:ind w:left="709"/>
        <w:jc w:val="left"/>
        <w:rPr>
          <w:rFonts w:ascii="Times New Roman" w:hAnsi="Times New Roman"/>
          <w:i/>
        </w:rPr>
      </w:pPr>
    </w:p>
    <w:p w14:paraId="6833E58C" w14:textId="0498F904"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rPr>
      </w:pPr>
      <w:r w:rsidRPr="009E1B38">
        <w:rPr>
          <w:rFonts w:ascii="Times New Roman" w:hAnsi="Times New Roman"/>
        </w:rPr>
        <w:t>The second paragraph of Article 13</w:t>
      </w:r>
      <w:r w:rsidR="00CC77F1"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"Plant site in generation facilities using gasification technology based on biomass energy”</w:t>
      </w:r>
      <w:r w:rsidRPr="009E1B38">
        <w:rPr>
          <w:rFonts w:ascii="Times New Roman" w:hAnsi="Times New Roman"/>
        </w:rPr>
        <w:t xml:space="preserve"> has been amended as follows and the following paragraph has been added to the same article.</w:t>
      </w:r>
    </w:p>
    <w:p w14:paraId="29FA0EC4" w14:textId="77777777" w:rsidR="00171C59" w:rsidRPr="009E1B38" w:rsidRDefault="00171C59" w:rsidP="00171C59">
      <w:pPr>
        <w:pStyle w:val="ListeParagraf"/>
        <w:ind w:left="709"/>
        <w:jc w:val="left"/>
        <w:rPr>
          <w:rFonts w:ascii="Times New Roman" w:hAnsi="Times New Roman"/>
        </w:rPr>
      </w:pPr>
    </w:p>
    <w:p w14:paraId="7915460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In addition to the common elements, each element specified in the first paragraph and these Procedures and Principles is marked on the map and if necessary, the power plant site is determined by linearly combining the distances defined in the relevant legislation such as protection, health, safety band etc. over the external line to be found. (Example Appendix Figure-6).</w:t>
      </w:r>
    </w:p>
    <w:p w14:paraId="402D3A30" w14:textId="77777777" w:rsidR="00171C59" w:rsidRPr="009E1B38" w:rsidRDefault="00171C59" w:rsidP="00171C59">
      <w:pPr>
        <w:pStyle w:val="ListeParagraf"/>
        <w:ind w:left="709"/>
        <w:jc w:val="left"/>
        <w:rPr>
          <w:rFonts w:ascii="Times New Roman" w:hAnsi="Times New Roman"/>
          <w:i/>
        </w:rPr>
      </w:pPr>
    </w:p>
    <w:p w14:paraId="221E18C8"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Electricity generation facilities within the scope of this article shall be deemed to be of thermal disposal type. "</w:t>
      </w:r>
    </w:p>
    <w:p w14:paraId="77A98639" w14:textId="77777777" w:rsidR="00171C59" w:rsidRPr="009E1B38" w:rsidRDefault="00171C59" w:rsidP="00171C59">
      <w:pPr>
        <w:pStyle w:val="ListeParagraf"/>
        <w:ind w:left="709"/>
        <w:jc w:val="left"/>
        <w:rPr>
          <w:rFonts w:ascii="Times New Roman" w:hAnsi="Times New Roman"/>
          <w:i/>
        </w:rPr>
      </w:pPr>
    </w:p>
    <w:p w14:paraId="3D8F232E" w14:textId="714866FE"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The second paragraph of Article 14</w:t>
      </w:r>
      <w:r w:rsidR="00CC77F1"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 Plant site in generation facilities using pyrolysis technology based on biomass energy” </w:t>
      </w:r>
      <w:r w:rsidRPr="009E1B38">
        <w:rPr>
          <w:rFonts w:ascii="Times New Roman" w:hAnsi="Times New Roman"/>
        </w:rPr>
        <w:t>has been amended as follows and the following paragraph has been added to the same article.</w:t>
      </w:r>
    </w:p>
    <w:p w14:paraId="374579E6" w14:textId="77777777" w:rsidR="00171C59" w:rsidRPr="009E1B38" w:rsidRDefault="00171C59" w:rsidP="00171C59">
      <w:pPr>
        <w:pStyle w:val="ListeParagraf"/>
        <w:ind w:left="709"/>
        <w:jc w:val="left"/>
        <w:rPr>
          <w:rFonts w:ascii="Times New Roman" w:hAnsi="Times New Roman"/>
        </w:rPr>
      </w:pPr>
    </w:p>
    <w:p w14:paraId="7F622C64"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lastRenderedPageBreak/>
        <w:t>"(2) In addition to the common elements, each element specified in the first paragraph and these Procedures and Principles is marked on the map and if necessary, the power plant site is determined by linearly combining the distances defined in the relevant legislation such as protection, health, safety band etc. over the external line to be found.</w:t>
      </w:r>
      <w:r w:rsidRPr="009E1B38">
        <w:rPr>
          <w:rFonts w:ascii="Times New Roman" w:hAnsi="Times New Roman"/>
        </w:rPr>
        <w:t xml:space="preserve"> </w:t>
      </w:r>
      <w:r w:rsidRPr="009E1B38">
        <w:rPr>
          <w:rFonts w:ascii="Times New Roman" w:hAnsi="Times New Roman"/>
          <w:i/>
        </w:rPr>
        <w:t>(Example Appendix Figure-7).</w:t>
      </w:r>
    </w:p>
    <w:p w14:paraId="744DEF3D" w14:textId="77777777" w:rsidR="00171C59" w:rsidRPr="009E1B38" w:rsidRDefault="00171C59" w:rsidP="00171C59">
      <w:pPr>
        <w:pStyle w:val="ListeParagraf"/>
        <w:ind w:left="709"/>
        <w:jc w:val="left"/>
        <w:rPr>
          <w:rFonts w:ascii="Times New Roman" w:hAnsi="Times New Roman"/>
          <w:i/>
        </w:rPr>
      </w:pPr>
    </w:p>
    <w:p w14:paraId="6CDFDB30"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Electricity generation facilities using pyrolysis technology other than electricity generation facilities where the resources obtained from by-products arising from the processing of waste tires are used as fuel are accepted to be thermal disposal type.</w:t>
      </w:r>
      <w:r w:rsidRPr="009E1B38">
        <w:rPr>
          <w:rFonts w:ascii="Times New Roman" w:hAnsi="Times New Roman"/>
        </w:rPr>
        <w:t xml:space="preserve"> </w:t>
      </w:r>
      <w:r w:rsidRPr="009E1B38">
        <w:rPr>
          <w:rFonts w:ascii="Times New Roman" w:hAnsi="Times New Roman"/>
          <w:i/>
        </w:rPr>
        <w:t>These electricity generation plants do not include steel separation and magnetic separation elements. "</w:t>
      </w:r>
    </w:p>
    <w:p w14:paraId="62E8AD28" w14:textId="77777777" w:rsidR="00171C59" w:rsidRPr="009E1B38" w:rsidRDefault="00171C59" w:rsidP="00171C59">
      <w:pPr>
        <w:pStyle w:val="ListeParagraf"/>
        <w:ind w:left="709"/>
        <w:jc w:val="left"/>
        <w:rPr>
          <w:rFonts w:ascii="Times New Roman" w:hAnsi="Times New Roman"/>
          <w:i/>
        </w:rPr>
      </w:pPr>
    </w:p>
    <w:p w14:paraId="1347C6F4" w14:textId="73AE0DC9"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The second paragraph of Article 15</w:t>
      </w:r>
      <w:r w:rsidR="00CC77F1"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"Power plant site in coal-fired conventional type generation facilities” </w:t>
      </w:r>
      <w:r w:rsidRPr="009E1B38">
        <w:rPr>
          <w:rFonts w:ascii="Times New Roman" w:hAnsi="Times New Roman"/>
        </w:rPr>
        <w:t>has been amended as follows.</w:t>
      </w:r>
    </w:p>
    <w:p w14:paraId="43A835F0" w14:textId="77777777" w:rsidR="00171C59" w:rsidRPr="009E1B38" w:rsidRDefault="00171C59" w:rsidP="00171C59">
      <w:pPr>
        <w:pStyle w:val="ListeParagraf"/>
        <w:ind w:left="709"/>
        <w:jc w:val="left"/>
        <w:rPr>
          <w:rFonts w:ascii="Times New Roman" w:hAnsi="Times New Roman"/>
        </w:rPr>
      </w:pPr>
    </w:p>
    <w:p w14:paraId="272A13F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In addition to the common elements, each element specified in the first paragraph and these Procedures and Principles is marked on the map and if necessary, the power plant site is determined by linearly combining the distances defined in the relevant legislation such as protection, health, safety band etc. over the external line to be found.</w:t>
      </w:r>
      <w:r w:rsidRPr="009E1B38">
        <w:rPr>
          <w:rFonts w:ascii="Times New Roman" w:hAnsi="Times New Roman"/>
        </w:rPr>
        <w:t xml:space="preserve"> </w:t>
      </w:r>
      <w:r w:rsidRPr="009E1B38">
        <w:rPr>
          <w:rFonts w:ascii="Times New Roman" w:hAnsi="Times New Roman"/>
          <w:i/>
        </w:rPr>
        <w:t>(Example Annex Figure-8). "</w:t>
      </w:r>
    </w:p>
    <w:p w14:paraId="144D24DB" w14:textId="77777777" w:rsidR="00171C59" w:rsidRPr="009E1B38" w:rsidRDefault="00171C59" w:rsidP="00171C59">
      <w:pPr>
        <w:pStyle w:val="ListeParagraf"/>
        <w:ind w:left="709"/>
        <w:jc w:val="left"/>
        <w:rPr>
          <w:rFonts w:ascii="Times New Roman" w:hAnsi="Times New Roman"/>
          <w:i/>
        </w:rPr>
      </w:pPr>
    </w:p>
    <w:p w14:paraId="6E8BA086" w14:textId="1422D26C"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The second paragraph of Article 16</w:t>
      </w:r>
      <w:r w:rsidR="00CC77F1"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"Power plant site in coal-fired fluidized bed type generation facilities” </w:t>
      </w:r>
      <w:r w:rsidRPr="009E1B38">
        <w:rPr>
          <w:rFonts w:ascii="Times New Roman" w:hAnsi="Times New Roman"/>
        </w:rPr>
        <w:t>has been amended as follows.</w:t>
      </w:r>
    </w:p>
    <w:p w14:paraId="7D9A3301" w14:textId="77777777" w:rsidR="00171C59" w:rsidRPr="009E1B38" w:rsidRDefault="00171C59" w:rsidP="00171C59">
      <w:pPr>
        <w:pStyle w:val="ListeParagraf"/>
        <w:ind w:left="709"/>
        <w:jc w:val="left"/>
        <w:rPr>
          <w:rFonts w:ascii="Times New Roman" w:hAnsi="Times New Roman"/>
        </w:rPr>
      </w:pPr>
    </w:p>
    <w:p w14:paraId="1FA3B72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In addition to the common elements, each element specified in the first paragraph and these Procedures and Principles is marked on the map and if necessary, the power plant site is determined by linearly combining the distances defined in the relevant legislation such as protection, health, safety band etc. over the external line to be found.</w:t>
      </w:r>
      <w:r w:rsidRPr="009E1B38">
        <w:rPr>
          <w:rFonts w:ascii="Times New Roman" w:hAnsi="Times New Roman"/>
        </w:rPr>
        <w:t xml:space="preserve"> </w:t>
      </w:r>
      <w:r w:rsidRPr="009E1B38">
        <w:rPr>
          <w:rFonts w:ascii="Times New Roman" w:hAnsi="Times New Roman"/>
          <w:i/>
        </w:rPr>
        <w:t>(Example Annex Figure-8). "</w:t>
      </w:r>
    </w:p>
    <w:p w14:paraId="66B654DE" w14:textId="77777777" w:rsidR="00171C59" w:rsidRPr="009E1B38" w:rsidRDefault="00171C59" w:rsidP="00171C59">
      <w:pPr>
        <w:pStyle w:val="ListeParagraf"/>
        <w:ind w:left="709"/>
        <w:jc w:val="left"/>
        <w:rPr>
          <w:rFonts w:ascii="Times New Roman" w:hAnsi="Times New Roman"/>
          <w:i/>
        </w:rPr>
      </w:pPr>
    </w:p>
    <w:p w14:paraId="7BE2B298" w14:textId="187F0664"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The second paragraph of Article 17​</w:t>
      </w:r>
      <w:r w:rsidR="00CC77F1"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"Plant site in coal-fired super-critical or ultra-super-critical type generation facilities​" </w:t>
      </w:r>
      <w:r w:rsidRPr="009E1B38">
        <w:rPr>
          <w:rFonts w:ascii="Times New Roman" w:hAnsi="Times New Roman"/>
        </w:rPr>
        <w:t>has been amended as follows,</w:t>
      </w:r>
    </w:p>
    <w:p w14:paraId="42EA6B47" w14:textId="77777777" w:rsidR="00171C59" w:rsidRPr="009E1B38" w:rsidRDefault="00171C59" w:rsidP="00171C59">
      <w:pPr>
        <w:pStyle w:val="ListeParagraf"/>
        <w:ind w:left="709"/>
        <w:jc w:val="left"/>
        <w:rPr>
          <w:rFonts w:ascii="Times New Roman" w:hAnsi="Times New Roman"/>
        </w:rPr>
      </w:pPr>
    </w:p>
    <w:p w14:paraId="36225896"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In addition to the common elements, each element specified in the first paragraph and these Procedures and Principles is marked on the map and if necessary, the power plant site is determined by linearly combining the distances defined in the relevant legislation such as protection, health, safety band etc. over the external line to be found.</w:t>
      </w:r>
      <w:r w:rsidRPr="009E1B38">
        <w:rPr>
          <w:rFonts w:ascii="Times New Roman" w:hAnsi="Times New Roman"/>
        </w:rPr>
        <w:t xml:space="preserve"> </w:t>
      </w:r>
      <w:r w:rsidRPr="009E1B38">
        <w:rPr>
          <w:rFonts w:ascii="Times New Roman" w:hAnsi="Times New Roman"/>
          <w:i/>
        </w:rPr>
        <w:t>(Example Annex Figure-8). "</w:t>
      </w:r>
    </w:p>
    <w:p w14:paraId="5EAD4B81" w14:textId="77777777" w:rsidR="00171C59" w:rsidRPr="009E1B38" w:rsidRDefault="00171C59" w:rsidP="00171C59">
      <w:pPr>
        <w:pStyle w:val="ListeParagraf"/>
        <w:ind w:left="709"/>
        <w:jc w:val="left"/>
        <w:rPr>
          <w:rFonts w:ascii="Times New Roman" w:hAnsi="Times New Roman"/>
          <w:i/>
        </w:rPr>
      </w:pPr>
    </w:p>
    <w:p w14:paraId="39368BF9" w14:textId="77777777"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The phrase</w:t>
      </w:r>
      <w:r w:rsidRPr="009E1B38">
        <w:rPr>
          <w:rFonts w:ascii="Times New Roman" w:hAnsi="Times New Roman"/>
          <w:i/>
        </w:rPr>
        <w:t xml:space="preserve"> “if necessary" </w:t>
      </w:r>
      <w:r w:rsidRPr="009E1B38">
        <w:rPr>
          <w:rFonts w:ascii="Times New Roman" w:hAnsi="Times New Roman"/>
        </w:rPr>
        <w:t>has been added after the phrase</w:t>
      </w:r>
      <w:r w:rsidRPr="009E1B38">
        <w:rPr>
          <w:rFonts w:ascii="Times New Roman" w:hAnsi="Times New Roman"/>
          <w:i/>
        </w:rPr>
        <w:t xml:space="preserve"> " ​​for each" </w:t>
      </w:r>
      <w:r w:rsidRPr="009E1B38">
        <w:rPr>
          <w:rFonts w:ascii="Times New Roman" w:hAnsi="Times New Roman"/>
        </w:rPr>
        <w:t>in the second paragraph of Article 18 titled  “</w:t>
      </w:r>
      <w:r w:rsidRPr="009E1B38">
        <w:rPr>
          <w:rFonts w:ascii="Times New Roman" w:hAnsi="Times New Roman"/>
          <w:i/>
        </w:rPr>
        <w:t>Power plant site in natural gas-fired simple cycle type generation facilities”.</w:t>
      </w:r>
    </w:p>
    <w:p w14:paraId="7CA4AFD0" w14:textId="77777777" w:rsidR="00171C59" w:rsidRPr="009E1B38" w:rsidRDefault="00171C59" w:rsidP="00171C59">
      <w:pPr>
        <w:pStyle w:val="ListeParagraf"/>
        <w:ind w:left="709"/>
        <w:jc w:val="left"/>
        <w:rPr>
          <w:rFonts w:ascii="Times New Roman" w:hAnsi="Times New Roman"/>
          <w:i/>
        </w:rPr>
      </w:pPr>
    </w:p>
    <w:p w14:paraId="54F9AF07" w14:textId="77777777"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The phrase</w:t>
      </w:r>
      <w:r w:rsidRPr="009E1B38">
        <w:rPr>
          <w:rFonts w:ascii="Times New Roman" w:hAnsi="Times New Roman"/>
          <w:i/>
        </w:rPr>
        <w:t xml:space="preserve"> “if necessary” </w:t>
      </w:r>
      <w:r w:rsidRPr="009E1B38">
        <w:rPr>
          <w:rFonts w:ascii="Times New Roman" w:hAnsi="Times New Roman"/>
        </w:rPr>
        <w:t>has been added after the phrase</w:t>
      </w:r>
      <w:r w:rsidRPr="009E1B38">
        <w:rPr>
          <w:rFonts w:ascii="Times New Roman" w:hAnsi="Times New Roman"/>
          <w:i/>
        </w:rPr>
        <w:t xml:space="preserve"> "for each" </w:t>
      </w:r>
      <w:r w:rsidRPr="009E1B38">
        <w:rPr>
          <w:rFonts w:ascii="Times New Roman" w:hAnsi="Times New Roman"/>
        </w:rPr>
        <w:t>in the second paragraph of Article 19 titled</w:t>
      </w:r>
      <w:r w:rsidRPr="009E1B38">
        <w:rPr>
          <w:rFonts w:ascii="Times New Roman" w:hAnsi="Times New Roman"/>
          <w:i/>
        </w:rPr>
        <w:t xml:space="preserve"> “Plant site in​natural gas-fired cogeneration, micro cogeneration or trigeneration type generation facilities​".</w:t>
      </w:r>
    </w:p>
    <w:p w14:paraId="09BC921D" w14:textId="77777777" w:rsidR="00171C59" w:rsidRPr="009E1B38" w:rsidRDefault="00171C59" w:rsidP="00171C59">
      <w:pPr>
        <w:pStyle w:val="ListeParagraf"/>
        <w:ind w:left="709"/>
        <w:jc w:val="left"/>
        <w:rPr>
          <w:rFonts w:ascii="Times New Roman" w:hAnsi="Times New Roman"/>
          <w:i/>
        </w:rPr>
      </w:pPr>
    </w:p>
    <w:p w14:paraId="223E0B99" w14:textId="77777777"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t>The second paragraph of Article 20​titled</w:t>
      </w:r>
      <w:r w:rsidRPr="009E1B38">
        <w:rPr>
          <w:rFonts w:ascii="Times New Roman" w:hAnsi="Times New Roman"/>
          <w:i/>
        </w:rPr>
        <w:t xml:space="preserve"> "Plant site in natural gas-fired combined cycle type generation facilities” </w:t>
      </w:r>
      <w:r w:rsidRPr="009E1B38">
        <w:rPr>
          <w:rFonts w:ascii="Times New Roman" w:hAnsi="Times New Roman"/>
        </w:rPr>
        <w:t>has been amended as follows.</w:t>
      </w:r>
    </w:p>
    <w:p w14:paraId="414FB4BD" w14:textId="77777777" w:rsidR="00171C59" w:rsidRPr="009E1B38" w:rsidRDefault="00171C59" w:rsidP="00171C59">
      <w:pPr>
        <w:pStyle w:val="ListeParagraf"/>
        <w:ind w:left="709"/>
        <w:jc w:val="left"/>
        <w:rPr>
          <w:rFonts w:ascii="Times New Roman" w:hAnsi="Times New Roman"/>
          <w:i/>
        </w:rPr>
      </w:pPr>
    </w:p>
    <w:p w14:paraId="29D58D6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In addition to the common elements, each element specified in the first paragraph and these Procedures and Principles is marked on the map and if necessary, the power plant site is determined by linearly combining the distances defined in the relevant legislation such as protection, health, safety band etc. over the external line to be found.</w:t>
      </w:r>
      <w:r w:rsidRPr="009E1B38">
        <w:rPr>
          <w:rFonts w:ascii="Times New Roman" w:hAnsi="Times New Roman"/>
        </w:rPr>
        <w:t xml:space="preserve"> </w:t>
      </w:r>
      <w:r w:rsidRPr="009E1B38">
        <w:rPr>
          <w:rFonts w:ascii="Times New Roman" w:hAnsi="Times New Roman"/>
          <w:i/>
        </w:rPr>
        <w:t>(Example Annex Figure-10).”</w:t>
      </w:r>
    </w:p>
    <w:p w14:paraId="009F757A" w14:textId="77777777" w:rsidR="00171C59" w:rsidRPr="009E1B38" w:rsidRDefault="00171C59" w:rsidP="00171C59">
      <w:pPr>
        <w:pStyle w:val="ListeParagraf"/>
        <w:ind w:left="709"/>
        <w:jc w:val="left"/>
        <w:rPr>
          <w:rFonts w:ascii="Times New Roman" w:hAnsi="Times New Roman"/>
          <w:i/>
        </w:rPr>
      </w:pPr>
    </w:p>
    <w:p w14:paraId="006A8BDC" w14:textId="5FC06798"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rPr>
        <w:lastRenderedPageBreak/>
        <w:t>The following paragraph has been added to Article 21</w:t>
      </w:r>
      <w:r w:rsidR="00CC77F1"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"Power plant site in cogeneration, micro-generation or trigeneration type generation facilities in the industrial plant site​".</w:t>
      </w:r>
    </w:p>
    <w:p w14:paraId="128435CA" w14:textId="77777777" w:rsidR="00171C59" w:rsidRPr="009E1B38" w:rsidRDefault="00171C59" w:rsidP="00171C59">
      <w:pPr>
        <w:pStyle w:val="ListeParagraf"/>
        <w:ind w:left="709"/>
        <w:jc w:val="left"/>
        <w:rPr>
          <w:rFonts w:ascii="Times New Roman" w:hAnsi="Times New Roman"/>
          <w:i/>
        </w:rPr>
      </w:pPr>
    </w:p>
    <w:p w14:paraId="75105491"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In case an electricity generation facility is established on more than one independent area of the industrial facility where electricity needs are met, all of the independent areas where electricity needs are met from the same busbar and consumption facilities belonging to the same legal entity are included in the license as power plant site."</w:t>
      </w:r>
    </w:p>
    <w:p w14:paraId="0E89297D" w14:textId="77777777" w:rsidR="00171C59" w:rsidRPr="009E1B38" w:rsidRDefault="00171C59" w:rsidP="00171C59">
      <w:pPr>
        <w:pStyle w:val="ListeParagraf"/>
        <w:ind w:left="709"/>
        <w:jc w:val="left"/>
        <w:rPr>
          <w:rFonts w:ascii="Times New Roman" w:hAnsi="Times New Roman"/>
          <w:i/>
        </w:rPr>
      </w:pPr>
    </w:p>
    <w:p w14:paraId="3F09645F" w14:textId="18C4109E"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rPr>
      </w:pPr>
      <w:r w:rsidRPr="009E1B38">
        <w:rPr>
          <w:rFonts w:ascii="Times New Roman" w:hAnsi="Times New Roman"/>
        </w:rPr>
        <w:t>The second paragraph of Article 23</w:t>
      </w:r>
      <w:r w:rsidR="00CC77F1"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"Auxiliary resource unit area"​ </w:t>
      </w:r>
      <w:r w:rsidRPr="009E1B38">
        <w:rPr>
          <w:rFonts w:ascii="Times New Roman" w:hAnsi="Times New Roman"/>
        </w:rPr>
        <w:t>has been amended as follows and the third paragraph and the fourth paragraph have been repealed.</w:t>
      </w:r>
    </w:p>
    <w:p w14:paraId="665C60AF" w14:textId="77777777" w:rsidR="00171C59" w:rsidRPr="009E1B38" w:rsidRDefault="00171C59" w:rsidP="00171C59">
      <w:pPr>
        <w:pStyle w:val="ListeParagraf"/>
        <w:ind w:left="709"/>
        <w:jc w:val="left"/>
        <w:rPr>
          <w:rFonts w:ascii="Times New Roman" w:hAnsi="Times New Roman"/>
        </w:rPr>
      </w:pPr>
    </w:p>
    <w:p w14:paraId="00F6010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Within the scope of converting electricity generation facilities into multiple source electricity generation facilities, if needed for the auxiliary source unit area, an application can be made to the Authority within the scope of the provisions of Article 46 of the Electricity Market Licensing Regulation.</w:t>
      </w:r>
      <w:r w:rsidRPr="009E1B38">
        <w:rPr>
          <w:rFonts w:ascii="Times New Roman" w:hAnsi="Times New Roman"/>
        </w:rPr>
        <w:t xml:space="preserve"> </w:t>
      </w:r>
      <w:r w:rsidRPr="009E1B38">
        <w:rPr>
          <w:rFonts w:ascii="Times New Roman" w:hAnsi="Times New Roman"/>
          <w:i/>
        </w:rPr>
        <w:t>In multiple source electricity generation plants with auxiliary source solar energy, it can be added to the power plant site as an auxiliary source unit area, provided that it is integrated to the boundaries of the power plant site up to a maximum of 15 decares against each 1 MW auxiliary source power. "</w:t>
      </w:r>
    </w:p>
    <w:p w14:paraId="789323A4" w14:textId="77777777" w:rsidR="00171C59" w:rsidRPr="009E1B38" w:rsidRDefault="00171C59" w:rsidP="00171C59">
      <w:pPr>
        <w:pStyle w:val="ListeParagraf"/>
        <w:ind w:left="709"/>
        <w:jc w:val="left"/>
        <w:rPr>
          <w:rFonts w:ascii="Times New Roman" w:hAnsi="Times New Roman"/>
          <w:i/>
        </w:rPr>
      </w:pPr>
    </w:p>
    <w:p w14:paraId="3FCB3534" w14:textId="77777777"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i/>
        </w:rPr>
      </w:pPr>
      <w:r w:rsidRPr="009E1B38">
        <w:rPr>
          <w:rFonts w:ascii="Times New Roman" w:hAnsi="Times New Roman"/>
          <w:i/>
        </w:rPr>
        <w:t>The following article has been added to come after article 23.</w:t>
      </w:r>
    </w:p>
    <w:p w14:paraId="71C4DD2F" w14:textId="77777777" w:rsidR="00171C59" w:rsidRPr="009E1B38" w:rsidRDefault="00171C59" w:rsidP="00171C59">
      <w:pPr>
        <w:pStyle w:val="ListeParagraf"/>
        <w:ind w:left="709"/>
        <w:jc w:val="left"/>
        <w:rPr>
          <w:rFonts w:ascii="Times New Roman" w:hAnsi="Times New Roman"/>
          <w:i/>
        </w:rPr>
      </w:pPr>
    </w:p>
    <w:p w14:paraId="2866575A"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Auxiliary source unit power</w:t>
      </w:r>
    </w:p>
    <w:p w14:paraId="7931D429" w14:textId="77777777" w:rsidR="00171C59" w:rsidRPr="009E1B38" w:rsidRDefault="00171C59" w:rsidP="00171C59">
      <w:pPr>
        <w:pStyle w:val="ListeParagraf"/>
        <w:ind w:left="709"/>
        <w:jc w:val="left"/>
        <w:rPr>
          <w:rFonts w:ascii="Times New Roman" w:hAnsi="Times New Roman"/>
          <w:b/>
          <w:i/>
        </w:rPr>
      </w:pPr>
    </w:p>
    <w:p w14:paraId="07A51924" w14:textId="77777777" w:rsidR="00171C59" w:rsidRPr="009E1B38" w:rsidRDefault="00171C59" w:rsidP="00171C59">
      <w:pPr>
        <w:pStyle w:val="ListeParagraf"/>
        <w:ind w:left="709"/>
        <w:jc w:val="left"/>
        <w:rPr>
          <w:rFonts w:ascii="Times New Roman" w:hAnsi="Times New Roman"/>
          <w:b/>
          <w:i/>
        </w:rPr>
      </w:pPr>
      <w:r w:rsidRPr="009E1B38">
        <w:rPr>
          <w:rFonts w:ascii="Times New Roman" w:hAnsi="Times New Roman"/>
          <w:b/>
          <w:i/>
        </w:rPr>
        <w:t>“ARTICLE 24</w:t>
      </w:r>
    </w:p>
    <w:p w14:paraId="63C23173" w14:textId="77777777" w:rsidR="00171C59" w:rsidRPr="009E1B38" w:rsidRDefault="00171C59" w:rsidP="00171C59">
      <w:pPr>
        <w:pStyle w:val="ListeParagraf"/>
        <w:ind w:left="709"/>
        <w:jc w:val="left"/>
        <w:rPr>
          <w:rFonts w:ascii="Times New Roman" w:hAnsi="Times New Roman"/>
          <w:b/>
          <w:i/>
        </w:rPr>
      </w:pPr>
    </w:p>
    <w:p w14:paraId="2BEFEB89"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Total mechanical power of auxiliary source-based units that can be installed in multiple source electricity generation facilities;</w:t>
      </w:r>
    </w:p>
    <w:p w14:paraId="2E2BA9A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The total electrical installed power of the units based on the main source in the electricity generation facilities with a total electrical installed power of 50 MW or less,</w:t>
      </w:r>
    </w:p>
    <w:p w14:paraId="5C1959EB"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In electricity generation facilities where the total electrical installed power of the units based on the main source is more than 50 MW; the total power to be found by adding the power corresponding to half of the electrical installed power of the main source exceeding 50 MW shall not exceed the total power.</w:t>
      </w:r>
      <w:r w:rsidRPr="009E1B38">
        <w:rPr>
          <w:rFonts w:ascii="Times New Roman" w:hAnsi="Times New Roman"/>
        </w:rPr>
        <w:t xml:space="preserve"> </w:t>
      </w:r>
      <w:r w:rsidRPr="009E1B38">
        <w:rPr>
          <w:rFonts w:ascii="Times New Roman" w:hAnsi="Times New Roman"/>
          <w:i/>
        </w:rPr>
        <w:t>The mechanical installed power of the auxiliary source-based units to be installed within the scope of this article shall not exceed 100 MW in total. "</w:t>
      </w:r>
    </w:p>
    <w:p w14:paraId="539B60D0" w14:textId="77777777" w:rsidR="00171C59" w:rsidRPr="009E1B38" w:rsidRDefault="00171C59" w:rsidP="00171C59">
      <w:pPr>
        <w:pStyle w:val="ListeParagraf"/>
        <w:ind w:left="709"/>
        <w:jc w:val="left"/>
        <w:rPr>
          <w:rFonts w:ascii="Times New Roman" w:hAnsi="Times New Roman"/>
          <w:i/>
        </w:rPr>
      </w:pPr>
    </w:p>
    <w:p w14:paraId="0ADE009B" w14:textId="1D5065FF"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rPr>
      </w:pPr>
      <w:r w:rsidRPr="009E1B38">
        <w:rPr>
          <w:rFonts w:ascii="Times New Roman" w:hAnsi="Times New Roman"/>
        </w:rPr>
        <w:t>The first paragraph of the provisional article 2​</w:t>
      </w:r>
      <w:r w:rsidR="00CC77F1" w:rsidRPr="009E1B38">
        <w:rPr>
          <w:rFonts w:ascii="Times New Roman" w:hAnsi="Times New Roman"/>
        </w:rPr>
        <w:t xml:space="preserve"> </w:t>
      </w:r>
      <w:r w:rsidRPr="009E1B38">
        <w:rPr>
          <w:rFonts w:ascii="Times New Roman" w:hAnsi="Times New Roman"/>
        </w:rPr>
        <w:t>titled</w:t>
      </w:r>
      <w:r w:rsidRPr="009E1B38">
        <w:rPr>
          <w:rFonts w:ascii="Times New Roman" w:hAnsi="Times New Roman"/>
          <w:i/>
        </w:rPr>
        <w:t xml:space="preserve"> "Harmonization of the power plant site in generation license applications following the preliminary license" </w:t>
      </w:r>
      <w:r w:rsidRPr="009E1B38">
        <w:rPr>
          <w:rFonts w:ascii="Times New Roman" w:hAnsi="Times New Roman"/>
        </w:rPr>
        <w:t>has been amended as follows.</w:t>
      </w:r>
    </w:p>
    <w:p w14:paraId="01C9E326" w14:textId="77777777" w:rsidR="00171C59" w:rsidRPr="009E1B38" w:rsidRDefault="00171C59" w:rsidP="00171C59">
      <w:pPr>
        <w:pStyle w:val="ListeParagraf"/>
        <w:ind w:left="709"/>
        <w:jc w:val="left"/>
        <w:rPr>
          <w:rFonts w:ascii="Times New Roman" w:hAnsi="Times New Roman"/>
        </w:rPr>
      </w:pPr>
    </w:p>
    <w:p w14:paraId="391BDC0E"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“(1) Power plant site information determined according to these Procedures and Principles shall also be included in generation licenses to be granted to legal entities not included in power plant site associate licenses.”</w:t>
      </w:r>
    </w:p>
    <w:p w14:paraId="7CD5E837" w14:textId="77777777" w:rsidR="00171C59" w:rsidRPr="009E1B38" w:rsidRDefault="00171C59" w:rsidP="00171C59">
      <w:pPr>
        <w:pStyle w:val="ListeParagraf"/>
        <w:ind w:left="709"/>
        <w:jc w:val="left"/>
        <w:rPr>
          <w:rFonts w:ascii="Times New Roman" w:hAnsi="Times New Roman"/>
        </w:rPr>
      </w:pPr>
    </w:p>
    <w:p w14:paraId="353A82BD" w14:textId="77777777"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rPr>
      </w:pPr>
      <w:r w:rsidRPr="009E1B38">
        <w:rPr>
          <w:rFonts w:ascii="Times New Roman" w:hAnsi="Times New Roman"/>
        </w:rPr>
        <w:t xml:space="preserve">Provisional Article 3 titled​  </w:t>
      </w:r>
      <w:r w:rsidRPr="009E1B38">
        <w:rPr>
          <w:rFonts w:ascii="Times New Roman" w:hAnsi="Times New Roman"/>
          <w:i/>
        </w:rPr>
        <w:t>"Inclusion of lands for which the right of use has been acquired and construction plan has been made to the power plant site"</w:t>
      </w:r>
      <w:r w:rsidRPr="009E1B38">
        <w:rPr>
          <w:rFonts w:ascii="Times New Roman" w:hAnsi="Times New Roman"/>
        </w:rPr>
        <w:t xml:space="preserve"> ​ has been repealed.</w:t>
      </w:r>
    </w:p>
    <w:p w14:paraId="20B650C6" w14:textId="77777777" w:rsidR="00171C59" w:rsidRPr="009E1B38" w:rsidRDefault="00171C59" w:rsidP="00171C59">
      <w:pPr>
        <w:pStyle w:val="ListeParagraf"/>
        <w:ind w:left="709"/>
        <w:jc w:val="left"/>
        <w:rPr>
          <w:rFonts w:ascii="Times New Roman" w:hAnsi="Times New Roman"/>
        </w:rPr>
      </w:pPr>
    </w:p>
    <w:p w14:paraId="0D4573AE" w14:textId="1F37FAED" w:rsidR="00171C59" w:rsidRPr="009E1B38" w:rsidRDefault="00171C59" w:rsidP="003C5E4D">
      <w:pPr>
        <w:pStyle w:val="ListeParagraf"/>
        <w:numPr>
          <w:ilvl w:val="0"/>
          <w:numId w:val="93"/>
        </w:numPr>
        <w:spacing w:after="160" w:line="259" w:lineRule="auto"/>
        <w:ind w:left="709" w:firstLine="0"/>
        <w:jc w:val="left"/>
        <w:rPr>
          <w:rFonts w:ascii="Times New Roman" w:hAnsi="Times New Roman"/>
        </w:rPr>
      </w:pPr>
      <w:r w:rsidRPr="009E1B38">
        <w:rPr>
          <w:rFonts w:ascii="Times New Roman" w:hAnsi="Times New Roman"/>
        </w:rPr>
        <w:t xml:space="preserve">The article number of </w:t>
      </w:r>
      <w:r w:rsidR="00CC77F1" w:rsidRPr="009E1B38">
        <w:rPr>
          <w:rFonts w:ascii="Times New Roman" w:hAnsi="Times New Roman"/>
        </w:rPr>
        <w:t>A</w:t>
      </w:r>
      <w:r w:rsidRPr="009E1B38">
        <w:rPr>
          <w:rFonts w:ascii="Times New Roman" w:hAnsi="Times New Roman"/>
        </w:rPr>
        <w:t>rticle</w:t>
      </w:r>
      <w:r w:rsidR="00CC77F1" w:rsidRPr="009E1B38">
        <w:rPr>
          <w:rFonts w:ascii="Times New Roman" w:hAnsi="Times New Roman"/>
        </w:rPr>
        <w:t xml:space="preserve"> 24</w:t>
      </w:r>
      <w:r w:rsidRPr="009E1B38">
        <w:rPr>
          <w:rFonts w:ascii="Times New Roman" w:hAnsi="Times New Roman"/>
        </w:rPr>
        <w:t xml:space="preserve"> titled </w:t>
      </w:r>
      <w:r w:rsidRPr="009E1B38">
        <w:rPr>
          <w:rFonts w:ascii="Times New Roman" w:hAnsi="Times New Roman"/>
          <w:i/>
        </w:rPr>
        <w:t>"Validity"</w:t>
      </w:r>
      <w:r w:rsidRPr="009E1B38">
        <w:rPr>
          <w:rFonts w:ascii="Times New Roman" w:hAnsi="Times New Roman"/>
        </w:rPr>
        <w:t xml:space="preserve"> has been </w:t>
      </w:r>
      <w:r w:rsidR="00CC77F1" w:rsidRPr="009E1B38">
        <w:rPr>
          <w:rFonts w:ascii="Times New Roman" w:hAnsi="Times New Roman"/>
        </w:rPr>
        <w:t>changed</w:t>
      </w:r>
      <w:r w:rsidRPr="009E1B38">
        <w:rPr>
          <w:rFonts w:ascii="Times New Roman" w:hAnsi="Times New Roman"/>
        </w:rPr>
        <w:t xml:space="preserve"> </w:t>
      </w:r>
      <w:r w:rsidR="00CC77F1" w:rsidRPr="009E1B38">
        <w:rPr>
          <w:rFonts w:ascii="Times New Roman" w:hAnsi="Times New Roman"/>
        </w:rPr>
        <w:t>with</w:t>
      </w:r>
      <w:r w:rsidRPr="009E1B38">
        <w:rPr>
          <w:rFonts w:ascii="Times New Roman" w:hAnsi="Times New Roman"/>
        </w:rPr>
        <w:t xml:space="preserve"> 25 and the article number of </w:t>
      </w:r>
      <w:r w:rsidR="00CC77F1" w:rsidRPr="009E1B38">
        <w:rPr>
          <w:rFonts w:ascii="Times New Roman" w:hAnsi="Times New Roman"/>
        </w:rPr>
        <w:t>A</w:t>
      </w:r>
      <w:r w:rsidRPr="009E1B38">
        <w:rPr>
          <w:rFonts w:ascii="Times New Roman" w:hAnsi="Times New Roman"/>
        </w:rPr>
        <w:t>rticle</w:t>
      </w:r>
      <w:r w:rsidR="00CC77F1" w:rsidRPr="009E1B38">
        <w:rPr>
          <w:rFonts w:ascii="Times New Roman" w:hAnsi="Times New Roman"/>
        </w:rPr>
        <w:t xml:space="preserve"> 25</w:t>
      </w:r>
      <w:r w:rsidRPr="009E1B38">
        <w:rPr>
          <w:rFonts w:ascii="Times New Roman" w:hAnsi="Times New Roman"/>
        </w:rPr>
        <w:t xml:space="preserve"> titled </w:t>
      </w:r>
      <w:r w:rsidRPr="009E1B38">
        <w:rPr>
          <w:rFonts w:ascii="Times New Roman" w:hAnsi="Times New Roman"/>
          <w:i/>
        </w:rPr>
        <w:t>"Enforcement"</w:t>
      </w:r>
      <w:r w:rsidRPr="009E1B38">
        <w:rPr>
          <w:rFonts w:ascii="Times New Roman" w:hAnsi="Times New Roman"/>
        </w:rPr>
        <w:t xml:space="preserve"> has been </w:t>
      </w:r>
      <w:r w:rsidR="00CC77F1" w:rsidRPr="009E1B38">
        <w:rPr>
          <w:rFonts w:ascii="Times New Roman" w:hAnsi="Times New Roman"/>
        </w:rPr>
        <w:t>changed</w:t>
      </w:r>
      <w:r w:rsidRPr="009E1B38">
        <w:rPr>
          <w:rFonts w:ascii="Times New Roman" w:hAnsi="Times New Roman"/>
        </w:rPr>
        <w:t xml:space="preserve"> </w:t>
      </w:r>
      <w:r w:rsidR="00CC77F1" w:rsidRPr="009E1B38">
        <w:rPr>
          <w:rFonts w:ascii="Times New Roman" w:hAnsi="Times New Roman"/>
        </w:rPr>
        <w:t xml:space="preserve">with </w:t>
      </w:r>
      <w:r w:rsidRPr="009E1B38">
        <w:rPr>
          <w:rFonts w:ascii="Times New Roman" w:hAnsi="Times New Roman"/>
        </w:rPr>
        <w:t>26.</w:t>
      </w:r>
    </w:p>
    <w:p w14:paraId="3C739315" w14:textId="77777777" w:rsidR="00171C59" w:rsidRPr="009E1B38" w:rsidRDefault="00171C59" w:rsidP="00171C59">
      <w:pPr>
        <w:pStyle w:val="ListeParagraf"/>
        <w:ind w:left="709"/>
        <w:jc w:val="left"/>
        <w:rPr>
          <w:rFonts w:ascii="Times New Roman" w:hAnsi="Times New Roman"/>
        </w:rPr>
      </w:pPr>
    </w:p>
    <w:p w14:paraId="38DE614C"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lastRenderedPageBreak/>
        <w:t xml:space="preserve">With the Board Decision dated 06.05.2021 and numbered 10197 published in the Official Gazette dated 08.05.2021 and numbered 31478, the purpose of which is to regulate the issues related to the non-discriminatory, objective and transparent operation of the renewable energy source guarantee of origin system and the organized renewable energy source guarantee of origin market within the Energy Markets Operation Incorporated Company and the issues specified in the Regulation on Renewable Energy Source Guarantee of origin Certificate in the Electricity Market published in the Official Gazette dated 14.11.2020 and numbered 31304 and which should be included in these Procedures ​and Principles, </w:t>
      </w:r>
      <w:r w:rsidRPr="009E1B38">
        <w:rPr>
          <w:rFonts w:ascii="Times New Roman" w:hAnsi="Times New Roman"/>
          <w:b/>
        </w:rPr>
        <w:t xml:space="preserve">YEK-G System and Organized YEK-G Market Operation Procedures and Principles </w:t>
      </w:r>
      <w:r w:rsidRPr="009E1B38">
        <w:rPr>
          <w:rFonts w:ascii="Times New Roman" w:hAnsi="Times New Roman"/>
        </w:rPr>
        <w:t>​have been accepted.</w:t>
      </w:r>
    </w:p>
    <w:p w14:paraId="46478430" w14:textId="77777777" w:rsidR="00171C59" w:rsidRPr="009E1B38" w:rsidRDefault="00171C59" w:rsidP="00171C59">
      <w:pPr>
        <w:pStyle w:val="ListeParagraf"/>
        <w:ind w:left="709"/>
        <w:jc w:val="left"/>
        <w:rPr>
          <w:rFonts w:ascii="Times New Roman" w:hAnsi="Times New Roman"/>
        </w:rPr>
      </w:pPr>
    </w:p>
    <w:p w14:paraId="40A70EA3"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With the Board Decision dated 22.04.2021 and numbered 10163 published in the Official Gazette dated 09.05.2021 and numbered 31479, </w:t>
      </w:r>
      <w:r w:rsidRPr="009E1B38">
        <w:rPr>
          <w:rFonts w:ascii="Times New Roman" w:hAnsi="Times New Roman"/>
          <w:b/>
        </w:rPr>
        <w:t>the ​Procedures and Principles Regarding the Determination of Meter Values and the Scope of Automatic Meter Reading Systems</w:t>
      </w:r>
      <w:r w:rsidRPr="009E1B38">
        <w:rPr>
          <w:rFonts w:ascii="Times New Roman" w:hAnsi="Times New Roman"/>
        </w:rPr>
        <w:t xml:space="preserve"> numbered 5707-1 published in the Official Gazette dated 08.08.2015 and​ numbered 29439</w:t>
      </w:r>
    </w:p>
    <w:p w14:paraId="63E95DF3" w14:textId="77777777" w:rsidR="00171C59" w:rsidRPr="009E1B38" w:rsidRDefault="00171C59" w:rsidP="00171C59">
      <w:pPr>
        <w:pStyle w:val="ListeParagraf"/>
        <w:ind w:left="709"/>
        <w:jc w:val="left"/>
        <w:rPr>
          <w:rFonts w:ascii="Times New Roman" w:hAnsi="Times New Roman"/>
        </w:rPr>
      </w:pPr>
    </w:p>
    <w:p w14:paraId="0AC63236"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The following paragraph has been added to the first paragraph of Article 3 titled </w:t>
      </w:r>
      <w:r w:rsidRPr="009E1B38">
        <w:rPr>
          <w:rFonts w:ascii="Times New Roman" w:hAnsi="Times New Roman"/>
          <w:i/>
        </w:rPr>
        <w:t xml:space="preserve">"Meters to be included in the scope​ ​of OSOS" </w:t>
      </w:r>
      <w:r w:rsidRPr="009E1B38">
        <w:rPr>
          <w:rFonts w:ascii="Times New Roman" w:hAnsi="Times New Roman"/>
        </w:rPr>
        <w:t>as clause (ğ).</w:t>
      </w:r>
    </w:p>
    <w:p w14:paraId="7080E98D" w14:textId="77777777" w:rsidR="00171C59" w:rsidRPr="009E1B38" w:rsidRDefault="00171C59" w:rsidP="00171C59">
      <w:pPr>
        <w:pStyle w:val="ListeParagraf"/>
        <w:ind w:left="709"/>
        <w:jc w:val="left"/>
        <w:rPr>
          <w:rFonts w:ascii="Times New Roman" w:hAnsi="Times New Roman"/>
        </w:rPr>
      </w:pPr>
    </w:p>
    <w:p w14:paraId="1C8CBF4F"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“ğ) Meters that measure the electricity energy drawn and given from independent electricity storage facilities with integrated electricity storage unit to the generation facility.”</w:t>
      </w:r>
    </w:p>
    <w:p w14:paraId="5E94018E" w14:textId="77777777" w:rsidR="00171C59" w:rsidRPr="009E1B38" w:rsidRDefault="00171C59" w:rsidP="00171C59">
      <w:pPr>
        <w:pStyle w:val="ListeParagraf"/>
        <w:ind w:left="709"/>
        <w:jc w:val="left"/>
        <w:rPr>
          <w:rFonts w:ascii="Times New Roman" w:hAnsi="Times New Roman"/>
        </w:rPr>
      </w:pPr>
    </w:p>
    <w:p w14:paraId="6F0C85D7"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The following clause has been added as clause (ç) to the second paragraph of Article 5​ titled </w:t>
      </w:r>
      <w:r w:rsidRPr="009E1B38">
        <w:rPr>
          <w:rFonts w:ascii="Times New Roman" w:hAnsi="Times New Roman"/>
          <w:i/>
        </w:rPr>
        <w:t>"Duties and responsibilities of the parties for the inclusion of meters in the scope​of OSOS",</w:t>
      </w:r>
      <w:r w:rsidRPr="009E1B38">
        <w:rPr>
          <w:rFonts w:ascii="Times New Roman" w:hAnsi="Times New Roman"/>
        </w:rPr>
        <w:t xml:space="preserve">  and the following clause has been added accordingly.</w:t>
      </w:r>
    </w:p>
    <w:p w14:paraId="4E778077" w14:textId="77777777" w:rsidR="00171C59" w:rsidRPr="009E1B38" w:rsidRDefault="00171C59" w:rsidP="00171C59">
      <w:pPr>
        <w:pStyle w:val="ListeParagraf"/>
        <w:ind w:left="709"/>
        <w:jc w:val="left"/>
        <w:rPr>
          <w:rFonts w:ascii="Times New Roman" w:hAnsi="Times New Roman"/>
        </w:rPr>
      </w:pPr>
    </w:p>
    <w:p w14:paraId="59883CB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"ç) Legal entity with relevant market activity for electricity storage unit integrated in generation facility and independent electricity storage facilities,"</w:t>
      </w:r>
    </w:p>
    <w:p w14:paraId="5A8DBFAC" w14:textId="77777777" w:rsidR="00171C59" w:rsidRPr="009E1B38" w:rsidRDefault="00171C59" w:rsidP="00171C59">
      <w:pPr>
        <w:pStyle w:val="ListeParagraf"/>
        <w:ind w:left="709"/>
        <w:jc w:val="left"/>
        <w:rPr>
          <w:rFonts w:ascii="Times New Roman" w:hAnsi="Times New Roman"/>
          <w:i/>
        </w:rPr>
      </w:pPr>
    </w:p>
    <w:p w14:paraId="0AFF141C"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i/>
        </w:rPr>
      </w:pPr>
      <w:r w:rsidRPr="009E1B38">
        <w:rPr>
          <w:rFonts w:ascii="Times New Roman" w:hAnsi="Times New Roman"/>
        </w:rPr>
        <w:t>The second and third paragraphs of Article 6 titled</w:t>
      </w:r>
      <w:r w:rsidRPr="009E1B38">
        <w:rPr>
          <w:rFonts w:ascii="Times New Roman" w:hAnsi="Times New Roman"/>
          <w:i/>
        </w:rPr>
        <w:t xml:space="preserve"> "Responsibilities of TEİAŞ and Distribution companies regarding the sharing of OSOS data"</w:t>
      </w:r>
      <w:r w:rsidRPr="009E1B38">
        <w:rPr>
          <w:rFonts w:ascii="Times New Roman" w:hAnsi="Times New Roman"/>
        </w:rPr>
        <w:t xml:space="preserve"> have been amended as follows.</w:t>
      </w:r>
    </w:p>
    <w:p w14:paraId="76B33BDA" w14:textId="77777777" w:rsidR="00171C59" w:rsidRPr="009E1B38" w:rsidRDefault="00171C59" w:rsidP="00171C59">
      <w:pPr>
        <w:pStyle w:val="ListeParagraf"/>
        <w:ind w:left="709"/>
        <w:jc w:val="left"/>
        <w:rPr>
          <w:rFonts w:ascii="Times New Roman" w:hAnsi="Times New Roman"/>
        </w:rPr>
      </w:pPr>
    </w:p>
    <w:p w14:paraId="550C178D"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"(2) 15-minute generation or consumption values of generation, consumption or electricity storage facilities, which are balancing entities, shall be shared with the market operator at the latest 2 hours after the relevant hour.</w:t>
      </w:r>
    </w:p>
    <w:p w14:paraId="4BF051B7" w14:textId="77777777" w:rsidR="00171C59" w:rsidRPr="009E1B38" w:rsidRDefault="00171C59" w:rsidP="00171C59">
      <w:pPr>
        <w:pStyle w:val="ListeParagraf"/>
        <w:ind w:left="709"/>
        <w:jc w:val="left"/>
        <w:rPr>
          <w:rFonts w:ascii="Times New Roman" w:hAnsi="Times New Roman"/>
          <w:i/>
        </w:rPr>
      </w:pPr>
    </w:p>
    <w:p w14:paraId="5D7BBCF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(3) 15-minute generation or consumption values of generation facilities without balancing entity and electricity storage facilities shall be shared with the market operator within 2 hours following the end of the relevant day at the latest. "</w:t>
      </w:r>
    </w:p>
    <w:p w14:paraId="6F0DF1C6" w14:textId="77777777" w:rsidR="00171C59" w:rsidRPr="009E1B38" w:rsidRDefault="00171C59" w:rsidP="00171C59">
      <w:pPr>
        <w:pStyle w:val="ListeParagraf"/>
        <w:ind w:left="709"/>
        <w:jc w:val="left"/>
        <w:rPr>
          <w:rFonts w:ascii="Times New Roman" w:hAnsi="Times New Roman"/>
          <w:i/>
        </w:rPr>
      </w:pPr>
    </w:p>
    <w:p w14:paraId="05013E28" w14:textId="77777777" w:rsidR="00171C59" w:rsidRPr="009E1B38" w:rsidRDefault="00171C59" w:rsidP="003C5E4D">
      <w:pPr>
        <w:pStyle w:val="ListeParagraf"/>
        <w:numPr>
          <w:ilvl w:val="0"/>
          <w:numId w:val="97"/>
        </w:numPr>
        <w:spacing w:after="160" w:line="259" w:lineRule="auto"/>
        <w:ind w:left="709" w:firstLine="0"/>
        <w:jc w:val="left"/>
        <w:rPr>
          <w:rFonts w:ascii="Times New Roman" w:hAnsi="Times New Roman"/>
        </w:rPr>
      </w:pPr>
      <w:r w:rsidRPr="009E1B38">
        <w:rPr>
          <w:rFonts w:ascii="Times New Roman" w:hAnsi="Times New Roman"/>
        </w:rPr>
        <w:t xml:space="preserve">With the Board Decision dated 10.06.2021 and numbered 10252-1 published in the Official Gazette dated 20.06.2021 and numbered 31517, </w:t>
      </w:r>
      <w:r w:rsidRPr="009E1B38">
        <w:rPr>
          <w:rFonts w:ascii="Times New Roman" w:hAnsi="Times New Roman"/>
          <w:b/>
        </w:rPr>
        <w:t>the ​Board Decision dated 18.06.2020 and numbered 9395,</w:t>
      </w:r>
      <w:r w:rsidRPr="009E1B38">
        <w:rPr>
          <w:rFonts w:ascii="Times New Roman" w:hAnsi="Times New Roman"/>
        </w:rPr>
        <w:t xml:space="preserve"> which entered into force by being published in the Official Gazette dated 25.06.2020 and numbered​ 31166, ​​</w:t>
      </w:r>
    </w:p>
    <w:p w14:paraId="1BBA3683" w14:textId="77777777" w:rsidR="00171C59" w:rsidRPr="009E1B38" w:rsidRDefault="00171C59" w:rsidP="00171C59">
      <w:pPr>
        <w:pStyle w:val="ListeParagraf"/>
        <w:ind w:left="709"/>
        <w:jc w:val="left"/>
        <w:rPr>
          <w:rFonts w:ascii="Times New Roman" w:hAnsi="Times New Roman"/>
        </w:rPr>
      </w:pPr>
    </w:p>
    <w:p w14:paraId="51C9F8FC"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In paragraphs (a) and (b) of Article 1, the provisions;</w:t>
      </w:r>
    </w:p>
    <w:p w14:paraId="4C61BAA1" w14:textId="77777777" w:rsidR="00171C59" w:rsidRPr="009E1B38" w:rsidRDefault="00171C59" w:rsidP="00171C59">
      <w:pPr>
        <w:pStyle w:val="ListeParagraf"/>
        <w:ind w:left="709"/>
        <w:jc w:val="left"/>
        <w:rPr>
          <w:rFonts w:ascii="Times New Roman" w:hAnsi="Times New Roman"/>
        </w:rPr>
      </w:pPr>
    </w:p>
    <w:p w14:paraId="5C419F9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 xml:space="preserve">"​a) Acceptance of the annual maximum generation amount notified by the General Directorate of State DSİ in generation facilities based on hydraulic resource, but if the actual generation is more than this value, the amount of generation corresponding to the capacity factor in the measurement and/or </w:t>
      </w:r>
      <w:r w:rsidRPr="009E1B38">
        <w:rPr>
          <w:rFonts w:ascii="Times New Roman" w:hAnsi="Times New Roman"/>
          <w:i/>
        </w:rPr>
        <w:lastRenderedPageBreak/>
        <w:t>feasibility results, provided that the actual quantity or measurement and/or feasibility results are documented by an accredited organization,​</w:t>
      </w:r>
    </w:p>
    <w:p w14:paraId="5C9402F3" w14:textId="77777777" w:rsidR="00171C59" w:rsidRPr="009E1B38" w:rsidRDefault="00171C59" w:rsidP="00171C59">
      <w:pPr>
        <w:pStyle w:val="ListeParagraf"/>
        <w:ind w:left="709"/>
        <w:jc w:val="left"/>
        <w:rPr>
          <w:rFonts w:ascii="Times New Roman" w:hAnsi="Times New Roman"/>
          <w:i/>
        </w:rPr>
      </w:pPr>
    </w:p>
    <w:p w14:paraId="35420CBA"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In generation facilities based on renewable energy sources, except for generation facilities based on hydraulic resources; to accept the generation amount corresponding to the capacity factor in the table, but to accept the generation amount corresponding to the capacity factor in the measurement and/or feasibility results provided that the actual generation is realized more than this value or the measurement and/or feasibility results are documented by an accredited organization,”</w:t>
      </w:r>
    </w:p>
    <w:p w14:paraId="41EF1D5A" w14:textId="77777777" w:rsidR="00171C59" w:rsidRPr="009E1B38" w:rsidRDefault="00171C59" w:rsidP="00171C59">
      <w:pPr>
        <w:pStyle w:val="ListeParagraf"/>
        <w:ind w:left="709"/>
        <w:jc w:val="left"/>
        <w:rPr>
          <w:rFonts w:ascii="Times New Roman" w:hAnsi="Times New Roman"/>
          <w:i/>
        </w:rPr>
      </w:pPr>
    </w:p>
    <w:p w14:paraId="0D45E11C"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Have been decided to be amended as follows:</w:t>
      </w:r>
    </w:p>
    <w:p w14:paraId="4CD9B9BA" w14:textId="77777777" w:rsidR="00171C59" w:rsidRPr="009E1B38" w:rsidRDefault="00171C59" w:rsidP="00171C59">
      <w:pPr>
        <w:pStyle w:val="ListeParagraf"/>
        <w:ind w:left="709"/>
        <w:jc w:val="left"/>
        <w:rPr>
          <w:rFonts w:ascii="Times New Roman" w:hAnsi="Times New Roman"/>
        </w:rPr>
      </w:pPr>
    </w:p>
    <w:p w14:paraId="57B6E425"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a) Acceptance of the annual maximum generation amount notified by the General Directorate of State Hydraulic Works in generation facilities based on hydraulic resource, but accepting the actual generation amount if the actual generation is more than this value,</w:t>
      </w:r>
    </w:p>
    <w:p w14:paraId="1E5B3589" w14:textId="77777777" w:rsidR="00171C59" w:rsidRPr="009E1B38" w:rsidRDefault="00171C59" w:rsidP="00171C59">
      <w:pPr>
        <w:pStyle w:val="ListeParagraf"/>
        <w:ind w:left="709"/>
        <w:jc w:val="left"/>
        <w:rPr>
          <w:rFonts w:ascii="Times New Roman" w:hAnsi="Times New Roman"/>
          <w:i/>
        </w:rPr>
      </w:pPr>
    </w:p>
    <w:p w14:paraId="2C21974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b) Acceptance of the generation amount corresponding to the capacity factor in the table in the generation facilities based on renewable energy sources except for the generation facilities based on hydraulic resources, but if the actual generation is more than this value, accepting the amount realized, if the facility is not in operation, accepting the generation amount corresponding to the capacity factor in the measurement and/or feasibility results provided that the measurement and/or feasibility results are documented by an accredited institution, "</w:t>
      </w:r>
    </w:p>
    <w:p w14:paraId="1FB5FFE0" w14:textId="77777777" w:rsidR="00171C59" w:rsidRPr="009E1B38" w:rsidRDefault="00171C59" w:rsidP="00171C59">
      <w:pPr>
        <w:pStyle w:val="ListeParagraf"/>
        <w:ind w:left="709"/>
        <w:jc w:val="left"/>
        <w:rPr>
          <w:rFonts w:ascii="Times New Roman" w:hAnsi="Times New Roman"/>
          <w:i/>
        </w:rPr>
      </w:pPr>
    </w:p>
    <w:p w14:paraId="2425EFDF"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It has been decided that the content of the </w:t>
      </w:r>
      <w:r w:rsidRPr="009E1B38">
        <w:rPr>
          <w:rFonts w:ascii="Times New Roman" w:hAnsi="Times New Roman"/>
          <w:b/>
        </w:rPr>
        <w:t>"​List of Information and Documents to be Submitted in the Preliminary License Application (ANNEX-3)"</w:t>
      </w:r>
      <w:r w:rsidRPr="009E1B38">
        <w:rPr>
          <w:rFonts w:ascii="Times New Roman" w:hAnsi="Times New Roman"/>
        </w:rPr>
        <w:t xml:space="preserve"> from the annexes of the "Procedures and Principles Regarding Applications Related to Preliminary License and License Procedures" approved by the Board Decision dated 27.06.2019 and numbered 8674 and the Board Decision dated 10.06.2021 and​numbered 10252-2 published in the Official Gazette dated 20.06.2021 and numbered 31517 shall be amended and​ ​accepted and published in the ​Official ​Gazette.</w:t>
      </w:r>
    </w:p>
    <w:p w14:paraId="5E6FFA07" w14:textId="77777777" w:rsidR="00171C59" w:rsidRPr="009E1B38" w:rsidRDefault="00171C59" w:rsidP="00171C59">
      <w:pPr>
        <w:pStyle w:val="ListeParagraf"/>
        <w:ind w:left="709"/>
        <w:jc w:val="left"/>
        <w:rPr>
          <w:rFonts w:ascii="Times New Roman" w:hAnsi="Times New Roman"/>
        </w:rPr>
      </w:pPr>
    </w:p>
    <w:p w14:paraId="08D7CB58"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With the Board Decision dated 10.06.2021 and numbered 10252-3 published in the Official Gazette dated 20.06.2021 and numbered 31517; from the annexes of the "Procedures and Principles Regarding Applications Regarding Preliminary License and License Procedures" approved by the Board Decision dated 27.06.2019 and numbered 8674; it has been decided to amend and accept the content of the ​</w:t>
      </w:r>
      <w:r w:rsidRPr="009E1B38">
        <w:rPr>
          <w:rFonts w:ascii="Times New Roman" w:hAnsi="Times New Roman"/>
          <w:b/>
        </w:rPr>
        <w:t>"List of Information and Documents to be Submitted in License Application (ANNEX-4)"​</w:t>
      </w:r>
      <w:r w:rsidRPr="009E1B38">
        <w:rPr>
          <w:rFonts w:ascii="Times New Roman" w:hAnsi="Times New Roman"/>
        </w:rPr>
        <w:t xml:space="preserve"> and to publish it in the Official Gazette.</w:t>
      </w:r>
    </w:p>
    <w:p w14:paraId="59A0988D" w14:textId="77777777" w:rsidR="00171C59" w:rsidRPr="009E1B38" w:rsidRDefault="00171C59" w:rsidP="00171C59">
      <w:pPr>
        <w:pStyle w:val="ListeParagraf"/>
        <w:ind w:left="709"/>
        <w:jc w:val="left"/>
        <w:rPr>
          <w:rFonts w:ascii="Times New Roman" w:hAnsi="Times New Roman"/>
        </w:rPr>
      </w:pPr>
    </w:p>
    <w:p w14:paraId="01095229"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With the Board Decision dated 10.06.2021 and numbered 10252-4 published in the Official Gazette dated 20.06.2021 and numbered 31517;approved by the Board Decision dated 27.06.2019 and numbered 8674; from the annexes of the "Procedures and Principles Regarding Applications Related to Preliminary License and License Procedures",  it has been decided to repeal the "Amendment applications to Preliminary License and License and list of Information and Documents Required to be Submitted in ​Applications for Merger, Division, Facility/Project Transfer Approval (ANNEX-5)" and to publish the attached </w:t>
      </w:r>
      <w:r w:rsidRPr="009E1B38">
        <w:rPr>
          <w:rFonts w:ascii="Times New Roman" w:hAnsi="Times New Roman"/>
          <w:b/>
        </w:rPr>
        <w:t xml:space="preserve">"Amendment applications to Preliminary License and License and list of Information and Documents Required to be Submitted in Applications for Merger, Division, Facility / Project Transfer Approval and Notifications (ANNEX-5)"​ </w:t>
      </w:r>
      <w:r w:rsidRPr="009E1B38">
        <w:rPr>
          <w:rFonts w:ascii="Times New Roman" w:hAnsi="Times New Roman"/>
        </w:rPr>
        <w:t>in the Official Gazette.</w:t>
      </w:r>
    </w:p>
    <w:p w14:paraId="5DA1A8D0" w14:textId="77777777" w:rsidR="00171C59" w:rsidRPr="009E1B38" w:rsidRDefault="00171C59" w:rsidP="00171C59">
      <w:pPr>
        <w:pStyle w:val="ListeParagraf"/>
        <w:ind w:left="709"/>
        <w:jc w:val="left"/>
        <w:rPr>
          <w:rFonts w:ascii="Times New Roman" w:hAnsi="Times New Roman"/>
        </w:rPr>
      </w:pPr>
    </w:p>
    <w:p w14:paraId="1DD61D11"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With the Board Decision dated 12.08.2021 and numbered 10358-1 published in the Official Gazette dated 14.08.2021 and numbered 31568, for the consumption facilities that will provide services to TEİAŞ within the scope of the "Demand Side Reserve" service defined in the Electricity Market </w:t>
      </w:r>
      <w:r w:rsidRPr="009E1B38">
        <w:rPr>
          <w:rFonts w:ascii="Times New Roman" w:hAnsi="Times New Roman"/>
        </w:rPr>
        <w:lastRenderedPageBreak/>
        <w:t xml:space="preserve">Ancillary Services Regulation published in the Official Gazette dated 26.11.2017 and numbered 30252, </w:t>
      </w:r>
      <w:r w:rsidRPr="009E1B38">
        <w:rPr>
          <w:rFonts w:ascii="Times New Roman" w:hAnsi="Times New Roman"/>
          <w:b/>
        </w:rPr>
        <w:t>the ​Procedures and principles for Determining the Basic Consumption Value within the Scope of Demand Side Reserve Service</w:t>
      </w:r>
      <w:r w:rsidRPr="009E1B38">
        <w:rPr>
          <w:rFonts w:ascii="Times New Roman" w:hAnsi="Times New Roman"/>
        </w:rPr>
        <w:t>​, which is to determine the procedures and principles for the calculation of the basic consumption value, have been accepted.</w:t>
      </w:r>
    </w:p>
    <w:p w14:paraId="3A25CA87" w14:textId="77777777" w:rsidR="00171C59" w:rsidRPr="009E1B38" w:rsidRDefault="00171C59" w:rsidP="00171C59">
      <w:pPr>
        <w:pStyle w:val="ListeParagraf"/>
        <w:ind w:left="709"/>
        <w:jc w:val="left"/>
        <w:rPr>
          <w:rFonts w:ascii="Times New Roman" w:hAnsi="Times New Roman"/>
        </w:rPr>
      </w:pPr>
    </w:p>
    <w:p w14:paraId="56D75D1B"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With the Board Decision dated 12.08.2021 and numbered 10358-2 published in the Official Gazette dated 14.08.2021 and numbered 31568, </w:t>
      </w:r>
      <w:r w:rsidRPr="009E1B38">
        <w:rPr>
          <w:rFonts w:ascii="Times New Roman" w:hAnsi="Times New Roman"/>
          <w:b/>
        </w:rPr>
        <w:t>the ​Procedures and Principles regarding the Certification of Consumption Facilities within the Scope of Demand Party Delegation Service</w:t>
      </w:r>
      <w:r w:rsidRPr="009E1B38">
        <w:rPr>
          <w:rFonts w:ascii="Times New Roman" w:hAnsi="Times New Roman"/>
        </w:rPr>
        <w:t>, whose purpose is to determine the procedures and principles for TEİAŞ to provide the necessary control, measurement, monitoring and verification infrastructure and to provide the necessary information flow to TEİAŞ for the consumption facilities to be included within the scope of "Demand Party Backup" service defined in the Electricity Market Ancillary Services Regulation published in the Official Gazette dated 26.11.2017 and ​numbered 30252 have been accepted.</w:t>
      </w:r>
    </w:p>
    <w:p w14:paraId="1F1BBA44" w14:textId="77777777" w:rsidR="00171C59" w:rsidRPr="009E1B38" w:rsidRDefault="00171C59" w:rsidP="00171C59">
      <w:pPr>
        <w:pStyle w:val="ListeParagraf"/>
        <w:ind w:left="709"/>
        <w:jc w:val="left"/>
        <w:rPr>
          <w:rFonts w:ascii="Times New Roman" w:hAnsi="Times New Roman"/>
        </w:rPr>
      </w:pPr>
    </w:p>
    <w:p w14:paraId="05C573EF"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With the Board Decision dated 12.08.2021 and numbered 10359-1 published in the Official Gazette dated 14.08.2021 and numbered 31568, it was decided to repeal the RES List format determined by the Board Decision dated 10.10.2019 and numbered 8884-2, and with the Board Decision dated 12.08.2021 and numbered 10359-2 published in the Official Gazette dated 12.08.2021, it was decided to accept the RES List format included in the annex of the Decision in accordance with the first paragraph of Article 7 of the Regulation on the Certification and Support of Renewable Energy Sources.</w:t>
      </w:r>
    </w:p>
    <w:p w14:paraId="02FD5844" w14:textId="77777777" w:rsidR="00171C59" w:rsidRPr="009E1B38" w:rsidRDefault="00171C59" w:rsidP="00171C59">
      <w:pPr>
        <w:pStyle w:val="ListeParagraf"/>
        <w:ind w:left="709"/>
        <w:jc w:val="left"/>
        <w:rPr>
          <w:rFonts w:ascii="Times New Roman" w:hAnsi="Times New Roman"/>
        </w:rPr>
      </w:pPr>
    </w:p>
    <w:p w14:paraId="4C2FE445"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It has been decided to repeal the </w:t>
      </w:r>
      <w:r w:rsidRPr="009E1B38">
        <w:rPr>
          <w:rFonts w:ascii="Times New Roman" w:hAnsi="Times New Roman"/>
          <w:i/>
        </w:rPr>
        <w:t>"Application Petition and Information Form"</w:t>
      </w:r>
      <w:r w:rsidRPr="009E1B38">
        <w:rPr>
          <w:rFonts w:ascii="Times New Roman" w:hAnsi="Times New Roman"/>
        </w:rPr>
        <w:t xml:space="preserve"> format to be formed electronically within the scope of the applications of the Renewable Energy Resources Support Mechanism (YEKDEM) determined by the Board Decision dated 23.07.2020 and numbered 9457 with the Board Decision dated 26.08.2021​ and numbered 10376 published in the Official Gazette dated 02.09.2021 and numbered 31586, and to accept the </w:t>
      </w:r>
      <w:r w:rsidRPr="009E1B38">
        <w:rPr>
          <w:rFonts w:ascii="Times New Roman" w:hAnsi="Times New Roman"/>
          <w:i/>
        </w:rPr>
        <w:t xml:space="preserve">"Application Petition and Information Form​" </w:t>
      </w:r>
      <w:r w:rsidRPr="009E1B38">
        <w:rPr>
          <w:rFonts w:ascii="Times New Roman" w:hAnsi="Times New Roman"/>
        </w:rPr>
        <w:t>format to be formed in electronic environment within the scope of the applications of YEKDEM in the annex of the Decision in accordance with the first paragraph of Article 5 of the Regulation on the Certification ​and ​Support of Renewable Energy Resources.</w:t>
      </w:r>
    </w:p>
    <w:p w14:paraId="6455146B" w14:textId="77777777" w:rsidR="00171C59" w:rsidRPr="009E1B38" w:rsidRDefault="00171C59" w:rsidP="00171C59">
      <w:pPr>
        <w:pStyle w:val="ListeParagraf"/>
        <w:ind w:left="709"/>
        <w:jc w:val="left"/>
        <w:rPr>
          <w:rFonts w:ascii="Times New Roman" w:hAnsi="Times New Roman"/>
        </w:rPr>
      </w:pPr>
    </w:p>
    <w:p w14:paraId="2EFD2630"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From the annexes of the "Procedures and Principles Regarding Applications Related to Preliminary License and License Procedures" approved by the Board Decision dated 27.06.2019 and numbered 8674 with the Board Decision dated 30.09.2021 and numbered 10441-1 published in the Official Gazette dated 05.10.2021 and numbered 31619; it has been decided to amend and​ accept the​content of the </w:t>
      </w:r>
      <w:r w:rsidRPr="009E1B38">
        <w:rPr>
          <w:rFonts w:ascii="Times New Roman" w:hAnsi="Times New Roman"/>
          <w:b/>
        </w:rPr>
        <w:t>"​List of Information and Documents to be Submitted in Preliminary License Application (ANNEX-3)"</w:t>
      </w:r>
      <w:r w:rsidRPr="009E1B38">
        <w:rPr>
          <w:rFonts w:ascii="Times New Roman" w:hAnsi="Times New Roman"/>
        </w:rPr>
        <w:t xml:space="preserve"> ​and to publish it in the Official Gazette.</w:t>
      </w:r>
    </w:p>
    <w:p w14:paraId="40AEC6B2" w14:textId="77777777" w:rsidR="00171C59" w:rsidRPr="009E1B38" w:rsidRDefault="00171C59" w:rsidP="00171C59">
      <w:pPr>
        <w:pStyle w:val="ListeParagraf"/>
        <w:ind w:left="709"/>
        <w:jc w:val="left"/>
        <w:rPr>
          <w:rFonts w:ascii="Times New Roman" w:hAnsi="Times New Roman"/>
        </w:rPr>
      </w:pPr>
    </w:p>
    <w:p w14:paraId="0C096A8B"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From the annexes of the "Procedures and Principles Regarding Applications Regarding Preliminary License and License Procedures" approved by the Board Decision dated 27.06.2019 and numbered 8674 with the Board Decision dated 30.09.2021 and numbered 10441-2 published in the Official Gazette dated 05.10.2021 and numbered 31619; it has been decided to amend and ​​accept the content of the​ </w:t>
      </w:r>
      <w:r w:rsidRPr="009E1B38">
        <w:rPr>
          <w:rFonts w:ascii="Times New Roman" w:hAnsi="Times New Roman"/>
          <w:b/>
        </w:rPr>
        <w:t>"List of Information and Documents to be Submitted in License Application (ANNEX-4)"</w:t>
      </w:r>
      <w:r w:rsidRPr="009E1B38">
        <w:rPr>
          <w:rFonts w:ascii="Times New Roman" w:hAnsi="Times New Roman"/>
        </w:rPr>
        <w:t xml:space="preserve"> ​and to publish it in the Official Gazette.</w:t>
      </w:r>
    </w:p>
    <w:p w14:paraId="6048FBBC" w14:textId="77777777" w:rsidR="00171C59" w:rsidRPr="009E1B38" w:rsidRDefault="00171C59" w:rsidP="00171C59">
      <w:pPr>
        <w:pStyle w:val="ListeParagraf"/>
        <w:ind w:left="709"/>
        <w:jc w:val="left"/>
        <w:rPr>
          <w:rFonts w:ascii="Times New Roman" w:hAnsi="Times New Roman"/>
        </w:rPr>
      </w:pPr>
    </w:p>
    <w:p w14:paraId="6AEE3FB3"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From the annexes of the "Procedures and Principles Regarding Applications Related to Preliminary License and License Procedures" approved by the Board Decision dated 30.09.2021 and numbered 10441-3 published in the Official Gazette dated 05.10.2021 and numbered 31619 and approved by the Board Decision dated 27.06.2019 and numbered 8674; it has been decided to repeal the "List of Information and Documents Required to be Submitted in Applications for Merger, Division, Facility/Project Transfer Approval (ANNEX-5)" and to publish the ​"Amendment applications to </w:t>
      </w:r>
      <w:r w:rsidRPr="009E1B38">
        <w:rPr>
          <w:rFonts w:ascii="Times New Roman" w:hAnsi="Times New Roman"/>
        </w:rPr>
        <w:lastRenderedPageBreak/>
        <w:t>Preliminary License and License and</w:t>
      </w:r>
      <w:r w:rsidRPr="009E1B38">
        <w:rPr>
          <w:rFonts w:ascii="Times New Roman" w:hAnsi="Times New Roman"/>
          <w:b/>
        </w:rPr>
        <w:t xml:space="preserve"> </w:t>
      </w:r>
      <w:r w:rsidRPr="009E1B38">
        <w:rPr>
          <w:rFonts w:ascii="Times New Roman" w:hAnsi="Times New Roman"/>
        </w:rPr>
        <w:t xml:space="preserve">list of Information and Documents Required to be Submitted in Applications for Merger, Division, Facility / Project Transfer Approval and Notifications (ANNEX-5)" in the Official Gazette by accepting the attached </w:t>
      </w:r>
      <w:r w:rsidRPr="009E1B38">
        <w:rPr>
          <w:rFonts w:ascii="Times New Roman" w:hAnsi="Times New Roman"/>
          <w:b/>
        </w:rPr>
        <w:t>"Amendment applications to Preliminary License and License and list of Information and Documents Required to be Submitted in Applications for Merger, Division, Facility/Project Transfer Approval and Notifications (ANNEX-5)"​.</w:t>
      </w:r>
    </w:p>
    <w:p w14:paraId="510E9F27" w14:textId="77777777" w:rsidR="00171C59" w:rsidRPr="009E1B38" w:rsidRDefault="00171C59" w:rsidP="00171C59">
      <w:pPr>
        <w:pStyle w:val="ListeParagraf"/>
        <w:ind w:left="709"/>
        <w:jc w:val="left"/>
        <w:rPr>
          <w:rFonts w:ascii="Times New Roman" w:hAnsi="Times New Roman"/>
        </w:rPr>
      </w:pPr>
    </w:p>
    <w:p w14:paraId="38FC6F03"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 xml:space="preserve">With the Board Decision dated 30.09.2021 and numbered 10442-1 published in the Official Gazette dated 07.10.2021 and numbered 31621, the Board Decision dated 18.06.2020 and numbered 9394, which entered into force by being published in the Official Gazette dated ​25.06.2020 and numbered 31166, was repealed; with the Board Decision dated 30.09.2021 and numbered 10442-2 published in the Official Gazette dated 07.10.2021, the Decision ​on </w:t>
      </w:r>
      <w:r w:rsidRPr="009E1B38">
        <w:rPr>
          <w:rFonts w:ascii="Times New Roman" w:hAnsi="Times New Roman"/>
          <w:b/>
        </w:rPr>
        <w:t>the Preliminary License Periods and Construction Periods to be Referenced in Determination of the Facility Completion Date</w:t>
      </w:r>
      <w:r w:rsidRPr="009E1B38">
        <w:rPr>
          <w:rFonts w:ascii="Times New Roman" w:hAnsi="Times New Roman"/>
        </w:rPr>
        <w:t>​ was accepted.</w:t>
      </w:r>
    </w:p>
    <w:p w14:paraId="473BA9BF" w14:textId="77777777" w:rsidR="00171C59" w:rsidRPr="009E1B38" w:rsidRDefault="00171C59" w:rsidP="00171C59">
      <w:pPr>
        <w:pStyle w:val="ListeParagraf"/>
        <w:ind w:left="709"/>
        <w:jc w:val="left"/>
        <w:rPr>
          <w:rFonts w:ascii="Times New Roman" w:hAnsi="Times New Roman"/>
        </w:rPr>
      </w:pPr>
    </w:p>
    <w:p w14:paraId="56EBCE31" w14:textId="77777777" w:rsidR="00171C59" w:rsidRPr="009E1B38" w:rsidRDefault="00171C59" w:rsidP="003C5E4D">
      <w:pPr>
        <w:pStyle w:val="ListeParagraf"/>
        <w:numPr>
          <w:ilvl w:val="0"/>
          <w:numId w:val="96"/>
        </w:numPr>
        <w:spacing w:after="160" w:line="259" w:lineRule="auto"/>
        <w:ind w:left="709" w:firstLine="0"/>
        <w:jc w:val="left"/>
        <w:rPr>
          <w:rFonts w:ascii="Times New Roman" w:hAnsi="Times New Roman"/>
        </w:rPr>
      </w:pPr>
      <w:r w:rsidRPr="009E1B38">
        <w:rPr>
          <w:rFonts w:ascii="Times New Roman" w:hAnsi="Times New Roman"/>
        </w:rPr>
        <w:t>With the Board Decision dated 14.10.2021 and numbered 10489 published in the Official Gazette dated 15.10.2021 and numbered 31629; ​</w:t>
      </w:r>
      <w:r w:rsidRPr="009E1B38">
        <w:rPr>
          <w:rFonts w:ascii="Times New Roman" w:hAnsi="Times New Roman"/>
          <w:b/>
        </w:rPr>
        <w:t>Procedures and Principles Regarding the Determination of Minimum and Maximum Price Limits in the Day Ahead Market and Balancing Power Market</w:t>
      </w:r>
      <w:r w:rsidRPr="009E1B38">
        <w:rPr>
          <w:rFonts w:ascii="Times New Roman" w:hAnsi="Times New Roman"/>
        </w:rPr>
        <w:t xml:space="preserve"> published in the Official Gazette dated 21.06.2015 and​ numbered 29393</w:t>
      </w:r>
    </w:p>
    <w:p w14:paraId="2F52046B" w14:textId="77777777" w:rsidR="00171C59" w:rsidRPr="009E1B38" w:rsidRDefault="00171C59" w:rsidP="00171C59">
      <w:pPr>
        <w:pStyle w:val="ListeParagraf"/>
        <w:ind w:left="709"/>
        <w:jc w:val="left"/>
        <w:rPr>
          <w:rFonts w:ascii="Times New Roman" w:hAnsi="Times New Roman"/>
        </w:rPr>
      </w:pPr>
    </w:p>
    <w:p w14:paraId="788055CF" w14:textId="77777777" w:rsidR="00171C59" w:rsidRPr="009E1B38" w:rsidRDefault="00171C59" w:rsidP="003C5E4D">
      <w:pPr>
        <w:pStyle w:val="ListeParagraf"/>
        <w:numPr>
          <w:ilvl w:val="0"/>
          <w:numId w:val="98"/>
        </w:numPr>
        <w:spacing w:after="160" w:line="259" w:lineRule="auto"/>
        <w:ind w:left="709" w:firstLine="0"/>
        <w:jc w:val="left"/>
        <w:rPr>
          <w:rFonts w:ascii="Times New Roman" w:hAnsi="Times New Roman"/>
        </w:rPr>
      </w:pPr>
      <w:r w:rsidRPr="009E1B38">
        <w:rPr>
          <w:rFonts w:ascii="Times New Roman" w:hAnsi="Times New Roman"/>
        </w:rPr>
        <w:t>The fifth paragraph of the provisional article 1 is amended as follows.</w:t>
      </w:r>
    </w:p>
    <w:p w14:paraId="6E68D757" w14:textId="77777777" w:rsidR="00171C59" w:rsidRPr="009E1B38" w:rsidRDefault="00171C59" w:rsidP="00171C59">
      <w:pPr>
        <w:pStyle w:val="ListeParagraf"/>
        <w:ind w:left="709"/>
        <w:jc w:val="left"/>
        <w:rPr>
          <w:rFonts w:ascii="Times New Roman" w:hAnsi="Times New Roman"/>
        </w:rPr>
      </w:pPr>
    </w:p>
    <w:p w14:paraId="471A093C" w14:textId="77777777" w:rsidR="00171C59" w:rsidRPr="009E1B38" w:rsidRDefault="00171C59" w:rsidP="00171C59">
      <w:pPr>
        <w:pStyle w:val="ListeParagraf"/>
        <w:ind w:left="709"/>
        <w:jc w:val="left"/>
        <w:rPr>
          <w:rFonts w:ascii="Times New Roman" w:hAnsi="Times New Roman"/>
          <w:i/>
        </w:rPr>
      </w:pPr>
      <w:r w:rsidRPr="009E1B38">
        <w:rPr>
          <w:rFonts w:ascii="Times New Roman" w:hAnsi="Times New Roman"/>
          <w:i/>
        </w:rPr>
        <w:t>"(5) From the date of entry into force of this paragraph, until a new decision is taken by the Board; minimum price limits in the relevant markets are applied as 3 (three) times of the retrospective 12-month PTF weighted averages as of the calendar month two months ago, based on the current calendar month, not exceeding 0 TL/MWh and maximum price limits are applied as not exceeding 2000 TL/MWh.</w:t>
      </w:r>
      <w:r w:rsidRPr="009E1B38">
        <w:rPr>
          <w:rFonts w:ascii="Times New Roman" w:hAnsi="Times New Roman"/>
        </w:rPr>
        <w:t xml:space="preserve"> </w:t>
      </w:r>
      <w:r w:rsidRPr="009E1B38">
        <w:rPr>
          <w:rFonts w:ascii="Times New Roman" w:hAnsi="Times New Roman"/>
          <w:i/>
        </w:rPr>
        <w:t>The provisions of the second paragraph of Article 4 of these Procedures and Principles shall not be applied during this application. "</w:t>
      </w:r>
    </w:p>
    <w:p w14:paraId="4CE11A8A" w14:textId="77777777" w:rsidR="00171C59" w:rsidRPr="009E1B38" w:rsidRDefault="00171C59" w:rsidP="00171C59">
      <w:pPr>
        <w:pStyle w:val="ListeParagraf"/>
        <w:ind w:left="709"/>
        <w:jc w:val="left"/>
        <w:rPr>
          <w:rFonts w:ascii="Times New Roman" w:hAnsi="Times New Roman"/>
          <w:i/>
        </w:rPr>
      </w:pPr>
    </w:p>
    <w:p w14:paraId="72C3EE81" w14:textId="77777777" w:rsidR="00171C59" w:rsidRPr="009E1B38" w:rsidRDefault="00171C59" w:rsidP="003C5E4D">
      <w:pPr>
        <w:pStyle w:val="ListeParagraf"/>
        <w:numPr>
          <w:ilvl w:val="0"/>
          <w:numId w:val="99"/>
        </w:numPr>
        <w:spacing w:after="160" w:line="259" w:lineRule="auto"/>
        <w:ind w:left="709" w:firstLine="0"/>
        <w:jc w:val="left"/>
        <w:rPr>
          <w:rFonts w:ascii="Times New Roman" w:hAnsi="Times New Roman"/>
        </w:rPr>
      </w:pPr>
      <w:r w:rsidRPr="009E1B38">
        <w:rPr>
          <w:rFonts w:ascii="Times New Roman" w:hAnsi="Times New Roman"/>
        </w:rPr>
        <w:t xml:space="preserve">With the Board Decision dated 21.10.2021 and numbered 10499 published in the Official Gazette dated 28.10.2021 and numbered 31642, in order to increase the trade in the electricity market within the scope of the Electricity Market Import and Export Regulation; provided that all rights and authorizations related to its ownership and operation are ​on behalf and account of the System Operator, </w:t>
      </w:r>
      <w:r w:rsidRPr="009E1B38">
        <w:rPr>
          <w:rFonts w:ascii="Times New Roman" w:hAnsi="Times New Roman"/>
          <w:b/>
        </w:rPr>
        <w:t>the Procedures and Principles for Capacity Allocation in the case of</w:t>
      </w:r>
      <w:r w:rsidRPr="009E1B38">
        <w:rPr>
          <w:rFonts w:ascii="Times New Roman" w:hAnsi="Times New Roman"/>
        </w:rPr>
        <w:t xml:space="preserve"> </w:t>
      </w:r>
      <w:r w:rsidRPr="009E1B38">
        <w:rPr>
          <w:rFonts w:ascii="Times New Roman" w:hAnsi="Times New Roman"/>
          <w:b/>
        </w:rPr>
        <w:t>the Establishment of New Interconnection Lines by Legal Entities</w:t>
      </w:r>
      <w:r w:rsidRPr="009E1B38">
        <w:rPr>
          <w:rFonts w:ascii="Times New Roman" w:hAnsi="Times New Roman"/>
        </w:rPr>
        <w:t>, which have the activity of import and ​/or export to legal entities holding a supply license, are accepted.</w:t>
      </w:r>
    </w:p>
    <w:p w14:paraId="61A1CAEA" w14:textId="77777777" w:rsidR="00171C59" w:rsidRPr="009E1B38" w:rsidRDefault="00171C59" w:rsidP="00171C59">
      <w:pPr>
        <w:pStyle w:val="ListeParagraf"/>
        <w:ind w:left="709"/>
        <w:jc w:val="left"/>
        <w:rPr>
          <w:rFonts w:ascii="Times New Roman" w:hAnsi="Times New Roman"/>
        </w:rPr>
      </w:pPr>
    </w:p>
    <w:p w14:paraId="16F25D2F" w14:textId="77777777" w:rsidR="00171C59" w:rsidRPr="009E1B38" w:rsidRDefault="00171C59" w:rsidP="003C5E4D">
      <w:pPr>
        <w:pStyle w:val="ListeParagraf"/>
        <w:numPr>
          <w:ilvl w:val="0"/>
          <w:numId w:val="99"/>
        </w:numPr>
        <w:spacing w:after="160" w:line="259" w:lineRule="auto"/>
        <w:ind w:left="709" w:firstLine="0"/>
        <w:jc w:val="left"/>
        <w:rPr>
          <w:rFonts w:ascii="Times New Roman" w:hAnsi="Times New Roman"/>
        </w:rPr>
      </w:pPr>
      <w:r w:rsidRPr="009E1B38">
        <w:rPr>
          <w:rFonts w:ascii="Times New Roman" w:hAnsi="Times New Roman"/>
        </w:rPr>
        <w:t xml:space="preserve">With the Board Decision dated 15.04.2021 and numbered 10142 published in the Official Gazette dated 04.11.2021 and numbered 31649, </w:t>
      </w:r>
      <w:r w:rsidRPr="009E1B38">
        <w:rPr>
          <w:rFonts w:ascii="Times New Roman" w:hAnsi="Times New Roman"/>
          <w:b/>
        </w:rPr>
        <w:t>the ​Procedures and Principles Regarding the Determination of Power Plant Sites of Generation Facilities Subject to Preliminary License or Licenses in the Electricity Market</w:t>
      </w:r>
      <w:r w:rsidRPr="009E1B38">
        <w:rPr>
          <w:rFonts w:ascii="Times New Roman" w:hAnsi="Times New Roman"/>
        </w:rPr>
        <w:t xml:space="preserve"> published in the Official Gazette dated 25.06.2020 and​ numbered 31166</w:t>
      </w:r>
    </w:p>
    <w:p w14:paraId="6AED964F" w14:textId="77777777" w:rsidR="00171C59" w:rsidRPr="009E1B38" w:rsidRDefault="00171C59" w:rsidP="00171C59">
      <w:pPr>
        <w:pStyle w:val="ListeParagraf"/>
        <w:ind w:left="709"/>
        <w:jc w:val="left"/>
        <w:rPr>
          <w:rFonts w:ascii="Times New Roman" w:hAnsi="Times New Roman"/>
        </w:rPr>
      </w:pPr>
    </w:p>
    <w:p w14:paraId="37AC446B" w14:textId="77777777" w:rsidR="00171C59" w:rsidRPr="009E1B38" w:rsidRDefault="00171C59" w:rsidP="003C5E4D">
      <w:pPr>
        <w:pStyle w:val="ListeParagraf"/>
        <w:numPr>
          <w:ilvl w:val="0"/>
          <w:numId w:val="99"/>
        </w:numPr>
        <w:spacing w:after="160" w:line="259" w:lineRule="auto"/>
        <w:ind w:left="709" w:firstLine="0"/>
        <w:jc w:val="left"/>
        <w:rPr>
          <w:rFonts w:ascii="Times New Roman" w:hAnsi="Times New Roman"/>
        </w:rPr>
      </w:pPr>
      <w:r w:rsidRPr="009E1B38">
        <w:rPr>
          <w:rFonts w:ascii="Times New Roman" w:hAnsi="Times New Roman"/>
        </w:rPr>
        <w:t xml:space="preserve">The third paragraph of Article 6​titled </w:t>
      </w:r>
      <w:r w:rsidRPr="009E1B38">
        <w:rPr>
          <w:rFonts w:ascii="Times New Roman" w:hAnsi="Times New Roman"/>
          <w:i/>
        </w:rPr>
        <w:t>"Power plant site in generation facilities with reservoir type based on hydraulic energy”</w:t>
      </w:r>
      <w:r w:rsidRPr="009E1B38">
        <w:rPr>
          <w:rFonts w:ascii="Times New Roman" w:hAnsi="Times New Roman"/>
        </w:rPr>
        <w:t xml:space="preserve"> has been amended as follows.</w:t>
      </w:r>
    </w:p>
    <w:p w14:paraId="66C9901D" w14:textId="77777777" w:rsidR="00171C59" w:rsidRPr="009E1B38" w:rsidRDefault="00171C59" w:rsidP="00171C59">
      <w:pPr>
        <w:pStyle w:val="ListeParagraf"/>
        <w:ind w:left="709"/>
        <w:jc w:val="left"/>
        <w:rPr>
          <w:rFonts w:ascii="Times New Roman" w:hAnsi="Times New Roman"/>
        </w:rPr>
      </w:pPr>
    </w:p>
    <w:p w14:paraId="5DAAA12B"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 xml:space="preserve">“(3) Water structures under the responsibility of DSI and the reservoir area, trunk, bottom sluice, full sluice, tunnels, canals, excavation berms etc. elements within the scope of their component parts are not included in the power plant site in the generation facilities based on hydraulic resource constructed by DSI and transferred to EÜAŞ within the scope of Additional Article 1 of the Law No. 6200 and in the </w:t>
      </w:r>
      <w:r w:rsidRPr="009E1B38">
        <w:rPr>
          <w:rFonts w:ascii="Times New Roman" w:hAnsi="Times New Roman"/>
        </w:rPr>
        <w:lastRenderedPageBreak/>
        <w:t>generation facilities established within the scope of the Law No. 3096. These elements are added to the power plant site if requested by EÜAŞ or approved by EÜAŞ."</w:t>
      </w:r>
    </w:p>
    <w:p w14:paraId="75F5D964" w14:textId="77777777" w:rsidR="00171C59" w:rsidRPr="009E1B38" w:rsidRDefault="00171C59" w:rsidP="003C5E4D">
      <w:pPr>
        <w:pStyle w:val="ListeParagraf"/>
        <w:numPr>
          <w:ilvl w:val="0"/>
          <w:numId w:val="99"/>
        </w:numPr>
        <w:spacing w:after="160" w:line="259" w:lineRule="auto"/>
        <w:ind w:left="709" w:firstLine="0"/>
        <w:jc w:val="left"/>
        <w:rPr>
          <w:rFonts w:ascii="Times New Roman" w:hAnsi="Times New Roman"/>
        </w:rPr>
      </w:pPr>
      <w:r w:rsidRPr="009E1B38">
        <w:rPr>
          <w:rFonts w:ascii="Times New Roman" w:hAnsi="Times New Roman"/>
        </w:rPr>
        <w:t>The third paragraph of Article 7 titled "Power plant site in generation facilities with reservoir type based on hydraulic energy" has been amended as follows.</w:t>
      </w:r>
    </w:p>
    <w:p w14:paraId="73A1CB4F" w14:textId="77777777" w:rsidR="00171C59" w:rsidRPr="009E1B38" w:rsidRDefault="00171C59" w:rsidP="00171C59">
      <w:pPr>
        <w:pStyle w:val="ListeParagraf"/>
        <w:ind w:left="709"/>
        <w:jc w:val="left"/>
        <w:rPr>
          <w:rFonts w:ascii="Times New Roman" w:hAnsi="Times New Roman"/>
        </w:rPr>
      </w:pPr>
    </w:p>
    <w:p w14:paraId="21018AD0" w14:textId="77777777" w:rsidR="00171C59" w:rsidRPr="009E1B38" w:rsidRDefault="00171C59" w:rsidP="00171C59">
      <w:pPr>
        <w:pStyle w:val="ListeParagraf"/>
        <w:ind w:left="709"/>
        <w:jc w:val="left"/>
        <w:rPr>
          <w:rFonts w:ascii="Times New Roman" w:hAnsi="Times New Roman"/>
        </w:rPr>
      </w:pPr>
      <w:r w:rsidRPr="009E1B38">
        <w:rPr>
          <w:rFonts w:ascii="Times New Roman" w:hAnsi="Times New Roman"/>
        </w:rPr>
        <w:t>“(3) Water structures under the responsibility of DSI and the reservoir area, trunk, bottom sluice, full sluice, tunnels, canals, excavation berms etc. elements within the scope of their component parts are not included in the power plant site in the generation facilities based on hydraulic resource constructed by DSI and transferred to EÜAŞ within the scope of Additional Article 1 of the Law No. 6200 and in the generation facilities established within the scope of the Law No. 3096. These elements are added to the power plant site if requested by EÜAŞ or approved by EÜAŞ. "</w:t>
      </w:r>
    </w:p>
    <w:p w14:paraId="533723CE" w14:textId="77777777" w:rsidR="00171C59" w:rsidRPr="009E1B38" w:rsidRDefault="00171C59" w:rsidP="00171C59">
      <w:pPr>
        <w:pStyle w:val="ListeParagraf"/>
        <w:ind w:left="709"/>
        <w:jc w:val="left"/>
        <w:rPr>
          <w:rFonts w:ascii="Times New Roman" w:hAnsi="Times New Roman"/>
        </w:rPr>
      </w:pPr>
    </w:p>
    <w:p w14:paraId="0565724D" w14:textId="77777777" w:rsidR="00171C59" w:rsidRPr="009E1B38" w:rsidRDefault="00171C59" w:rsidP="00171C59">
      <w:pPr>
        <w:pStyle w:val="ListeParagraf"/>
        <w:ind w:left="709"/>
        <w:jc w:val="left"/>
        <w:rPr>
          <w:rFonts w:ascii="Times New Roman" w:hAnsi="Times New Roman"/>
        </w:rPr>
      </w:pPr>
    </w:p>
    <w:p w14:paraId="1FDEACFF" w14:textId="77777777" w:rsidR="00171C59" w:rsidRPr="009E1B38" w:rsidRDefault="00171C59" w:rsidP="003C5E4D">
      <w:pPr>
        <w:pStyle w:val="ListeParagraf"/>
        <w:numPr>
          <w:ilvl w:val="0"/>
          <w:numId w:val="100"/>
        </w:numPr>
        <w:spacing w:after="160" w:line="259" w:lineRule="auto"/>
        <w:ind w:left="709" w:firstLine="0"/>
        <w:jc w:val="left"/>
        <w:rPr>
          <w:rFonts w:ascii="Times New Roman" w:hAnsi="Times New Roman"/>
        </w:rPr>
      </w:pPr>
      <w:r w:rsidRPr="009E1B38">
        <w:rPr>
          <w:rFonts w:ascii="Times New Roman" w:hAnsi="Times New Roman"/>
        </w:rPr>
        <w:t xml:space="preserve">With the Board Decision dated 28.10.2021 and numbered 10519 published in the Official Gazette dated 04.11.2021 and numbered 31649; the name of </w:t>
      </w:r>
      <w:r w:rsidRPr="009E1B38">
        <w:rPr>
          <w:rFonts w:ascii="Times New Roman" w:hAnsi="Times New Roman"/>
          <w:b/>
        </w:rPr>
        <w:t xml:space="preserve">the Procedures and Principles ​Regarding the Evaluation of Unlicensed Generation Applications and Surplus Energy for the Electricity Market Consumption Facility and the Generation Facilities Connected to and Based on Solar Energy from the same Measurement Point </w:t>
      </w:r>
      <w:r w:rsidRPr="009E1B38">
        <w:rPr>
          <w:rFonts w:ascii="Times New Roman" w:hAnsi="Times New Roman"/>
        </w:rPr>
        <w:t xml:space="preserve">published in the Official Gazette dated 18.01.2018 and numbered 30305 has been changed as </w:t>
      </w:r>
      <w:r w:rsidRPr="009E1B38">
        <w:rPr>
          <w:rFonts w:ascii="Times New Roman" w:hAnsi="Times New Roman"/>
          <w:b/>
        </w:rPr>
        <w:t>the Procedures and​ Principles for the Electricity Generation Facilities Based on Solar Energy</w:t>
      </w:r>
      <w:r w:rsidRPr="009E1B38">
        <w:rPr>
          <w:rFonts w:ascii="Times New Roman" w:hAnsi="Times New Roman"/>
        </w:rPr>
        <w:t xml:space="preserve"> </w:t>
      </w:r>
      <w:r w:rsidRPr="009E1B38">
        <w:rPr>
          <w:rFonts w:ascii="Times New Roman" w:hAnsi="Times New Roman"/>
          <w:b/>
        </w:rPr>
        <w:t>up to 10 kW</w:t>
      </w:r>
      <w:r w:rsidRPr="009E1B38">
        <w:rPr>
          <w:rFonts w:ascii="Times New Roman" w:hAnsi="Times New Roman"/>
        </w:rPr>
        <w:t xml:space="preserve"> and its content has been changed.</w:t>
      </w:r>
    </w:p>
    <w:p w14:paraId="3C9F6EE1" w14:textId="77777777" w:rsidR="00171C59" w:rsidRPr="009E1B38" w:rsidRDefault="00171C59" w:rsidP="00171C59">
      <w:pPr>
        <w:pStyle w:val="ListeParagraf"/>
        <w:ind w:left="709"/>
        <w:jc w:val="left"/>
        <w:rPr>
          <w:rFonts w:ascii="Times New Roman" w:hAnsi="Times New Roman"/>
        </w:rPr>
      </w:pPr>
    </w:p>
    <w:p w14:paraId="4B6D8913" w14:textId="77777777" w:rsidR="00171C59" w:rsidRPr="009E1B38" w:rsidRDefault="00171C59" w:rsidP="003C5E4D">
      <w:pPr>
        <w:pStyle w:val="ListeParagraf"/>
        <w:numPr>
          <w:ilvl w:val="0"/>
          <w:numId w:val="100"/>
        </w:numPr>
        <w:spacing w:after="160" w:line="259" w:lineRule="auto"/>
        <w:ind w:left="709" w:firstLine="0"/>
        <w:jc w:val="left"/>
        <w:rPr>
          <w:rFonts w:ascii="Times New Roman" w:hAnsi="Times New Roman"/>
        </w:rPr>
      </w:pPr>
      <w:r w:rsidRPr="009E1B38">
        <w:rPr>
          <w:rFonts w:ascii="Times New Roman" w:hAnsi="Times New Roman"/>
        </w:rPr>
        <w:t>With the Board Decision published in the Official Gazette dated 18.11.2021 and numbered 31663, the phrase "ten months after the publication date," in the clause (a) of the first paragraph of Article 54 of the Regulation on Amendments to the Electricity Market Ancillary Services Regulation has been changed to "on 1/1/2022,".</w:t>
      </w:r>
    </w:p>
    <w:p w14:paraId="443087DA" w14:textId="77777777" w:rsidR="00171C59" w:rsidRPr="009E1B38" w:rsidRDefault="00171C59" w:rsidP="00171C59">
      <w:pPr>
        <w:pStyle w:val="ListeParagraf"/>
        <w:ind w:left="709"/>
        <w:jc w:val="left"/>
        <w:rPr>
          <w:rFonts w:ascii="Times New Roman" w:hAnsi="Times New Roman"/>
        </w:rPr>
      </w:pPr>
    </w:p>
    <w:p w14:paraId="14D889E5" w14:textId="77777777" w:rsidR="00171C59" w:rsidRPr="009E1B38" w:rsidRDefault="00171C59" w:rsidP="003C5E4D">
      <w:pPr>
        <w:pStyle w:val="ListeParagraf"/>
        <w:numPr>
          <w:ilvl w:val="0"/>
          <w:numId w:val="100"/>
        </w:numPr>
        <w:spacing w:after="160" w:line="259" w:lineRule="auto"/>
        <w:ind w:left="709" w:firstLine="0"/>
        <w:jc w:val="left"/>
        <w:rPr>
          <w:rFonts w:ascii="Times New Roman" w:hAnsi="Times New Roman"/>
        </w:rPr>
      </w:pPr>
      <w:r w:rsidRPr="009E1B38">
        <w:rPr>
          <w:rFonts w:ascii="Times New Roman" w:hAnsi="Times New Roman"/>
        </w:rPr>
        <w:t>With the Board Decision dated 09.12.2021 and numbered 10606 published in the Official Gazette dated 14.12.2021 and numbered 31689, it has been decided that the rate of annual electricity generation amount registered in the license of a license holder legal entity within the scope of the second paragraph of Provisional Article 7 of the Electricity Market Law numbered 6446 shall be applied as 40% for 2022.</w:t>
      </w:r>
    </w:p>
    <w:p w14:paraId="522EC58C" w14:textId="77777777" w:rsidR="00171C59" w:rsidRPr="009E1B38" w:rsidRDefault="00171C59" w:rsidP="00171C59">
      <w:pPr>
        <w:pStyle w:val="ListeParagraf"/>
        <w:ind w:left="709"/>
        <w:jc w:val="left"/>
        <w:rPr>
          <w:rFonts w:ascii="Times New Roman" w:hAnsi="Times New Roman"/>
        </w:rPr>
      </w:pPr>
    </w:p>
    <w:p w14:paraId="675D5DE7" w14:textId="50A5B182" w:rsidR="00171C59" w:rsidRPr="009E1B38" w:rsidRDefault="00171C59" w:rsidP="003C5E4D">
      <w:pPr>
        <w:pStyle w:val="ListeParagraf"/>
        <w:numPr>
          <w:ilvl w:val="0"/>
          <w:numId w:val="100"/>
        </w:numPr>
        <w:spacing w:after="160" w:line="259" w:lineRule="auto"/>
        <w:ind w:left="709" w:firstLine="0"/>
        <w:jc w:val="left"/>
        <w:rPr>
          <w:rFonts w:ascii="Times New Roman" w:hAnsi="Times New Roman"/>
        </w:rPr>
      </w:pPr>
      <w:r w:rsidRPr="009E1B38">
        <w:rPr>
          <w:rFonts w:ascii="Times New Roman" w:hAnsi="Times New Roman"/>
        </w:rPr>
        <w:t xml:space="preserve">With the Board Decision dated 16.12.2021 and numbered 10625 published in the Official Gazette dated 22.12.2021 and numbered 31697, the ​Procedures and Principles regarding the Operation of the </w:t>
      </w:r>
      <w:r w:rsidR="0082470D" w:rsidRPr="009E1B38">
        <w:rPr>
          <w:rFonts w:ascii="Times New Roman" w:hAnsi="Times New Roman"/>
        </w:rPr>
        <w:t>Liability transfer platform</w:t>
      </w:r>
      <w:r w:rsidRPr="009E1B38">
        <w:rPr>
          <w:rFonts w:ascii="Times New Roman" w:hAnsi="Times New Roman"/>
        </w:rPr>
        <w:t xml:space="preserve">, the purpose of which is to determine </w:t>
      </w:r>
      <w:r w:rsidRPr="009E1B38">
        <w:rPr>
          <w:rFonts w:ascii="Times New Roman" w:hAnsi="Times New Roman"/>
          <w:b/>
        </w:rPr>
        <w:t xml:space="preserve">the Procedures and Principles regarding the Operation of the </w:t>
      </w:r>
      <w:r w:rsidR="0082470D" w:rsidRPr="009E1B38">
        <w:rPr>
          <w:rFonts w:ascii="Times New Roman" w:hAnsi="Times New Roman"/>
          <w:b/>
        </w:rPr>
        <w:t>Liability transfer platform</w:t>
      </w:r>
      <w:r w:rsidRPr="009E1B38">
        <w:rPr>
          <w:rFonts w:ascii="Times New Roman" w:hAnsi="Times New Roman"/>
        </w:rPr>
        <w:t>​ by the Turkish Electricity Transmission Corporation (TEİAŞ), have been accepted.</w:t>
      </w:r>
    </w:p>
    <w:p w14:paraId="03E86327" w14:textId="77777777" w:rsidR="00171C59" w:rsidRPr="009E1B38" w:rsidRDefault="00171C59" w:rsidP="00171C59">
      <w:pPr>
        <w:pStyle w:val="ListeParagraf"/>
        <w:ind w:left="1418" w:firstLine="142"/>
        <w:rPr>
          <w:rFonts w:ascii="Times New Roman" w:hAnsi="Times New Roman"/>
        </w:rPr>
      </w:pPr>
    </w:p>
    <w:p w14:paraId="053088CB" w14:textId="77777777" w:rsidR="00171C59" w:rsidRPr="009E1B38" w:rsidRDefault="00171C59" w:rsidP="00171C59">
      <w:pPr>
        <w:ind w:left="1418" w:firstLine="142"/>
        <w:rPr>
          <w:rFonts w:ascii="Times New Roman" w:hAnsi="Times New Roman"/>
        </w:rPr>
      </w:pPr>
      <w:r w:rsidRPr="009E1B38">
        <w:rPr>
          <w:rFonts w:ascii="Times New Roman" w:hAnsi="Times New Roman"/>
        </w:rPr>
        <w:t xml:space="preserve">            </w:t>
      </w:r>
    </w:p>
    <w:p w14:paraId="786FCF75" w14:textId="1C42F7C6" w:rsidR="0032468F" w:rsidRPr="009E1B38" w:rsidRDefault="00382ACA" w:rsidP="00171C59">
      <w:pPr>
        <w:pStyle w:val="Balk2"/>
        <w:jc w:val="left"/>
        <w:rPr>
          <w:rFonts w:cs="Times New Roman"/>
          <w:sz w:val="22"/>
          <w:szCs w:val="22"/>
        </w:rPr>
      </w:pPr>
      <w:bookmarkStart w:id="50" w:name="_Toc113615314"/>
      <w:r w:rsidRPr="009E1B38">
        <w:rPr>
          <w:rFonts w:cs="Times New Roman"/>
          <w:sz w:val="22"/>
          <w:szCs w:val="22"/>
        </w:rPr>
        <w:t xml:space="preserve">2.2 </w:t>
      </w:r>
      <w:r w:rsidR="47620091" w:rsidRPr="009E1B38">
        <w:rPr>
          <w:rFonts w:cs="Times New Roman"/>
          <w:sz w:val="22"/>
          <w:szCs w:val="22"/>
        </w:rPr>
        <w:t xml:space="preserve"> Natural Gas Market Legislation</w:t>
      </w:r>
      <w:bookmarkEnd w:id="50"/>
    </w:p>
    <w:p w14:paraId="63D2625D" w14:textId="6759FB8C" w:rsidR="0032468F" w:rsidRPr="009E1B38" w:rsidRDefault="00382ACA" w:rsidP="00382ACA">
      <w:pPr>
        <w:pStyle w:val="Balk3"/>
        <w:rPr>
          <w:rFonts w:ascii="Times New Roman" w:hAnsi="Times New Roman" w:cs="Times New Roman"/>
        </w:rPr>
      </w:pPr>
      <w:bookmarkStart w:id="51" w:name="_Toc113615315"/>
      <w:r w:rsidRPr="009E1B38">
        <w:rPr>
          <w:rFonts w:ascii="Times New Roman" w:hAnsi="Times New Roman" w:cs="Times New Roman"/>
        </w:rPr>
        <w:t>2.2.1</w:t>
      </w:r>
      <w:r w:rsidR="47620091" w:rsidRPr="009E1B38">
        <w:rPr>
          <w:rFonts w:ascii="Times New Roman" w:eastAsia="Times New Roman" w:hAnsi="Times New Roman" w:cs="Times New Roman"/>
          <w:b w:val="0"/>
          <w:bCs w:val="0"/>
          <w:sz w:val="14"/>
          <w:szCs w:val="14"/>
        </w:rPr>
        <w:t xml:space="preserve">     </w:t>
      </w:r>
      <w:r w:rsidR="47620091" w:rsidRPr="009E1B38">
        <w:rPr>
          <w:rFonts w:ascii="Times New Roman" w:hAnsi="Times New Roman" w:cs="Times New Roman"/>
        </w:rPr>
        <w:t>Law</w:t>
      </w:r>
      <w:bookmarkEnd w:id="51"/>
    </w:p>
    <w:p w14:paraId="75DA86BC" w14:textId="43B392F4" w:rsidR="0032468F" w:rsidRPr="009E1B38" w:rsidRDefault="47620091" w:rsidP="47620091">
      <w:pPr>
        <w:spacing w:after="160" w:line="253" w:lineRule="exact"/>
        <w:rPr>
          <w:rFonts w:ascii="Times New Roman" w:hAnsi="Times New Roman"/>
        </w:rPr>
      </w:pPr>
      <w:r w:rsidRPr="009E1B38">
        <w:rPr>
          <w:rFonts w:ascii="Times New Roman" w:hAnsi="Times New Roman"/>
        </w:rPr>
        <w:t>In 2021, the following changes were made in the Natural Gas Market Law No. 4646;</w:t>
      </w:r>
    </w:p>
    <w:p w14:paraId="4495E927" w14:textId="08983121" w:rsidR="0032468F" w:rsidRPr="009E1B38" w:rsidRDefault="47620091" w:rsidP="0008108D">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The Law No. 7346 on Amending Certain Laws, published in the Official Gazette dated 25.12.2021 and numbered 31700, and the Law No. 7349 on Amending Some Laws and the Income Tax Law, with </w:t>
      </w:r>
      <w:r w:rsidRPr="009E1B38">
        <w:rPr>
          <w:rFonts w:ascii="Times New Roman" w:hAnsi="Times New Roman"/>
          <w:b/>
          <w:bCs/>
        </w:rPr>
        <w:t>the Natural Gas Market Law No. 4646</w:t>
      </w:r>
      <w:r w:rsidRPr="009E1B38">
        <w:rPr>
          <w:rFonts w:ascii="Times New Roman" w:hAnsi="Times New Roman"/>
        </w:rPr>
        <w:t xml:space="preserve">  </w:t>
      </w:r>
    </w:p>
    <w:p w14:paraId="521A0288" w14:textId="1D543FAF" w:rsidR="0032468F" w:rsidRPr="009E1B38" w:rsidRDefault="47620091" w:rsidP="47620091">
      <w:pPr>
        <w:spacing w:after="160" w:line="240" w:lineRule="exact"/>
        <w:ind w:left="360" w:hanging="360"/>
        <w:rPr>
          <w:rFonts w:ascii="Times New Roman" w:hAnsi="Times New Roman"/>
        </w:rPr>
      </w:pPr>
      <w:r w:rsidRPr="009E1B38">
        <w:rPr>
          <w:rFonts w:ascii="Times New Roman" w:hAnsi="Times New Roman"/>
        </w:rPr>
        <w:lastRenderedPageBreak/>
        <w:t>-</w:t>
      </w:r>
      <w:r w:rsidRPr="009E1B38">
        <w:rPr>
          <w:rFonts w:ascii="Times New Roman" w:eastAsia="Times New Roman" w:hAnsi="Times New Roman"/>
          <w:sz w:val="14"/>
          <w:szCs w:val="14"/>
        </w:rPr>
        <w:t xml:space="preserve">        </w:t>
      </w:r>
      <w:r w:rsidRPr="009E1B38">
        <w:rPr>
          <w:rFonts w:ascii="Times New Roman" w:hAnsi="Times New Roman"/>
        </w:rPr>
        <w:t xml:space="preserve"> The following sub-clause has been added to subparagraph (a) of the first paragraph of Article 6, titled "General principles of licenses and certificates".</w:t>
      </w:r>
    </w:p>
    <w:p w14:paraId="027A83DC" w14:textId="0074D8E6"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7075D92B" w14:textId="5CF1E005"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“7) </w:t>
      </w:r>
      <w:r w:rsidRPr="009E1B38">
        <w:rPr>
          <w:rFonts w:ascii="Times New Roman" w:hAnsi="Times New Roman"/>
        </w:rPr>
        <w:t>The procedures and principles regarding the compensation of consumer grievances arising from the practices of license and certificate holders, which occur apart from the personal faults of the consumers and within the scope to be determined by the Board.”</w:t>
      </w:r>
    </w:p>
    <w:p w14:paraId="1FF4634D" w14:textId="09BBD70F"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273ADA6B" w14:textId="5970B310"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The following additional article has been added.</w:t>
      </w:r>
    </w:p>
    <w:p w14:paraId="4EDAA94A" w14:textId="4E22F665"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4E5EE797" w14:textId="109FD26A" w:rsidR="0032468F" w:rsidRPr="009E1B38" w:rsidRDefault="47620091" w:rsidP="47620091">
      <w:pPr>
        <w:spacing w:after="160" w:line="253" w:lineRule="exact"/>
        <w:rPr>
          <w:rFonts w:ascii="Times New Roman" w:hAnsi="Times New Roman"/>
        </w:rPr>
      </w:pPr>
      <w:r w:rsidRPr="009E1B38">
        <w:rPr>
          <w:rFonts w:ascii="Times New Roman" w:hAnsi="Times New Roman"/>
          <w:i/>
          <w:iCs/>
        </w:rPr>
        <w:t>“Security of supply</w:t>
      </w:r>
    </w:p>
    <w:p w14:paraId="7C54D67F" w14:textId="572FFFA3" w:rsidR="0032468F" w:rsidRPr="009E1B38" w:rsidRDefault="47620091" w:rsidP="47620091">
      <w:pPr>
        <w:spacing w:after="160" w:line="253" w:lineRule="exact"/>
        <w:rPr>
          <w:rFonts w:ascii="Times New Roman" w:hAnsi="Times New Roman"/>
        </w:rPr>
      </w:pPr>
      <w:r w:rsidRPr="009E1B38">
        <w:rPr>
          <w:rFonts w:ascii="Times New Roman" w:hAnsi="Times New Roman"/>
          <w:i/>
          <w:iCs/>
        </w:rPr>
        <w:t>ADDITIONAL ARTICLE 2</w:t>
      </w:r>
    </w:p>
    <w:p w14:paraId="5F4DBC20" w14:textId="65F8F4AA" w:rsidR="0032468F" w:rsidRPr="009E1B38" w:rsidRDefault="47620091" w:rsidP="47620091">
      <w:pPr>
        <w:spacing w:after="160" w:line="253" w:lineRule="exact"/>
        <w:rPr>
          <w:rFonts w:ascii="Times New Roman" w:hAnsi="Times New Roman"/>
        </w:rPr>
      </w:pPr>
      <w:r w:rsidRPr="009E1B38">
        <w:rPr>
          <w:rFonts w:ascii="Times New Roman" w:hAnsi="Times New Roman"/>
          <w:i/>
          <w:iCs/>
        </w:rPr>
        <w:t>The Ministry is responsible for monitoring natural gas supply security and taking measures regarding supply security. In this context, all licensed legal entities operating in the market are obliged to comply with the measures to be taken for security of supply, to contribute to the transactions to be established, and to submit the information and documents that will be needed to the Ministry within the specified periods.</w:t>
      </w:r>
    </w:p>
    <w:p w14:paraId="71B2D121" w14:textId="3354ACCE"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62113D8F" w14:textId="10A221A5"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The long-term </w:t>
      </w:r>
      <w:r w:rsidR="0082470D" w:rsidRPr="009E1B38">
        <w:rPr>
          <w:rFonts w:ascii="Times New Roman" w:hAnsi="Times New Roman"/>
          <w:i/>
          <w:iCs/>
        </w:rPr>
        <w:t>Türkiye</w:t>
      </w:r>
      <w:r w:rsidRPr="009E1B38">
        <w:rPr>
          <w:rFonts w:ascii="Times New Roman" w:hAnsi="Times New Roman"/>
          <w:i/>
          <w:iCs/>
        </w:rPr>
        <w:t xml:space="preserve"> National Energy Plan study is prepared and published by the Ministry every five years, the first of which is within one year from the date of entry into force of this article, by taking the opinions of the Presidency Strategy and Budget Department, the Ministry of Treasury and Finance and the Agency.</w:t>
      </w:r>
    </w:p>
    <w:p w14:paraId="7D25EE50" w14:textId="65266070"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0573CB5C" w14:textId="34F5EDB5" w:rsidR="0032468F" w:rsidRPr="009E1B38" w:rsidRDefault="47620091" w:rsidP="47620091">
      <w:pPr>
        <w:spacing w:after="160" w:line="253" w:lineRule="exact"/>
        <w:rPr>
          <w:rFonts w:ascii="Times New Roman" w:hAnsi="Times New Roman"/>
        </w:rPr>
      </w:pPr>
      <w:r w:rsidRPr="009E1B38">
        <w:rPr>
          <w:rFonts w:ascii="Times New Roman" w:hAnsi="Times New Roman"/>
          <w:i/>
          <w:iCs/>
        </w:rPr>
        <w:t>The Ministry ensures that necessary measures are taken to ensure natural gas supply security in the short, medium and long term, taking into account the study of the Turkish National Energy Plan.”</w:t>
      </w:r>
    </w:p>
    <w:p w14:paraId="780B16CB" w14:textId="2D99D1A1"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20D73219" w14:textId="61B67944"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The following provisional article has been added.</w:t>
      </w:r>
    </w:p>
    <w:p w14:paraId="1F8E4529" w14:textId="6DC38C45"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50988757" w14:textId="3FBD2DED" w:rsidR="0032468F" w:rsidRPr="009E1B38" w:rsidRDefault="47620091" w:rsidP="47620091">
      <w:pPr>
        <w:spacing w:after="160" w:line="253" w:lineRule="exact"/>
        <w:rPr>
          <w:rFonts w:ascii="Times New Roman" w:hAnsi="Times New Roman"/>
        </w:rPr>
      </w:pPr>
      <w:r w:rsidRPr="009E1B38">
        <w:rPr>
          <w:rFonts w:ascii="Times New Roman" w:hAnsi="Times New Roman"/>
          <w:i/>
          <w:iCs/>
        </w:rPr>
        <w:t>“PROVISIONAL ARTICLE 6</w:t>
      </w:r>
    </w:p>
    <w:p w14:paraId="75C933FD" w14:textId="72EFB37A"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As of the effective date of this article, all kinds of taxes, funds and shares, and administrative fines, related delay interest and delay interest debts of BOTAŞ, which are due but not paid to the collection offices affiliated to the Ministry of Commerce, as of the effective date of this article, and the debts of 11/11/2020 and numbered 7256 Structured debts (including undue installments) within the scope of the Law on Restructuring Some Receivables and Amending Some Laws; in return for the commissioning fee receivables of the aforementioned company from the Treasury until 31/12/2021, it is canceled by the Ministry of Commerce by being deducted without being associated with the income and expense accounts of the central government budget. In this context, secondary receivables are not calculated for the </w:t>
      </w:r>
      <w:r w:rsidR="00A32D13" w:rsidRPr="009E1B38">
        <w:rPr>
          <w:rFonts w:ascii="Times New Roman" w:hAnsi="Times New Roman"/>
          <w:i/>
          <w:iCs/>
        </w:rPr>
        <w:t>depts.</w:t>
      </w:r>
      <w:r w:rsidRPr="009E1B38">
        <w:rPr>
          <w:rFonts w:ascii="Times New Roman" w:hAnsi="Times New Roman"/>
          <w:i/>
          <w:iCs/>
        </w:rPr>
        <w:t xml:space="preserve"> subject to accounting after the publication of this article.</w:t>
      </w:r>
    </w:p>
    <w:p w14:paraId="5FF63CED" w14:textId="4F61F5EA"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0E0ECBB6" w14:textId="44987B5B" w:rsidR="0032468F" w:rsidRPr="009E1B38" w:rsidRDefault="47620091" w:rsidP="47620091">
      <w:pPr>
        <w:spacing w:after="160" w:line="253" w:lineRule="exact"/>
        <w:rPr>
          <w:rFonts w:ascii="Times New Roman" w:hAnsi="Times New Roman"/>
        </w:rPr>
      </w:pPr>
      <w:r w:rsidRPr="009E1B38">
        <w:rPr>
          <w:rFonts w:ascii="Times New Roman" w:hAnsi="Times New Roman"/>
          <w:i/>
          <w:iCs/>
        </w:rPr>
        <w:t>Within the scope of this article, the Minister of Treasury and Finance is authorized to determine the amount of the assignment fee receivable of BOTAŞ from the Treasury and to determine the cancellation transactions to be made by deduction.</w:t>
      </w:r>
    </w:p>
    <w:p w14:paraId="526271D4" w14:textId="5C80E032" w:rsidR="0032468F" w:rsidRPr="009E1B38" w:rsidRDefault="47620091" w:rsidP="47620091">
      <w:pPr>
        <w:spacing w:after="160" w:line="240" w:lineRule="exact"/>
        <w:rPr>
          <w:rFonts w:ascii="Times New Roman" w:hAnsi="Times New Roman"/>
        </w:rPr>
      </w:pPr>
      <w:r w:rsidRPr="009E1B38">
        <w:rPr>
          <w:rFonts w:ascii="Times New Roman" w:hAnsi="Times New Roman"/>
          <w:b/>
          <w:bCs/>
        </w:rPr>
        <w:t xml:space="preserve"> </w:t>
      </w:r>
    </w:p>
    <w:p w14:paraId="4DF61A38" w14:textId="2F403438" w:rsidR="0032468F" w:rsidRPr="009E1B38" w:rsidRDefault="47620091" w:rsidP="00382ACA">
      <w:pPr>
        <w:pStyle w:val="Balk3"/>
        <w:rPr>
          <w:rFonts w:ascii="Times New Roman" w:hAnsi="Times New Roman" w:cs="Times New Roman"/>
        </w:rPr>
      </w:pPr>
      <w:bookmarkStart w:id="52" w:name="_Toc113615316"/>
      <w:r w:rsidRPr="009E1B38">
        <w:rPr>
          <w:rFonts w:ascii="Times New Roman" w:hAnsi="Times New Roman" w:cs="Times New Roman"/>
        </w:rPr>
        <w:t>2.2.2</w:t>
      </w:r>
      <w:r w:rsidRPr="009E1B38">
        <w:rPr>
          <w:rFonts w:ascii="Times New Roman" w:eastAsia="Times New Roman" w:hAnsi="Times New Roman" w:cs="Times New Roman"/>
          <w:b w:val="0"/>
          <w:bCs w:val="0"/>
          <w:sz w:val="14"/>
          <w:szCs w:val="14"/>
        </w:rPr>
        <w:t xml:space="preserve">       </w:t>
      </w:r>
      <w:r w:rsidRPr="009E1B38">
        <w:rPr>
          <w:rFonts w:ascii="Times New Roman" w:hAnsi="Times New Roman" w:cs="Times New Roman"/>
        </w:rPr>
        <w:t>Regulations</w:t>
      </w:r>
      <w:bookmarkEnd w:id="52"/>
    </w:p>
    <w:p w14:paraId="2D7B8252" w14:textId="3F7DF3BF" w:rsidR="0032468F" w:rsidRPr="009E1B38" w:rsidRDefault="47620091" w:rsidP="47620091">
      <w:pPr>
        <w:spacing w:after="160" w:line="253" w:lineRule="exact"/>
        <w:rPr>
          <w:rFonts w:ascii="Times New Roman" w:hAnsi="Times New Roman"/>
        </w:rPr>
      </w:pPr>
      <w:r w:rsidRPr="009E1B38">
        <w:rPr>
          <w:rFonts w:ascii="Times New Roman" w:hAnsi="Times New Roman"/>
        </w:rPr>
        <w:t>In 2021, the following regulation studies were carried out in the natural gas market:</w:t>
      </w:r>
    </w:p>
    <w:p w14:paraId="3B8ABC4C" w14:textId="4BD6EDB3" w:rsidR="0032468F" w:rsidRPr="009E1B38" w:rsidRDefault="47620091" w:rsidP="47620091">
      <w:pPr>
        <w:spacing w:after="160" w:line="253" w:lineRule="exact"/>
        <w:rPr>
          <w:rFonts w:ascii="Times New Roman" w:hAnsi="Times New Roman"/>
        </w:rPr>
      </w:pPr>
      <w:r w:rsidRPr="009E1B38">
        <w:rPr>
          <w:rFonts w:ascii="Times New Roman" w:hAnsi="Times New Roman"/>
        </w:rPr>
        <w:lastRenderedPageBreak/>
        <w:t xml:space="preserve"> </w:t>
      </w:r>
    </w:p>
    <w:p w14:paraId="2E2B0908" w14:textId="56CB3D07" w:rsidR="0032468F" w:rsidRPr="009E1B38" w:rsidRDefault="47620091" w:rsidP="47620091">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With the Amendment Regulation published in the Official Gazette dated 12.01.2021 and numbered 31362, the first paragraph of article 3 titled "Definitions" of the </w:t>
      </w:r>
      <w:r w:rsidRPr="009E1B38">
        <w:rPr>
          <w:rFonts w:ascii="Times New Roman" w:hAnsi="Times New Roman"/>
          <w:b/>
          <w:bCs/>
        </w:rPr>
        <w:t xml:space="preserve">Organized Wholesale Natural Gas Sales Market Regulation </w:t>
      </w:r>
      <w:r w:rsidRPr="009E1B38">
        <w:rPr>
          <w:rFonts w:ascii="Times New Roman" w:hAnsi="Times New Roman"/>
        </w:rPr>
        <w:t>has been amended as follows.</w:t>
      </w:r>
    </w:p>
    <w:p w14:paraId="1186B345" w14:textId="4014AF3D"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53DDE236" w14:textId="0B863CF6"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5713F5B6" w14:textId="213FED44" w:rsidR="0032468F" w:rsidRPr="009E1B38" w:rsidRDefault="47620091" w:rsidP="47620091">
      <w:pPr>
        <w:spacing w:after="160" w:line="253" w:lineRule="exact"/>
        <w:rPr>
          <w:rFonts w:ascii="Times New Roman" w:hAnsi="Times New Roman"/>
        </w:rPr>
      </w:pPr>
      <w:r w:rsidRPr="009E1B38">
        <w:rPr>
          <w:rFonts w:ascii="Times New Roman" w:hAnsi="Times New Roman"/>
          <w:i/>
          <w:iCs/>
        </w:rPr>
        <w:t>“(1) In this regulation;</w:t>
      </w:r>
    </w:p>
    <w:p w14:paraId="76AA67CF" w14:textId="1F3843E1" w:rsidR="0032468F" w:rsidRPr="009E1B38" w:rsidRDefault="47620091" w:rsidP="47620091">
      <w:pPr>
        <w:spacing w:after="160" w:line="253" w:lineRule="exact"/>
        <w:rPr>
          <w:rFonts w:ascii="Times New Roman" w:hAnsi="Times New Roman"/>
        </w:rPr>
      </w:pPr>
      <w:r w:rsidRPr="009E1B38">
        <w:rPr>
          <w:rFonts w:ascii="Times New Roman" w:hAnsi="Times New Roman"/>
          <w:i/>
          <w:iCs/>
        </w:rPr>
        <w:t>Point of exit: The point where the natural gas exits the transmission network and is received from the transmission company,</w:t>
      </w:r>
    </w:p>
    <w:p w14:paraId="34FB0882" w14:textId="10110629" w:rsidR="0032468F" w:rsidRPr="009E1B38" w:rsidRDefault="47620091" w:rsidP="47620091">
      <w:pPr>
        <w:spacing w:after="160" w:line="253" w:lineRule="exact"/>
        <w:rPr>
          <w:rFonts w:ascii="Times New Roman" w:hAnsi="Times New Roman"/>
        </w:rPr>
      </w:pPr>
      <w:r w:rsidRPr="009E1B38">
        <w:rPr>
          <w:rFonts w:ascii="Times New Roman" w:hAnsi="Times New Roman"/>
          <w:i/>
          <w:iCs/>
        </w:rPr>
        <w:t>Stabilizer natural gas purchase price (DGAF): The balancing gas purchase price determined in accordance with ŞİD,</w:t>
      </w:r>
    </w:p>
    <w:p w14:paraId="27A6FA51" w14:textId="12741E35" w:rsidR="0032468F" w:rsidRPr="009E1B38" w:rsidRDefault="47620091" w:rsidP="47620091">
      <w:pPr>
        <w:spacing w:after="160" w:line="253" w:lineRule="exact"/>
        <w:rPr>
          <w:rFonts w:ascii="Times New Roman" w:hAnsi="Times New Roman"/>
        </w:rPr>
      </w:pPr>
      <w:r w:rsidRPr="009E1B38">
        <w:rPr>
          <w:rFonts w:ascii="Times New Roman" w:hAnsi="Times New Roman"/>
          <w:i/>
          <w:iCs/>
        </w:rPr>
        <w:t>Stabilizer natural gas sale price (DGSF): The balancing gas sale price determined in accordance with ŞİD,</w:t>
      </w:r>
    </w:p>
    <w:p w14:paraId="18D421E5" w14:textId="4694BA9F" w:rsidR="0032468F" w:rsidRPr="009E1B38" w:rsidRDefault="47620091" w:rsidP="47620091">
      <w:pPr>
        <w:spacing w:after="160" w:line="253" w:lineRule="exact"/>
        <w:rPr>
          <w:rFonts w:ascii="Times New Roman" w:hAnsi="Times New Roman"/>
        </w:rPr>
      </w:pPr>
      <w:r w:rsidRPr="009E1B38">
        <w:rPr>
          <w:rFonts w:ascii="Times New Roman" w:hAnsi="Times New Roman"/>
          <w:i/>
          <w:iCs/>
        </w:rPr>
        <w:t>ç) Reconciliation of imbalances Calculation of receivables and payables regarding the imbalance of each shipper over the imbalance amounts and prices determined in accordance with ŞİD for each gas day and preparation of the relevant notifications,</w:t>
      </w:r>
    </w:p>
    <w:p w14:paraId="5EB3DF27" w14:textId="457415AB" w:rsidR="0032468F" w:rsidRPr="009E1B38" w:rsidRDefault="47620091" w:rsidP="47620091">
      <w:pPr>
        <w:spacing w:after="160" w:line="253" w:lineRule="exact"/>
        <w:rPr>
          <w:rFonts w:ascii="Times New Roman" w:hAnsi="Times New Roman"/>
        </w:rPr>
      </w:pPr>
      <w:r w:rsidRPr="009E1B38">
        <w:rPr>
          <w:rFonts w:ascii="Times New Roman" w:hAnsi="Times New Roman"/>
          <w:i/>
          <w:iCs/>
        </w:rPr>
        <w:t>Electronic bulletin board (EBT): Electronic notice board, which is established and operated by the transmission company so that the parties operating in the market can follow the market movements,</w:t>
      </w:r>
    </w:p>
    <w:p w14:paraId="46A6357F" w14:textId="37EC670D" w:rsidR="0032468F" w:rsidRPr="009E1B38" w:rsidRDefault="47620091" w:rsidP="47620091">
      <w:pPr>
        <w:spacing w:after="160" w:line="253" w:lineRule="exact"/>
        <w:rPr>
          <w:rFonts w:ascii="Times New Roman" w:hAnsi="Times New Roman"/>
        </w:rPr>
      </w:pPr>
      <w:r w:rsidRPr="009E1B38">
        <w:rPr>
          <w:rFonts w:ascii="Times New Roman" w:hAnsi="Times New Roman"/>
          <w:i/>
          <w:iCs/>
        </w:rPr>
        <w:t>Matchup: To match the purchase and sale offers given in the organized wholesale natural gas sales market and to match each other,</w:t>
      </w:r>
    </w:p>
    <w:p w14:paraId="4BBEA6D0" w14:textId="6504240E" w:rsidR="0032468F" w:rsidRPr="009E1B38" w:rsidRDefault="47620091" w:rsidP="47620091">
      <w:pPr>
        <w:spacing w:after="160" w:line="253" w:lineRule="exact"/>
        <w:rPr>
          <w:rFonts w:ascii="Times New Roman" w:hAnsi="Times New Roman"/>
        </w:rPr>
      </w:pPr>
      <w:r w:rsidRPr="009E1B38">
        <w:rPr>
          <w:rFonts w:ascii="Times New Roman" w:hAnsi="Times New Roman"/>
          <w:i/>
          <w:iCs/>
        </w:rPr>
        <w:t>Gas day (G): The 24-hour period starting at 08:00 and ending at 08:00 the next day,</w:t>
      </w:r>
    </w:p>
    <w:p w14:paraId="6E6A69C0" w14:textId="376DD302" w:rsidR="0032468F" w:rsidRPr="009E1B38" w:rsidRDefault="47620091" w:rsidP="47620091">
      <w:pPr>
        <w:spacing w:after="160" w:line="253" w:lineRule="exact"/>
        <w:rPr>
          <w:rFonts w:ascii="Times New Roman" w:hAnsi="Times New Roman"/>
        </w:rPr>
      </w:pPr>
      <w:r w:rsidRPr="009E1B38">
        <w:rPr>
          <w:rFonts w:ascii="Times New Roman" w:hAnsi="Times New Roman"/>
          <w:i/>
          <w:iCs/>
        </w:rPr>
        <w:t>Justification code: In case the transmission company enters the organized wholesale natural gas market as an additional stabilizer or due to other conditions specified in ŞİD, the reference number indicating the reason for entry,</w:t>
      </w:r>
    </w:p>
    <w:p w14:paraId="688FF81E" w14:textId="5F082816" w:rsidR="0032468F" w:rsidRPr="009E1B38" w:rsidRDefault="47620091" w:rsidP="47620091">
      <w:pPr>
        <w:spacing w:after="160" w:line="253" w:lineRule="exact"/>
        <w:rPr>
          <w:rFonts w:ascii="Times New Roman" w:hAnsi="Times New Roman"/>
        </w:rPr>
      </w:pPr>
      <w:r w:rsidRPr="009E1B38">
        <w:rPr>
          <w:rFonts w:ascii="Times New Roman" w:hAnsi="Times New Roman"/>
          <w:i/>
          <w:iCs/>
        </w:rPr>
        <w:t>ğ) Entrance points: The delivery point where the natural gas enters the transmission network and is delivered to the transmission company,</w:t>
      </w:r>
    </w:p>
    <w:p w14:paraId="4312703E" w14:textId="47EB9E0C" w:rsidR="0032468F" w:rsidRPr="009E1B38" w:rsidRDefault="47620091" w:rsidP="47620091">
      <w:pPr>
        <w:spacing w:after="160" w:line="253" w:lineRule="exact"/>
        <w:rPr>
          <w:rFonts w:ascii="Times New Roman" w:hAnsi="Times New Roman"/>
        </w:rPr>
      </w:pPr>
      <w:r w:rsidRPr="009E1B38">
        <w:rPr>
          <w:rFonts w:ascii="Times New Roman" w:hAnsi="Times New Roman"/>
          <w:i/>
          <w:iCs/>
        </w:rPr>
        <w:t>Daily Indicative Price (GGF): The price determined within the framework of the principles specified in the VGPUE for each contract opened by the market operator,</w:t>
      </w:r>
    </w:p>
    <w:p w14:paraId="274B3D06" w14:textId="61338697" w:rsidR="0032468F" w:rsidRPr="009E1B38" w:rsidRDefault="47620091" w:rsidP="47620091">
      <w:pPr>
        <w:spacing w:after="160" w:line="253" w:lineRule="exact"/>
        <w:rPr>
          <w:rFonts w:ascii="Times New Roman" w:hAnsi="Times New Roman"/>
        </w:rPr>
      </w:pPr>
      <w:r w:rsidRPr="009E1B38">
        <w:rPr>
          <w:rFonts w:ascii="Times New Roman" w:hAnsi="Times New Roman"/>
          <w:i/>
          <w:iCs/>
        </w:rPr>
        <w:t>ı) Daily reference price (GRF): The daily natural gas price calculated within the framework of the principles determined in the PUE, based on the prices of the finalized matches and the delivery date,</w:t>
      </w:r>
    </w:p>
    <w:p w14:paraId="43801168" w14:textId="10F05F5C" w:rsidR="0032468F" w:rsidRPr="009E1B38" w:rsidRDefault="47620091" w:rsidP="47620091">
      <w:pPr>
        <w:spacing w:after="160" w:line="253" w:lineRule="exact"/>
        <w:rPr>
          <w:rFonts w:ascii="Times New Roman" w:hAnsi="Times New Roman"/>
        </w:rPr>
      </w:pPr>
      <w:r w:rsidRPr="009E1B38">
        <w:rPr>
          <w:rFonts w:ascii="Times New Roman" w:hAnsi="Times New Roman"/>
          <w:i/>
          <w:iCs/>
        </w:rPr>
        <w:t>Bilateral agreement: Commercial agreements regarding the purchase and sale of natural gas, subject to the provisions of private law, provided that they are not contrary to the provisions of the relevant legislation,</w:t>
      </w:r>
    </w:p>
    <w:p w14:paraId="0CBEB64F" w14:textId="6439B2AB" w:rsidR="0032468F" w:rsidRPr="009E1B38" w:rsidRDefault="47620091" w:rsidP="47620091">
      <w:pPr>
        <w:spacing w:after="160" w:line="253" w:lineRule="exact"/>
        <w:rPr>
          <w:rFonts w:ascii="Times New Roman" w:hAnsi="Times New Roman"/>
        </w:rPr>
      </w:pPr>
      <w:r w:rsidRPr="009E1B38">
        <w:rPr>
          <w:rFonts w:ascii="Times New Roman" w:hAnsi="Times New Roman"/>
          <w:i/>
          <w:iCs/>
        </w:rPr>
        <w:t>Additional stabilizer: In case of entering the organized wholesale natural gas market in order to ensure the physical balance of the transmission network pursuant to ŞİD, the transmission company as a market participant,</w:t>
      </w:r>
    </w:p>
    <w:p w14:paraId="01ACF656" w14:textId="74E2F8C8" w:rsidR="0032468F" w:rsidRPr="009E1B38" w:rsidRDefault="47620091" w:rsidP="47620091">
      <w:pPr>
        <w:spacing w:after="160" w:line="253" w:lineRule="exact"/>
        <w:rPr>
          <w:rFonts w:ascii="Times New Roman" w:hAnsi="Times New Roman"/>
        </w:rPr>
      </w:pPr>
      <w:r w:rsidRPr="009E1B38">
        <w:rPr>
          <w:rFonts w:ascii="Times New Roman" w:hAnsi="Times New Roman"/>
          <w:i/>
          <w:iCs/>
        </w:rPr>
        <w:t>Additional stabilizer price (İDF): When the transmission company makes transactions in STP as an additional stabilizer, the price formed within the framework of the rules determined in ŞİD,</w:t>
      </w:r>
    </w:p>
    <w:p w14:paraId="1E9F2725" w14:textId="04C7DD30" w:rsidR="0032468F" w:rsidRPr="009E1B38" w:rsidRDefault="47620091" w:rsidP="47620091">
      <w:pPr>
        <w:spacing w:after="160" w:line="253" w:lineRule="exact"/>
        <w:rPr>
          <w:rFonts w:ascii="Times New Roman" w:hAnsi="Times New Roman"/>
        </w:rPr>
      </w:pPr>
      <w:r w:rsidRPr="009E1B38">
        <w:rPr>
          <w:rFonts w:ascii="Times New Roman" w:hAnsi="Times New Roman"/>
          <w:i/>
          <w:iCs/>
        </w:rPr>
        <w:t>Principles Regarding Transmission Network Operation Arrangements (ŞİD): Implementation principles that regulate the relations between the transmission company and the shippers regarding the transmission service, prepared by the transmission company in accordance with the Natural Gas Market Transmission Network Operation Regulation published in the Official Gazette dated 26/10/2002 and numbered 24918,</w:t>
      </w:r>
    </w:p>
    <w:p w14:paraId="3C8443E5" w14:textId="30136B73" w:rsidR="0032468F" w:rsidRPr="009E1B38" w:rsidRDefault="47620091" w:rsidP="47620091">
      <w:pPr>
        <w:spacing w:after="160" w:line="253" w:lineRule="exact"/>
        <w:rPr>
          <w:rFonts w:ascii="Times New Roman" w:hAnsi="Times New Roman"/>
        </w:rPr>
      </w:pPr>
      <w:r w:rsidRPr="009E1B38">
        <w:rPr>
          <w:rFonts w:ascii="Times New Roman" w:hAnsi="Times New Roman"/>
          <w:i/>
          <w:iCs/>
        </w:rPr>
        <w:t>Transmission network: Apart from the natural gas distribution network, the natural gas pipeline network and related facilities used for the transportation of natural gas,</w:t>
      </w:r>
    </w:p>
    <w:p w14:paraId="4BE9A405" w14:textId="5F71D96A" w:rsidR="0032468F" w:rsidRPr="009E1B38" w:rsidRDefault="47620091" w:rsidP="47620091">
      <w:pPr>
        <w:spacing w:after="160" w:line="253" w:lineRule="exact"/>
        <w:rPr>
          <w:rFonts w:ascii="Times New Roman" w:hAnsi="Times New Roman"/>
        </w:rPr>
      </w:pPr>
      <w:r w:rsidRPr="009E1B38">
        <w:rPr>
          <w:rFonts w:ascii="Times New Roman" w:hAnsi="Times New Roman"/>
          <w:i/>
          <w:iCs/>
        </w:rPr>
        <w:lastRenderedPageBreak/>
        <w:t>Transmission network stock: The amount determined within the framework of ŞİD to express the natural gas in the transmission network,</w:t>
      </w:r>
    </w:p>
    <w:p w14:paraId="69E426CD" w14:textId="2920F234" w:rsidR="0032468F" w:rsidRPr="009E1B38" w:rsidRDefault="47620091" w:rsidP="47620091">
      <w:pPr>
        <w:spacing w:after="160" w:line="253" w:lineRule="exact"/>
        <w:rPr>
          <w:rFonts w:ascii="Times New Roman" w:hAnsi="Times New Roman"/>
        </w:rPr>
      </w:pPr>
      <w:r w:rsidRPr="009E1B38">
        <w:rPr>
          <w:rFonts w:ascii="Times New Roman" w:hAnsi="Times New Roman"/>
          <w:i/>
          <w:iCs/>
        </w:rPr>
        <w:t>Transmission company: The legal entity that carries out the transmission activities through pipelines,</w:t>
      </w:r>
    </w:p>
    <w:p w14:paraId="62A94490" w14:textId="66A58FD5"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ö) Relevant legislation: The license or licenses of the </w:t>
      </w:r>
      <w:r w:rsidR="00135D72" w:rsidRPr="009E1B38">
        <w:rPr>
          <w:rFonts w:ascii="Times New Roman" w:hAnsi="Times New Roman"/>
          <w:i/>
          <w:iCs/>
        </w:rPr>
        <w:t>legal entity</w:t>
      </w:r>
      <w:r w:rsidRPr="009E1B38">
        <w:rPr>
          <w:rFonts w:ascii="Times New Roman" w:hAnsi="Times New Roman"/>
          <w:i/>
          <w:iCs/>
        </w:rPr>
        <w:t xml:space="preserve"> related to the laws, regulations, communiqués, circulars, board decisions regarding the natural gas market,</w:t>
      </w:r>
    </w:p>
    <w:p w14:paraId="50680B7C" w14:textId="2C843FE1" w:rsidR="0032468F" w:rsidRPr="009E1B38" w:rsidRDefault="47620091" w:rsidP="47620091">
      <w:pPr>
        <w:spacing w:after="160" w:line="253" w:lineRule="exact"/>
        <w:rPr>
          <w:rFonts w:ascii="Times New Roman" w:hAnsi="Times New Roman"/>
        </w:rPr>
      </w:pPr>
      <w:r w:rsidRPr="009E1B38">
        <w:rPr>
          <w:rFonts w:ascii="Times New Roman" w:hAnsi="Times New Roman"/>
          <w:i/>
          <w:iCs/>
        </w:rPr>
        <w:t>Law: Natural Gas Market Law dated 18/4/2001 and numbered 4646 (Amendment to the Electricity Market Law and the Law on the Natural Gas Market),</w:t>
      </w:r>
    </w:p>
    <w:p w14:paraId="60203892" w14:textId="265D61E2" w:rsidR="0032468F" w:rsidRPr="009E1B38" w:rsidRDefault="47620091" w:rsidP="47620091">
      <w:pPr>
        <w:spacing w:after="160" w:line="253" w:lineRule="exact"/>
        <w:rPr>
          <w:rFonts w:ascii="Times New Roman" w:hAnsi="Times New Roman"/>
        </w:rPr>
      </w:pPr>
      <w:r w:rsidRPr="009E1B38">
        <w:rPr>
          <w:rFonts w:ascii="Times New Roman" w:hAnsi="Times New Roman"/>
          <w:i/>
          <w:iCs/>
        </w:rPr>
        <w:t>Conclusive match: The nature of the offers given in the organized wholesale natural gas sales market when approved by the market operator within the framework of this Regulation, PUE and VGPUE,</w:t>
      </w:r>
    </w:p>
    <w:p w14:paraId="5F604488" w14:textId="340FA008" w:rsidR="0032468F" w:rsidRPr="009E1B38" w:rsidRDefault="47620091" w:rsidP="47620091">
      <w:pPr>
        <w:spacing w:after="160" w:line="253" w:lineRule="exact"/>
        <w:rPr>
          <w:rFonts w:ascii="Times New Roman" w:hAnsi="Times New Roman"/>
        </w:rPr>
      </w:pPr>
      <w:r w:rsidRPr="009E1B38">
        <w:rPr>
          <w:rFonts w:ascii="Times New Roman" w:hAnsi="Times New Roman"/>
          <w:i/>
          <w:iCs/>
        </w:rPr>
        <w:t>Conclusive swap amount: The net amount of natural gas subject to delivery, which occurs after clearing the finalized matches of a market participant,</w:t>
      </w:r>
    </w:p>
    <w:p w14:paraId="53CE1427" w14:textId="0476DDBC" w:rsidR="0032468F" w:rsidRPr="009E1B38" w:rsidRDefault="47620091" w:rsidP="47620091">
      <w:pPr>
        <w:spacing w:after="160" w:line="253" w:lineRule="exact"/>
        <w:rPr>
          <w:rFonts w:ascii="Times New Roman" w:hAnsi="Times New Roman"/>
        </w:rPr>
      </w:pPr>
      <w:r w:rsidRPr="009E1B38">
        <w:rPr>
          <w:rFonts w:ascii="Times New Roman" w:hAnsi="Times New Roman"/>
          <w:i/>
          <w:iCs/>
        </w:rPr>
        <w:t>ş) Contract: The contract that creates an obligation to buy or sell natural gas in a certain delivery period within the scope of PUE and VGPUE,</w:t>
      </w:r>
    </w:p>
    <w:p w14:paraId="68811092" w14:textId="37196FF3" w:rsidR="0032468F" w:rsidRPr="009E1B38" w:rsidRDefault="47620091" w:rsidP="47620091">
      <w:pPr>
        <w:spacing w:after="160" w:line="253" w:lineRule="exact"/>
        <w:rPr>
          <w:rFonts w:ascii="Times New Roman" w:hAnsi="Times New Roman"/>
        </w:rPr>
      </w:pPr>
      <w:r w:rsidRPr="009E1B38">
        <w:rPr>
          <w:rFonts w:ascii="Times New Roman" w:hAnsi="Times New Roman"/>
          <w:i/>
          <w:iCs/>
        </w:rPr>
        <w:t>Council: Energy Market Regulatory Authority,</w:t>
      </w:r>
    </w:p>
    <w:p w14:paraId="72BFB6D3" w14:textId="3B8C9FDB" w:rsidR="0032468F" w:rsidRPr="009E1B38" w:rsidRDefault="47620091" w:rsidP="47620091">
      <w:pPr>
        <w:spacing w:after="160" w:line="253" w:lineRule="exact"/>
        <w:rPr>
          <w:rFonts w:ascii="Times New Roman" w:hAnsi="Times New Roman"/>
        </w:rPr>
      </w:pPr>
      <w:r w:rsidRPr="009E1B38">
        <w:rPr>
          <w:rFonts w:ascii="Times New Roman" w:hAnsi="Times New Roman"/>
          <w:i/>
          <w:iCs/>
        </w:rPr>
        <w:t>Institution: Energy Market Regulatory Authority,</w:t>
      </w:r>
    </w:p>
    <w:p w14:paraId="47EEBF04" w14:textId="1D403E8E" w:rsidR="0032468F" w:rsidRPr="009E1B38" w:rsidRDefault="47620091" w:rsidP="47620091">
      <w:pPr>
        <w:spacing w:after="160" w:line="253" w:lineRule="exact"/>
        <w:rPr>
          <w:rFonts w:ascii="Times New Roman" w:hAnsi="Times New Roman"/>
        </w:rPr>
      </w:pPr>
      <w:r w:rsidRPr="009E1B38">
        <w:rPr>
          <w:rFonts w:ascii="Times New Roman" w:hAnsi="Times New Roman"/>
          <w:i/>
          <w:iCs/>
        </w:rPr>
        <w:t>ü) Central conciliation institution: The institution that serves as a central clearing house in accordance with the Capital Markets Law dated 6/12/2012 and numbered 6362, from which services are obtained in the execution of financial transactions among the market participants to be determined by this Regulation,</w:t>
      </w:r>
    </w:p>
    <w:p w14:paraId="38D1A3DA" w14:textId="5E9E96B6" w:rsidR="0032468F" w:rsidRPr="009E1B38" w:rsidRDefault="47620091" w:rsidP="47620091">
      <w:pPr>
        <w:spacing w:after="160" w:line="253" w:lineRule="exact"/>
        <w:rPr>
          <w:rFonts w:ascii="Times New Roman" w:hAnsi="Times New Roman"/>
        </w:rPr>
      </w:pPr>
      <w:r w:rsidRPr="009E1B38">
        <w:rPr>
          <w:rFonts w:ascii="Times New Roman" w:hAnsi="Times New Roman"/>
          <w:i/>
          <w:iCs/>
        </w:rPr>
        <w:t>Central conciliation agency agreement: The agreement signed between the market operator and the central settlement institution, which determines the duties and responsibilities of the parties regarding collateral management and payments,</w:t>
      </w:r>
    </w:p>
    <w:p w14:paraId="572761DF" w14:textId="091CE788" w:rsidR="0032468F" w:rsidRPr="009E1B38" w:rsidRDefault="47620091" w:rsidP="47620091">
      <w:pPr>
        <w:spacing w:after="160" w:line="253" w:lineRule="exact"/>
        <w:rPr>
          <w:rFonts w:ascii="Times New Roman" w:hAnsi="Times New Roman"/>
        </w:rPr>
      </w:pPr>
      <w:r w:rsidRPr="009E1B38">
        <w:rPr>
          <w:rFonts w:ascii="Times New Roman" w:hAnsi="Times New Roman"/>
          <w:i/>
          <w:iCs/>
        </w:rPr>
        <w:t>y) Central conciliation institution-participant agreement: The agreement, prepared by the central settlement institution and approved by the market operator, signed between the market participants and the central settlement institution regarding collateral management and cash clearing services,</w:t>
      </w:r>
    </w:p>
    <w:p w14:paraId="2A3E9F97" w14:textId="33EAC6B6" w:rsidR="0032468F" w:rsidRPr="009E1B38" w:rsidRDefault="47620091" w:rsidP="47620091">
      <w:pPr>
        <w:spacing w:after="160" w:line="253" w:lineRule="exact"/>
        <w:rPr>
          <w:rFonts w:ascii="Times New Roman" w:hAnsi="Times New Roman"/>
        </w:rPr>
      </w:pPr>
      <w:r w:rsidRPr="009E1B38">
        <w:rPr>
          <w:rFonts w:ascii="Times New Roman" w:hAnsi="Times New Roman"/>
          <w:i/>
          <w:iCs/>
        </w:rPr>
        <w:t>z) Unusual situation: Unusual situations that adversely affect the functioning of the organized wholesale natural gas market,</w:t>
      </w:r>
    </w:p>
    <w:p w14:paraId="6EDD9FF1" w14:textId="215ED0FA" w:rsidR="0032468F" w:rsidRPr="009E1B38" w:rsidRDefault="47620091" w:rsidP="47620091">
      <w:pPr>
        <w:spacing w:after="160" w:line="253" w:lineRule="exact"/>
        <w:rPr>
          <w:rFonts w:ascii="Times New Roman" w:hAnsi="Times New Roman"/>
        </w:rPr>
      </w:pPr>
      <w:r w:rsidRPr="009E1B38">
        <w:rPr>
          <w:rFonts w:ascii="Times New Roman" w:hAnsi="Times New Roman"/>
          <w:i/>
          <w:iCs/>
        </w:rPr>
        <w:t>aa) Organized wholesale natural gas market (OTSP): Markets regulated by the Board, where natural gas trading and balancing transactions are carried out by license holders using the natural gas system, natural gas markets requiring future physical delivery, and other natural gas market transactions determined by the Board,</w:t>
      </w:r>
    </w:p>
    <w:p w14:paraId="375938A4" w14:textId="670E9379" w:rsidR="0032468F" w:rsidRPr="009E1B38" w:rsidRDefault="47620091" w:rsidP="47620091">
      <w:pPr>
        <w:spacing w:after="160" w:line="253" w:lineRule="exact"/>
        <w:rPr>
          <w:rFonts w:ascii="Times New Roman" w:hAnsi="Times New Roman"/>
        </w:rPr>
      </w:pPr>
      <w:r w:rsidRPr="009E1B38">
        <w:rPr>
          <w:rFonts w:ascii="Times New Roman" w:hAnsi="Times New Roman"/>
          <w:i/>
          <w:iCs/>
        </w:rPr>
        <w:t>bb) Market transaction: Commercial transactions carried out in the organized wholesale natural gas market,</w:t>
      </w:r>
    </w:p>
    <w:p w14:paraId="7707A642" w14:textId="07CCAB27" w:rsidR="0032468F" w:rsidRPr="009E1B38" w:rsidRDefault="47620091" w:rsidP="47620091">
      <w:pPr>
        <w:spacing w:after="160" w:line="253" w:lineRule="exact"/>
        <w:rPr>
          <w:rFonts w:ascii="Times New Roman" w:hAnsi="Times New Roman"/>
        </w:rPr>
      </w:pPr>
      <w:r w:rsidRPr="009E1B38">
        <w:rPr>
          <w:rFonts w:ascii="Times New Roman" w:hAnsi="Times New Roman"/>
          <w:i/>
          <w:iCs/>
        </w:rPr>
        <w:t>cc) Settlement of market transactions: Determining the amount of receivables and payables arising from each market participant due to the transactions made in STP regarding each gas day, calculation of the relevant receivables and payables and preparation of the relevant notifications,</w:t>
      </w:r>
    </w:p>
    <w:p w14:paraId="28E3AC41" w14:textId="2BA73778" w:rsidR="0032468F" w:rsidRPr="009E1B38" w:rsidRDefault="47620091" w:rsidP="47620091">
      <w:pPr>
        <w:spacing w:after="160" w:line="253" w:lineRule="exact"/>
        <w:rPr>
          <w:rFonts w:ascii="Times New Roman" w:hAnsi="Times New Roman"/>
        </w:rPr>
      </w:pPr>
      <w:r w:rsidRPr="009E1B38">
        <w:rPr>
          <w:rFonts w:ascii="Times New Roman" w:hAnsi="Times New Roman"/>
          <w:i/>
          <w:iCs/>
        </w:rPr>
        <w:t>çç) Market Operating Procedures and Principles (PUE): Procedures and principles regarding the operation of the organized wholesale natural gas market in line with this Regulation and relevant legislation,</w:t>
      </w:r>
    </w:p>
    <w:p w14:paraId="68611A24" w14:textId="3D18E782" w:rsidR="0032468F" w:rsidRPr="009E1B38" w:rsidRDefault="47620091" w:rsidP="47620091">
      <w:pPr>
        <w:spacing w:after="160" w:line="253" w:lineRule="exact"/>
        <w:rPr>
          <w:rFonts w:ascii="Times New Roman" w:hAnsi="Times New Roman"/>
        </w:rPr>
      </w:pPr>
      <w:r w:rsidRPr="009E1B38">
        <w:rPr>
          <w:rFonts w:ascii="Times New Roman" w:hAnsi="Times New Roman"/>
          <w:i/>
          <w:iCs/>
        </w:rPr>
        <w:t>dd) Market operator: Energy Markets Operations Joint Stock Company, which establishes STP and operates it as a central counterparty and has a market operating license,</w:t>
      </w:r>
    </w:p>
    <w:p w14:paraId="0A9373BF" w14:textId="75973793" w:rsidR="0032468F" w:rsidRPr="009E1B38" w:rsidRDefault="47620091" w:rsidP="47620091">
      <w:pPr>
        <w:spacing w:after="160" w:line="253" w:lineRule="exact"/>
        <w:rPr>
          <w:rFonts w:ascii="Times New Roman" w:hAnsi="Times New Roman"/>
        </w:rPr>
      </w:pPr>
      <w:r w:rsidRPr="009E1B38">
        <w:rPr>
          <w:rFonts w:ascii="Times New Roman" w:hAnsi="Times New Roman"/>
          <w:i/>
          <w:iCs/>
        </w:rPr>
        <w:t>ee) Market operator default management contribution: The amount that the market operator undertakes to pay from the market operating income ceiling in case of default by the participants in the forward natural gas market, where the market operator operates or carries out financial settlement transactions and serves as a central counterparty,</w:t>
      </w:r>
    </w:p>
    <w:p w14:paraId="0A586E7D" w14:textId="3016F6AB" w:rsidR="0032468F" w:rsidRPr="009E1B38" w:rsidRDefault="47620091" w:rsidP="47620091">
      <w:pPr>
        <w:spacing w:after="160" w:line="253" w:lineRule="exact"/>
        <w:rPr>
          <w:rFonts w:ascii="Times New Roman" w:hAnsi="Times New Roman"/>
        </w:rPr>
      </w:pPr>
      <w:r w:rsidRPr="009E1B38">
        <w:rPr>
          <w:rFonts w:ascii="Times New Roman" w:hAnsi="Times New Roman"/>
          <w:i/>
          <w:iCs/>
        </w:rPr>
        <w:t>ff) Market participant: System users who have the right to make transactions in STP,</w:t>
      </w:r>
    </w:p>
    <w:p w14:paraId="22EFA99F" w14:textId="13E01425" w:rsidR="0032468F" w:rsidRPr="009E1B38" w:rsidRDefault="47620091" w:rsidP="47620091">
      <w:pPr>
        <w:spacing w:after="160" w:line="253" w:lineRule="exact"/>
        <w:rPr>
          <w:rFonts w:ascii="Times New Roman" w:hAnsi="Times New Roman"/>
        </w:rPr>
      </w:pPr>
      <w:r w:rsidRPr="009E1B38">
        <w:rPr>
          <w:rFonts w:ascii="Times New Roman" w:hAnsi="Times New Roman"/>
          <w:i/>
          <w:iCs/>
        </w:rPr>
        <w:lastRenderedPageBreak/>
        <w:t>gg) Non-market-based methods: Mechanisms regulated in NOP, which the transmission company can apply without using the organized wholesale natural gas market in order to ensure the physical balance of the system,</w:t>
      </w:r>
    </w:p>
    <w:p w14:paraId="418DC283" w14:textId="1C07F827" w:rsidR="0032468F" w:rsidRPr="009E1B38" w:rsidRDefault="47620091" w:rsidP="47620091">
      <w:pPr>
        <w:spacing w:after="160" w:line="253" w:lineRule="exact"/>
        <w:rPr>
          <w:rFonts w:ascii="Times New Roman" w:hAnsi="Times New Roman"/>
        </w:rPr>
      </w:pPr>
      <w:r w:rsidRPr="009E1B38">
        <w:rPr>
          <w:rFonts w:ascii="Times New Roman" w:hAnsi="Times New Roman"/>
          <w:i/>
          <w:iCs/>
        </w:rPr>
        <w:t>ğğ) Market delivery contract: The contract concluded between the transmission company and the market operator,</w:t>
      </w:r>
    </w:p>
    <w:p w14:paraId="798AE8B2" w14:textId="1F26ECCF" w:rsidR="0032468F" w:rsidRPr="009E1B38" w:rsidRDefault="47620091" w:rsidP="47620091">
      <w:pPr>
        <w:spacing w:after="160" w:line="253" w:lineRule="exact"/>
        <w:rPr>
          <w:rFonts w:ascii="Times New Roman" w:hAnsi="Times New Roman"/>
        </w:rPr>
      </w:pPr>
      <w:r w:rsidRPr="009E1B38">
        <w:rPr>
          <w:rFonts w:ascii="Times New Roman" w:hAnsi="Times New Roman"/>
          <w:i/>
          <w:iCs/>
        </w:rPr>
        <w:t>hh) Session: The time period in which contracts are open for trading in VGP,</w:t>
      </w:r>
    </w:p>
    <w:p w14:paraId="7591A8D5" w14:textId="4B2FE484" w:rsidR="0032468F" w:rsidRPr="009E1B38" w:rsidRDefault="47620091" w:rsidP="47620091">
      <w:pPr>
        <w:spacing w:after="160" w:line="253" w:lineRule="exact"/>
        <w:rPr>
          <w:rFonts w:ascii="Times New Roman" w:hAnsi="Times New Roman"/>
        </w:rPr>
      </w:pPr>
      <w:r w:rsidRPr="009E1B38">
        <w:rPr>
          <w:rFonts w:ascii="Times New Roman" w:hAnsi="Times New Roman"/>
          <w:i/>
          <w:iCs/>
        </w:rPr>
        <w:t>ii) System: Facilities and equipment established to perform the production, transmission, storage and distribution functions of natural gas,</w:t>
      </w:r>
    </w:p>
    <w:p w14:paraId="585C0AF2" w14:textId="25EFEDF2"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ii) System user: The natural or </w:t>
      </w:r>
      <w:r w:rsidR="00135D72" w:rsidRPr="009E1B38">
        <w:rPr>
          <w:rFonts w:ascii="Times New Roman" w:hAnsi="Times New Roman"/>
          <w:i/>
          <w:iCs/>
        </w:rPr>
        <w:t>legal entity</w:t>
      </w:r>
      <w:r w:rsidRPr="009E1B38">
        <w:rPr>
          <w:rFonts w:ascii="Times New Roman" w:hAnsi="Times New Roman"/>
          <w:i/>
          <w:iCs/>
        </w:rPr>
        <w:t xml:space="preserve"> who receives gas from the system or supplies gas to the system or transits gas through the system,</w:t>
      </w:r>
    </w:p>
    <w:p w14:paraId="6D8E5A8F" w14:textId="5547ED2F" w:rsidR="0032468F" w:rsidRPr="009E1B38" w:rsidRDefault="47620091" w:rsidP="47620091">
      <w:pPr>
        <w:spacing w:after="160" w:line="253" w:lineRule="exact"/>
        <w:rPr>
          <w:rFonts w:ascii="Times New Roman" w:hAnsi="Times New Roman"/>
        </w:rPr>
      </w:pPr>
      <w:r w:rsidRPr="009E1B38">
        <w:rPr>
          <w:rFonts w:ascii="Times New Roman" w:hAnsi="Times New Roman"/>
        </w:rPr>
        <w:t>jj) Spot Natural Gas Market (SGP):</w:t>
      </w:r>
      <w:r w:rsidRPr="009E1B38">
        <w:rPr>
          <w:rFonts w:ascii="Times New Roman" w:hAnsi="Times New Roman"/>
          <w:i/>
          <w:iCs/>
        </w:rPr>
        <w:t xml:space="preserve"> The natural gas market, which imposes physical delivery obligations on market participants and is operated by the market operator within the scope of this Regulation and PUE,</w:t>
      </w:r>
    </w:p>
    <w:p w14:paraId="1CCD2E31" w14:textId="21319903" w:rsidR="0032468F" w:rsidRPr="009E1B38" w:rsidRDefault="47620091" w:rsidP="47620091">
      <w:pPr>
        <w:spacing w:after="160" w:line="253" w:lineRule="exact"/>
        <w:rPr>
          <w:rFonts w:ascii="Times New Roman" w:hAnsi="Times New Roman"/>
        </w:rPr>
      </w:pPr>
      <w:r w:rsidRPr="009E1B38">
        <w:rPr>
          <w:rFonts w:ascii="Times New Roman" w:hAnsi="Times New Roman"/>
          <w:i/>
          <w:iCs/>
        </w:rPr>
        <w:t>kk) Standard contract of carriage (STS): Carriage contract concluded between the transmission company and the shipper in order to provide the standard service,</w:t>
      </w:r>
    </w:p>
    <w:p w14:paraId="06E1DE0B" w14:textId="6E15B684" w:rsidR="0032468F" w:rsidRPr="009E1B38" w:rsidRDefault="47620091" w:rsidP="47620091">
      <w:pPr>
        <w:spacing w:after="160" w:line="253" w:lineRule="exact"/>
        <w:rPr>
          <w:rFonts w:ascii="Times New Roman" w:hAnsi="Times New Roman"/>
        </w:rPr>
      </w:pPr>
      <w:r w:rsidRPr="009E1B38">
        <w:rPr>
          <w:rFonts w:ascii="Times New Roman" w:hAnsi="Times New Roman"/>
          <w:i/>
          <w:iCs/>
        </w:rPr>
        <w:t>ll) STP participation agreement: The agreement between the market operator and the license holders participating in the STP, prepared within the framework of the principles set forth in this Regulation,</w:t>
      </w:r>
    </w:p>
    <w:p w14:paraId="7E591B07" w14:textId="71790DAA" w:rsidR="0032468F" w:rsidRPr="009E1B38" w:rsidRDefault="47620091" w:rsidP="47620091">
      <w:pPr>
        <w:spacing w:after="160" w:line="253" w:lineRule="exact"/>
        <w:rPr>
          <w:rFonts w:ascii="Times New Roman" w:hAnsi="Times New Roman"/>
        </w:rPr>
      </w:pPr>
      <w:r w:rsidRPr="009E1B38">
        <w:rPr>
          <w:rFonts w:ascii="Times New Roman" w:hAnsi="Times New Roman"/>
          <w:i/>
          <w:iCs/>
        </w:rPr>
        <w:t>mm) Continuous trade: The trading method in which offers that are compatible in price and quantity are immediately matched,</w:t>
      </w:r>
    </w:p>
    <w:p w14:paraId="612263ED" w14:textId="5C42C090" w:rsidR="0032468F" w:rsidRPr="009E1B38" w:rsidRDefault="47620091" w:rsidP="47620091">
      <w:pPr>
        <w:spacing w:after="160" w:line="253" w:lineRule="exact"/>
        <w:rPr>
          <w:rFonts w:ascii="Times New Roman" w:hAnsi="Times New Roman"/>
        </w:rPr>
      </w:pPr>
      <w:r w:rsidRPr="009E1B38">
        <w:rPr>
          <w:rFonts w:ascii="Times New Roman" w:hAnsi="Times New Roman"/>
          <w:i/>
          <w:iCs/>
        </w:rPr>
        <w:t>nn) Perpetual trading platform (STP): The trading platform established by the market operator for the organized wholesale natural gas market within the framework of this Regulation and operated in an electronic environment,</w:t>
      </w:r>
    </w:p>
    <w:p w14:paraId="259FA5EB" w14:textId="07A47E23" w:rsidR="0032468F" w:rsidRPr="009E1B38" w:rsidRDefault="47620091" w:rsidP="47620091">
      <w:pPr>
        <w:spacing w:after="160" w:line="253" w:lineRule="exact"/>
        <w:rPr>
          <w:rFonts w:ascii="Times New Roman" w:hAnsi="Times New Roman"/>
        </w:rPr>
      </w:pPr>
      <w:r w:rsidRPr="009E1B38">
        <w:rPr>
          <w:rFonts w:ascii="Times New Roman" w:hAnsi="Times New Roman"/>
          <w:i/>
          <w:iCs/>
        </w:rPr>
        <w:t>oo) Demand side participation: Within the framework of this Regulation, transactions regarding the submission of offers to reduce/increase natural gas draw through licensed market participants who have the right to engage in natural gas wholesale activities for transmission network exit points,</w:t>
      </w:r>
    </w:p>
    <w:p w14:paraId="33A4A266" w14:textId="64D536C7" w:rsidR="0032468F" w:rsidRPr="009E1B38" w:rsidRDefault="47620091" w:rsidP="47620091">
      <w:pPr>
        <w:spacing w:after="160" w:line="253" w:lineRule="exact"/>
        <w:rPr>
          <w:rFonts w:ascii="Times New Roman" w:hAnsi="Times New Roman"/>
        </w:rPr>
      </w:pPr>
      <w:r w:rsidRPr="009E1B38">
        <w:rPr>
          <w:rFonts w:ascii="Times New Roman" w:hAnsi="Times New Roman"/>
          <w:i/>
          <w:iCs/>
        </w:rPr>
        <w:t>öö) Shipper: Supplier and exporter company that has signed STS with the transmission company,</w:t>
      </w:r>
    </w:p>
    <w:p w14:paraId="23BE8E7C" w14:textId="68EE18E5" w:rsidR="0032468F" w:rsidRPr="009E1B38" w:rsidRDefault="47620091" w:rsidP="47620091">
      <w:pPr>
        <w:spacing w:after="160" w:line="253" w:lineRule="exact"/>
        <w:rPr>
          <w:rFonts w:ascii="Times New Roman" w:hAnsi="Times New Roman"/>
        </w:rPr>
      </w:pPr>
      <w:r w:rsidRPr="009E1B38">
        <w:rPr>
          <w:rFonts w:ascii="Times New Roman" w:hAnsi="Times New Roman"/>
          <w:i/>
          <w:iCs/>
        </w:rPr>
        <w:t>pp) Supplier: Import companies, wholesale companies and production companies that sell natural gas to eligible consumers, wholesale companies, importing companies, exporting companies, CNG distribution, transmission and sales companies and distribution companies,</w:t>
      </w:r>
    </w:p>
    <w:p w14:paraId="18E05088" w14:textId="5A78C231" w:rsidR="0032468F" w:rsidRPr="009E1B38" w:rsidRDefault="47620091" w:rsidP="47620091">
      <w:pPr>
        <w:spacing w:after="160" w:line="253" w:lineRule="exact"/>
        <w:rPr>
          <w:rFonts w:ascii="Times New Roman" w:hAnsi="Times New Roman"/>
        </w:rPr>
      </w:pPr>
      <w:r w:rsidRPr="009E1B38">
        <w:rPr>
          <w:rFonts w:ascii="Times New Roman" w:hAnsi="Times New Roman"/>
          <w:i/>
          <w:iCs/>
        </w:rPr>
        <w:t>rr) Bidding region: The region determined by the transmission company as a basis for the offers,</w:t>
      </w:r>
    </w:p>
    <w:p w14:paraId="5566AC04" w14:textId="1F639AC5" w:rsidR="0032468F" w:rsidRPr="009E1B38" w:rsidRDefault="47620091" w:rsidP="47620091">
      <w:pPr>
        <w:spacing w:after="160" w:line="253" w:lineRule="exact"/>
        <w:rPr>
          <w:rFonts w:ascii="Times New Roman" w:hAnsi="Times New Roman"/>
        </w:rPr>
      </w:pPr>
      <w:r w:rsidRPr="009E1B38">
        <w:rPr>
          <w:rFonts w:ascii="Times New Roman" w:hAnsi="Times New Roman"/>
          <w:i/>
          <w:iCs/>
        </w:rPr>
        <w:t>ss) Offer point: The physical or virtual entry point that is the subject of the offers of the market participants in the STP in accordance with the PUE,</w:t>
      </w:r>
    </w:p>
    <w:p w14:paraId="3F7277F6" w14:textId="3C011A87" w:rsidR="0032468F" w:rsidRPr="009E1B38" w:rsidRDefault="47620091" w:rsidP="47620091">
      <w:pPr>
        <w:spacing w:after="160" w:line="253" w:lineRule="exact"/>
        <w:rPr>
          <w:rFonts w:ascii="Times New Roman" w:hAnsi="Times New Roman"/>
        </w:rPr>
      </w:pPr>
      <w:r w:rsidRPr="009E1B38">
        <w:rPr>
          <w:rFonts w:ascii="Times New Roman" w:hAnsi="Times New Roman"/>
          <w:i/>
          <w:iCs/>
        </w:rPr>
        <w:t>şş) Perverseness: Failure to fulfill the obligations that must be fulfilled in due time due to the transactions realized in the markets operated by the market operator or where financial settlement and other financial transactions are carried out,</w:t>
      </w:r>
    </w:p>
    <w:p w14:paraId="2736B837" w14:textId="1FAF8B0A" w:rsidR="0032468F" w:rsidRPr="009E1B38" w:rsidRDefault="47620091" w:rsidP="47620091">
      <w:pPr>
        <w:spacing w:after="160" w:line="253" w:lineRule="exact"/>
        <w:rPr>
          <w:rFonts w:ascii="Times New Roman" w:hAnsi="Times New Roman"/>
        </w:rPr>
      </w:pPr>
      <w:r w:rsidRPr="009E1B38">
        <w:rPr>
          <w:rFonts w:ascii="Times New Roman" w:hAnsi="Times New Roman"/>
          <w:i/>
          <w:iCs/>
        </w:rPr>
        <w:t>tt) Perverseness guarantee account: Account held with the central settlement institution and the market operator to be used in case the market participants do not fulfill their obligations within the scope of the physical-delivered forward natural gas market, excluding the guarantees and created with the contributions of the market participants,</w:t>
      </w:r>
    </w:p>
    <w:p w14:paraId="2256AEC7" w14:textId="15C11B25" w:rsidR="0032468F" w:rsidRPr="009E1B38" w:rsidRDefault="47620091" w:rsidP="47620091">
      <w:pPr>
        <w:spacing w:after="160" w:line="253" w:lineRule="exact"/>
        <w:rPr>
          <w:rFonts w:ascii="Times New Roman" w:hAnsi="Times New Roman"/>
        </w:rPr>
      </w:pPr>
      <w:r w:rsidRPr="009E1B38">
        <w:rPr>
          <w:rFonts w:ascii="Times New Roman" w:hAnsi="Times New Roman"/>
          <w:i/>
          <w:iCs/>
        </w:rPr>
        <w:t>uu) Delivery point: The point where natural gas is delivered,</w:t>
      </w:r>
    </w:p>
    <w:p w14:paraId="329A6469" w14:textId="1ED07336" w:rsidR="0032468F" w:rsidRPr="009E1B38" w:rsidRDefault="47620091" w:rsidP="47620091">
      <w:pPr>
        <w:spacing w:after="160" w:line="253" w:lineRule="exact"/>
        <w:rPr>
          <w:rFonts w:ascii="Times New Roman" w:hAnsi="Times New Roman"/>
        </w:rPr>
      </w:pPr>
      <w:r w:rsidRPr="009E1B38">
        <w:rPr>
          <w:rFonts w:ascii="Times New Roman" w:hAnsi="Times New Roman"/>
          <w:i/>
          <w:iCs/>
        </w:rPr>
        <w:t>ü) Delivery period: The period in which natural gas delivery, which is required to be made as a result of STP transactions, is carried out within the framework of the principles determined in PUE and VGPUE,</w:t>
      </w:r>
    </w:p>
    <w:p w14:paraId="6B68954D" w14:textId="03A97575" w:rsidR="0032468F" w:rsidRPr="009E1B38" w:rsidRDefault="47620091" w:rsidP="47620091">
      <w:pPr>
        <w:spacing w:after="160" w:line="253" w:lineRule="exact"/>
        <w:rPr>
          <w:rFonts w:ascii="Times New Roman" w:hAnsi="Times New Roman"/>
        </w:rPr>
      </w:pPr>
      <w:r w:rsidRPr="009E1B38">
        <w:rPr>
          <w:rFonts w:ascii="Times New Roman" w:hAnsi="Times New Roman"/>
          <w:i/>
          <w:iCs/>
        </w:rPr>
        <w:t>vv) Trade opening time: The time determined in the PUE, when the bids for the relevant gas day are started to be submitted,</w:t>
      </w:r>
    </w:p>
    <w:p w14:paraId="66F08612" w14:textId="4C11B8CE" w:rsidR="0032468F" w:rsidRPr="009E1B38" w:rsidRDefault="47620091" w:rsidP="47620091">
      <w:pPr>
        <w:spacing w:after="160" w:line="253" w:lineRule="exact"/>
        <w:rPr>
          <w:rFonts w:ascii="Times New Roman" w:hAnsi="Times New Roman"/>
        </w:rPr>
      </w:pPr>
      <w:r w:rsidRPr="009E1B38">
        <w:rPr>
          <w:rFonts w:ascii="Times New Roman" w:hAnsi="Times New Roman"/>
          <w:i/>
          <w:iCs/>
        </w:rPr>
        <w:lastRenderedPageBreak/>
        <w:t>yy) Trade range: The period of time determined in the PUE, from the time of trade opening to the time of trade closing, during which market participants can make market transactions,</w:t>
      </w:r>
    </w:p>
    <w:p w14:paraId="574BFA0A" w14:textId="51C7422A" w:rsidR="0032468F" w:rsidRPr="009E1B38" w:rsidRDefault="47620091" w:rsidP="47620091">
      <w:pPr>
        <w:spacing w:after="160" w:line="253" w:lineRule="exact"/>
        <w:rPr>
          <w:rFonts w:ascii="Times New Roman" w:hAnsi="Times New Roman"/>
        </w:rPr>
      </w:pPr>
      <w:r w:rsidRPr="009E1B38">
        <w:rPr>
          <w:rFonts w:ascii="Times New Roman" w:hAnsi="Times New Roman"/>
          <w:i/>
          <w:iCs/>
        </w:rPr>
        <w:t>zz) Trade closing time: The time determined in the PUE, at which the submission of bids for the relevant gas day ends,</w:t>
      </w:r>
    </w:p>
    <w:p w14:paraId="4224A088" w14:textId="01A48E6C" w:rsidR="0032468F" w:rsidRPr="009E1B38" w:rsidRDefault="47620091" w:rsidP="47620091">
      <w:pPr>
        <w:spacing w:after="160" w:line="253" w:lineRule="exact"/>
        <w:rPr>
          <w:rFonts w:ascii="Times New Roman" w:hAnsi="Times New Roman"/>
        </w:rPr>
      </w:pPr>
      <w:r w:rsidRPr="009E1B38">
        <w:rPr>
          <w:rFonts w:ascii="Times New Roman" w:hAnsi="Times New Roman"/>
          <w:i/>
          <w:iCs/>
        </w:rPr>
        <w:t>aaa) Product: Transaction types, including contract types in VGPUE, developed by the market operator within the framework of the principles in PUE and VGPUE,</w:t>
      </w:r>
    </w:p>
    <w:p w14:paraId="1894D618" w14:textId="48D1848E" w:rsidR="0032468F" w:rsidRPr="009E1B38" w:rsidRDefault="47620091" w:rsidP="47620091">
      <w:pPr>
        <w:spacing w:after="160" w:line="253" w:lineRule="exact"/>
        <w:rPr>
          <w:rFonts w:ascii="Times New Roman" w:hAnsi="Times New Roman"/>
        </w:rPr>
      </w:pPr>
      <w:r w:rsidRPr="009E1B38">
        <w:rPr>
          <w:rFonts w:ascii="Times New Roman" w:hAnsi="Times New Roman"/>
          <w:i/>
          <w:iCs/>
        </w:rPr>
        <w:t>bbb) Natural Gas Forward Market (VGP): The forward natural gas market, which imposes physical delivery obligations on market participants and is operated by the market operator within the scope of this Regulation and VGPUE,</w:t>
      </w:r>
    </w:p>
    <w:p w14:paraId="1706A3E0" w14:textId="6D58E976" w:rsidR="0032468F" w:rsidRPr="009E1B38" w:rsidRDefault="47620091" w:rsidP="47620091">
      <w:pPr>
        <w:spacing w:after="160" w:line="253" w:lineRule="exact"/>
        <w:rPr>
          <w:rFonts w:ascii="Times New Roman" w:hAnsi="Times New Roman"/>
        </w:rPr>
      </w:pPr>
      <w:r w:rsidRPr="009E1B38">
        <w:rPr>
          <w:rFonts w:ascii="Times New Roman" w:hAnsi="Times New Roman"/>
          <w:i/>
          <w:iCs/>
        </w:rPr>
        <w:t>ccc) Forward Natural Gas Market Operating Procedures and Principles (VGPUE): Procedures and principles regarding the operation of the physical delivery futures natural gas market in line with this Regulation and the relevant legislation,</w:t>
      </w:r>
    </w:p>
    <w:p w14:paraId="52F3E15E" w14:textId="4A3B175A" w:rsidR="0032468F" w:rsidRPr="009E1B38" w:rsidRDefault="47620091" w:rsidP="47620091">
      <w:pPr>
        <w:spacing w:after="160" w:line="253" w:lineRule="exact"/>
        <w:rPr>
          <w:rFonts w:ascii="Times New Roman" w:hAnsi="Times New Roman"/>
        </w:rPr>
      </w:pPr>
      <w:r w:rsidRPr="009E1B38">
        <w:rPr>
          <w:rFonts w:ascii="Times New Roman" w:hAnsi="Times New Roman"/>
          <w:i/>
          <w:iCs/>
        </w:rPr>
        <w:t>ççç) VGP participation agreement: The agreement between the license holders participating in the STP and the market operator for the purpose of trading in VGP and prepared within the framework of the principles set forth in this Regulation,</w:t>
      </w:r>
    </w:p>
    <w:p w14:paraId="4CC61C97" w14:textId="2510CB2F" w:rsidR="0032468F" w:rsidRPr="009E1B38" w:rsidRDefault="47620091" w:rsidP="47620091">
      <w:pPr>
        <w:spacing w:after="160" w:line="253" w:lineRule="exact"/>
        <w:rPr>
          <w:rFonts w:ascii="Times New Roman" w:hAnsi="Times New Roman"/>
        </w:rPr>
      </w:pPr>
      <w:r w:rsidRPr="009E1B38">
        <w:rPr>
          <w:rFonts w:ascii="Times New Roman" w:hAnsi="Times New Roman"/>
          <w:i/>
          <w:iCs/>
        </w:rPr>
        <w:t>means.”</w:t>
      </w:r>
    </w:p>
    <w:p w14:paraId="5C029D07" w14:textId="1B10392C"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36985C2C" w14:textId="1718D853"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The fifth paragraph of Article 4, titled “General principles regarding the organized wholesale natural gas sales market”, has been amended as follows.</w:t>
      </w:r>
    </w:p>
    <w:p w14:paraId="2467BD8D" w14:textId="3D7DF627"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2DEF959D" w14:textId="6C4B6AFA" w:rsidR="0032468F" w:rsidRPr="009E1B38" w:rsidRDefault="47620091" w:rsidP="47620091">
      <w:pPr>
        <w:spacing w:after="160" w:line="253" w:lineRule="exact"/>
        <w:rPr>
          <w:rFonts w:ascii="Times New Roman" w:hAnsi="Times New Roman"/>
        </w:rPr>
      </w:pPr>
      <w:r w:rsidRPr="009E1B38">
        <w:rPr>
          <w:rFonts w:ascii="Times New Roman" w:hAnsi="Times New Roman"/>
          <w:i/>
          <w:iCs/>
        </w:rPr>
        <w:t>“(5) The organized wholesale natural gas market basically fulfills the following functions:</w:t>
      </w:r>
    </w:p>
    <w:p w14:paraId="4D72FDD2" w14:textId="4D7D43AB"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67F52408" w14:textId="423B3C10" w:rsidR="0032468F" w:rsidRPr="009E1B38" w:rsidRDefault="47620091" w:rsidP="47620091">
      <w:pPr>
        <w:spacing w:after="160" w:line="253" w:lineRule="exact"/>
        <w:rPr>
          <w:rFonts w:ascii="Times New Roman" w:hAnsi="Times New Roman"/>
        </w:rPr>
      </w:pPr>
      <w:r w:rsidRPr="009E1B38">
        <w:rPr>
          <w:rFonts w:ascii="Times New Roman" w:hAnsi="Times New Roman"/>
          <w:i/>
          <w:iCs/>
        </w:rPr>
        <w:t>a) Providing market participants with the ability to manage their contractual obligations within the timeframes set in the PUE and VGPUE.</w:t>
      </w:r>
    </w:p>
    <w:p w14:paraId="05FCCE26" w14:textId="097307CA" w:rsidR="0032468F" w:rsidRPr="009E1B38" w:rsidRDefault="47620091" w:rsidP="47620091">
      <w:pPr>
        <w:spacing w:after="160" w:line="253" w:lineRule="exact"/>
        <w:rPr>
          <w:rFonts w:ascii="Times New Roman" w:hAnsi="Times New Roman"/>
        </w:rPr>
      </w:pPr>
      <w:r w:rsidRPr="009E1B38">
        <w:rPr>
          <w:rFonts w:ascii="Times New Roman" w:hAnsi="Times New Roman"/>
          <w:i/>
          <w:iCs/>
        </w:rPr>
        <w:t>b) Helping to reduce the amount of daily imbalances in the transmission system and providing the transmission company with a balanced system as much as possible the day ahead.</w:t>
      </w:r>
    </w:p>
    <w:p w14:paraId="502F8E03" w14:textId="10D8438C" w:rsidR="0032468F" w:rsidRPr="009E1B38" w:rsidRDefault="47620091" w:rsidP="47620091">
      <w:pPr>
        <w:spacing w:after="160" w:line="253" w:lineRule="exact"/>
        <w:rPr>
          <w:rFonts w:ascii="Times New Roman" w:hAnsi="Times New Roman"/>
        </w:rPr>
      </w:pPr>
      <w:r w:rsidRPr="009E1B38">
        <w:rPr>
          <w:rFonts w:ascii="Times New Roman" w:hAnsi="Times New Roman"/>
          <w:i/>
          <w:iCs/>
        </w:rPr>
        <w:t>c) Hedging the risk of price changes through the forward natural gas market and providing the opportunity to see future price expectations.</w:t>
      </w:r>
    </w:p>
    <w:p w14:paraId="1AF282E5" w14:textId="23DAB073" w:rsidR="0032468F" w:rsidRPr="009E1B38" w:rsidRDefault="47620091" w:rsidP="47620091">
      <w:pPr>
        <w:spacing w:after="160" w:line="253" w:lineRule="exact"/>
        <w:rPr>
          <w:rFonts w:ascii="Times New Roman" w:hAnsi="Times New Roman"/>
        </w:rPr>
      </w:pPr>
      <w:r w:rsidRPr="009E1B38">
        <w:rPr>
          <w:rFonts w:ascii="Times New Roman" w:hAnsi="Times New Roman"/>
          <w:i/>
          <w:iCs/>
        </w:rPr>
        <w:t>ç) Providing market participants with the opportunity to buy and sell natural gas in addition to their bilateral agreements.”</w:t>
      </w:r>
    </w:p>
    <w:p w14:paraId="132F0395" w14:textId="410F77C8"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32F77783" w14:textId="54632180"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Article 6 titled “General principles regarding market transactions, reconciliation of market transactions and imbalances” has been amended as follows.</w:t>
      </w:r>
    </w:p>
    <w:p w14:paraId="7A997668" w14:textId="0A653B4C"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 xml:space="preserve">                        “ADDITIONAL ARTICLE 6</w:t>
      </w:r>
    </w:p>
    <w:p w14:paraId="44165403" w14:textId="106C167C" w:rsidR="0032468F" w:rsidRPr="009E1B38" w:rsidRDefault="47620091" w:rsidP="47620091">
      <w:pPr>
        <w:spacing w:after="160" w:line="253" w:lineRule="exact"/>
        <w:rPr>
          <w:rFonts w:ascii="Times New Roman" w:hAnsi="Times New Roman"/>
        </w:rPr>
      </w:pPr>
      <w:r w:rsidRPr="009E1B38">
        <w:rPr>
          <w:rFonts w:ascii="Times New Roman" w:hAnsi="Times New Roman"/>
          <w:i/>
          <w:iCs/>
        </w:rPr>
        <w:t>Matches that occur as a result of the offers given by the market participants in the STP gain the status of a finalized match when approved by the market operator within the framework of this Regulation, PUE and VGPUE.</w:t>
      </w:r>
    </w:p>
    <w:p w14:paraId="566B1835" w14:textId="5B016FFC"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740A141F" w14:textId="7274E6FD" w:rsidR="0032468F" w:rsidRPr="009E1B38" w:rsidRDefault="47620091" w:rsidP="47620091">
      <w:pPr>
        <w:spacing w:after="160" w:line="253" w:lineRule="exact"/>
        <w:rPr>
          <w:rFonts w:ascii="Times New Roman" w:hAnsi="Times New Roman"/>
        </w:rPr>
      </w:pPr>
      <w:r w:rsidRPr="009E1B38">
        <w:rPr>
          <w:rFonts w:ascii="Times New Roman" w:hAnsi="Times New Roman"/>
          <w:i/>
          <w:iCs/>
        </w:rPr>
        <w:t>(2) As a result of the offsetting of the amounts subject to the finalized matches in terms of the related transactions, the finalized clearing amounts are formed.</w:t>
      </w:r>
    </w:p>
    <w:p w14:paraId="595DBFC7" w14:textId="2815FBE0"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5AFF5674" w14:textId="2ED0F413" w:rsidR="0032468F" w:rsidRPr="009E1B38" w:rsidRDefault="47620091" w:rsidP="47620091">
      <w:pPr>
        <w:spacing w:after="160" w:line="253" w:lineRule="exact"/>
        <w:rPr>
          <w:rFonts w:ascii="Times New Roman" w:hAnsi="Times New Roman"/>
        </w:rPr>
      </w:pPr>
      <w:r w:rsidRPr="009E1B38">
        <w:rPr>
          <w:rFonts w:ascii="Times New Roman" w:hAnsi="Times New Roman"/>
          <w:i/>
          <w:iCs/>
        </w:rPr>
        <w:lastRenderedPageBreak/>
        <w:t>(3) Finalized clearing amounts; It is transmitted by the market operator to the transmission company on behalf of the market participants holding the title of shipper, in accordance with the time and conditions determined in the NOP, as a notification of the amount of transportation or a notification of change in the amount of transportation.</w:t>
      </w:r>
    </w:p>
    <w:p w14:paraId="61A25B9F" w14:textId="05E1646E"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5ED2C7DD" w14:textId="51520511" w:rsidR="0032468F" w:rsidRPr="009E1B38" w:rsidRDefault="47620091" w:rsidP="47620091">
      <w:pPr>
        <w:spacing w:after="160" w:line="253" w:lineRule="exact"/>
        <w:rPr>
          <w:rFonts w:ascii="Times New Roman" w:hAnsi="Times New Roman"/>
        </w:rPr>
      </w:pPr>
      <w:r w:rsidRPr="009E1B38">
        <w:rPr>
          <w:rFonts w:ascii="Times New Roman" w:hAnsi="Times New Roman"/>
          <w:i/>
          <w:iCs/>
        </w:rPr>
        <w:t>(4) Settlement of market transactions is made on a monthly basis on a gas day basis, taking into account the clearing amounts finalized by the market operator.</w:t>
      </w:r>
    </w:p>
    <w:p w14:paraId="57693E8B" w14:textId="406AD146"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3169106A" w14:textId="198A3871" w:rsidR="0032468F" w:rsidRPr="009E1B38" w:rsidRDefault="47620091" w:rsidP="47620091">
      <w:pPr>
        <w:spacing w:after="160" w:line="253" w:lineRule="exact"/>
        <w:rPr>
          <w:rFonts w:ascii="Times New Roman" w:hAnsi="Times New Roman"/>
        </w:rPr>
      </w:pPr>
      <w:r w:rsidRPr="009E1B38">
        <w:rPr>
          <w:rFonts w:ascii="Times New Roman" w:hAnsi="Times New Roman"/>
          <w:i/>
          <w:iCs/>
        </w:rPr>
        <w:t>(5) Settlement transactions of market transactions are carried out in a fast, reliable and transparent manner by the market operator as the central counterparty, as the buyer against the seller and the buyer against the seller, within the framework of the following general principles:</w:t>
      </w:r>
    </w:p>
    <w:p w14:paraId="215013C0" w14:textId="59FF2650" w:rsidR="0032468F" w:rsidRPr="009E1B38" w:rsidRDefault="47620091" w:rsidP="47620091">
      <w:pPr>
        <w:spacing w:after="160" w:line="253" w:lineRule="exact"/>
        <w:rPr>
          <w:rFonts w:ascii="Times New Roman" w:hAnsi="Times New Roman"/>
        </w:rPr>
      </w:pPr>
      <w:r w:rsidRPr="009E1B38">
        <w:rPr>
          <w:rFonts w:ascii="Times New Roman" w:hAnsi="Times New Roman"/>
          <w:i/>
          <w:iCs/>
        </w:rPr>
        <w:t>Market transactions within the scope of this Regulation in the trading range for a gas day are settled on the basis of the gas day in question. The market operator carries out the activities of preparing invoices and performing the necessary collection and payment transactions.</w:t>
      </w:r>
    </w:p>
    <w:p w14:paraId="740B914B" w14:textId="105C1AA0" w:rsidR="0032468F" w:rsidRPr="009E1B38" w:rsidRDefault="47620091" w:rsidP="47620091">
      <w:pPr>
        <w:spacing w:after="160" w:line="253" w:lineRule="exact"/>
        <w:rPr>
          <w:rFonts w:ascii="Times New Roman" w:hAnsi="Times New Roman"/>
        </w:rPr>
      </w:pPr>
      <w:r w:rsidRPr="009E1B38">
        <w:rPr>
          <w:rFonts w:ascii="Times New Roman" w:hAnsi="Times New Roman"/>
          <w:i/>
          <w:iCs/>
        </w:rPr>
        <w:t>The market operator carries out the calculation, implementation and maintenance activities of the collaterals in order to manage the risks of the participants in the organized wholesale natural gas sales market, where the market transactions are settled, within the framework of the conditions determined in this Regulation, PUE and VGPUE.</w:t>
      </w:r>
    </w:p>
    <w:p w14:paraId="5BAA7597" w14:textId="5350F90C" w:rsidR="0032468F" w:rsidRPr="009E1B38" w:rsidRDefault="47620091" w:rsidP="47620091">
      <w:pPr>
        <w:spacing w:after="160" w:line="253" w:lineRule="exact"/>
        <w:rPr>
          <w:rFonts w:ascii="Times New Roman" w:hAnsi="Times New Roman"/>
        </w:rPr>
      </w:pPr>
      <w:r w:rsidRPr="009E1B38">
        <w:rPr>
          <w:rFonts w:ascii="Times New Roman" w:hAnsi="Times New Roman"/>
          <w:i/>
          <w:iCs/>
        </w:rPr>
        <w:t>The matching price in the finalized market transaction is taken as the basis for reconciliation of each natural gas purchase and sale carried out in STP. Natural gas purchases and sales at STP are binding for the parties.</w:t>
      </w:r>
    </w:p>
    <w:p w14:paraId="19DDCE6A" w14:textId="163C02F7" w:rsidR="0032468F" w:rsidRPr="009E1B38" w:rsidRDefault="47620091" w:rsidP="47620091">
      <w:pPr>
        <w:spacing w:after="160" w:line="253" w:lineRule="exact"/>
        <w:rPr>
          <w:rFonts w:ascii="Times New Roman" w:hAnsi="Times New Roman"/>
        </w:rPr>
      </w:pPr>
      <w:r w:rsidRPr="009E1B38">
        <w:rPr>
          <w:rFonts w:ascii="Times New Roman" w:hAnsi="Times New Roman"/>
          <w:i/>
          <w:iCs/>
        </w:rPr>
        <w:t>ç) In the calculations of the settlement of market transactions for a gas day, only the values of the transactions made in the trading range of the gas day in question are taken into account, and the values of one trading range cannot be transferred to another trading range.</w:t>
      </w:r>
    </w:p>
    <w:p w14:paraId="05B0CC5B" w14:textId="0D31664D"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42B36468" w14:textId="398457D0" w:rsidR="0032468F" w:rsidRPr="009E1B38" w:rsidRDefault="47620091" w:rsidP="47620091">
      <w:pPr>
        <w:spacing w:after="160" w:line="253" w:lineRule="exact"/>
        <w:rPr>
          <w:rFonts w:ascii="Times New Roman" w:hAnsi="Times New Roman"/>
        </w:rPr>
      </w:pPr>
      <w:r w:rsidRPr="009E1B38">
        <w:rPr>
          <w:rFonts w:ascii="Times New Roman" w:hAnsi="Times New Roman"/>
          <w:i/>
          <w:iCs/>
        </w:rPr>
        <w:t>(6) The market operator performs the settlement of the imbalances of the shippers in the transmission system on a daily basis at the end of the month on behalf of the transmission company within the framework of the conditions specified in the NOP, PUE and VGPUE.</w:t>
      </w:r>
    </w:p>
    <w:p w14:paraId="690804A7" w14:textId="14E96110"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719A4738" w14:textId="269A0BCB" w:rsidR="0032468F" w:rsidRPr="009E1B38" w:rsidRDefault="47620091" w:rsidP="47620091">
      <w:pPr>
        <w:spacing w:after="160" w:line="253" w:lineRule="exact"/>
        <w:rPr>
          <w:rFonts w:ascii="Times New Roman" w:hAnsi="Times New Roman"/>
        </w:rPr>
      </w:pPr>
      <w:r w:rsidRPr="009E1B38">
        <w:rPr>
          <w:rFonts w:ascii="Times New Roman" w:hAnsi="Times New Roman"/>
          <w:i/>
          <w:iCs/>
        </w:rPr>
        <w:t>(7) Settlement transactions of imbalances are carried out in a fast, reliable and transparent manner by the market operator on behalf of the transmission company, within the framework of the following general principles:</w:t>
      </w:r>
    </w:p>
    <w:p w14:paraId="03C5E5E8" w14:textId="2B19E20E" w:rsidR="0032468F" w:rsidRPr="009E1B38" w:rsidRDefault="47620091" w:rsidP="47620091">
      <w:pPr>
        <w:spacing w:after="160" w:line="253" w:lineRule="exact"/>
        <w:rPr>
          <w:rFonts w:ascii="Times New Roman" w:hAnsi="Times New Roman"/>
        </w:rPr>
      </w:pPr>
      <w:r w:rsidRPr="009E1B38">
        <w:rPr>
          <w:rFonts w:ascii="Times New Roman" w:hAnsi="Times New Roman"/>
          <w:i/>
          <w:iCs/>
        </w:rPr>
        <w:t>The settlement of imbalances is carried out by the market operator on a gas day basis, based on the allocation amounts determined by the transmission company for one gas day of all system users. The market operator carries out the calculation, implementation and maintenance activities of the guarantees of these transactions on behalf of the transmission company, within the framework of the conditions determined in this Regulation, NOP, PUE and VGPUE, in order to carry out the settlement of the imbalances, to prepare the invoices, to carry out the necessary collection and payment transactions and to manage the risks of the shippers.</w:t>
      </w:r>
    </w:p>
    <w:p w14:paraId="65D709C5" w14:textId="29DCDA5B" w:rsidR="0032468F" w:rsidRPr="009E1B38" w:rsidRDefault="47620091" w:rsidP="47620091">
      <w:pPr>
        <w:spacing w:after="160" w:line="253" w:lineRule="exact"/>
        <w:rPr>
          <w:rFonts w:ascii="Times New Roman" w:hAnsi="Times New Roman"/>
        </w:rPr>
      </w:pPr>
      <w:r w:rsidRPr="009E1B38">
        <w:rPr>
          <w:rFonts w:ascii="Times New Roman" w:hAnsi="Times New Roman"/>
          <w:i/>
          <w:iCs/>
        </w:rPr>
        <w:t>Accounts for the settlement of imbalances are kept separate from the accounts for the settlement of market transactions by the market operator.</w:t>
      </w:r>
    </w:p>
    <w:p w14:paraId="45623AAD" w14:textId="1D96BD08" w:rsidR="0032468F" w:rsidRPr="009E1B38" w:rsidRDefault="47620091" w:rsidP="47620091">
      <w:pPr>
        <w:spacing w:after="160" w:line="253" w:lineRule="exact"/>
        <w:rPr>
          <w:rFonts w:ascii="Times New Roman" w:hAnsi="Times New Roman"/>
        </w:rPr>
      </w:pPr>
      <w:r w:rsidRPr="009E1B38">
        <w:rPr>
          <w:rFonts w:ascii="Times New Roman" w:hAnsi="Times New Roman"/>
          <w:i/>
          <w:iCs/>
        </w:rPr>
        <w:t>Except in cases where there is an incorrect reading or no data specified in the NOP, only the values related to the gas day in question are taken into account in the calculations of the reconciliation of the imbalances for a gas day, and the values for a gas day cannot be transferred to another gas day.</w:t>
      </w:r>
    </w:p>
    <w:p w14:paraId="6720CD67" w14:textId="3534EE08"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33999CF2" w14:textId="28F7451A" w:rsidR="0032468F" w:rsidRPr="009E1B38" w:rsidRDefault="47620091" w:rsidP="47620091">
      <w:pPr>
        <w:spacing w:after="160" w:line="253" w:lineRule="exact"/>
        <w:rPr>
          <w:rFonts w:ascii="Times New Roman" w:hAnsi="Times New Roman"/>
        </w:rPr>
      </w:pPr>
      <w:r w:rsidRPr="009E1B38">
        <w:rPr>
          <w:rFonts w:ascii="Times New Roman" w:hAnsi="Times New Roman"/>
          <w:i/>
          <w:iCs/>
        </w:rPr>
        <w:lastRenderedPageBreak/>
        <w:t>(8) The forward natural gas market is operated by the market operator within the scope of the provisions of this Regulation, VGPUE and other relevant legislation, within the framework of the following general principles:</w:t>
      </w:r>
    </w:p>
    <w:p w14:paraId="7E662B9C" w14:textId="09371DF2" w:rsidR="0032468F" w:rsidRPr="009E1B38" w:rsidRDefault="47620091" w:rsidP="47620091">
      <w:pPr>
        <w:spacing w:after="160" w:line="253" w:lineRule="exact"/>
        <w:rPr>
          <w:rFonts w:ascii="Times New Roman" w:hAnsi="Times New Roman"/>
        </w:rPr>
      </w:pPr>
      <w:r w:rsidRPr="009E1B38">
        <w:rPr>
          <w:rFonts w:ascii="Times New Roman" w:hAnsi="Times New Roman"/>
          <w:i/>
          <w:iCs/>
        </w:rPr>
        <w:t>Bids submitted in VGP are evaluated without discrimination among market participants.</w:t>
      </w:r>
    </w:p>
    <w:p w14:paraId="0AAC9E8B" w14:textId="0C772D6C" w:rsidR="0032468F" w:rsidRPr="009E1B38" w:rsidRDefault="47620091" w:rsidP="47620091">
      <w:pPr>
        <w:spacing w:after="160" w:line="253" w:lineRule="exact"/>
        <w:rPr>
          <w:rFonts w:ascii="Times New Roman" w:hAnsi="Times New Roman"/>
        </w:rPr>
      </w:pPr>
      <w:r w:rsidRPr="009E1B38">
        <w:rPr>
          <w:rFonts w:ascii="Times New Roman" w:hAnsi="Times New Roman"/>
          <w:i/>
          <w:iCs/>
        </w:rPr>
        <w:t>Market operations are based on continuous trading during the session and are executed on STP.</w:t>
      </w:r>
    </w:p>
    <w:p w14:paraId="328E5122" w14:textId="2EE81FAD" w:rsidR="0032468F" w:rsidRPr="009E1B38" w:rsidRDefault="47620091" w:rsidP="47620091">
      <w:pPr>
        <w:spacing w:after="160" w:line="253" w:lineRule="exact"/>
        <w:rPr>
          <w:rFonts w:ascii="Times New Roman" w:hAnsi="Times New Roman"/>
        </w:rPr>
      </w:pPr>
      <w:r w:rsidRPr="009E1B38">
        <w:rPr>
          <w:rFonts w:ascii="Times New Roman" w:hAnsi="Times New Roman"/>
          <w:i/>
          <w:iCs/>
        </w:rPr>
        <w:t>In the settlement of market transactions, the match prices resulting from each finalized match are used.</w:t>
      </w:r>
    </w:p>
    <w:p w14:paraId="3DFDD0CE" w14:textId="35857277" w:rsidR="0032468F" w:rsidRPr="009E1B38" w:rsidRDefault="47620091" w:rsidP="47620091">
      <w:pPr>
        <w:spacing w:after="160" w:line="253" w:lineRule="exact"/>
        <w:rPr>
          <w:rFonts w:ascii="Times New Roman" w:hAnsi="Times New Roman"/>
        </w:rPr>
      </w:pPr>
      <w:r w:rsidRPr="009E1B38">
        <w:rPr>
          <w:rFonts w:ascii="Times New Roman" w:hAnsi="Times New Roman"/>
          <w:i/>
          <w:iCs/>
        </w:rPr>
        <w:t>ç) Activities are carried out in accordance with the principles of transparency and responsibility.</w:t>
      </w:r>
    </w:p>
    <w:p w14:paraId="1402C0E8" w14:textId="294E9B2B"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7EDBE536" w14:textId="3DFC5AF5" w:rsidR="0032468F" w:rsidRPr="009E1B38" w:rsidRDefault="47620091" w:rsidP="47620091">
      <w:pPr>
        <w:spacing w:after="160" w:line="253" w:lineRule="exact"/>
        <w:rPr>
          <w:rFonts w:ascii="Times New Roman" w:hAnsi="Times New Roman"/>
        </w:rPr>
      </w:pPr>
      <w:r w:rsidRPr="009E1B38">
        <w:rPr>
          <w:rFonts w:ascii="Times New Roman" w:hAnsi="Times New Roman"/>
          <w:i/>
          <w:iCs/>
        </w:rPr>
        <w:t>(9) Invoicing of the transactions, imbalances and other items subject to the invoice and notification of the invoices to the relevant parties are made by the market operator within the framework of the relevant provisions of the PUE and VGPUE.”</w:t>
      </w:r>
    </w:p>
    <w:p w14:paraId="67A8D99D" w14:textId="7DB8994F"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522EB16D" w14:textId="0DCDBC98"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The following paragraph has been added to article 7 titled “Market Participants”.</w:t>
      </w:r>
    </w:p>
    <w:p w14:paraId="58B40CC4" w14:textId="59259425"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6103A34A" w14:textId="3999BFED" w:rsidR="0032468F" w:rsidRPr="009E1B38" w:rsidRDefault="47620091" w:rsidP="47620091">
      <w:pPr>
        <w:spacing w:after="160" w:line="253" w:lineRule="exact"/>
        <w:rPr>
          <w:rFonts w:ascii="Times New Roman" w:hAnsi="Times New Roman"/>
        </w:rPr>
      </w:pPr>
      <w:r w:rsidRPr="009E1B38">
        <w:rPr>
          <w:rFonts w:ascii="Times New Roman" w:hAnsi="Times New Roman"/>
          <w:i/>
          <w:iCs/>
        </w:rPr>
        <w:t>“(2) Market participants who want to trade in the natural gas futures market, sign the VGP participation agreement in addition to the STS and STP participation agreement. The VGP participation agreement is valid for the duration of the STP participation agreement.”</w:t>
      </w:r>
    </w:p>
    <w:p w14:paraId="493F9E9B" w14:textId="6AC407DA"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09A024C1" w14:textId="6E31009C"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The first and second paragraphs of Article 8 titled “Responsibilities of market participants” have been amended as follows.</w:t>
      </w:r>
    </w:p>
    <w:p w14:paraId="06E2DC39" w14:textId="0696C978"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41E8265E" w14:textId="25F2503B" w:rsidR="0032468F" w:rsidRPr="009E1B38" w:rsidRDefault="47620091" w:rsidP="47620091">
      <w:pPr>
        <w:spacing w:after="160" w:line="253" w:lineRule="exact"/>
        <w:rPr>
          <w:rFonts w:ascii="Times New Roman" w:hAnsi="Times New Roman"/>
        </w:rPr>
      </w:pPr>
      <w:r w:rsidRPr="009E1B38">
        <w:rPr>
          <w:rFonts w:ascii="Times New Roman" w:hAnsi="Times New Roman"/>
          <w:i/>
          <w:iCs/>
        </w:rPr>
        <w:t>“(1) In the STP and VGP participation agreements, the market operator is entitled to make a notification of the transport amount or a change of the transport amount as described in the NOP on behalf of the relevant market participant in the transmission network of the market operator regarding the finalized clearing amount resulting from the transactions made in the STP in the STP and VGP participation agreements.</w:t>
      </w:r>
    </w:p>
    <w:p w14:paraId="0D4319EC" w14:textId="6FBEC509"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54D3CF7F" w14:textId="6E42CEC6" w:rsidR="0032468F" w:rsidRPr="009E1B38" w:rsidRDefault="47620091" w:rsidP="47620091">
      <w:pPr>
        <w:spacing w:after="160" w:line="253" w:lineRule="exact"/>
        <w:rPr>
          <w:rFonts w:ascii="Times New Roman" w:hAnsi="Times New Roman"/>
        </w:rPr>
      </w:pPr>
      <w:r w:rsidRPr="009E1B38">
        <w:rPr>
          <w:rFonts w:ascii="Times New Roman" w:hAnsi="Times New Roman"/>
          <w:i/>
          <w:iCs/>
        </w:rPr>
        <w:t>(2) Each market participant is obliged to appoint the market operator as an intermediary in accordance with the STP and VGP participation agreement in order to reconcile market transactions.”</w:t>
      </w:r>
    </w:p>
    <w:p w14:paraId="6316FF6D" w14:textId="3C34CE69"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1228D1DD" w14:textId="6E3CA938"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The third, fourth and seventh paragraphs of Article 9 titled “Responsibilities of the market operator” have been amended as follows.</w:t>
      </w:r>
    </w:p>
    <w:p w14:paraId="3F40EC96" w14:textId="59750269"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05BCA885" w14:textId="369B0049" w:rsidR="0032468F" w:rsidRPr="009E1B38" w:rsidRDefault="47620091" w:rsidP="47620091">
      <w:pPr>
        <w:spacing w:after="160" w:line="253" w:lineRule="exact"/>
        <w:rPr>
          <w:rFonts w:ascii="Times New Roman" w:hAnsi="Times New Roman"/>
        </w:rPr>
      </w:pPr>
      <w:r w:rsidRPr="009E1B38">
        <w:rPr>
          <w:rFonts w:ascii="Times New Roman" w:hAnsi="Times New Roman"/>
          <w:i/>
          <w:iCs/>
        </w:rPr>
        <w:t>“(3) The market operator carries out the following activities regarding the operation of the organized wholesale natural gas market:</w:t>
      </w:r>
    </w:p>
    <w:p w14:paraId="2E258609" w14:textId="2E33242A" w:rsidR="0032468F" w:rsidRPr="009E1B38" w:rsidRDefault="47620091" w:rsidP="47620091">
      <w:pPr>
        <w:spacing w:after="160" w:line="253" w:lineRule="exact"/>
        <w:rPr>
          <w:rFonts w:ascii="Times New Roman" w:hAnsi="Times New Roman"/>
        </w:rPr>
      </w:pPr>
      <w:r w:rsidRPr="009E1B38">
        <w:rPr>
          <w:rFonts w:ascii="Times New Roman" w:hAnsi="Times New Roman"/>
          <w:i/>
          <w:iCs/>
        </w:rPr>
        <w:t>To establish and operate STP in accordance with the provisions of this Regulation and relevant legislation.</w:t>
      </w:r>
    </w:p>
    <w:p w14:paraId="4977E698" w14:textId="455A839A" w:rsidR="0032468F" w:rsidRPr="009E1B38" w:rsidRDefault="47620091" w:rsidP="47620091">
      <w:pPr>
        <w:spacing w:after="160" w:line="253" w:lineRule="exact"/>
        <w:rPr>
          <w:rFonts w:ascii="Times New Roman" w:hAnsi="Times New Roman"/>
        </w:rPr>
      </w:pPr>
      <w:r w:rsidRPr="009E1B38">
        <w:rPr>
          <w:rFonts w:ascii="Times New Roman" w:hAnsi="Times New Roman"/>
          <w:i/>
          <w:iCs/>
        </w:rPr>
        <w:t>To prepare the PUE and VGPUE, which cover the detailed regulations regarding the implementation of the issues, the general principles of which are determined by this Regulation, regarding the organized wholesale natural gas sales market, and submit them to the Board for approval.</w:t>
      </w:r>
    </w:p>
    <w:p w14:paraId="77858F45" w14:textId="76994DC9" w:rsidR="0032468F" w:rsidRPr="009E1B38" w:rsidRDefault="47620091" w:rsidP="47620091">
      <w:pPr>
        <w:spacing w:after="160" w:line="253" w:lineRule="exact"/>
        <w:rPr>
          <w:rFonts w:ascii="Times New Roman" w:hAnsi="Times New Roman"/>
        </w:rPr>
      </w:pPr>
      <w:r w:rsidRPr="009E1B38">
        <w:rPr>
          <w:rFonts w:ascii="Times New Roman" w:hAnsi="Times New Roman"/>
          <w:i/>
          <w:iCs/>
        </w:rPr>
        <w:t>Developing products to be traded on STP in line with the needs of the market and the system.</w:t>
      </w:r>
    </w:p>
    <w:p w14:paraId="213E0BF2" w14:textId="6EBB7F53" w:rsidR="0032468F" w:rsidRPr="009E1B38" w:rsidRDefault="47620091" w:rsidP="47620091">
      <w:pPr>
        <w:spacing w:after="160" w:line="253" w:lineRule="exact"/>
        <w:rPr>
          <w:rFonts w:ascii="Times New Roman" w:hAnsi="Times New Roman"/>
        </w:rPr>
      </w:pPr>
      <w:r w:rsidRPr="009E1B38">
        <w:rPr>
          <w:rFonts w:ascii="Times New Roman" w:hAnsi="Times New Roman"/>
          <w:i/>
          <w:iCs/>
        </w:rPr>
        <w:t>ç) To cooperate with the transmission company to ensure the efficient use of the transmission system and STP in coordination.</w:t>
      </w:r>
    </w:p>
    <w:p w14:paraId="685A9165" w14:textId="70F1ABC6" w:rsidR="0032468F" w:rsidRPr="009E1B38" w:rsidRDefault="47620091" w:rsidP="47620091">
      <w:pPr>
        <w:spacing w:after="160" w:line="253" w:lineRule="exact"/>
        <w:rPr>
          <w:rFonts w:ascii="Times New Roman" w:hAnsi="Times New Roman"/>
        </w:rPr>
      </w:pPr>
      <w:r w:rsidRPr="009E1B38">
        <w:rPr>
          <w:rFonts w:ascii="Times New Roman" w:hAnsi="Times New Roman"/>
          <w:i/>
          <w:iCs/>
        </w:rPr>
        <w:lastRenderedPageBreak/>
        <w:t>To take practical decisions within the framework of the authorities and responsibilities in the PUE and VGPUE regarding the operation of the organized wholesale natural gas sales market, and to make suggestions and/or offers to the relevant institutions and organizations.</w:t>
      </w:r>
    </w:p>
    <w:p w14:paraId="60F8A288" w14:textId="723709FE" w:rsidR="0032468F" w:rsidRPr="009E1B38" w:rsidRDefault="47620091" w:rsidP="47620091">
      <w:pPr>
        <w:spacing w:after="160" w:line="253" w:lineRule="exact"/>
        <w:rPr>
          <w:rFonts w:ascii="Times New Roman" w:hAnsi="Times New Roman"/>
        </w:rPr>
      </w:pPr>
      <w:r w:rsidRPr="009E1B38">
        <w:rPr>
          <w:rFonts w:ascii="Times New Roman" w:hAnsi="Times New Roman"/>
          <w:i/>
          <w:iCs/>
        </w:rPr>
        <w:t>Establishing and managing a default guarantee account for the forward natural gas market.</w:t>
      </w:r>
    </w:p>
    <w:p w14:paraId="38BFAB85" w14:textId="6DC03BD9" w:rsidR="0032468F" w:rsidRPr="009E1B38" w:rsidRDefault="47620091" w:rsidP="47620091">
      <w:pPr>
        <w:spacing w:after="160" w:line="253" w:lineRule="exact"/>
        <w:rPr>
          <w:rFonts w:ascii="Times New Roman" w:hAnsi="Times New Roman"/>
        </w:rPr>
      </w:pPr>
      <w:r w:rsidRPr="009E1B38">
        <w:rPr>
          <w:rFonts w:ascii="Times New Roman" w:hAnsi="Times New Roman"/>
          <w:i/>
          <w:iCs/>
        </w:rPr>
        <w:t>Fulfilling other duties determined in the relevant legislation</w:t>
      </w:r>
    </w:p>
    <w:p w14:paraId="35B2DC09" w14:textId="7E481140"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03375C84" w14:textId="6B600283" w:rsidR="0032468F" w:rsidRPr="009E1B38" w:rsidRDefault="47620091" w:rsidP="47620091">
      <w:pPr>
        <w:spacing w:after="160" w:line="253" w:lineRule="exact"/>
        <w:rPr>
          <w:rFonts w:ascii="Times New Roman" w:hAnsi="Times New Roman"/>
        </w:rPr>
      </w:pPr>
      <w:r w:rsidRPr="009E1B38">
        <w:rPr>
          <w:rFonts w:ascii="Times New Roman" w:hAnsi="Times New Roman"/>
          <w:i/>
          <w:iCs/>
        </w:rPr>
        <w:t>(4) The market operator carries out the activities of preparing and publishing the information, documents, reports and statistics determined in the PUE and VGPUE, as well as all kinds of information and reports requested by the Authority regarding data publication and reporting.</w:t>
      </w:r>
    </w:p>
    <w:p w14:paraId="1EF6FC2D" w14:textId="096EDC23"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07A1449B" w14:textId="0FB4A9DF" w:rsidR="0032468F" w:rsidRPr="009E1B38" w:rsidRDefault="47620091" w:rsidP="47620091">
      <w:pPr>
        <w:spacing w:after="160" w:line="253" w:lineRule="exact"/>
        <w:rPr>
          <w:rFonts w:ascii="Times New Roman" w:hAnsi="Times New Roman"/>
        </w:rPr>
      </w:pPr>
      <w:r w:rsidRPr="009E1B38">
        <w:rPr>
          <w:rFonts w:ascii="Times New Roman" w:hAnsi="Times New Roman"/>
          <w:i/>
          <w:iCs/>
        </w:rPr>
        <w:t>“(7) The market operator concludes the market delivery contract with the transmission company that regulates its rights and obligations in this Regulation, PUE and VGPUE. In the contract in question, other issues in the relevant legislation are also taken into consideration and provisions that prevent or hinder the functioning of the system and STP cannot be included.</w:t>
      </w:r>
    </w:p>
    <w:p w14:paraId="5BB1E102" w14:textId="7E4F5391"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61605064" w14:textId="37AA8860"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Article 10, titled "The responsibilities of the transmission company", has been amended as follows.</w:t>
      </w:r>
    </w:p>
    <w:p w14:paraId="73CD62A4" w14:textId="067CD344"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 xml:space="preserve"> </w:t>
      </w:r>
    </w:p>
    <w:p w14:paraId="6E12F4CE" w14:textId="66CC8378"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“ARTICLE 10</w:t>
      </w:r>
    </w:p>
    <w:p w14:paraId="2F410E38" w14:textId="45337866"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 xml:space="preserve"> </w:t>
      </w:r>
    </w:p>
    <w:p w14:paraId="1CCC7CE3" w14:textId="0684345E" w:rsidR="0032468F" w:rsidRPr="009E1B38" w:rsidRDefault="47620091" w:rsidP="47620091">
      <w:pPr>
        <w:spacing w:after="160" w:line="253" w:lineRule="exact"/>
        <w:rPr>
          <w:rFonts w:ascii="Times New Roman" w:hAnsi="Times New Roman"/>
        </w:rPr>
      </w:pPr>
      <w:r w:rsidRPr="009E1B38">
        <w:rPr>
          <w:rFonts w:ascii="Times New Roman" w:hAnsi="Times New Roman"/>
          <w:i/>
          <w:iCs/>
        </w:rPr>
        <w:t>(1) The transmission company carries out the activities described below without discrimination between equal parties, within the framework of transparency and responsibility principles:</w:t>
      </w:r>
    </w:p>
    <w:p w14:paraId="51C58AAC" w14:textId="554C5C80" w:rsidR="0032468F" w:rsidRPr="009E1B38" w:rsidRDefault="47620091" w:rsidP="47620091">
      <w:pPr>
        <w:spacing w:after="160" w:line="253" w:lineRule="exact"/>
        <w:rPr>
          <w:rFonts w:ascii="Times New Roman" w:hAnsi="Times New Roman"/>
        </w:rPr>
      </w:pPr>
      <w:r w:rsidRPr="009E1B38">
        <w:rPr>
          <w:rFonts w:ascii="Times New Roman" w:hAnsi="Times New Roman"/>
          <w:i/>
          <w:iCs/>
        </w:rPr>
        <w:t>To make a daily demand forecast and transmission network stock forecast within the framework of the programs communicated to it before the gas day, to publish it in the EBT and to forward it to the market operator to be announced in the STP.</w:t>
      </w:r>
    </w:p>
    <w:p w14:paraId="7EEDC3FE" w14:textId="006018A2" w:rsidR="0032468F" w:rsidRPr="009E1B38" w:rsidRDefault="47620091" w:rsidP="47620091">
      <w:pPr>
        <w:spacing w:after="160" w:line="253" w:lineRule="exact"/>
        <w:rPr>
          <w:rFonts w:ascii="Times New Roman" w:hAnsi="Times New Roman"/>
        </w:rPr>
      </w:pPr>
      <w:r w:rsidRPr="009E1B38">
        <w:rPr>
          <w:rFonts w:ascii="Times New Roman" w:hAnsi="Times New Roman"/>
          <w:i/>
          <w:iCs/>
        </w:rPr>
        <w:t>To prepare and publish a 10 (ten) annual natural gas transmission capacity projection report on an annual basis until the end of June every year.</w:t>
      </w:r>
    </w:p>
    <w:p w14:paraId="55DDD44F" w14:textId="1C93FB1F" w:rsidR="0032468F" w:rsidRPr="009E1B38" w:rsidRDefault="47620091" w:rsidP="47620091">
      <w:pPr>
        <w:spacing w:after="160" w:line="253" w:lineRule="exact"/>
        <w:rPr>
          <w:rFonts w:ascii="Times New Roman" w:hAnsi="Times New Roman"/>
        </w:rPr>
      </w:pPr>
      <w:r w:rsidRPr="009E1B38">
        <w:rPr>
          <w:rFonts w:ascii="Times New Roman" w:hAnsi="Times New Roman"/>
          <w:i/>
          <w:iCs/>
        </w:rPr>
        <w:t>To ensure that the stock of the transmission network remains at the required level so that natural gas transmission is carried out safely, efficiently and economically.</w:t>
      </w:r>
    </w:p>
    <w:p w14:paraId="52C7B7C2" w14:textId="756095A9" w:rsidR="0032468F" w:rsidRPr="009E1B38" w:rsidRDefault="47620091" w:rsidP="47620091">
      <w:pPr>
        <w:spacing w:after="160" w:line="253" w:lineRule="exact"/>
        <w:rPr>
          <w:rFonts w:ascii="Times New Roman" w:hAnsi="Times New Roman"/>
        </w:rPr>
      </w:pPr>
      <w:r w:rsidRPr="009E1B38">
        <w:rPr>
          <w:rFonts w:ascii="Times New Roman" w:hAnsi="Times New Roman"/>
          <w:i/>
          <w:iCs/>
        </w:rPr>
        <w:t>ç) To ensure the physical balance of the transmission system through the transactions carried out within the framework of this Regulation, the Natural Gas Market Transmission Network Operations Regulation and NOP provisions.</w:t>
      </w:r>
    </w:p>
    <w:p w14:paraId="625AA37C" w14:textId="411D0FF3" w:rsidR="0032468F" w:rsidRPr="009E1B38" w:rsidRDefault="47620091" w:rsidP="47620091">
      <w:pPr>
        <w:spacing w:after="160" w:line="253" w:lineRule="exact"/>
        <w:rPr>
          <w:rFonts w:ascii="Times New Roman" w:hAnsi="Times New Roman"/>
        </w:rPr>
      </w:pPr>
      <w:r w:rsidRPr="009E1B38">
        <w:rPr>
          <w:rFonts w:ascii="Times New Roman" w:hAnsi="Times New Roman"/>
          <w:i/>
          <w:iCs/>
        </w:rPr>
        <w:t>To enter the organized wholesale natural gas market as an additional stabilizer within the framework of the NOP provisions and to carry out market transactions in order to ensure the physical balance of the transmission network.</w:t>
      </w:r>
    </w:p>
    <w:p w14:paraId="770FED15" w14:textId="06DABE10" w:rsidR="0032468F" w:rsidRPr="009E1B38" w:rsidRDefault="47620091" w:rsidP="47620091">
      <w:pPr>
        <w:spacing w:after="160" w:line="253" w:lineRule="exact"/>
        <w:rPr>
          <w:rFonts w:ascii="Times New Roman" w:hAnsi="Times New Roman"/>
        </w:rPr>
      </w:pPr>
      <w:r w:rsidRPr="009E1B38">
        <w:rPr>
          <w:rFonts w:ascii="Times New Roman" w:hAnsi="Times New Roman"/>
          <w:i/>
          <w:iCs/>
        </w:rPr>
        <w:t>Entering the STP in accordance with the other conditions specified in the NOP, except for entering as an additional stabilizer.</w:t>
      </w:r>
    </w:p>
    <w:p w14:paraId="3C19F241" w14:textId="5D186CF7" w:rsidR="0032468F" w:rsidRPr="009E1B38" w:rsidRDefault="47620091" w:rsidP="47620091">
      <w:pPr>
        <w:spacing w:after="160" w:line="253" w:lineRule="exact"/>
        <w:rPr>
          <w:rFonts w:ascii="Times New Roman" w:hAnsi="Times New Roman"/>
        </w:rPr>
      </w:pPr>
      <w:r w:rsidRPr="009E1B38">
        <w:rPr>
          <w:rFonts w:ascii="Times New Roman" w:hAnsi="Times New Roman"/>
          <w:i/>
          <w:iCs/>
        </w:rPr>
        <w:t>To inform the market operator at the time and in the manner determined in the PUE and VGPUE, with the necessary information for reconciling market transactions and imbalances.</w:t>
      </w:r>
    </w:p>
    <w:p w14:paraId="7C9EBCC5" w14:textId="055D4CB9" w:rsidR="0032468F" w:rsidRPr="009E1B38" w:rsidRDefault="47620091" w:rsidP="47620091">
      <w:pPr>
        <w:spacing w:after="160" w:line="253" w:lineRule="exact"/>
        <w:rPr>
          <w:rFonts w:ascii="Times New Roman" w:hAnsi="Times New Roman"/>
        </w:rPr>
      </w:pPr>
      <w:r w:rsidRPr="009E1B38">
        <w:rPr>
          <w:rFonts w:ascii="Times New Roman" w:hAnsi="Times New Roman"/>
          <w:i/>
          <w:iCs/>
        </w:rPr>
        <w:t>To publish the pressure and quantity values on the basis of the regions determined in the transmission system in the EBT and to transmit them to the market operator to be announced in the STP.</w:t>
      </w:r>
    </w:p>
    <w:p w14:paraId="3CADCE5A" w14:textId="1892DD7C" w:rsidR="0032468F" w:rsidRPr="009E1B38" w:rsidRDefault="47620091" w:rsidP="47620091">
      <w:pPr>
        <w:spacing w:after="160" w:line="253" w:lineRule="exact"/>
        <w:rPr>
          <w:rFonts w:ascii="Times New Roman" w:hAnsi="Times New Roman"/>
        </w:rPr>
      </w:pPr>
      <w:r w:rsidRPr="009E1B38">
        <w:rPr>
          <w:rFonts w:ascii="Times New Roman" w:hAnsi="Times New Roman"/>
          <w:i/>
          <w:iCs/>
        </w:rPr>
        <w:t>ğ) To notify the market operator simultaneously of any matter that it is obliged to inform the system users within the scope of NOP and that will affect the natural gas flow in the transmission system.</w:t>
      </w:r>
    </w:p>
    <w:p w14:paraId="2FCCF32F" w14:textId="01B5215C" w:rsidR="0032468F" w:rsidRPr="009E1B38" w:rsidRDefault="47620091" w:rsidP="47620091">
      <w:pPr>
        <w:spacing w:after="160" w:line="253" w:lineRule="exact"/>
        <w:rPr>
          <w:rFonts w:ascii="Times New Roman" w:hAnsi="Times New Roman"/>
        </w:rPr>
      </w:pPr>
      <w:r w:rsidRPr="009E1B38">
        <w:rPr>
          <w:rFonts w:ascii="Times New Roman" w:hAnsi="Times New Roman"/>
          <w:i/>
          <w:iCs/>
        </w:rPr>
        <w:lastRenderedPageBreak/>
        <w:t>To cooperate with the market operator to ensure that STP is used in a coordinated and efficient manner within the transmission network operation.</w:t>
      </w:r>
    </w:p>
    <w:p w14:paraId="728B8C88" w14:textId="32C0F2AD" w:rsidR="0032468F" w:rsidRPr="009E1B38" w:rsidRDefault="47620091" w:rsidP="47620091">
      <w:pPr>
        <w:spacing w:after="160" w:line="253" w:lineRule="exact"/>
        <w:rPr>
          <w:rFonts w:ascii="Times New Roman" w:hAnsi="Times New Roman"/>
        </w:rPr>
      </w:pPr>
      <w:r w:rsidRPr="009E1B38">
        <w:rPr>
          <w:rFonts w:ascii="Times New Roman" w:hAnsi="Times New Roman"/>
          <w:i/>
          <w:iCs/>
        </w:rPr>
        <w:t>ı) To take the necessary measures regarding the confidentiality of information and documents that it is aware of and/or provided by market participants, within the framework of its transmission activities, except for the issues stipulated in the relevant legislation regarding the transparency of transmission activities.</w:t>
      </w:r>
    </w:p>
    <w:p w14:paraId="7A7627C7" w14:textId="59556E7F" w:rsidR="0032468F" w:rsidRPr="009E1B38" w:rsidRDefault="47620091" w:rsidP="47620091">
      <w:pPr>
        <w:spacing w:after="160" w:line="253" w:lineRule="exact"/>
        <w:rPr>
          <w:rFonts w:ascii="Times New Roman" w:hAnsi="Times New Roman"/>
        </w:rPr>
      </w:pPr>
      <w:r w:rsidRPr="009E1B38">
        <w:rPr>
          <w:rFonts w:ascii="Times New Roman" w:hAnsi="Times New Roman"/>
          <w:i/>
          <w:iCs/>
        </w:rPr>
        <w:t>To perform other duties defined in the relevant legislation.</w:t>
      </w:r>
    </w:p>
    <w:p w14:paraId="468C732F" w14:textId="73E99AA7" w:rsidR="0032468F" w:rsidRPr="009E1B38" w:rsidRDefault="47620091" w:rsidP="47620091">
      <w:pPr>
        <w:spacing w:after="160" w:line="253" w:lineRule="exact"/>
        <w:rPr>
          <w:rFonts w:ascii="Times New Roman" w:hAnsi="Times New Roman"/>
        </w:rPr>
      </w:pPr>
      <w:r w:rsidRPr="009E1B38">
        <w:rPr>
          <w:rFonts w:ascii="Times New Roman" w:hAnsi="Times New Roman"/>
          <w:i/>
          <w:iCs/>
        </w:rPr>
        <w:t>The transmission company concludes the market delivery contract with the market operator, which regulates its rights and obligations under this Regulation, PUE and VGPUE.”</w:t>
      </w:r>
    </w:p>
    <w:p w14:paraId="4ABE021A" w14:textId="2BCE591F"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46B110F9" w14:textId="32F33B49"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The title of the third section of the regulation has been changed as “Market Transactions, Guarantees, Default Guarantee Account, Invoices and Payments, Unusual Situations, Market Operating Procedures and Principles”.</w:t>
      </w:r>
    </w:p>
    <w:p w14:paraId="08A8A8EE" w14:textId="413561AE"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37068982" w14:textId="5E806520"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The following paragraph has been added to article 12 titled “Conditions for participation in the organized wholesale natural gas sales market”.</w:t>
      </w:r>
    </w:p>
    <w:p w14:paraId="619DAC5B" w14:textId="7F70E36A"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5C1DF52A" w14:textId="7A9FE447" w:rsidR="0032468F" w:rsidRPr="009E1B38" w:rsidRDefault="47620091" w:rsidP="47620091">
      <w:pPr>
        <w:spacing w:after="160" w:line="253" w:lineRule="exact"/>
        <w:rPr>
          <w:rFonts w:ascii="Times New Roman" w:hAnsi="Times New Roman"/>
        </w:rPr>
      </w:pPr>
      <w:r w:rsidRPr="009E1B38">
        <w:rPr>
          <w:rFonts w:ascii="Times New Roman" w:hAnsi="Times New Roman"/>
          <w:i/>
          <w:iCs/>
        </w:rPr>
        <w:t>“(2) Provided that they meet the conditions in the first paragraph, system users who become market participants are entitled to trade in VGP, provided that they sign the VGP participation agreement and fulfill the other issues specified in the VGPUE.”</w:t>
      </w:r>
    </w:p>
    <w:p w14:paraId="13E2950C" w14:textId="4C7F91CC"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2C10231B" w14:textId="1138CECC"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Article 13 titled “Suspension of access to the market” has been amended as follows.</w:t>
      </w:r>
    </w:p>
    <w:p w14:paraId="269F4B1D" w14:textId="676A5A4C"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 xml:space="preserve">                        “ARTICLE 13</w:t>
      </w:r>
    </w:p>
    <w:p w14:paraId="0CEC7DC1" w14:textId="6A20711B" w:rsidR="0032468F" w:rsidRPr="009E1B38" w:rsidRDefault="47620091" w:rsidP="47620091">
      <w:pPr>
        <w:spacing w:after="160" w:line="253" w:lineRule="exact"/>
        <w:rPr>
          <w:rFonts w:ascii="Times New Roman" w:hAnsi="Times New Roman"/>
        </w:rPr>
      </w:pPr>
      <w:r w:rsidRPr="009E1B38">
        <w:rPr>
          <w:rFonts w:ascii="Times New Roman" w:hAnsi="Times New Roman"/>
          <w:i/>
          <w:iCs/>
        </w:rPr>
        <w:t>(1) If the following conditions are met, the market operator may suspend the relevant market participant's access to the STP and/or the transactions that will create rights and obligations in this context, pursuant to the STP participation agreement and/or VGP participation agreement:</w:t>
      </w:r>
    </w:p>
    <w:p w14:paraId="47E15E5A" w14:textId="4A8210A6" w:rsidR="0032468F" w:rsidRPr="009E1B38" w:rsidRDefault="47620091" w:rsidP="47620091">
      <w:pPr>
        <w:spacing w:after="160" w:line="253" w:lineRule="exact"/>
        <w:rPr>
          <w:rFonts w:ascii="Times New Roman" w:hAnsi="Times New Roman"/>
        </w:rPr>
      </w:pPr>
      <w:r w:rsidRPr="009E1B38">
        <w:rPr>
          <w:rFonts w:ascii="Times New Roman" w:hAnsi="Times New Roman"/>
          <w:i/>
          <w:iCs/>
        </w:rPr>
        <w:t>a) If the transactions contrary to PUE and VGPUE are not corrected within the specified time despite the written warning.</w:t>
      </w:r>
    </w:p>
    <w:p w14:paraId="09EEAD76" w14:textId="26C285B5" w:rsidR="0032468F" w:rsidRPr="009E1B38" w:rsidRDefault="47620091" w:rsidP="47620091">
      <w:pPr>
        <w:spacing w:after="160" w:line="253" w:lineRule="exact"/>
        <w:rPr>
          <w:rFonts w:ascii="Times New Roman" w:hAnsi="Times New Roman"/>
        </w:rPr>
      </w:pPr>
      <w:r w:rsidRPr="009E1B38">
        <w:rPr>
          <w:rFonts w:ascii="Times New Roman" w:hAnsi="Times New Roman"/>
          <w:i/>
          <w:iCs/>
        </w:rPr>
        <w:t>b) Non-payment of fees and charges related to market operation and/or failure to fulfill obligations.</w:t>
      </w:r>
    </w:p>
    <w:p w14:paraId="5E15F41E" w14:textId="6D69016D" w:rsidR="0032468F" w:rsidRPr="009E1B38" w:rsidRDefault="47620091" w:rsidP="47620091">
      <w:pPr>
        <w:spacing w:after="160" w:line="253" w:lineRule="exact"/>
        <w:rPr>
          <w:rFonts w:ascii="Times New Roman" w:hAnsi="Times New Roman"/>
        </w:rPr>
      </w:pPr>
      <w:r w:rsidRPr="009E1B38">
        <w:rPr>
          <w:rFonts w:ascii="Times New Roman" w:hAnsi="Times New Roman"/>
          <w:i/>
          <w:iCs/>
        </w:rPr>
        <w:t>c) Failure to fulfill the collateral obligations specified in the PUE and VGPUE.</w:t>
      </w:r>
    </w:p>
    <w:p w14:paraId="2FB19370" w14:textId="08968D16" w:rsidR="0032468F" w:rsidRPr="009E1B38" w:rsidRDefault="47620091" w:rsidP="47620091">
      <w:pPr>
        <w:spacing w:after="160" w:line="253" w:lineRule="exact"/>
        <w:rPr>
          <w:rFonts w:ascii="Times New Roman" w:hAnsi="Times New Roman"/>
        </w:rPr>
      </w:pPr>
      <w:r w:rsidRPr="009E1B38">
        <w:rPr>
          <w:rFonts w:ascii="Times New Roman" w:hAnsi="Times New Roman"/>
          <w:i/>
          <w:iCs/>
        </w:rPr>
        <w:t>ç) The disappearance of any of the market participation conditions.</w:t>
      </w:r>
    </w:p>
    <w:p w14:paraId="04045AD5" w14:textId="77EB2196" w:rsidR="0032468F" w:rsidRPr="009E1B38" w:rsidRDefault="47620091" w:rsidP="47620091">
      <w:pPr>
        <w:spacing w:after="160" w:line="253" w:lineRule="exact"/>
        <w:rPr>
          <w:rFonts w:ascii="Times New Roman" w:hAnsi="Times New Roman"/>
        </w:rPr>
      </w:pPr>
      <w:r w:rsidRPr="009E1B38">
        <w:rPr>
          <w:rFonts w:ascii="Times New Roman" w:hAnsi="Times New Roman"/>
          <w:i/>
          <w:iCs/>
        </w:rPr>
        <w:t>d) Presence of any legal condition, judicial decision, government decision, measure or restriction that may affect the functioning of the organized wholesale natural gas market.</w:t>
      </w:r>
    </w:p>
    <w:p w14:paraId="0969A5BC" w14:textId="11510915"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60DD806C" w14:textId="3E95AC69" w:rsidR="0032468F" w:rsidRPr="009E1B38" w:rsidRDefault="47620091" w:rsidP="47620091">
      <w:pPr>
        <w:spacing w:after="160" w:line="253" w:lineRule="exact"/>
        <w:rPr>
          <w:rFonts w:ascii="Times New Roman" w:hAnsi="Times New Roman"/>
        </w:rPr>
      </w:pPr>
      <w:r w:rsidRPr="009E1B38">
        <w:rPr>
          <w:rFonts w:ascii="Times New Roman" w:hAnsi="Times New Roman"/>
          <w:i/>
          <w:iCs/>
        </w:rPr>
        <w:t>(2) The market operator may suspend the access of all market participants to the STP, in whole or in part, under the conditions specified in the PUE and VGPUE, if the following conditions are met:</w:t>
      </w:r>
    </w:p>
    <w:p w14:paraId="1DA5CD7B" w14:textId="4063B361" w:rsidR="0032468F" w:rsidRPr="009E1B38" w:rsidRDefault="47620091" w:rsidP="47620091">
      <w:pPr>
        <w:spacing w:after="160" w:line="253" w:lineRule="exact"/>
        <w:rPr>
          <w:rFonts w:ascii="Times New Roman" w:hAnsi="Times New Roman"/>
        </w:rPr>
      </w:pPr>
      <w:r w:rsidRPr="009E1B38">
        <w:rPr>
          <w:rFonts w:ascii="Times New Roman" w:hAnsi="Times New Roman"/>
          <w:i/>
          <w:iCs/>
        </w:rPr>
        <w:t>a) Unusual circumstances.</w:t>
      </w:r>
    </w:p>
    <w:p w14:paraId="7AD7AB05" w14:textId="527B6E84" w:rsidR="0032468F" w:rsidRPr="009E1B38" w:rsidRDefault="47620091" w:rsidP="47620091">
      <w:pPr>
        <w:spacing w:after="160" w:line="253" w:lineRule="exact"/>
        <w:rPr>
          <w:rFonts w:ascii="Times New Roman" w:hAnsi="Times New Roman"/>
        </w:rPr>
      </w:pPr>
      <w:r w:rsidRPr="009E1B38">
        <w:rPr>
          <w:rFonts w:ascii="Times New Roman" w:hAnsi="Times New Roman"/>
          <w:i/>
          <w:iCs/>
        </w:rPr>
        <w:t>b) Force majeure.</w:t>
      </w:r>
    </w:p>
    <w:p w14:paraId="08338C1B" w14:textId="07B03A0A" w:rsidR="0032468F" w:rsidRPr="009E1B38" w:rsidRDefault="47620091" w:rsidP="47620091">
      <w:pPr>
        <w:spacing w:after="160" w:line="253" w:lineRule="exact"/>
        <w:rPr>
          <w:rFonts w:ascii="Times New Roman" w:hAnsi="Times New Roman"/>
        </w:rPr>
      </w:pPr>
      <w:r w:rsidRPr="009E1B38">
        <w:rPr>
          <w:rFonts w:ascii="Times New Roman" w:hAnsi="Times New Roman"/>
          <w:i/>
          <w:iCs/>
        </w:rPr>
        <w:t>c) Planned maintenance for STP.</w:t>
      </w:r>
    </w:p>
    <w:p w14:paraId="4E6DFB45" w14:textId="4C97DDEF" w:rsidR="0032468F" w:rsidRPr="009E1B38" w:rsidRDefault="47620091" w:rsidP="47620091">
      <w:pPr>
        <w:spacing w:after="160" w:line="253" w:lineRule="exact"/>
        <w:rPr>
          <w:rFonts w:ascii="Times New Roman" w:hAnsi="Times New Roman"/>
        </w:rPr>
      </w:pPr>
      <w:r w:rsidRPr="009E1B38">
        <w:rPr>
          <w:rFonts w:ascii="Times New Roman" w:hAnsi="Times New Roman"/>
          <w:i/>
          <w:iCs/>
        </w:rPr>
        <w:lastRenderedPageBreak/>
        <w:t>ç) Any legal conditions, judicial decisions, government decisions, decisions, measures or restrictions of competent authorities and authorities that may affect the functioning of the organized wholesale natural gas market.</w:t>
      </w:r>
    </w:p>
    <w:p w14:paraId="1E4D2318" w14:textId="509EFE87"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21A94C07" w14:textId="6D1AA86B" w:rsidR="0032468F" w:rsidRPr="009E1B38" w:rsidRDefault="47620091" w:rsidP="47620091">
      <w:pPr>
        <w:spacing w:after="160" w:line="253" w:lineRule="exact"/>
        <w:rPr>
          <w:rFonts w:ascii="Times New Roman" w:hAnsi="Times New Roman"/>
        </w:rPr>
      </w:pPr>
      <w:r w:rsidRPr="009E1B38">
        <w:rPr>
          <w:rFonts w:ascii="Times New Roman" w:hAnsi="Times New Roman"/>
          <w:i/>
          <w:iCs/>
        </w:rPr>
        <w:t>(3) After the suspension of access to the STP under the first and/or second paragraphs under the terms of the PUE, VGPUE or the relevant contract, the procedure to be followed in case the conditions causing the suspension are lifted are determined in the PUE and VGPUE.</w:t>
      </w:r>
    </w:p>
    <w:p w14:paraId="2DE04B58" w14:textId="06DC5211"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6F1A2548" w14:textId="7C8C5C1E"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Article 15 titled "Bidding and price formation in STP" has been amended as follows.</w:t>
      </w:r>
    </w:p>
    <w:p w14:paraId="660B11FE" w14:textId="6E5999A2"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 xml:space="preserve"> </w:t>
      </w:r>
    </w:p>
    <w:p w14:paraId="00D06399" w14:textId="6B13089F"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“ARTICLE 15</w:t>
      </w:r>
    </w:p>
    <w:p w14:paraId="2EE1B9E7" w14:textId="305FE6B5"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2AA88391" w14:textId="73098811" w:rsidR="0032468F" w:rsidRPr="009E1B38" w:rsidRDefault="47620091" w:rsidP="47620091">
      <w:pPr>
        <w:spacing w:after="160" w:line="253" w:lineRule="exact"/>
        <w:rPr>
          <w:rFonts w:ascii="Times New Roman" w:hAnsi="Times New Roman"/>
        </w:rPr>
      </w:pPr>
      <w:r w:rsidRPr="009E1B38">
        <w:rPr>
          <w:rFonts w:ascii="Times New Roman" w:hAnsi="Times New Roman"/>
          <w:i/>
          <w:iCs/>
        </w:rPr>
        <w:t>(1) In STP, bids for buying or selling matches are given for physical or virtual delivery points.</w:t>
      </w:r>
    </w:p>
    <w:p w14:paraId="50FD7CEE" w14:textId="6006F2A2"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7D57322F" w14:textId="1418CC76" w:rsidR="0032468F" w:rsidRPr="009E1B38" w:rsidRDefault="47620091" w:rsidP="47620091">
      <w:pPr>
        <w:spacing w:after="160" w:line="253" w:lineRule="exact"/>
        <w:rPr>
          <w:rFonts w:ascii="Times New Roman" w:hAnsi="Times New Roman"/>
        </w:rPr>
      </w:pPr>
      <w:r w:rsidRPr="009E1B38">
        <w:rPr>
          <w:rFonts w:ascii="Times New Roman" w:hAnsi="Times New Roman"/>
          <w:i/>
          <w:iCs/>
        </w:rPr>
        <w:t>(2) A market participant can only bid at the points where it has made a capacity reservation in the transmission network. The terms of the offers are determined in the PUE and VGPUE, provided that they comply with the NOP and relevant legislation provisions.</w:t>
      </w:r>
    </w:p>
    <w:p w14:paraId="529D14DE" w14:textId="0F914CE0"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543A6C65" w14:textId="56072288" w:rsidR="0032468F" w:rsidRPr="009E1B38" w:rsidRDefault="47620091" w:rsidP="47620091">
      <w:pPr>
        <w:spacing w:after="160" w:line="253" w:lineRule="exact"/>
        <w:rPr>
          <w:rFonts w:ascii="Times New Roman" w:hAnsi="Times New Roman"/>
        </w:rPr>
      </w:pPr>
      <w:r w:rsidRPr="009E1B38">
        <w:rPr>
          <w:rFonts w:ascii="Times New Roman" w:hAnsi="Times New Roman"/>
          <w:i/>
          <w:iCs/>
        </w:rPr>
        <w:t>(3) The sales offers for the relevant gas day are ordered by the market operator according to the increasing price and the purchase offers according to the decreasing price. Among the bids given in the same direction, the bid with the best price has priority. The bid with the lowest price for the selling offer with the highest price for the buy offer is considered the best offer. Bids registered before equal priced bids in the same direction and type have priority.</w:t>
      </w:r>
    </w:p>
    <w:p w14:paraId="12776DFA" w14:textId="57D9ED0C"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3E667118" w14:textId="01BB8856" w:rsidR="0032468F" w:rsidRPr="009E1B38" w:rsidRDefault="47620091" w:rsidP="47620091">
      <w:pPr>
        <w:spacing w:after="160" w:line="253" w:lineRule="exact"/>
        <w:rPr>
          <w:rFonts w:ascii="Times New Roman" w:hAnsi="Times New Roman"/>
        </w:rPr>
      </w:pPr>
      <w:r w:rsidRPr="009E1B38">
        <w:rPr>
          <w:rFonts w:ascii="Times New Roman" w:hAnsi="Times New Roman"/>
          <w:i/>
          <w:iCs/>
        </w:rPr>
        <w:t>(4) While evaluating the offers submitted in the STP, the rules regarding the guarantee to be kept by the market operator within the framework of the conditions determined in the PUE and VGPUE are taken into account.</w:t>
      </w:r>
    </w:p>
    <w:p w14:paraId="570D19F7" w14:textId="06ACC8BD"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24559E55" w14:textId="1D960083" w:rsidR="0032468F" w:rsidRPr="009E1B38" w:rsidRDefault="47620091" w:rsidP="47620091">
      <w:pPr>
        <w:spacing w:after="160" w:line="253" w:lineRule="exact"/>
        <w:rPr>
          <w:rFonts w:ascii="Times New Roman" w:hAnsi="Times New Roman"/>
        </w:rPr>
      </w:pPr>
      <w:r w:rsidRPr="009E1B38">
        <w:rPr>
          <w:rFonts w:ascii="Times New Roman" w:hAnsi="Times New Roman"/>
          <w:i/>
          <w:iCs/>
        </w:rPr>
        <w:t>(5) In the settlement of market transactions, the matching prices in the finalized market transaction are taken as basis. Natural gas purchases and sales carried out within the scope of STP are binding for the parties. Market participants are obliged to meet the prices and conditions specified in their bid or sale bids.</w:t>
      </w:r>
    </w:p>
    <w:p w14:paraId="314D99BA" w14:textId="54E1EA80"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4395E585" w14:textId="3287DBBF" w:rsidR="0032468F" w:rsidRPr="009E1B38" w:rsidRDefault="47620091" w:rsidP="47620091">
      <w:pPr>
        <w:spacing w:after="160" w:line="253" w:lineRule="exact"/>
        <w:rPr>
          <w:rFonts w:ascii="Times New Roman" w:hAnsi="Times New Roman"/>
        </w:rPr>
      </w:pPr>
      <w:r w:rsidRPr="009E1B38">
        <w:rPr>
          <w:rFonts w:ascii="Times New Roman" w:hAnsi="Times New Roman"/>
          <w:i/>
          <w:iCs/>
        </w:rPr>
        <w:t>(6) The prices, including the daily reference price and the daily indicator price to be announced by the market operator, are calculated within the framework of the PUE and VGPUE provisions, based on the prices of the finalized matches and the delivery date.</w:t>
      </w:r>
    </w:p>
    <w:p w14:paraId="585A4863" w14:textId="034EFBC9"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135209F7" w14:textId="530B5427" w:rsidR="0032468F" w:rsidRPr="009E1B38" w:rsidRDefault="47620091" w:rsidP="47620091">
      <w:pPr>
        <w:spacing w:after="160" w:line="253" w:lineRule="exact"/>
        <w:rPr>
          <w:rFonts w:ascii="Times New Roman" w:hAnsi="Times New Roman"/>
        </w:rPr>
      </w:pPr>
      <w:r w:rsidRPr="009E1B38">
        <w:rPr>
          <w:rFonts w:ascii="Times New Roman" w:hAnsi="Times New Roman"/>
          <w:i/>
          <w:iCs/>
        </w:rPr>
        <w:t>(7) Principles regarding the measures to be applied in order to ensure that the prices in the organized wholesale natural gas sales market are formed within the framework of supply and demand are regulated by the Board.</w:t>
      </w:r>
    </w:p>
    <w:p w14:paraId="52C0562D" w14:textId="6E8176B5"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7537AA78" w14:textId="0FC4F6B2" w:rsidR="0032468F" w:rsidRPr="009E1B38" w:rsidRDefault="47620091" w:rsidP="47620091">
      <w:pPr>
        <w:spacing w:after="160" w:line="253" w:lineRule="exact"/>
        <w:rPr>
          <w:rFonts w:ascii="Times New Roman" w:hAnsi="Times New Roman"/>
        </w:rPr>
      </w:pPr>
      <w:r w:rsidRPr="009E1B38">
        <w:rPr>
          <w:rFonts w:ascii="Times New Roman" w:hAnsi="Times New Roman"/>
          <w:i/>
          <w:iCs/>
        </w:rPr>
        <w:lastRenderedPageBreak/>
        <w:t>(8) If it is determined that market participants and system users act in violation of the Law and other relevant legislation, and the information requested by the Board is determined to be incorrect, incomplete or misleading, the sanctions set forth in Article 9 of the Law are applied, depending on their relevance.</w:t>
      </w:r>
    </w:p>
    <w:p w14:paraId="34F985B7" w14:textId="1494640B"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07086EDA" w14:textId="589CAEE9" w:rsidR="0032468F" w:rsidRPr="009E1B38" w:rsidRDefault="47620091" w:rsidP="47620091">
      <w:pPr>
        <w:spacing w:after="160" w:line="253" w:lineRule="exact"/>
        <w:rPr>
          <w:rFonts w:ascii="Times New Roman" w:hAnsi="Times New Roman"/>
        </w:rPr>
      </w:pPr>
      <w:r w:rsidRPr="009E1B38">
        <w:rPr>
          <w:rFonts w:ascii="Times New Roman" w:hAnsi="Times New Roman"/>
          <w:i/>
          <w:iCs/>
        </w:rPr>
        <w:t>(9) The market operator is obliged to monitor, analyze and report the prices formed in the market and to submit these reports to the Authority quarterly.”</w:t>
      </w:r>
    </w:p>
    <w:p w14:paraId="7BA889A8" w14:textId="1FDCD0B3"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1A0E1333" w14:textId="53061122"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Article 16 titled "Minimum elements regarding the bids to be submitted in the STP" has been amended as follows.</w:t>
      </w:r>
    </w:p>
    <w:p w14:paraId="750932DF" w14:textId="732D6B9A"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 xml:space="preserve"> </w:t>
      </w:r>
    </w:p>
    <w:p w14:paraId="0E5AB826" w14:textId="5CD0F3E8"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“ARTICLE 16</w:t>
      </w:r>
    </w:p>
    <w:p w14:paraId="6277E0B7" w14:textId="41177552"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4C85F0FA" w14:textId="51F67187" w:rsidR="0032468F" w:rsidRPr="009E1B38" w:rsidRDefault="47620091" w:rsidP="47620091">
      <w:pPr>
        <w:spacing w:after="160" w:line="253" w:lineRule="exact"/>
        <w:rPr>
          <w:rFonts w:ascii="Times New Roman" w:hAnsi="Times New Roman"/>
        </w:rPr>
      </w:pPr>
      <w:r w:rsidRPr="009E1B38">
        <w:rPr>
          <w:rFonts w:ascii="Times New Roman" w:hAnsi="Times New Roman"/>
          <w:i/>
          <w:iCs/>
        </w:rPr>
        <w:t>(1) The offers to be submitted by the market participants in the STP must have the following minimum elements:</w:t>
      </w:r>
    </w:p>
    <w:p w14:paraId="281E8949" w14:textId="3ED323BA" w:rsidR="0032468F" w:rsidRPr="009E1B38" w:rsidRDefault="47620091" w:rsidP="47620091">
      <w:pPr>
        <w:spacing w:after="160" w:line="253" w:lineRule="exact"/>
        <w:rPr>
          <w:rFonts w:ascii="Times New Roman" w:hAnsi="Times New Roman"/>
        </w:rPr>
      </w:pPr>
      <w:r w:rsidRPr="009E1B38">
        <w:rPr>
          <w:rFonts w:ascii="Times New Roman" w:hAnsi="Times New Roman"/>
          <w:i/>
          <w:iCs/>
        </w:rPr>
        <w:t>a) Gas day subject to the offer.</w:t>
      </w:r>
    </w:p>
    <w:p w14:paraId="48110861" w14:textId="4421C005" w:rsidR="0032468F" w:rsidRPr="009E1B38" w:rsidRDefault="47620091" w:rsidP="47620091">
      <w:pPr>
        <w:spacing w:after="160" w:line="253" w:lineRule="exact"/>
        <w:rPr>
          <w:rFonts w:ascii="Times New Roman" w:hAnsi="Times New Roman"/>
        </w:rPr>
      </w:pPr>
      <w:r w:rsidRPr="009E1B38">
        <w:rPr>
          <w:rFonts w:ascii="Times New Roman" w:hAnsi="Times New Roman"/>
          <w:i/>
          <w:iCs/>
        </w:rPr>
        <w:t>b) Direction of the offer (buy or sell).</w:t>
      </w:r>
    </w:p>
    <w:p w14:paraId="3E488C54" w14:textId="66007821" w:rsidR="0032468F" w:rsidRPr="009E1B38" w:rsidRDefault="47620091" w:rsidP="47620091">
      <w:pPr>
        <w:spacing w:after="160" w:line="253" w:lineRule="exact"/>
        <w:rPr>
          <w:rFonts w:ascii="Times New Roman" w:hAnsi="Times New Roman"/>
        </w:rPr>
      </w:pPr>
      <w:r w:rsidRPr="009E1B38">
        <w:rPr>
          <w:rFonts w:ascii="Times New Roman" w:hAnsi="Times New Roman"/>
          <w:i/>
          <w:iCs/>
        </w:rPr>
        <w:t>c) Type of offer (validity period of the offer, where the offer can be accepted in whole or in part, etc.).</w:t>
      </w:r>
    </w:p>
    <w:p w14:paraId="2E13B207" w14:textId="2FCBF6BA" w:rsidR="0032468F" w:rsidRPr="009E1B38" w:rsidRDefault="47620091" w:rsidP="47620091">
      <w:pPr>
        <w:spacing w:after="160" w:line="253" w:lineRule="exact"/>
        <w:rPr>
          <w:rFonts w:ascii="Times New Roman" w:hAnsi="Times New Roman"/>
        </w:rPr>
      </w:pPr>
      <w:r w:rsidRPr="009E1B38">
        <w:rPr>
          <w:rFonts w:ascii="Times New Roman" w:hAnsi="Times New Roman"/>
          <w:i/>
          <w:iCs/>
        </w:rPr>
        <w:t>ç) Quantity subject to offer.</w:t>
      </w:r>
    </w:p>
    <w:p w14:paraId="6353F99D" w14:textId="1F3A3D1C" w:rsidR="0032468F" w:rsidRPr="009E1B38" w:rsidRDefault="47620091" w:rsidP="47620091">
      <w:pPr>
        <w:spacing w:after="160" w:line="253" w:lineRule="exact"/>
        <w:rPr>
          <w:rFonts w:ascii="Times New Roman" w:hAnsi="Times New Roman"/>
        </w:rPr>
      </w:pPr>
      <w:r w:rsidRPr="009E1B38">
        <w:rPr>
          <w:rFonts w:ascii="Times New Roman" w:hAnsi="Times New Roman"/>
          <w:i/>
          <w:iCs/>
        </w:rPr>
        <w:t>d) Bid price.</w:t>
      </w:r>
    </w:p>
    <w:p w14:paraId="4F0C5FC8" w14:textId="737582EE" w:rsidR="0032468F" w:rsidRPr="009E1B38" w:rsidRDefault="47620091" w:rsidP="47620091">
      <w:pPr>
        <w:spacing w:after="160" w:line="253" w:lineRule="exact"/>
        <w:rPr>
          <w:rFonts w:ascii="Times New Roman" w:hAnsi="Times New Roman"/>
        </w:rPr>
      </w:pPr>
      <w:r w:rsidRPr="009E1B38">
        <w:rPr>
          <w:rFonts w:ascii="Times New Roman" w:hAnsi="Times New Roman"/>
          <w:i/>
          <w:iCs/>
        </w:rPr>
        <w:t>e) Delivery period and other matters specified in the PUE and VGPUE regarding the delivery.</w:t>
      </w:r>
    </w:p>
    <w:p w14:paraId="79AC99A4" w14:textId="755EC308" w:rsidR="0032468F" w:rsidRPr="009E1B38" w:rsidRDefault="47620091" w:rsidP="47620091">
      <w:pPr>
        <w:spacing w:after="160" w:line="253" w:lineRule="exact"/>
        <w:rPr>
          <w:rFonts w:ascii="Times New Roman" w:hAnsi="Times New Roman"/>
        </w:rPr>
      </w:pPr>
      <w:r w:rsidRPr="009E1B38">
        <w:rPr>
          <w:rFonts w:ascii="Times New Roman" w:hAnsi="Times New Roman"/>
          <w:i/>
          <w:iCs/>
        </w:rPr>
        <w:t>f) If it is a point/regional offer, the offer point/region.</w:t>
      </w:r>
    </w:p>
    <w:p w14:paraId="419A8DF0" w14:textId="02E11748" w:rsidR="0032468F" w:rsidRPr="009E1B38" w:rsidRDefault="47620091" w:rsidP="47620091">
      <w:pPr>
        <w:spacing w:after="160" w:line="253" w:lineRule="exact"/>
        <w:rPr>
          <w:rFonts w:ascii="Times New Roman" w:hAnsi="Times New Roman"/>
        </w:rPr>
      </w:pPr>
      <w:r w:rsidRPr="009E1B38">
        <w:rPr>
          <w:rFonts w:ascii="Times New Roman" w:hAnsi="Times New Roman"/>
          <w:i/>
          <w:iCs/>
        </w:rPr>
        <w:t>g) Whether the offer is demand-side.</w:t>
      </w:r>
    </w:p>
    <w:p w14:paraId="6FFD6FA5" w14:textId="5E9BF9D4" w:rsidR="0032468F" w:rsidRPr="009E1B38" w:rsidRDefault="47620091" w:rsidP="47620091">
      <w:pPr>
        <w:spacing w:after="160" w:line="253" w:lineRule="exact"/>
        <w:rPr>
          <w:rFonts w:ascii="Times New Roman" w:hAnsi="Times New Roman"/>
        </w:rPr>
      </w:pPr>
      <w:r w:rsidRPr="009E1B38">
        <w:rPr>
          <w:rFonts w:ascii="Times New Roman" w:hAnsi="Times New Roman"/>
          <w:i/>
          <w:iCs/>
        </w:rPr>
        <w:t>ğ) If available, Justification code:</w:t>
      </w:r>
    </w:p>
    <w:p w14:paraId="17497FA5" w14:textId="30D157EA"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6ECF7737" w14:textId="2CE99507" w:rsidR="0032468F" w:rsidRPr="009E1B38" w:rsidRDefault="47620091" w:rsidP="47620091">
      <w:pPr>
        <w:spacing w:after="160" w:line="253" w:lineRule="exact"/>
        <w:rPr>
          <w:rFonts w:ascii="Times New Roman" w:hAnsi="Times New Roman"/>
        </w:rPr>
      </w:pPr>
      <w:r w:rsidRPr="009E1B38">
        <w:rPr>
          <w:rFonts w:ascii="Times New Roman" w:hAnsi="Times New Roman"/>
          <w:i/>
          <w:iCs/>
        </w:rPr>
        <w:t>(2) Other issues regarding the proposals that meet the minimum requirements within the scope of this article are determined in the PUE and VGPUE.</w:t>
      </w:r>
    </w:p>
    <w:p w14:paraId="63172EAF" w14:textId="274F1AEA"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0B34067C" w14:textId="0CD4909D"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Article 17 titled “Guarantees for Market Participation” has been amended as follows.</w:t>
      </w:r>
    </w:p>
    <w:p w14:paraId="2E1D065E" w14:textId="2D30883B"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 xml:space="preserve"> </w:t>
      </w:r>
    </w:p>
    <w:p w14:paraId="1AFF834B" w14:textId="7214B6E1"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“ARTICLE 17</w:t>
      </w:r>
    </w:p>
    <w:p w14:paraId="6256AD5D" w14:textId="002436F3"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4A1A4A78" w14:textId="75CF9BB8" w:rsidR="0032468F" w:rsidRPr="009E1B38" w:rsidRDefault="47620091" w:rsidP="47620091">
      <w:pPr>
        <w:spacing w:after="160" w:line="253" w:lineRule="exact"/>
        <w:rPr>
          <w:rFonts w:ascii="Times New Roman" w:hAnsi="Times New Roman"/>
        </w:rPr>
      </w:pPr>
      <w:r w:rsidRPr="009E1B38">
        <w:rPr>
          <w:rFonts w:ascii="Times New Roman" w:hAnsi="Times New Roman"/>
          <w:i/>
          <w:iCs/>
        </w:rPr>
        <w:t>(1) The market operator requests the guarantee from the market participant in the amount and conditions determined in NOP, PUE and/or VGPUE regarding participation in the organized wholesale natural gas market and reconciliation of market transactions and imbalances.</w:t>
      </w:r>
    </w:p>
    <w:p w14:paraId="24A0AF8D" w14:textId="2417D37E"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1FCF6BF9" w14:textId="3B6252D5" w:rsidR="0032468F" w:rsidRPr="009E1B38" w:rsidRDefault="47620091" w:rsidP="47620091">
      <w:pPr>
        <w:spacing w:after="160" w:line="253" w:lineRule="exact"/>
        <w:rPr>
          <w:rFonts w:ascii="Times New Roman" w:hAnsi="Times New Roman"/>
        </w:rPr>
      </w:pPr>
      <w:r w:rsidRPr="009E1B38">
        <w:rPr>
          <w:rFonts w:ascii="Times New Roman" w:hAnsi="Times New Roman"/>
          <w:i/>
          <w:iCs/>
        </w:rPr>
        <w:t>(2) Issues regarding the collateral obligation, collateral types, assets to be accepted as collateral, collateral processes and the calculation of collateral amounts and the use of the amounts exceeding the collateral required to be submitted in accordance with the relevant legislation are regulated in the PUE and VGPUE.</w:t>
      </w:r>
    </w:p>
    <w:p w14:paraId="5B6733F8" w14:textId="74B87B64" w:rsidR="0032468F" w:rsidRPr="009E1B38" w:rsidRDefault="47620091" w:rsidP="47620091">
      <w:pPr>
        <w:spacing w:after="160" w:line="253" w:lineRule="exact"/>
        <w:rPr>
          <w:rFonts w:ascii="Times New Roman" w:hAnsi="Times New Roman"/>
        </w:rPr>
      </w:pPr>
      <w:r w:rsidRPr="009E1B38">
        <w:rPr>
          <w:rFonts w:ascii="Times New Roman" w:hAnsi="Times New Roman"/>
          <w:i/>
          <w:iCs/>
        </w:rPr>
        <w:lastRenderedPageBreak/>
        <w:t xml:space="preserve"> </w:t>
      </w:r>
    </w:p>
    <w:p w14:paraId="22CC25A4" w14:textId="64176CF8" w:rsidR="0032468F" w:rsidRPr="009E1B38" w:rsidRDefault="47620091" w:rsidP="47620091">
      <w:pPr>
        <w:spacing w:after="160" w:line="253" w:lineRule="exact"/>
        <w:rPr>
          <w:rFonts w:ascii="Times New Roman" w:hAnsi="Times New Roman"/>
        </w:rPr>
      </w:pPr>
      <w:r w:rsidRPr="009E1B38">
        <w:rPr>
          <w:rFonts w:ascii="Times New Roman" w:hAnsi="Times New Roman"/>
          <w:i/>
          <w:iCs/>
        </w:rPr>
        <w:t>(3) The market operator signs the central settlement institution agreement in order to fulfill the duties of the central settlement institution determined in this Regulation, to operate the guarantee mechanism and to ensure the continuity of the cash flow in the market by making the payments in a timely and accurate manner.</w:t>
      </w:r>
    </w:p>
    <w:p w14:paraId="7F1B8189" w14:textId="680ECEB5"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4FC4A98A" w14:textId="628147E6" w:rsidR="0032468F" w:rsidRPr="009E1B38" w:rsidRDefault="47620091" w:rsidP="47620091">
      <w:pPr>
        <w:spacing w:after="160" w:line="253" w:lineRule="exact"/>
        <w:rPr>
          <w:rFonts w:ascii="Times New Roman" w:hAnsi="Times New Roman"/>
        </w:rPr>
      </w:pPr>
      <w:r w:rsidRPr="009E1B38">
        <w:rPr>
          <w:rFonts w:ascii="Times New Roman" w:hAnsi="Times New Roman"/>
          <w:i/>
          <w:iCs/>
        </w:rPr>
        <w:t>(4) The central mediation agency authorized by the market operator with the central mediation agency agreement, performs the duties stipulated for it in the PUE and VGPUE in accordance with the provisions of the central mediation agency-participant agreement.</w:t>
      </w:r>
    </w:p>
    <w:p w14:paraId="06869316" w14:textId="0D9E1A4A"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463FACAE" w14:textId="3A8E44C5" w:rsidR="0032468F" w:rsidRPr="009E1B38" w:rsidRDefault="47620091" w:rsidP="47620091">
      <w:pPr>
        <w:spacing w:after="160" w:line="253" w:lineRule="exact"/>
        <w:rPr>
          <w:rFonts w:ascii="Times New Roman" w:hAnsi="Times New Roman"/>
        </w:rPr>
      </w:pPr>
      <w:r w:rsidRPr="009E1B38">
        <w:rPr>
          <w:rFonts w:ascii="Times New Roman" w:hAnsi="Times New Roman"/>
          <w:i/>
          <w:iCs/>
        </w:rPr>
        <w:t>(5) The central settlement institution, on behalf of the market operator, blocks the amount of collateral offered to it on the basis of the participant regarding the market activities, in favor of the market operator.”</w:t>
      </w:r>
    </w:p>
    <w:p w14:paraId="1873BF5A" w14:textId="2DFC7667"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48B7A5A5" w14:textId="5C20BA92"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The following articles have been added to the regulation to come after article 17.</w:t>
      </w:r>
    </w:p>
    <w:p w14:paraId="43976DED" w14:textId="013B3E15"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 xml:space="preserve"> </w:t>
      </w:r>
    </w:p>
    <w:p w14:paraId="1285919C" w14:textId="76B6B838"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“Perverseness guarantee account</w:t>
      </w:r>
    </w:p>
    <w:p w14:paraId="62DCC180" w14:textId="60666DA3"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ARTICLE 17/A</w:t>
      </w:r>
    </w:p>
    <w:p w14:paraId="669F3067" w14:textId="17529EA3"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5601FEC4" w14:textId="11866006" w:rsidR="0032468F" w:rsidRPr="009E1B38" w:rsidRDefault="47620091" w:rsidP="47620091">
      <w:pPr>
        <w:spacing w:after="160" w:line="253" w:lineRule="exact"/>
        <w:rPr>
          <w:rFonts w:ascii="Times New Roman" w:hAnsi="Times New Roman"/>
        </w:rPr>
      </w:pPr>
      <w:r w:rsidRPr="009E1B38">
        <w:rPr>
          <w:rFonts w:ascii="Times New Roman" w:hAnsi="Times New Roman"/>
          <w:i/>
          <w:iCs/>
        </w:rPr>
        <w:t>(1) The market operator creates a default guarantee account to be used for the portion of the losses that may occur in the futures market in case of default of one or more of the market participants, exceeding the guarantees of the relevant market participants.</w:t>
      </w:r>
    </w:p>
    <w:p w14:paraId="4CAAA5B4" w14:textId="7690A026"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433C0842" w14:textId="1E5C2873" w:rsidR="0032468F" w:rsidRPr="009E1B38" w:rsidRDefault="47620091" w:rsidP="47620091">
      <w:pPr>
        <w:spacing w:after="160" w:line="253" w:lineRule="exact"/>
        <w:rPr>
          <w:rFonts w:ascii="Times New Roman" w:hAnsi="Times New Roman"/>
        </w:rPr>
      </w:pPr>
      <w:r w:rsidRPr="009E1B38">
        <w:rPr>
          <w:rFonts w:ascii="Times New Roman" w:hAnsi="Times New Roman"/>
          <w:i/>
          <w:iCs/>
        </w:rPr>
        <w:t>(2) The default guarantee account is represented and managed by the market operator. The assets in the default guarantee account cannot be used for any purpose other than their purpose, cannot be seized, pledged, not affected by the liquidation decisions of the administrative authorities, cannot be included in the bankruptcy estate and cannot be subject to injunctions.</w:t>
      </w:r>
    </w:p>
    <w:p w14:paraId="23595386" w14:textId="1E82F749"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7AE87896" w14:textId="52028AAC" w:rsidR="0032468F" w:rsidRPr="009E1B38" w:rsidRDefault="47620091" w:rsidP="47620091">
      <w:pPr>
        <w:spacing w:after="160" w:line="253" w:lineRule="exact"/>
        <w:rPr>
          <w:rFonts w:ascii="Times New Roman" w:hAnsi="Times New Roman"/>
        </w:rPr>
      </w:pPr>
      <w:r w:rsidRPr="009E1B38">
        <w:rPr>
          <w:rFonts w:ascii="Times New Roman" w:hAnsi="Times New Roman"/>
          <w:i/>
          <w:iCs/>
        </w:rPr>
        <w:t>(3) The default guarantee account is created with the contributions of the relevant market participants. The market operator undertakes to contribute default management resources to pay in case of default. The amount and form of use of the default management contribution of the market operator is regulated in the VGPUE.</w:t>
      </w:r>
    </w:p>
    <w:p w14:paraId="66B45749" w14:textId="198DC7B5"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64399B0A" w14:textId="0E4989AD" w:rsidR="0032468F" w:rsidRPr="009E1B38" w:rsidRDefault="47620091" w:rsidP="47620091">
      <w:pPr>
        <w:spacing w:after="160" w:line="253" w:lineRule="exact"/>
        <w:rPr>
          <w:rFonts w:ascii="Times New Roman" w:hAnsi="Times New Roman"/>
        </w:rPr>
      </w:pPr>
      <w:r w:rsidRPr="009E1B38">
        <w:rPr>
          <w:rFonts w:ascii="Times New Roman" w:hAnsi="Times New Roman"/>
          <w:i/>
          <w:iCs/>
        </w:rPr>
        <w:t>(4) If the current accounts, guarantees, default guarantee account contributions of the defaulting market participants and the default management contribution of the market operator are sufficient, the default guarantee account contributions of other market participants are not applied.</w:t>
      </w:r>
    </w:p>
    <w:p w14:paraId="1324B776" w14:textId="61882E91"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7EF3178B" w14:textId="310E3DF5" w:rsidR="0032468F" w:rsidRPr="009E1B38" w:rsidRDefault="47620091" w:rsidP="47620091">
      <w:pPr>
        <w:spacing w:after="160" w:line="253" w:lineRule="exact"/>
        <w:rPr>
          <w:rFonts w:ascii="Times New Roman" w:hAnsi="Times New Roman"/>
        </w:rPr>
      </w:pPr>
      <w:r w:rsidRPr="009E1B38">
        <w:rPr>
          <w:rFonts w:ascii="Times New Roman" w:hAnsi="Times New Roman"/>
          <w:i/>
          <w:iCs/>
        </w:rPr>
        <w:t>(5) Determining the default guarantee account size and contribution margins, determining the types of assets that can be accepted as contribution margins, receiving them from market participants, cases where additional contributions will be received, remuneration of cash contributions in TL in the default guarantee account, using these assets in case of default, and providing them to market participants. Matters regarding its return are regulated in the VGPUE.</w:t>
      </w:r>
    </w:p>
    <w:p w14:paraId="1807E8DF" w14:textId="398E8AB0"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 xml:space="preserve"> </w:t>
      </w:r>
    </w:p>
    <w:p w14:paraId="107E87AB" w14:textId="14BA763B"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Invoices and</w:t>
      </w:r>
      <w:r w:rsidR="00B64343" w:rsidRPr="009E1B38">
        <w:rPr>
          <w:rFonts w:ascii="Times New Roman" w:hAnsi="Times New Roman"/>
          <w:b/>
          <w:bCs/>
          <w:i/>
          <w:iCs/>
        </w:rPr>
        <w:t xml:space="preserve"> p</w:t>
      </w:r>
      <w:r w:rsidRPr="009E1B38">
        <w:rPr>
          <w:rFonts w:ascii="Times New Roman" w:hAnsi="Times New Roman"/>
          <w:b/>
          <w:bCs/>
          <w:i/>
          <w:iCs/>
        </w:rPr>
        <w:t>ayments</w:t>
      </w:r>
    </w:p>
    <w:p w14:paraId="03919035" w14:textId="50EB73D9"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lastRenderedPageBreak/>
        <w:t>ARTICLE 17/B</w:t>
      </w:r>
    </w:p>
    <w:p w14:paraId="03F4A49A" w14:textId="03F33F02" w:rsidR="0032468F" w:rsidRPr="009E1B38" w:rsidRDefault="47620091" w:rsidP="47620091">
      <w:pPr>
        <w:spacing w:after="160" w:line="253" w:lineRule="exact"/>
        <w:rPr>
          <w:rFonts w:ascii="Times New Roman" w:hAnsi="Times New Roman"/>
        </w:rPr>
      </w:pPr>
      <w:r w:rsidRPr="009E1B38">
        <w:rPr>
          <w:rFonts w:ascii="Times New Roman" w:hAnsi="Times New Roman"/>
          <w:i/>
          <w:iCs/>
        </w:rPr>
        <w:t>(1) Regarding the invoices issued in accordance with the provisions of PUE and VGPUE, the market participant who does not fulfill its invoice payment obligation within the periods specified in the PUE and VGPUE; Issues related to the default, collection of invoice debts from collateral and current accounts and/or default guarantee account contribution amount, application of default interest for unpaid amounts, margin call to market participants who do not fulfill their collateral obligations, and transactions to be established for market participants who do not complete their collateral PUE and edited in VGPUE.</w:t>
      </w:r>
    </w:p>
    <w:p w14:paraId="6E70DA14" w14:textId="0246B828"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66D2E285" w14:textId="4BBBCA20" w:rsidR="0032468F" w:rsidRPr="009E1B38" w:rsidRDefault="47620091" w:rsidP="47620091">
      <w:pPr>
        <w:spacing w:after="160" w:line="253" w:lineRule="exact"/>
        <w:rPr>
          <w:rFonts w:ascii="Times New Roman" w:hAnsi="Times New Roman"/>
        </w:rPr>
      </w:pPr>
      <w:r w:rsidRPr="009E1B38">
        <w:rPr>
          <w:rFonts w:ascii="Times New Roman" w:hAnsi="Times New Roman"/>
          <w:i/>
          <w:iCs/>
        </w:rPr>
        <w:t>(2) Based on the net debts of all market participants trading in the organized wholesale natural gas markets operated by the market operator, the invoice payments made to their current accounts in the central settlement institution are deducted from their debts in the following order:</w:t>
      </w:r>
    </w:p>
    <w:p w14:paraId="5916A068" w14:textId="4D88C02F" w:rsidR="0032468F" w:rsidRPr="009E1B38" w:rsidRDefault="47620091" w:rsidP="47620091">
      <w:pPr>
        <w:spacing w:after="160" w:line="240" w:lineRule="exact"/>
        <w:ind w:left="360" w:hanging="360"/>
        <w:rPr>
          <w:rFonts w:ascii="Times New Roman" w:hAnsi="Times New Roman"/>
        </w:rPr>
      </w:pPr>
      <w:r w:rsidRPr="009E1B38">
        <w:rPr>
          <w:rFonts w:ascii="Times New Roman" w:hAnsi="Times New Roman"/>
          <w:i/>
          <w:iCs/>
        </w:rPr>
        <w:t>a)</w:t>
      </w:r>
      <w:r w:rsidRPr="009E1B38">
        <w:rPr>
          <w:rFonts w:ascii="Times New Roman" w:eastAsia="Times New Roman" w:hAnsi="Times New Roman"/>
          <w:sz w:val="14"/>
          <w:szCs w:val="14"/>
        </w:rPr>
        <w:t xml:space="preserve">     </w:t>
      </w:r>
      <w:r w:rsidRPr="009E1B38">
        <w:rPr>
          <w:rFonts w:ascii="Times New Roman" w:hAnsi="Times New Roman"/>
          <w:i/>
          <w:iCs/>
        </w:rPr>
        <w:t>Market operating fees and other fees payable to the market operator.</w:t>
      </w:r>
    </w:p>
    <w:p w14:paraId="52CF479E" w14:textId="42B706A4" w:rsidR="0032468F" w:rsidRPr="009E1B38" w:rsidRDefault="47620091" w:rsidP="47620091">
      <w:pPr>
        <w:spacing w:after="160" w:line="240" w:lineRule="exact"/>
        <w:ind w:left="360" w:hanging="360"/>
        <w:rPr>
          <w:rFonts w:ascii="Times New Roman" w:hAnsi="Times New Roman"/>
        </w:rPr>
      </w:pPr>
      <w:r w:rsidRPr="009E1B38">
        <w:rPr>
          <w:rFonts w:ascii="Times New Roman" w:hAnsi="Times New Roman"/>
          <w:i/>
          <w:iCs/>
        </w:rPr>
        <w:t>b)</w:t>
      </w:r>
      <w:r w:rsidRPr="009E1B38">
        <w:rPr>
          <w:rFonts w:ascii="Times New Roman" w:eastAsia="Times New Roman" w:hAnsi="Times New Roman"/>
          <w:sz w:val="14"/>
          <w:szCs w:val="14"/>
        </w:rPr>
        <w:t xml:space="preserve">     </w:t>
      </w:r>
      <w:r w:rsidRPr="009E1B38">
        <w:rPr>
          <w:rFonts w:ascii="Times New Roman" w:hAnsi="Times New Roman"/>
          <w:i/>
          <w:iCs/>
        </w:rPr>
        <w:t>Invoice transaction debt amount.</w:t>
      </w:r>
    </w:p>
    <w:p w14:paraId="1EC0BD54" w14:textId="2676679B" w:rsidR="0032468F" w:rsidRPr="009E1B38" w:rsidRDefault="47620091" w:rsidP="47620091">
      <w:pPr>
        <w:spacing w:after="160" w:line="240" w:lineRule="exact"/>
        <w:ind w:left="360" w:hanging="360"/>
        <w:rPr>
          <w:rFonts w:ascii="Times New Roman" w:hAnsi="Times New Roman"/>
        </w:rPr>
      </w:pPr>
      <w:r w:rsidRPr="009E1B38">
        <w:rPr>
          <w:rFonts w:ascii="Times New Roman" w:hAnsi="Times New Roman"/>
          <w:i/>
          <w:iCs/>
        </w:rPr>
        <w:t>c)</w:t>
      </w:r>
      <w:r w:rsidRPr="009E1B38">
        <w:rPr>
          <w:rFonts w:ascii="Times New Roman" w:eastAsia="Times New Roman" w:hAnsi="Times New Roman"/>
          <w:sz w:val="14"/>
          <w:szCs w:val="14"/>
        </w:rPr>
        <w:t xml:space="preserve">     </w:t>
      </w:r>
      <w:r w:rsidRPr="009E1B38">
        <w:rPr>
          <w:rFonts w:ascii="Times New Roman" w:hAnsi="Times New Roman"/>
          <w:i/>
          <w:iCs/>
        </w:rPr>
        <w:t>VGP debt amount and VAT debt amount.</w:t>
      </w:r>
    </w:p>
    <w:p w14:paraId="76B85830" w14:textId="10DABEB2" w:rsidR="0032468F" w:rsidRPr="009E1B38" w:rsidRDefault="47620091" w:rsidP="47620091">
      <w:pPr>
        <w:spacing w:after="160" w:line="240" w:lineRule="exact"/>
        <w:ind w:left="360" w:hanging="360"/>
        <w:rPr>
          <w:rFonts w:ascii="Times New Roman" w:hAnsi="Times New Roman"/>
        </w:rPr>
      </w:pPr>
      <w:r w:rsidRPr="009E1B38">
        <w:rPr>
          <w:rFonts w:ascii="Times New Roman" w:hAnsi="Times New Roman"/>
          <w:i/>
          <w:iCs/>
        </w:rPr>
        <w:t>d)</w:t>
      </w:r>
      <w:r w:rsidRPr="009E1B38">
        <w:rPr>
          <w:rFonts w:ascii="Times New Roman" w:eastAsia="Times New Roman" w:hAnsi="Times New Roman"/>
          <w:sz w:val="14"/>
          <w:szCs w:val="14"/>
        </w:rPr>
        <w:t xml:space="preserve">     </w:t>
      </w:r>
      <w:r w:rsidRPr="009E1B38">
        <w:rPr>
          <w:rFonts w:ascii="Times New Roman" w:hAnsi="Times New Roman"/>
          <w:i/>
          <w:iCs/>
        </w:rPr>
        <w:t>Invoice imbalance debt amount.”</w:t>
      </w:r>
    </w:p>
    <w:p w14:paraId="624754E4" w14:textId="461D9153"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67E605D5" w14:textId="2D1DA40D"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The following paragraph has been added to article 18 titled “Extraordinary circumstances”.</w:t>
      </w:r>
    </w:p>
    <w:p w14:paraId="6C6DD153" w14:textId="5E0EEABC"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5151B76F" w14:textId="715C4B4C" w:rsidR="0032468F" w:rsidRPr="009E1B38" w:rsidRDefault="47620091" w:rsidP="47620091">
      <w:pPr>
        <w:spacing w:after="160" w:line="253" w:lineRule="exact"/>
        <w:rPr>
          <w:rFonts w:ascii="Times New Roman" w:hAnsi="Times New Roman"/>
        </w:rPr>
      </w:pPr>
      <w:r w:rsidRPr="009E1B38">
        <w:rPr>
          <w:rFonts w:ascii="Times New Roman" w:hAnsi="Times New Roman"/>
          <w:i/>
          <w:iCs/>
        </w:rPr>
        <w:t>“(3) In case of problems in the computer, software or other technological infrastructures that the market operator uses in the execution of market activities, which may prevent the healthy continuation of the transactions, maintenance is performed at the STP or the communication lines used by the market operator are interrupted, the STP malfunction and maintenance regulated in the PUE and VGPUE processes are implemented.”</w:t>
      </w:r>
    </w:p>
    <w:p w14:paraId="4123BC81" w14:textId="08E8C828"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2BACD9F5" w14:textId="14D2BB30"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Article 19 titled “Market Operating Procedures and Principles” has been amended as follows.</w:t>
      </w:r>
    </w:p>
    <w:p w14:paraId="1B5EAC0D" w14:textId="6DA5E5FF"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 xml:space="preserve"> </w:t>
      </w:r>
    </w:p>
    <w:p w14:paraId="53210536" w14:textId="3D120B2D"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“ARTICLE 19</w:t>
      </w:r>
    </w:p>
    <w:p w14:paraId="1FA74AEE" w14:textId="091F2D7C"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075C328F" w14:textId="737D26ED" w:rsidR="0032468F" w:rsidRPr="009E1B38" w:rsidRDefault="47620091" w:rsidP="47620091">
      <w:pPr>
        <w:spacing w:after="160" w:line="253" w:lineRule="exact"/>
        <w:rPr>
          <w:rFonts w:ascii="Times New Roman" w:hAnsi="Times New Roman"/>
        </w:rPr>
      </w:pPr>
      <w:r w:rsidRPr="009E1B38">
        <w:rPr>
          <w:rFonts w:ascii="Times New Roman" w:hAnsi="Times New Roman"/>
          <w:i/>
          <w:iCs/>
        </w:rPr>
        <w:t>(1) PUE and VGPUE are prepared by the market operator and come into force with the approval of the Board. The Board may make changes in the PUE and VGPUE by taking the opinion of the relevant persons operating in the market or ex officio if necessary.</w:t>
      </w:r>
    </w:p>
    <w:p w14:paraId="6F7955BD" w14:textId="3281A84B"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69A12D07" w14:textId="170DAA51" w:rsidR="0032468F" w:rsidRPr="009E1B38" w:rsidRDefault="47620091" w:rsidP="47620091">
      <w:pPr>
        <w:spacing w:after="160" w:line="253" w:lineRule="exact"/>
        <w:rPr>
          <w:rFonts w:ascii="Times New Roman" w:hAnsi="Times New Roman"/>
        </w:rPr>
      </w:pPr>
      <w:r w:rsidRPr="009E1B38">
        <w:rPr>
          <w:rFonts w:ascii="Times New Roman" w:hAnsi="Times New Roman"/>
          <w:i/>
          <w:iCs/>
        </w:rPr>
        <w:t>(2) In PUE and VGPUE, the principles of not discriminating between equal parties and operating economically, efficiently and safely are observed.”</w:t>
      </w:r>
    </w:p>
    <w:p w14:paraId="6CC25DFD" w14:textId="7DB7740E"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6FB89F20" w14:textId="0E340DAA"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The first paragraph of Article 20 titled “Contractual provisions and demand party participation” has been changed as follows.</w:t>
      </w:r>
    </w:p>
    <w:p w14:paraId="03A7F90B" w14:textId="2D0B2E7B"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70216F49" w14:textId="5243CD12" w:rsidR="0032468F" w:rsidRPr="009E1B38" w:rsidRDefault="47620091" w:rsidP="47620091">
      <w:pPr>
        <w:spacing w:after="160" w:line="253" w:lineRule="exact"/>
        <w:rPr>
          <w:rFonts w:ascii="Times New Roman" w:hAnsi="Times New Roman"/>
        </w:rPr>
      </w:pPr>
      <w:r w:rsidRPr="009E1B38">
        <w:rPr>
          <w:rFonts w:ascii="Times New Roman" w:hAnsi="Times New Roman"/>
          <w:i/>
          <w:iCs/>
        </w:rPr>
        <w:t>“(1) Contracts drawn up pursuant to this Regulation cannot contain provisions contrary to the provisions of this Regulation, PUE and VGPUE.”</w:t>
      </w:r>
    </w:p>
    <w:p w14:paraId="40953B34" w14:textId="724FE937" w:rsidR="0032468F" w:rsidRPr="009E1B38" w:rsidRDefault="47620091" w:rsidP="47620091">
      <w:pPr>
        <w:spacing w:after="160" w:line="253" w:lineRule="exact"/>
        <w:rPr>
          <w:rFonts w:ascii="Times New Roman" w:hAnsi="Times New Roman"/>
        </w:rPr>
      </w:pPr>
      <w:r w:rsidRPr="009E1B38">
        <w:rPr>
          <w:rFonts w:ascii="Times New Roman" w:hAnsi="Times New Roman"/>
        </w:rPr>
        <w:lastRenderedPageBreak/>
        <w:t xml:space="preserve"> </w:t>
      </w:r>
    </w:p>
    <w:p w14:paraId="50E2B20B" w14:textId="22FC2DF4"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Temporary Article 1 of the Regulation, together with its title, has been amended as follows, and temporary Articles 2, 3 and 4 have been repealed.</w:t>
      </w:r>
    </w:p>
    <w:p w14:paraId="02B88E97" w14:textId="5B90EFFD"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 xml:space="preserve"> </w:t>
      </w:r>
    </w:p>
    <w:p w14:paraId="4FB06EB9" w14:textId="382F0817"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“Opening VGP to trading</w:t>
      </w:r>
    </w:p>
    <w:p w14:paraId="4BBFCADF" w14:textId="3EE94653" w:rsidR="0032468F" w:rsidRPr="009E1B38" w:rsidRDefault="47620091" w:rsidP="47620091">
      <w:pPr>
        <w:spacing w:after="160" w:line="253" w:lineRule="exact"/>
        <w:rPr>
          <w:rFonts w:ascii="Times New Roman" w:hAnsi="Times New Roman"/>
        </w:rPr>
      </w:pPr>
      <w:r w:rsidRPr="009E1B38">
        <w:rPr>
          <w:rFonts w:ascii="Times New Roman" w:hAnsi="Times New Roman"/>
          <w:b/>
          <w:bCs/>
          <w:i/>
          <w:iCs/>
        </w:rPr>
        <w:t>PROVISIONAL ARTICLE 1</w:t>
      </w:r>
    </w:p>
    <w:p w14:paraId="7CBD5250" w14:textId="7406229A" w:rsidR="0032468F" w:rsidRPr="009E1B38" w:rsidRDefault="47620091" w:rsidP="47620091">
      <w:pPr>
        <w:spacing w:after="160" w:line="253" w:lineRule="exact"/>
        <w:rPr>
          <w:rFonts w:ascii="Times New Roman" w:hAnsi="Times New Roman"/>
        </w:rPr>
      </w:pPr>
      <w:r w:rsidRPr="009E1B38">
        <w:rPr>
          <w:rFonts w:ascii="Times New Roman" w:hAnsi="Times New Roman"/>
          <w:i/>
          <w:iCs/>
        </w:rPr>
        <w:t>(1) Issues regarding the installation, testing and opening of the software and system to be created for VGP within the body of STP and opening to market transactions after the test are included in the VGPUE.</w:t>
      </w:r>
    </w:p>
    <w:p w14:paraId="28D2080D" w14:textId="5B8F032B" w:rsidR="0032468F" w:rsidRPr="009E1B38" w:rsidRDefault="47620091" w:rsidP="47620091">
      <w:pPr>
        <w:spacing w:after="160" w:line="253" w:lineRule="exact"/>
        <w:rPr>
          <w:rFonts w:ascii="Times New Roman" w:hAnsi="Times New Roman"/>
        </w:rPr>
      </w:pPr>
      <w:r w:rsidRPr="009E1B38">
        <w:rPr>
          <w:rFonts w:ascii="Times New Roman" w:hAnsi="Times New Roman"/>
          <w:i/>
          <w:iCs/>
        </w:rPr>
        <w:t>(2) Until the natural gas futures market begins to operate, a virtual application is made at STP without any delivery, invoicing and payment obligations. Matters related to the virtual implementation process are included in the VGPUE.”</w:t>
      </w:r>
    </w:p>
    <w:p w14:paraId="7AF283B3" w14:textId="3765CC1A" w:rsidR="0032468F" w:rsidRPr="009E1B38" w:rsidRDefault="47620091" w:rsidP="47620091">
      <w:pPr>
        <w:spacing w:after="160" w:line="253" w:lineRule="exact"/>
        <w:rPr>
          <w:rFonts w:ascii="Times New Roman" w:hAnsi="Times New Roman"/>
        </w:rPr>
      </w:pPr>
      <w:r w:rsidRPr="009E1B38">
        <w:rPr>
          <w:rFonts w:ascii="Times New Roman" w:hAnsi="Times New Roman"/>
          <w:i/>
          <w:iCs/>
        </w:rPr>
        <w:t xml:space="preserve"> </w:t>
      </w:r>
    </w:p>
    <w:p w14:paraId="2153389B" w14:textId="6CEC694F" w:rsidR="0032468F" w:rsidRPr="009E1B38" w:rsidRDefault="47620091" w:rsidP="47620091">
      <w:pPr>
        <w:spacing w:after="160" w:line="253"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With the Regulation on the Amendment of the Natural Gas Market License Regulation published in the Official Gazette dated 01.04.2021 and numbered 31441, clause (d) of the first paragraph of Article 31 of the </w:t>
      </w:r>
      <w:r w:rsidRPr="009E1B38">
        <w:rPr>
          <w:rFonts w:ascii="Times New Roman" w:hAnsi="Times New Roman"/>
          <w:b/>
          <w:bCs/>
        </w:rPr>
        <w:t>Natural Gas Market License Regulation</w:t>
      </w:r>
      <w:r w:rsidRPr="009E1B38">
        <w:rPr>
          <w:rFonts w:ascii="Times New Roman" w:hAnsi="Times New Roman"/>
        </w:rPr>
        <w:t xml:space="preserve"> and Articles 1 and 2 of Additional-3 have been amended.</w:t>
      </w:r>
    </w:p>
    <w:p w14:paraId="461891D4" w14:textId="5D4D24F1" w:rsidR="0032468F" w:rsidRPr="009E1B38" w:rsidRDefault="47620091" w:rsidP="00382ACA">
      <w:pPr>
        <w:pStyle w:val="Balk3"/>
        <w:rPr>
          <w:rFonts w:ascii="Times New Roman" w:hAnsi="Times New Roman" w:cs="Times New Roman"/>
        </w:rPr>
      </w:pPr>
      <w:bookmarkStart w:id="53" w:name="_Toc113615317"/>
      <w:r w:rsidRPr="009E1B38">
        <w:rPr>
          <w:rFonts w:ascii="Times New Roman" w:hAnsi="Times New Roman" w:cs="Times New Roman"/>
        </w:rPr>
        <w:t>2.2.3</w:t>
      </w:r>
      <w:r w:rsidRPr="009E1B38">
        <w:rPr>
          <w:rFonts w:ascii="Times New Roman" w:eastAsia="Times New Roman" w:hAnsi="Times New Roman" w:cs="Times New Roman"/>
          <w:b w:val="0"/>
          <w:bCs w:val="0"/>
          <w:sz w:val="14"/>
          <w:szCs w:val="14"/>
        </w:rPr>
        <w:t xml:space="preserve">       </w:t>
      </w:r>
      <w:r w:rsidRPr="009E1B38">
        <w:rPr>
          <w:rFonts w:ascii="Times New Roman" w:hAnsi="Times New Roman" w:cs="Times New Roman"/>
        </w:rPr>
        <w:t>Communiques</w:t>
      </w:r>
      <w:bookmarkEnd w:id="53"/>
    </w:p>
    <w:p w14:paraId="6A27384B" w14:textId="4FBDF568" w:rsidR="0032468F" w:rsidRPr="009E1B38" w:rsidRDefault="47620091" w:rsidP="47620091">
      <w:pPr>
        <w:spacing w:after="160" w:line="253" w:lineRule="exact"/>
        <w:rPr>
          <w:rFonts w:ascii="Times New Roman" w:hAnsi="Times New Roman"/>
        </w:rPr>
      </w:pPr>
      <w:r w:rsidRPr="009E1B38">
        <w:rPr>
          <w:rFonts w:ascii="Times New Roman" w:hAnsi="Times New Roman"/>
        </w:rPr>
        <w:t>The following Communiqué studies were carried out in the natural gas market in 2021:</w:t>
      </w:r>
    </w:p>
    <w:p w14:paraId="601702FD" w14:textId="02278015"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730A43E3" w14:textId="68B24F9F" w:rsidR="0032468F" w:rsidRPr="009E1B38" w:rsidRDefault="47620091" w:rsidP="47620091">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With the Communiqué published in the Official Gazette dated 03.12.2021 and numbered 31678 and published in the Official Gazette dated 17.11.2003 and numbered 25292, the Annual License Fee and the Participation Fee to be paid by the License and Certificate Holders Operating in the Electricity Market and Natural Gas Market. The Communiqué on the Collection Procedure has been repealed.</w:t>
      </w:r>
    </w:p>
    <w:p w14:paraId="0C90DE77" w14:textId="0BC6560E" w:rsidR="0032468F" w:rsidRPr="009E1B38" w:rsidRDefault="47620091" w:rsidP="47620091">
      <w:pPr>
        <w:spacing w:after="160" w:line="253" w:lineRule="exact"/>
        <w:rPr>
          <w:rFonts w:ascii="Times New Roman" w:hAnsi="Times New Roman"/>
        </w:rPr>
      </w:pPr>
      <w:r w:rsidRPr="009E1B38">
        <w:rPr>
          <w:rFonts w:ascii="Times New Roman" w:hAnsi="Times New Roman"/>
          <w:i/>
          <w:iCs/>
          <w:color w:val="FF0000"/>
        </w:rPr>
        <w:t xml:space="preserve"> </w:t>
      </w:r>
    </w:p>
    <w:p w14:paraId="705BD9A3" w14:textId="64CA7BFA" w:rsidR="0032468F" w:rsidRPr="009E1B38" w:rsidRDefault="47620091" w:rsidP="47620091">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Administrative fines published in the Official Gazette dated 17.12.2021 and numbered 31692, the purpose of which was regulated in Article 9 of the Natural Gas Market Law dated 18.4.2001 and numbered 4646 (Law on the Amendment of the Electricity Market Law and the Natural Gas Market) dated 27.11.2021 and dated 09.12.2021, which was determined as the revaluation rate for 2021 in the General Communiqué on Tax Procedure Law (Sequence No: 533) published in the Official Gazette No. 31672 by increasing it by 36.20% (thirty six point twenty). Administrative fines to be applied in 2022 have been determined with the Communiqué No. 10618-2.</w:t>
      </w:r>
    </w:p>
    <w:p w14:paraId="10671323" w14:textId="74AD6AFE" w:rsidR="0032468F" w:rsidRPr="009E1B38" w:rsidRDefault="47620091" w:rsidP="00382ACA">
      <w:pPr>
        <w:pStyle w:val="Balk3"/>
        <w:rPr>
          <w:rFonts w:ascii="Times New Roman" w:hAnsi="Times New Roman" w:cs="Times New Roman"/>
        </w:rPr>
      </w:pPr>
      <w:bookmarkStart w:id="54" w:name="_Toc113615318"/>
      <w:r w:rsidRPr="009E1B38">
        <w:rPr>
          <w:rFonts w:ascii="Times New Roman" w:hAnsi="Times New Roman" w:cs="Times New Roman"/>
        </w:rPr>
        <w:t>2.2.4</w:t>
      </w:r>
      <w:r w:rsidRPr="009E1B38">
        <w:rPr>
          <w:rFonts w:ascii="Times New Roman" w:eastAsia="Times New Roman" w:hAnsi="Times New Roman" w:cs="Times New Roman"/>
          <w:b w:val="0"/>
          <w:bCs w:val="0"/>
          <w:sz w:val="14"/>
          <w:szCs w:val="14"/>
        </w:rPr>
        <w:t xml:space="preserve">       </w:t>
      </w:r>
      <w:r w:rsidRPr="009E1B38">
        <w:rPr>
          <w:rFonts w:ascii="Times New Roman" w:hAnsi="Times New Roman" w:cs="Times New Roman"/>
        </w:rPr>
        <w:t>Board Decisions</w:t>
      </w:r>
      <w:bookmarkEnd w:id="54"/>
    </w:p>
    <w:p w14:paraId="465E62FD" w14:textId="272F9BD7" w:rsidR="0032468F" w:rsidRPr="009E1B38" w:rsidRDefault="47620091" w:rsidP="47620091">
      <w:pPr>
        <w:spacing w:after="160" w:line="253" w:lineRule="exact"/>
        <w:rPr>
          <w:rFonts w:ascii="Times New Roman" w:hAnsi="Times New Roman"/>
        </w:rPr>
      </w:pPr>
      <w:r w:rsidRPr="009E1B38">
        <w:rPr>
          <w:rFonts w:ascii="Times New Roman" w:hAnsi="Times New Roman"/>
        </w:rPr>
        <w:t>In 2021, the following Board Decisions were made as a regulatory action in the natural gas market:</w:t>
      </w:r>
    </w:p>
    <w:p w14:paraId="472FE9DD" w14:textId="7FB1122C"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21EDE471" w14:textId="2BAE4F7A" w:rsidR="0032468F" w:rsidRPr="009E1B38" w:rsidRDefault="47620091" w:rsidP="47620091">
      <w:pPr>
        <w:spacing w:after="160" w:line="253"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With the Board Decision dated 21.01.2021 and numbered 9995 published in the Official Gazette dated 23.01.2021 and numbered 31373, the fourth paragraph of the fourth paragraph of the fourth paragraph of the article 4 of the Natural Gas Market Law numbered 4646, the second paragraph of the subparagraph (b), (e) Pursuant to sub-clause (6) of clause 6, second clause of clause (a) of Article 7, Temporary Article 2 and Articles 19, 25 and 26 of the Natural Gas Market License Regulation, the national natural gas consumption estimate for 2021 is 9155 kcal/h of natural gas. Based on the upper calorific value of m3, it was decided to determine it as 50,864,761,766 Sm3 (541,201,065,187 kWh). The national natural gas consumption estimation and national natural gas consumption realizations made by the Authority by years are shown in Table 2.2.</w:t>
      </w:r>
    </w:p>
    <w:tbl>
      <w:tblPr>
        <w:tblW w:w="0" w:type="auto"/>
        <w:tblLayout w:type="fixed"/>
        <w:tblLook w:val="06A0" w:firstRow="1" w:lastRow="0" w:firstColumn="1" w:lastColumn="0" w:noHBand="1" w:noVBand="1"/>
      </w:tblPr>
      <w:tblGrid>
        <w:gridCol w:w="4958"/>
        <w:gridCol w:w="4958"/>
      </w:tblGrid>
      <w:tr w:rsidR="47620091" w:rsidRPr="009E1B38" w14:paraId="6F75B904" w14:textId="77777777" w:rsidTr="47620091">
        <w:tc>
          <w:tcPr>
            <w:tcW w:w="4958" w:type="dxa"/>
            <w:vAlign w:val="center"/>
          </w:tcPr>
          <w:p w14:paraId="0BE9CF9F" w14:textId="76271525" w:rsidR="47620091" w:rsidRPr="009E1B38" w:rsidRDefault="47620091">
            <w:pPr>
              <w:rPr>
                <w:rFonts w:ascii="Times New Roman" w:hAnsi="Times New Roman"/>
              </w:rPr>
            </w:pPr>
          </w:p>
        </w:tc>
        <w:tc>
          <w:tcPr>
            <w:tcW w:w="4958" w:type="dxa"/>
            <w:vAlign w:val="center"/>
          </w:tcPr>
          <w:p w14:paraId="1B46EFDC" w14:textId="2662777B" w:rsidR="47620091" w:rsidRPr="009E1B38" w:rsidRDefault="47620091">
            <w:pPr>
              <w:rPr>
                <w:rFonts w:ascii="Times New Roman" w:hAnsi="Times New Roman"/>
              </w:rPr>
            </w:pPr>
          </w:p>
        </w:tc>
      </w:tr>
    </w:tbl>
    <w:p w14:paraId="32C320BB" w14:textId="725C9CE9" w:rsidR="0032468F" w:rsidRPr="009E1B38" w:rsidRDefault="47620091" w:rsidP="0008108D">
      <w:pPr>
        <w:pStyle w:val="Balk5"/>
        <w:jc w:val="center"/>
        <w:rPr>
          <w:rFonts w:ascii="Times New Roman" w:hAnsi="Times New Roman" w:cs="Times New Roman"/>
        </w:rPr>
      </w:pPr>
      <w:bookmarkStart w:id="55" w:name="_Toc107499498"/>
      <w:r w:rsidRPr="009E1B38">
        <w:rPr>
          <w:rFonts w:ascii="Times New Roman" w:eastAsia="Calibri" w:hAnsi="Times New Roman" w:cs="Times New Roman"/>
          <w:bCs/>
        </w:rPr>
        <w:lastRenderedPageBreak/>
        <w:t>Table 2.2: Natural Gas Consumption Estimate and Realization Data by Years (2005-2021)</w:t>
      </w:r>
      <w:bookmarkEnd w:id="55"/>
    </w:p>
    <w:tbl>
      <w:tblPr>
        <w:tblW w:w="0" w:type="auto"/>
        <w:tblLayout w:type="fixed"/>
        <w:tblLook w:val="06A0" w:firstRow="1" w:lastRow="0" w:firstColumn="1" w:lastColumn="0" w:noHBand="1" w:noVBand="1"/>
      </w:tblPr>
      <w:tblGrid>
        <w:gridCol w:w="873"/>
        <w:gridCol w:w="2217"/>
        <w:gridCol w:w="2130"/>
        <w:gridCol w:w="4696"/>
      </w:tblGrid>
      <w:tr w:rsidR="47620091" w:rsidRPr="009E1B38" w14:paraId="2CCDE79A" w14:textId="77777777" w:rsidTr="47620091">
        <w:trPr>
          <w:trHeight w:val="15"/>
        </w:trPr>
        <w:tc>
          <w:tcPr>
            <w:tcW w:w="87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6E9ECA"/>
            <w:vAlign w:val="center"/>
          </w:tcPr>
          <w:p w14:paraId="5CEBFAE2" w14:textId="23140D0E" w:rsidR="47620091" w:rsidRPr="009E1B38" w:rsidRDefault="47620091" w:rsidP="47620091">
            <w:pPr>
              <w:jc w:val="center"/>
              <w:rPr>
                <w:rFonts w:ascii="Times New Roman" w:hAnsi="Times New Roman"/>
              </w:rPr>
            </w:pPr>
            <w:r w:rsidRPr="009E1B38">
              <w:rPr>
                <w:rFonts w:ascii="Times New Roman" w:hAnsi="Times New Roman"/>
                <w:b/>
                <w:bCs/>
                <w:color w:val="FFFFFF" w:themeColor="background1"/>
              </w:rPr>
              <w:t>Years</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6E9ECA"/>
            <w:vAlign w:val="center"/>
          </w:tcPr>
          <w:p w14:paraId="510E25D6" w14:textId="576E51B6" w:rsidR="47620091" w:rsidRPr="009E1B38" w:rsidRDefault="47620091" w:rsidP="47620091">
            <w:pPr>
              <w:jc w:val="center"/>
              <w:rPr>
                <w:rFonts w:ascii="Times New Roman" w:hAnsi="Times New Roman"/>
              </w:rPr>
            </w:pPr>
            <w:r w:rsidRPr="009E1B38">
              <w:rPr>
                <w:rFonts w:ascii="Times New Roman" w:hAnsi="Times New Roman"/>
                <w:b/>
                <w:bCs/>
                <w:color w:val="FFFFFF" w:themeColor="background1"/>
              </w:rPr>
              <w:t>Estimation</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6E9ECA"/>
            <w:vAlign w:val="center"/>
          </w:tcPr>
          <w:p w14:paraId="23B18241" w14:textId="18D10142" w:rsidR="47620091" w:rsidRPr="009E1B38" w:rsidRDefault="47620091" w:rsidP="47620091">
            <w:pPr>
              <w:jc w:val="center"/>
              <w:rPr>
                <w:rFonts w:ascii="Times New Roman" w:hAnsi="Times New Roman"/>
              </w:rPr>
            </w:pPr>
            <w:r w:rsidRPr="009E1B38">
              <w:rPr>
                <w:rFonts w:ascii="Times New Roman" w:hAnsi="Times New Roman"/>
                <w:b/>
                <w:bCs/>
                <w:color w:val="FFFFFF" w:themeColor="background1"/>
              </w:rPr>
              <w:t>Effectuation</w:t>
            </w:r>
          </w:p>
        </w:tc>
        <w:tc>
          <w:tcPr>
            <w:tcW w:w="4696"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6E9ECA"/>
            <w:vAlign w:val="center"/>
          </w:tcPr>
          <w:p w14:paraId="33E309A8" w14:textId="4B429470" w:rsidR="47620091" w:rsidRPr="009E1B38" w:rsidRDefault="47620091" w:rsidP="47620091">
            <w:pPr>
              <w:jc w:val="center"/>
              <w:rPr>
                <w:rFonts w:ascii="Times New Roman" w:hAnsi="Times New Roman"/>
              </w:rPr>
            </w:pPr>
            <w:r w:rsidRPr="009E1B38">
              <w:rPr>
                <w:rFonts w:ascii="Times New Roman" w:hAnsi="Times New Roman"/>
                <w:b/>
                <w:bCs/>
                <w:color w:val="FFFFFF" w:themeColor="background1"/>
              </w:rPr>
              <w:t>Estimation and Effectuation Deviation (%)</w:t>
            </w:r>
          </w:p>
        </w:tc>
      </w:tr>
      <w:tr w:rsidR="47620091" w:rsidRPr="009E1B38" w14:paraId="467FD332" w14:textId="77777777" w:rsidTr="47620091">
        <w:trPr>
          <w:trHeight w:val="15"/>
        </w:trPr>
        <w:tc>
          <w:tcPr>
            <w:tcW w:w="873" w:type="dxa"/>
            <w:vMerge/>
            <w:tcBorders>
              <w:left w:val="single" w:sz="0" w:space="0" w:color="BFBFBF" w:themeColor="background1" w:themeShade="BF"/>
              <w:bottom w:val="single" w:sz="0" w:space="0" w:color="BFBFBF" w:themeColor="background1" w:themeShade="BF"/>
              <w:right w:val="single" w:sz="0" w:space="0" w:color="BFBFBF" w:themeColor="background1" w:themeShade="BF"/>
            </w:tcBorders>
            <w:vAlign w:val="center"/>
          </w:tcPr>
          <w:p w14:paraId="5C76E749" w14:textId="77777777" w:rsidR="000D3960" w:rsidRPr="009E1B38" w:rsidRDefault="000D3960">
            <w:pPr>
              <w:rPr>
                <w:rFonts w:ascii="Times New Roman" w:hAnsi="Times New Roman"/>
              </w:rPr>
            </w:pPr>
          </w:p>
        </w:tc>
        <w:tc>
          <w:tcPr>
            <w:tcW w:w="2217" w:type="dxa"/>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vAlign w:val="center"/>
          </w:tcPr>
          <w:p w14:paraId="5ADCEEE8" w14:textId="5010D90B" w:rsidR="47620091" w:rsidRPr="009E1B38" w:rsidRDefault="47620091" w:rsidP="47620091">
            <w:pPr>
              <w:jc w:val="center"/>
              <w:rPr>
                <w:rFonts w:ascii="Times New Roman" w:hAnsi="Times New Roman"/>
              </w:rPr>
            </w:pPr>
            <w:r w:rsidRPr="009E1B38">
              <w:rPr>
                <w:rFonts w:ascii="Times New Roman" w:hAnsi="Times New Roman"/>
                <w:b/>
                <w:bCs/>
                <w:color w:val="FFFFFF" w:themeColor="background1"/>
              </w:rPr>
              <w:t>(Sm</w:t>
            </w:r>
            <w:r w:rsidRPr="009E1B38">
              <w:rPr>
                <w:rFonts w:ascii="Times New Roman" w:hAnsi="Times New Roman"/>
                <w:b/>
                <w:bCs/>
                <w:color w:val="FFFFFF" w:themeColor="background1"/>
                <w:vertAlign w:val="superscript"/>
              </w:rPr>
              <w:t>3</w:t>
            </w:r>
            <w:r w:rsidRPr="009E1B38">
              <w:rPr>
                <w:rFonts w:ascii="Times New Roman" w:hAnsi="Times New Roman"/>
                <w:b/>
                <w:bCs/>
                <w:color w:val="FFFFFF" w:themeColor="background1"/>
              </w:rPr>
              <w:t>)</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6E9ECA"/>
            <w:vAlign w:val="center"/>
          </w:tcPr>
          <w:p w14:paraId="695D028F" w14:textId="5E0B3D78" w:rsidR="47620091" w:rsidRPr="009E1B38" w:rsidRDefault="47620091" w:rsidP="47620091">
            <w:pPr>
              <w:jc w:val="center"/>
              <w:rPr>
                <w:rFonts w:ascii="Times New Roman" w:hAnsi="Times New Roman"/>
              </w:rPr>
            </w:pPr>
            <w:r w:rsidRPr="009E1B38">
              <w:rPr>
                <w:rFonts w:ascii="Times New Roman" w:hAnsi="Times New Roman"/>
                <w:b/>
                <w:bCs/>
                <w:color w:val="FFFFFF" w:themeColor="background1"/>
              </w:rPr>
              <w:t>(Sm</w:t>
            </w:r>
            <w:r w:rsidRPr="009E1B38">
              <w:rPr>
                <w:rFonts w:ascii="Times New Roman" w:hAnsi="Times New Roman"/>
                <w:b/>
                <w:bCs/>
                <w:color w:val="FFFFFF" w:themeColor="background1"/>
                <w:vertAlign w:val="superscript"/>
              </w:rPr>
              <w:t>3</w:t>
            </w:r>
            <w:r w:rsidRPr="009E1B38">
              <w:rPr>
                <w:rFonts w:ascii="Times New Roman" w:hAnsi="Times New Roman"/>
                <w:b/>
                <w:bCs/>
                <w:color w:val="FFFFFF" w:themeColor="background1"/>
              </w:rPr>
              <w:t>)</w:t>
            </w:r>
          </w:p>
        </w:tc>
        <w:tc>
          <w:tcPr>
            <w:tcW w:w="4696" w:type="dxa"/>
            <w:vMerge/>
            <w:tcBorders>
              <w:left w:val="single" w:sz="0" w:space="0" w:color="BFBFBF" w:themeColor="background1" w:themeShade="BF"/>
              <w:bottom w:val="single" w:sz="0" w:space="0" w:color="BFBFBF" w:themeColor="background1" w:themeShade="BF"/>
              <w:right w:val="single" w:sz="0" w:space="0" w:color="BFBFBF" w:themeColor="background1" w:themeShade="BF"/>
            </w:tcBorders>
            <w:vAlign w:val="center"/>
          </w:tcPr>
          <w:p w14:paraId="0574F369" w14:textId="77777777" w:rsidR="000D3960" w:rsidRPr="009E1B38" w:rsidRDefault="000D3960">
            <w:pPr>
              <w:rPr>
                <w:rFonts w:ascii="Times New Roman" w:hAnsi="Times New Roman"/>
              </w:rPr>
            </w:pPr>
          </w:p>
        </w:tc>
      </w:tr>
      <w:tr w:rsidR="47620091" w:rsidRPr="009E1B38" w14:paraId="31E2BCB7" w14:textId="77777777" w:rsidTr="47620091">
        <w:trPr>
          <w:trHeight w:val="15"/>
        </w:trPr>
        <w:tc>
          <w:tcPr>
            <w:tcW w:w="873"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35265B65" w14:textId="4F5C2A75" w:rsidR="47620091" w:rsidRPr="009E1B38" w:rsidRDefault="47620091" w:rsidP="47620091">
            <w:pPr>
              <w:jc w:val="center"/>
              <w:rPr>
                <w:rFonts w:ascii="Times New Roman" w:hAnsi="Times New Roman"/>
              </w:rPr>
            </w:pPr>
            <w:r w:rsidRPr="009E1B38">
              <w:rPr>
                <w:rFonts w:ascii="Times New Roman" w:hAnsi="Times New Roman"/>
                <w:b/>
                <w:bCs/>
              </w:rPr>
              <w:t>2005</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15A09C78" w14:textId="239A77A5" w:rsidR="47620091" w:rsidRPr="009E1B38" w:rsidRDefault="47620091" w:rsidP="47620091">
            <w:pPr>
              <w:jc w:val="right"/>
              <w:rPr>
                <w:rFonts w:ascii="Times New Roman" w:hAnsi="Times New Roman"/>
              </w:rPr>
            </w:pPr>
            <w:r w:rsidRPr="009E1B38">
              <w:rPr>
                <w:rFonts w:ascii="Times New Roman" w:hAnsi="Times New Roman"/>
              </w:rPr>
              <w:t>25.800.000.000</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6DD0C209" w14:textId="5019BFF4" w:rsidR="47620091" w:rsidRPr="009E1B38" w:rsidRDefault="47620091" w:rsidP="47620091">
            <w:pPr>
              <w:jc w:val="right"/>
              <w:rPr>
                <w:rFonts w:ascii="Times New Roman" w:hAnsi="Times New Roman"/>
              </w:rPr>
            </w:pPr>
            <w:r w:rsidRPr="009E1B38">
              <w:rPr>
                <w:rFonts w:ascii="Times New Roman" w:hAnsi="Times New Roman"/>
              </w:rPr>
              <w:t>27.348.213.942</w:t>
            </w:r>
          </w:p>
        </w:tc>
        <w:tc>
          <w:tcPr>
            <w:tcW w:w="4696"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00B3DEC7" w14:textId="25B9A000" w:rsidR="47620091" w:rsidRPr="009E1B38" w:rsidRDefault="47620091" w:rsidP="47620091">
            <w:pPr>
              <w:jc w:val="center"/>
              <w:rPr>
                <w:rFonts w:ascii="Times New Roman" w:hAnsi="Times New Roman"/>
              </w:rPr>
            </w:pPr>
            <w:r w:rsidRPr="009E1B38">
              <w:rPr>
                <w:rFonts w:ascii="Times New Roman" w:hAnsi="Times New Roman"/>
              </w:rPr>
              <w:t>6,00</w:t>
            </w:r>
          </w:p>
        </w:tc>
      </w:tr>
      <w:tr w:rsidR="47620091" w:rsidRPr="009E1B38" w14:paraId="01C4C8ED"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65842C4C" w14:textId="02E9BC2E" w:rsidR="47620091" w:rsidRPr="009E1B38" w:rsidRDefault="47620091" w:rsidP="47620091">
            <w:pPr>
              <w:jc w:val="center"/>
              <w:rPr>
                <w:rFonts w:ascii="Times New Roman" w:hAnsi="Times New Roman"/>
              </w:rPr>
            </w:pPr>
            <w:r w:rsidRPr="009E1B38">
              <w:rPr>
                <w:rFonts w:ascii="Times New Roman" w:hAnsi="Times New Roman"/>
                <w:b/>
                <w:bCs/>
              </w:rPr>
              <w:t>2006</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2B6416B7" w14:textId="76C31C95" w:rsidR="47620091" w:rsidRPr="009E1B38" w:rsidRDefault="47620091" w:rsidP="47620091">
            <w:pPr>
              <w:jc w:val="right"/>
              <w:rPr>
                <w:rFonts w:ascii="Times New Roman" w:hAnsi="Times New Roman"/>
              </w:rPr>
            </w:pPr>
            <w:r w:rsidRPr="009E1B38">
              <w:rPr>
                <w:rFonts w:ascii="Times New Roman" w:hAnsi="Times New Roman"/>
              </w:rPr>
              <w:t>30.100.000.000</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48BE8734" w14:textId="43C62655" w:rsidR="47620091" w:rsidRPr="009E1B38" w:rsidRDefault="47620091" w:rsidP="47620091">
            <w:pPr>
              <w:jc w:val="right"/>
              <w:rPr>
                <w:rFonts w:ascii="Times New Roman" w:hAnsi="Times New Roman"/>
              </w:rPr>
            </w:pPr>
            <w:r w:rsidRPr="009E1B38">
              <w:rPr>
                <w:rFonts w:ascii="Times New Roman" w:hAnsi="Times New Roman"/>
              </w:rPr>
              <w:t>30.982.063.980</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2984E8AC" w14:textId="7FFB8600" w:rsidR="47620091" w:rsidRPr="009E1B38" w:rsidRDefault="47620091" w:rsidP="47620091">
            <w:pPr>
              <w:jc w:val="center"/>
              <w:rPr>
                <w:rFonts w:ascii="Times New Roman" w:hAnsi="Times New Roman"/>
              </w:rPr>
            </w:pPr>
            <w:r w:rsidRPr="009E1B38">
              <w:rPr>
                <w:rFonts w:ascii="Times New Roman" w:hAnsi="Times New Roman"/>
              </w:rPr>
              <w:t>2,93</w:t>
            </w:r>
          </w:p>
        </w:tc>
      </w:tr>
      <w:tr w:rsidR="47620091" w:rsidRPr="009E1B38" w14:paraId="4F5886FF"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37D0EDF9" w14:textId="2AD6E753" w:rsidR="47620091" w:rsidRPr="009E1B38" w:rsidRDefault="47620091" w:rsidP="47620091">
            <w:pPr>
              <w:jc w:val="center"/>
              <w:rPr>
                <w:rFonts w:ascii="Times New Roman" w:hAnsi="Times New Roman"/>
              </w:rPr>
            </w:pPr>
            <w:r w:rsidRPr="009E1B38">
              <w:rPr>
                <w:rFonts w:ascii="Times New Roman" w:hAnsi="Times New Roman"/>
                <w:b/>
                <w:bCs/>
              </w:rPr>
              <w:t>2007</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53388E92" w14:textId="405A7E5C" w:rsidR="47620091" w:rsidRPr="009E1B38" w:rsidRDefault="47620091" w:rsidP="47620091">
            <w:pPr>
              <w:jc w:val="right"/>
              <w:rPr>
                <w:rFonts w:ascii="Times New Roman" w:hAnsi="Times New Roman"/>
              </w:rPr>
            </w:pPr>
            <w:r w:rsidRPr="009E1B38">
              <w:rPr>
                <w:rFonts w:ascii="Times New Roman" w:hAnsi="Times New Roman"/>
              </w:rPr>
              <w:t>36.200.000.000</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2B1FD265" w14:textId="029EF495" w:rsidR="47620091" w:rsidRPr="009E1B38" w:rsidRDefault="47620091" w:rsidP="47620091">
            <w:pPr>
              <w:jc w:val="right"/>
              <w:rPr>
                <w:rFonts w:ascii="Times New Roman" w:hAnsi="Times New Roman"/>
              </w:rPr>
            </w:pPr>
            <w:r w:rsidRPr="009E1B38">
              <w:rPr>
                <w:rFonts w:ascii="Times New Roman" w:hAnsi="Times New Roman"/>
              </w:rPr>
              <w:t>35.394.878.230</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A948C34" w14:textId="46544F76" w:rsidR="47620091" w:rsidRPr="009E1B38" w:rsidRDefault="47620091" w:rsidP="47620091">
            <w:pPr>
              <w:jc w:val="center"/>
              <w:rPr>
                <w:rFonts w:ascii="Times New Roman" w:hAnsi="Times New Roman"/>
              </w:rPr>
            </w:pPr>
            <w:r w:rsidRPr="009E1B38">
              <w:rPr>
                <w:rFonts w:ascii="Times New Roman" w:hAnsi="Times New Roman"/>
              </w:rPr>
              <w:t>-2,22</w:t>
            </w:r>
          </w:p>
        </w:tc>
      </w:tr>
      <w:tr w:rsidR="47620091" w:rsidRPr="009E1B38" w14:paraId="7C727C65"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3561179B" w14:textId="498B46C6" w:rsidR="47620091" w:rsidRPr="009E1B38" w:rsidRDefault="47620091" w:rsidP="47620091">
            <w:pPr>
              <w:jc w:val="center"/>
              <w:rPr>
                <w:rFonts w:ascii="Times New Roman" w:hAnsi="Times New Roman"/>
              </w:rPr>
            </w:pPr>
            <w:r w:rsidRPr="009E1B38">
              <w:rPr>
                <w:rFonts w:ascii="Times New Roman" w:hAnsi="Times New Roman"/>
                <w:b/>
                <w:bCs/>
              </w:rPr>
              <w:t>2008</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4F64A0A7" w14:textId="7DAC26F0" w:rsidR="47620091" w:rsidRPr="009E1B38" w:rsidRDefault="47620091" w:rsidP="47620091">
            <w:pPr>
              <w:jc w:val="right"/>
              <w:rPr>
                <w:rFonts w:ascii="Times New Roman" w:hAnsi="Times New Roman"/>
              </w:rPr>
            </w:pPr>
            <w:r w:rsidRPr="009E1B38">
              <w:rPr>
                <w:rFonts w:ascii="Times New Roman" w:hAnsi="Times New Roman"/>
              </w:rPr>
              <w:t>37.500.000.000</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11161C0B" w14:textId="07E815E5" w:rsidR="47620091" w:rsidRPr="009E1B38" w:rsidRDefault="47620091" w:rsidP="47620091">
            <w:pPr>
              <w:jc w:val="right"/>
              <w:rPr>
                <w:rFonts w:ascii="Times New Roman" w:hAnsi="Times New Roman"/>
              </w:rPr>
            </w:pPr>
            <w:r w:rsidRPr="009E1B38">
              <w:rPr>
                <w:rFonts w:ascii="Times New Roman" w:hAnsi="Times New Roman"/>
              </w:rPr>
              <w:t>36.865.051.313</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2DE7C193" w14:textId="16EF3723" w:rsidR="47620091" w:rsidRPr="009E1B38" w:rsidRDefault="47620091" w:rsidP="47620091">
            <w:pPr>
              <w:jc w:val="center"/>
              <w:rPr>
                <w:rFonts w:ascii="Times New Roman" w:hAnsi="Times New Roman"/>
              </w:rPr>
            </w:pPr>
            <w:r w:rsidRPr="009E1B38">
              <w:rPr>
                <w:rFonts w:ascii="Times New Roman" w:hAnsi="Times New Roman"/>
              </w:rPr>
              <w:t>-1,69</w:t>
            </w:r>
          </w:p>
        </w:tc>
      </w:tr>
      <w:tr w:rsidR="47620091" w:rsidRPr="009E1B38" w14:paraId="1AA03753"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5B48E4D7" w14:textId="6BC866F4" w:rsidR="47620091" w:rsidRPr="009E1B38" w:rsidRDefault="47620091" w:rsidP="47620091">
            <w:pPr>
              <w:jc w:val="center"/>
              <w:rPr>
                <w:rFonts w:ascii="Times New Roman" w:hAnsi="Times New Roman"/>
              </w:rPr>
            </w:pPr>
            <w:r w:rsidRPr="009E1B38">
              <w:rPr>
                <w:rFonts w:ascii="Times New Roman" w:hAnsi="Times New Roman"/>
                <w:b/>
                <w:bCs/>
              </w:rPr>
              <w:t>2009</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5C009C28" w14:textId="5A8BA0AF" w:rsidR="47620091" w:rsidRPr="009E1B38" w:rsidRDefault="47620091" w:rsidP="47620091">
            <w:pPr>
              <w:jc w:val="right"/>
              <w:rPr>
                <w:rFonts w:ascii="Times New Roman" w:hAnsi="Times New Roman"/>
              </w:rPr>
            </w:pPr>
            <w:r w:rsidRPr="009E1B38">
              <w:rPr>
                <w:rFonts w:ascii="Times New Roman" w:hAnsi="Times New Roman"/>
              </w:rPr>
              <w:t>35.000.000.000</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81E3D67" w14:textId="0AF23789" w:rsidR="47620091" w:rsidRPr="009E1B38" w:rsidRDefault="47620091" w:rsidP="47620091">
            <w:pPr>
              <w:jc w:val="right"/>
              <w:rPr>
                <w:rFonts w:ascii="Times New Roman" w:hAnsi="Times New Roman"/>
              </w:rPr>
            </w:pPr>
            <w:r w:rsidRPr="009E1B38">
              <w:rPr>
                <w:rFonts w:ascii="Times New Roman" w:hAnsi="Times New Roman"/>
              </w:rPr>
              <w:t>35.218.839.390</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37D2E9CB" w14:textId="2974527D" w:rsidR="47620091" w:rsidRPr="009E1B38" w:rsidRDefault="47620091" w:rsidP="47620091">
            <w:pPr>
              <w:jc w:val="center"/>
              <w:rPr>
                <w:rFonts w:ascii="Times New Roman" w:hAnsi="Times New Roman"/>
              </w:rPr>
            </w:pPr>
            <w:r w:rsidRPr="009E1B38">
              <w:rPr>
                <w:rFonts w:ascii="Times New Roman" w:hAnsi="Times New Roman"/>
              </w:rPr>
              <w:t>0,63</w:t>
            </w:r>
          </w:p>
        </w:tc>
      </w:tr>
      <w:tr w:rsidR="47620091" w:rsidRPr="009E1B38" w14:paraId="20ED098D"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602E4062" w14:textId="7A0F2ADA" w:rsidR="47620091" w:rsidRPr="009E1B38" w:rsidRDefault="47620091" w:rsidP="47620091">
            <w:pPr>
              <w:jc w:val="center"/>
              <w:rPr>
                <w:rFonts w:ascii="Times New Roman" w:hAnsi="Times New Roman"/>
              </w:rPr>
            </w:pPr>
            <w:r w:rsidRPr="009E1B38">
              <w:rPr>
                <w:rFonts w:ascii="Times New Roman" w:hAnsi="Times New Roman"/>
                <w:b/>
                <w:bCs/>
              </w:rPr>
              <w:t>2010</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A039920" w14:textId="35E70EC8" w:rsidR="47620091" w:rsidRPr="009E1B38" w:rsidRDefault="47620091" w:rsidP="47620091">
            <w:pPr>
              <w:jc w:val="right"/>
              <w:rPr>
                <w:rFonts w:ascii="Times New Roman" w:hAnsi="Times New Roman"/>
              </w:rPr>
            </w:pPr>
            <w:r w:rsidRPr="009E1B38">
              <w:rPr>
                <w:rFonts w:ascii="Times New Roman" w:hAnsi="Times New Roman"/>
              </w:rPr>
              <w:t>37.000.000.000</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26E1EEA0" w14:textId="10500197" w:rsidR="47620091" w:rsidRPr="009E1B38" w:rsidRDefault="47620091" w:rsidP="47620091">
            <w:pPr>
              <w:jc w:val="right"/>
              <w:rPr>
                <w:rFonts w:ascii="Times New Roman" w:hAnsi="Times New Roman"/>
              </w:rPr>
            </w:pPr>
            <w:r w:rsidRPr="009E1B38">
              <w:rPr>
                <w:rFonts w:ascii="Times New Roman" w:hAnsi="Times New Roman"/>
              </w:rPr>
              <w:t>37.411.118.370</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74E0C5B" w14:textId="6E0E9F8C" w:rsidR="47620091" w:rsidRPr="009E1B38" w:rsidRDefault="47620091" w:rsidP="47620091">
            <w:pPr>
              <w:jc w:val="center"/>
              <w:rPr>
                <w:rFonts w:ascii="Times New Roman" w:hAnsi="Times New Roman"/>
              </w:rPr>
            </w:pPr>
            <w:r w:rsidRPr="009E1B38">
              <w:rPr>
                <w:rFonts w:ascii="Times New Roman" w:hAnsi="Times New Roman"/>
              </w:rPr>
              <w:t>1,11</w:t>
            </w:r>
          </w:p>
        </w:tc>
      </w:tr>
      <w:tr w:rsidR="47620091" w:rsidRPr="009E1B38" w14:paraId="29E91B27"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82D4B12" w14:textId="0BAD5C73" w:rsidR="47620091" w:rsidRPr="009E1B38" w:rsidRDefault="47620091" w:rsidP="47620091">
            <w:pPr>
              <w:jc w:val="center"/>
              <w:rPr>
                <w:rFonts w:ascii="Times New Roman" w:hAnsi="Times New Roman"/>
              </w:rPr>
            </w:pPr>
            <w:r w:rsidRPr="009E1B38">
              <w:rPr>
                <w:rFonts w:ascii="Times New Roman" w:hAnsi="Times New Roman"/>
                <w:b/>
                <w:bCs/>
              </w:rPr>
              <w:t>2011</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1607E3C8" w14:textId="34411712" w:rsidR="47620091" w:rsidRPr="009E1B38" w:rsidRDefault="47620091" w:rsidP="47620091">
            <w:pPr>
              <w:jc w:val="right"/>
              <w:rPr>
                <w:rFonts w:ascii="Times New Roman" w:hAnsi="Times New Roman"/>
              </w:rPr>
            </w:pPr>
            <w:r w:rsidRPr="009E1B38">
              <w:rPr>
                <w:rFonts w:ascii="Times New Roman" w:hAnsi="Times New Roman"/>
              </w:rPr>
              <w:t>39.000.000.000</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089438AA" w14:textId="1657500C" w:rsidR="47620091" w:rsidRPr="009E1B38" w:rsidRDefault="47620091" w:rsidP="47620091">
            <w:pPr>
              <w:jc w:val="right"/>
              <w:rPr>
                <w:rFonts w:ascii="Times New Roman" w:hAnsi="Times New Roman"/>
              </w:rPr>
            </w:pPr>
            <w:r w:rsidRPr="009E1B38">
              <w:rPr>
                <w:rFonts w:ascii="Times New Roman" w:hAnsi="Times New Roman"/>
              </w:rPr>
              <w:t>43.697.409.192</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6DE5F34" w14:textId="195BE065" w:rsidR="47620091" w:rsidRPr="009E1B38" w:rsidRDefault="47620091" w:rsidP="47620091">
            <w:pPr>
              <w:jc w:val="center"/>
              <w:rPr>
                <w:rFonts w:ascii="Times New Roman" w:hAnsi="Times New Roman"/>
              </w:rPr>
            </w:pPr>
            <w:r w:rsidRPr="009E1B38">
              <w:rPr>
                <w:rFonts w:ascii="Times New Roman" w:hAnsi="Times New Roman"/>
              </w:rPr>
              <w:t>12,04</w:t>
            </w:r>
          </w:p>
        </w:tc>
      </w:tr>
      <w:tr w:rsidR="47620091" w:rsidRPr="009E1B38" w14:paraId="43FEB496"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67055C66" w14:textId="139D45F4" w:rsidR="47620091" w:rsidRPr="009E1B38" w:rsidRDefault="47620091" w:rsidP="47620091">
            <w:pPr>
              <w:jc w:val="center"/>
              <w:rPr>
                <w:rFonts w:ascii="Times New Roman" w:hAnsi="Times New Roman"/>
              </w:rPr>
            </w:pPr>
            <w:r w:rsidRPr="009E1B38">
              <w:rPr>
                <w:rFonts w:ascii="Times New Roman" w:hAnsi="Times New Roman"/>
                <w:b/>
                <w:bCs/>
              </w:rPr>
              <w:t>2012</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4D76E6DC" w14:textId="60D8C25C" w:rsidR="47620091" w:rsidRPr="009E1B38" w:rsidRDefault="47620091" w:rsidP="47620091">
            <w:pPr>
              <w:jc w:val="right"/>
              <w:rPr>
                <w:rFonts w:ascii="Times New Roman" w:hAnsi="Times New Roman"/>
              </w:rPr>
            </w:pPr>
            <w:r w:rsidRPr="009E1B38">
              <w:rPr>
                <w:rFonts w:ascii="Times New Roman" w:hAnsi="Times New Roman"/>
              </w:rPr>
              <w:t>48.500.000.000</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8219DCD" w14:textId="668F4EB1" w:rsidR="47620091" w:rsidRPr="009E1B38" w:rsidRDefault="47620091" w:rsidP="47620091">
            <w:pPr>
              <w:jc w:val="right"/>
              <w:rPr>
                <w:rFonts w:ascii="Times New Roman" w:hAnsi="Times New Roman"/>
              </w:rPr>
            </w:pPr>
            <w:r w:rsidRPr="009E1B38">
              <w:rPr>
                <w:rFonts w:ascii="Times New Roman" w:hAnsi="Times New Roman"/>
              </w:rPr>
              <w:t>45.241.762.899</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1E27B835" w14:textId="3CF5CE8A" w:rsidR="47620091" w:rsidRPr="009E1B38" w:rsidRDefault="47620091" w:rsidP="47620091">
            <w:pPr>
              <w:jc w:val="center"/>
              <w:rPr>
                <w:rFonts w:ascii="Times New Roman" w:hAnsi="Times New Roman"/>
              </w:rPr>
            </w:pPr>
            <w:r w:rsidRPr="009E1B38">
              <w:rPr>
                <w:rFonts w:ascii="Times New Roman" w:hAnsi="Times New Roman"/>
              </w:rPr>
              <w:t>-6,72</w:t>
            </w:r>
          </w:p>
        </w:tc>
      </w:tr>
      <w:tr w:rsidR="47620091" w:rsidRPr="009E1B38" w14:paraId="766B1C39"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57C11915" w14:textId="113B0BAB" w:rsidR="47620091" w:rsidRPr="009E1B38" w:rsidRDefault="47620091" w:rsidP="47620091">
            <w:pPr>
              <w:jc w:val="center"/>
              <w:rPr>
                <w:rFonts w:ascii="Times New Roman" w:hAnsi="Times New Roman"/>
              </w:rPr>
            </w:pPr>
            <w:r w:rsidRPr="009E1B38">
              <w:rPr>
                <w:rFonts w:ascii="Times New Roman" w:hAnsi="Times New Roman"/>
                <w:b/>
                <w:bCs/>
              </w:rPr>
              <w:t>2013</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03A33CF1" w14:textId="2BF0F580" w:rsidR="47620091" w:rsidRPr="009E1B38" w:rsidRDefault="47620091" w:rsidP="47620091">
            <w:pPr>
              <w:jc w:val="right"/>
              <w:rPr>
                <w:rFonts w:ascii="Times New Roman" w:hAnsi="Times New Roman"/>
              </w:rPr>
            </w:pPr>
            <w:r w:rsidRPr="009E1B38">
              <w:rPr>
                <w:rFonts w:ascii="Times New Roman" w:hAnsi="Times New Roman"/>
              </w:rPr>
              <w:t>47.600.000.000</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6652FA0A" w14:textId="4EAAECF0" w:rsidR="47620091" w:rsidRPr="009E1B38" w:rsidRDefault="47620091" w:rsidP="47620091">
            <w:pPr>
              <w:jc w:val="right"/>
              <w:rPr>
                <w:rFonts w:ascii="Times New Roman" w:hAnsi="Times New Roman"/>
              </w:rPr>
            </w:pPr>
            <w:r w:rsidRPr="009E1B38">
              <w:rPr>
                <w:rFonts w:ascii="Times New Roman" w:hAnsi="Times New Roman"/>
              </w:rPr>
              <w:t>45.582.044.872</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04DA3EE2" w14:textId="1AE48821" w:rsidR="47620091" w:rsidRPr="009E1B38" w:rsidRDefault="47620091" w:rsidP="47620091">
            <w:pPr>
              <w:jc w:val="center"/>
              <w:rPr>
                <w:rFonts w:ascii="Times New Roman" w:hAnsi="Times New Roman"/>
              </w:rPr>
            </w:pPr>
            <w:r w:rsidRPr="009E1B38">
              <w:rPr>
                <w:rFonts w:ascii="Times New Roman" w:hAnsi="Times New Roman"/>
              </w:rPr>
              <w:t>-4,24</w:t>
            </w:r>
          </w:p>
        </w:tc>
      </w:tr>
      <w:tr w:rsidR="47620091" w:rsidRPr="009E1B38" w14:paraId="11298B4A"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2A8C2B02" w14:textId="7AA4BE8E" w:rsidR="47620091" w:rsidRPr="009E1B38" w:rsidRDefault="47620091" w:rsidP="47620091">
            <w:pPr>
              <w:jc w:val="center"/>
              <w:rPr>
                <w:rFonts w:ascii="Times New Roman" w:hAnsi="Times New Roman"/>
              </w:rPr>
            </w:pPr>
            <w:r w:rsidRPr="009E1B38">
              <w:rPr>
                <w:rFonts w:ascii="Times New Roman" w:hAnsi="Times New Roman"/>
                <w:b/>
                <w:bCs/>
              </w:rPr>
              <w:t>2014</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2EDC8FAC" w14:textId="78572AEF" w:rsidR="47620091" w:rsidRPr="009E1B38" w:rsidRDefault="47620091" w:rsidP="47620091">
            <w:pPr>
              <w:jc w:val="right"/>
              <w:rPr>
                <w:rFonts w:ascii="Times New Roman" w:hAnsi="Times New Roman"/>
              </w:rPr>
            </w:pPr>
            <w:r w:rsidRPr="009E1B38">
              <w:rPr>
                <w:rFonts w:ascii="Times New Roman" w:hAnsi="Times New Roman"/>
              </w:rPr>
              <w:t>46.500.000.000</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562C9E49" w14:textId="7A5E01D9" w:rsidR="47620091" w:rsidRPr="009E1B38" w:rsidRDefault="47620091" w:rsidP="47620091">
            <w:pPr>
              <w:jc w:val="right"/>
              <w:rPr>
                <w:rFonts w:ascii="Times New Roman" w:hAnsi="Times New Roman"/>
              </w:rPr>
            </w:pPr>
            <w:r w:rsidRPr="009E1B38">
              <w:rPr>
                <w:rFonts w:ascii="Times New Roman" w:hAnsi="Times New Roman"/>
              </w:rPr>
              <w:t>48.717.179.257</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3EE91B61" w14:textId="022F8375" w:rsidR="47620091" w:rsidRPr="009E1B38" w:rsidRDefault="47620091" w:rsidP="47620091">
            <w:pPr>
              <w:jc w:val="center"/>
              <w:rPr>
                <w:rFonts w:ascii="Times New Roman" w:hAnsi="Times New Roman"/>
              </w:rPr>
            </w:pPr>
            <w:r w:rsidRPr="009E1B38">
              <w:rPr>
                <w:rFonts w:ascii="Times New Roman" w:hAnsi="Times New Roman"/>
              </w:rPr>
              <w:t>4,77</w:t>
            </w:r>
          </w:p>
        </w:tc>
      </w:tr>
      <w:tr w:rsidR="47620091" w:rsidRPr="009E1B38" w14:paraId="7B97FF39"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0F98C35" w14:textId="58F0AE84" w:rsidR="47620091" w:rsidRPr="009E1B38" w:rsidRDefault="47620091" w:rsidP="47620091">
            <w:pPr>
              <w:jc w:val="center"/>
              <w:rPr>
                <w:rFonts w:ascii="Times New Roman" w:hAnsi="Times New Roman"/>
              </w:rPr>
            </w:pPr>
            <w:r w:rsidRPr="009E1B38">
              <w:rPr>
                <w:rFonts w:ascii="Times New Roman" w:hAnsi="Times New Roman"/>
                <w:b/>
                <w:bCs/>
              </w:rPr>
              <w:t>2015</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D72508F" w14:textId="70D1F670" w:rsidR="47620091" w:rsidRPr="009E1B38" w:rsidRDefault="47620091" w:rsidP="47620091">
            <w:pPr>
              <w:jc w:val="right"/>
              <w:rPr>
                <w:rFonts w:ascii="Times New Roman" w:hAnsi="Times New Roman"/>
              </w:rPr>
            </w:pPr>
            <w:r w:rsidRPr="009E1B38">
              <w:rPr>
                <w:rFonts w:ascii="Times New Roman" w:hAnsi="Times New Roman"/>
              </w:rPr>
              <w:t>50.862.943.531</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5C555CA" w14:textId="60B4F854" w:rsidR="47620091" w:rsidRPr="009E1B38" w:rsidRDefault="47620091" w:rsidP="47620091">
            <w:pPr>
              <w:jc w:val="right"/>
              <w:rPr>
                <w:rFonts w:ascii="Times New Roman" w:hAnsi="Times New Roman"/>
              </w:rPr>
            </w:pPr>
            <w:r w:rsidRPr="009E1B38">
              <w:rPr>
                <w:rFonts w:ascii="Times New Roman" w:hAnsi="Times New Roman"/>
              </w:rPr>
              <w:t>47.999.276.834</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505A59FD" w14:textId="47C485A5" w:rsidR="47620091" w:rsidRPr="009E1B38" w:rsidRDefault="47620091" w:rsidP="47620091">
            <w:pPr>
              <w:jc w:val="center"/>
              <w:rPr>
                <w:rFonts w:ascii="Times New Roman" w:hAnsi="Times New Roman"/>
              </w:rPr>
            </w:pPr>
            <w:r w:rsidRPr="009E1B38">
              <w:rPr>
                <w:rFonts w:ascii="Times New Roman" w:hAnsi="Times New Roman"/>
              </w:rPr>
              <w:t>-5,63</w:t>
            </w:r>
          </w:p>
        </w:tc>
      </w:tr>
      <w:tr w:rsidR="47620091" w:rsidRPr="009E1B38" w14:paraId="4C59704E"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4B700EF7" w14:textId="6443DB6C" w:rsidR="47620091" w:rsidRPr="009E1B38" w:rsidRDefault="47620091" w:rsidP="47620091">
            <w:pPr>
              <w:jc w:val="center"/>
              <w:rPr>
                <w:rFonts w:ascii="Times New Roman" w:hAnsi="Times New Roman"/>
              </w:rPr>
            </w:pPr>
            <w:r w:rsidRPr="009E1B38">
              <w:rPr>
                <w:rFonts w:ascii="Times New Roman" w:hAnsi="Times New Roman"/>
                <w:b/>
                <w:bCs/>
              </w:rPr>
              <w:t>2016</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07D59A9D" w14:textId="25448F0B" w:rsidR="47620091" w:rsidRPr="009E1B38" w:rsidRDefault="47620091" w:rsidP="47620091">
            <w:pPr>
              <w:jc w:val="right"/>
              <w:rPr>
                <w:rFonts w:ascii="Times New Roman" w:hAnsi="Times New Roman"/>
              </w:rPr>
            </w:pPr>
            <w:r w:rsidRPr="009E1B38">
              <w:rPr>
                <w:rFonts w:ascii="Times New Roman" w:hAnsi="Times New Roman"/>
              </w:rPr>
              <w:t>49.562.579.420</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2019E9F6" w14:textId="19657162" w:rsidR="47620091" w:rsidRPr="009E1B38" w:rsidRDefault="47620091" w:rsidP="47620091">
            <w:pPr>
              <w:jc w:val="right"/>
              <w:rPr>
                <w:rFonts w:ascii="Times New Roman" w:hAnsi="Times New Roman"/>
              </w:rPr>
            </w:pPr>
            <w:r w:rsidRPr="009E1B38">
              <w:rPr>
                <w:rFonts w:ascii="Times New Roman" w:hAnsi="Times New Roman"/>
              </w:rPr>
              <w:t>46.480.780.189</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48B3F006" w14:textId="4708D068" w:rsidR="47620091" w:rsidRPr="009E1B38" w:rsidRDefault="47620091" w:rsidP="47620091">
            <w:pPr>
              <w:jc w:val="center"/>
              <w:rPr>
                <w:rFonts w:ascii="Times New Roman" w:hAnsi="Times New Roman"/>
              </w:rPr>
            </w:pPr>
            <w:r w:rsidRPr="009E1B38">
              <w:rPr>
                <w:rFonts w:ascii="Times New Roman" w:hAnsi="Times New Roman"/>
              </w:rPr>
              <w:t>-6,22</w:t>
            </w:r>
          </w:p>
        </w:tc>
      </w:tr>
      <w:tr w:rsidR="47620091" w:rsidRPr="009E1B38" w14:paraId="3CE23016"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5B9695BD" w14:textId="6C96B300" w:rsidR="47620091" w:rsidRPr="009E1B38" w:rsidRDefault="47620091" w:rsidP="47620091">
            <w:pPr>
              <w:jc w:val="center"/>
              <w:rPr>
                <w:rFonts w:ascii="Times New Roman" w:hAnsi="Times New Roman"/>
              </w:rPr>
            </w:pPr>
            <w:r w:rsidRPr="009E1B38">
              <w:rPr>
                <w:rFonts w:ascii="Times New Roman" w:hAnsi="Times New Roman"/>
                <w:b/>
                <w:bCs/>
              </w:rPr>
              <w:t>2017</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39110A6" w14:textId="3B9FD730" w:rsidR="47620091" w:rsidRPr="009E1B38" w:rsidRDefault="47620091" w:rsidP="47620091">
            <w:pPr>
              <w:jc w:val="right"/>
              <w:rPr>
                <w:rFonts w:ascii="Times New Roman" w:hAnsi="Times New Roman"/>
              </w:rPr>
            </w:pPr>
            <w:r w:rsidRPr="009E1B38">
              <w:rPr>
                <w:rFonts w:ascii="Times New Roman" w:hAnsi="Times New Roman"/>
              </w:rPr>
              <w:t>46.029.977.218</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163ADB97" w14:textId="38032119" w:rsidR="47620091" w:rsidRPr="009E1B38" w:rsidRDefault="47620091" w:rsidP="47620091">
            <w:pPr>
              <w:jc w:val="right"/>
              <w:rPr>
                <w:rFonts w:ascii="Times New Roman" w:hAnsi="Times New Roman"/>
              </w:rPr>
            </w:pPr>
            <w:r w:rsidRPr="009E1B38">
              <w:rPr>
                <w:rFonts w:ascii="Times New Roman" w:hAnsi="Times New Roman"/>
              </w:rPr>
              <w:t>53.857.136.920</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6943EDB5" w14:textId="7761BF7D" w:rsidR="47620091" w:rsidRPr="009E1B38" w:rsidRDefault="47620091" w:rsidP="47620091">
            <w:pPr>
              <w:jc w:val="center"/>
              <w:rPr>
                <w:rFonts w:ascii="Times New Roman" w:hAnsi="Times New Roman"/>
              </w:rPr>
            </w:pPr>
            <w:r w:rsidRPr="009E1B38">
              <w:rPr>
                <w:rFonts w:ascii="Times New Roman" w:hAnsi="Times New Roman"/>
              </w:rPr>
              <w:t>17,00</w:t>
            </w:r>
          </w:p>
        </w:tc>
      </w:tr>
      <w:tr w:rsidR="47620091" w:rsidRPr="009E1B38" w14:paraId="227F69A6"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3DADFCB1" w14:textId="75207696" w:rsidR="47620091" w:rsidRPr="009E1B38" w:rsidRDefault="47620091" w:rsidP="47620091">
            <w:pPr>
              <w:jc w:val="center"/>
              <w:rPr>
                <w:rFonts w:ascii="Times New Roman" w:hAnsi="Times New Roman"/>
              </w:rPr>
            </w:pPr>
            <w:r w:rsidRPr="009E1B38">
              <w:rPr>
                <w:rFonts w:ascii="Times New Roman" w:hAnsi="Times New Roman"/>
                <w:b/>
                <w:bCs/>
              </w:rPr>
              <w:t>2018</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27433CF3" w14:textId="50830AAA" w:rsidR="47620091" w:rsidRPr="009E1B38" w:rsidRDefault="47620091" w:rsidP="47620091">
            <w:pPr>
              <w:jc w:val="right"/>
              <w:rPr>
                <w:rFonts w:ascii="Times New Roman" w:hAnsi="Times New Roman"/>
              </w:rPr>
            </w:pPr>
            <w:r w:rsidRPr="009E1B38">
              <w:rPr>
                <w:rFonts w:ascii="Times New Roman" w:hAnsi="Times New Roman"/>
              </w:rPr>
              <w:t>54.523.999.692</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45CB7FD" w14:textId="360BF06A" w:rsidR="47620091" w:rsidRPr="009E1B38" w:rsidRDefault="47620091" w:rsidP="47620091">
            <w:pPr>
              <w:jc w:val="right"/>
              <w:rPr>
                <w:rFonts w:ascii="Times New Roman" w:hAnsi="Times New Roman"/>
              </w:rPr>
            </w:pPr>
            <w:r w:rsidRPr="009E1B38">
              <w:rPr>
                <w:rFonts w:ascii="Times New Roman" w:hAnsi="Times New Roman"/>
              </w:rPr>
              <w:t>49.328.933.112</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119A4E4B" w14:textId="4D7DAF9F" w:rsidR="47620091" w:rsidRPr="009E1B38" w:rsidRDefault="47620091" w:rsidP="47620091">
            <w:pPr>
              <w:jc w:val="center"/>
              <w:rPr>
                <w:rFonts w:ascii="Times New Roman" w:hAnsi="Times New Roman"/>
              </w:rPr>
            </w:pPr>
            <w:r w:rsidRPr="009E1B38">
              <w:rPr>
                <w:rFonts w:ascii="Times New Roman" w:hAnsi="Times New Roman"/>
              </w:rPr>
              <w:t>-9,52</w:t>
            </w:r>
          </w:p>
        </w:tc>
      </w:tr>
      <w:tr w:rsidR="47620091" w:rsidRPr="009E1B38" w14:paraId="5FF37383"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035B241B" w14:textId="25D57E37" w:rsidR="47620091" w:rsidRPr="009E1B38" w:rsidRDefault="47620091" w:rsidP="47620091">
            <w:pPr>
              <w:jc w:val="center"/>
              <w:rPr>
                <w:rFonts w:ascii="Times New Roman" w:hAnsi="Times New Roman"/>
              </w:rPr>
            </w:pPr>
            <w:r w:rsidRPr="009E1B38">
              <w:rPr>
                <w:rFonts w:ascii="Times New Roman" w:hAnsi="Times New Roman"/>
                <w:b/>
                <w:bCs/>
              </w:rPr>
              <w:t>2019</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6A1A224D" w14:textId="055237F5" w:rsidR="47620091" w:rsidRPr="009E1B38" w:rsidRDefault="47620091" w:rsidP="47620091">
            <w:pPr>
              <w:jc w:val="right"/>
              <w:rPr>
                <w:rFonts w:ascii="Times New Roman" w:hAnsi="Times New Roman"/>
              </w:rPr>
            </w:pPr>
            <w:r w:rsidRPr="009E1B38">
              <w:rPr>
                <w:rFonts w:ascii="Times New Roman" w:hAnsi="Times New Roman"/>
              </w:rPr>
              <w:t>52.133.229.503</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4B824AF8" w14:textId="56636407" w:rsidR="47620091" w:rsidRPr="009E1B38" w:rsidRDefault="47620091" w:rsidP="47620091">
            <w:pPr>
              <w:jc w:val="right"/>
              <w:rPr>
                <w:rFonts w:ascii="Times New Roman" w:hAnsi="Times New Roman"/>
              </w:rPr>
            </w:pPr>
            <w:r w:rsidRPr="009E1B38">
              <w:rPr>
                <w:rFonts w:ascii="Times New Roman" w:hAnsi="Times New Roman"/>
              </w:rPr>
              <w:t>45.285.498.420</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5FCAEB29" w14:textId="1B406006" w:rsidR="47620091" w:rsidRPr="009E1B38" w:rsidRDefault="47620091" w:rsidP="47620091">
            <w:pPr>
              <w:jc w:val="center"/>
              <w:rPr>
                <w:rFonts w:ascii="Times New Roman" w:hAnsi="Times New Roman"/>
              </w:rPr>
            </w:pPr>
            <w:r w:rsidRPr="009E1B38">
              <w:rPr>
                <w:rFonts w:ascii="Times New Roman" w:hAnsi="Times New Roman"/>
              </w:rPr>
              <w:t>-13,1</w:t>
            </w:r>
          </w:p>
        </w:tc>
      </w:tr>
      <w:tr w:rsidR="47620091" w:rsidRPr="009E1B38" w14:paraId="047443F4"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4851C221" w14:textId="38218FB9" w:rsidR="47620091" w:rsidRPr="009E1B38" w:rsidRDefault="47620091" w:rsidP="47620091">
            <w:pPr>
              <w:jc w:val="center"/>
              <w:rPr>
                <w:rFonts w:ascii="Times New Roman" w:hAnsi="Times New Roman"/>
              </w:rPr>
            </w:pPr>
            <w:r w:rsidRPr="009E1B38">
              <w:rPr>
                <w:rFonts w:ascii="Times New Roman" w:hAnsi="Times New Roman"/>
                <w:b/>
                <w:bCs/>
              </w:rPr>
              <w:t>2020</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15A16863" w14:textId="3528208B" w:rsidR="47620091" w:rsidRPr="009E1B38" w:rsidRDefault="47620091" w:rsidP="47620091">
            <w:pPr>
              <w:jc w:val="right"/>
              <w:rPr>
                <w:rFonts w:ascii="Times New Roman" w:hAnsi="Times New Roman"/>
              </w:rPr>
            </w:pPr>
            <w:r w:rsidRPr="009E1B38">
              <w:rPr>
                <w:rFonts w:ascii="Times New Roman" w:hAnsi="Times New Roman"/>
              </w:rPr>
              <w:t>52.019.230.516</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bottom"/>
          </w:tcPr>
          <w:p w14:paraId="332A541E" w14:textId="3367CD16" w:rsidR="47620091" w:rsidRPr="009E1B38" w:rsidRDefault="47620091" w:rsidP="47620091">
            <w:pPr>
              <w:jc w:val="right"/>
              <w:rPr>
                <w:rFonts w:ascii="Times New Roman" w:hAnsi="Times New Roman"/>
              </w:rPr>
            </w:pPr>
            <w:r w:rsidRPr="009E1B38">
              <w:rPr>
                <w:rFonts w:ascii="Times New Roman" w:hAnsi="Times New Roman"/>
              </w:rPr>
              <w:t>48.261.352.140</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173772E9" w14:textId="2E0FD5F0" w:rsidR="47620091" w:rsidRPr="009E1B38" w:rsidRDefault="47620091" w:rsidP="47620091">
            <w:pPr>
              <w:jc w:val="center"/>
              <w:rPr>
                <w:rFonts w:ascii="Times New Roman" w:hAnsi="Times New Roman"/>
              </w:rPr>
            </w:pPr>
            <w:r w:rsidRPr="009E1B38">
              <w:rPr>
                <w:rFonts w:ascii="Times New Roman" w:hAnsi="Times New Roman"/>
              </w:rPr>
              <w:t>-7,22</w:t>
            </w:r>
          </w:p>
        </w:tc>
      </w:tr>
      <w:tr w:rsidR="47620091" w:rsidRPr="009E1B38" w14:paraId="73B7DB50" w14:textId="77777777" w:rsidTr="47620091">
        <w:trPr>
          <w:trHeight w:val="15"/>
        </w:trPr>
        <w:tc>
          <w:tcPr>
            <w:tcW w:w="87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514EDCE9" w14:textId="590EBB30" w:rsidR="47620091" w:rsidRPr="009E1B38" w:rsidRDefault="47620091" w:rsidP="47620091">
            <w:pPr>
              <w:jc w:val="center"/>
              <w:rPr>
                <w:rFonts w:ascii="Times New Roman" w:hAnsi="Times New Roman"/>
              </w:rPr>
            </w:pPr>
            <w:r w:rsidRPr="009E1B38">
              <w:rPr>
                <w:rFonts w:ascii="Times New Roman" w:hAnsi="Times New Roman"/>
                <w:b/>
                <w:bCs/>
              </w:rPr>
              <w:t>2021</w:t>
            </w:r>
          </w:p>
        </w:tc>
        <w:tc>
          <w:tcPr>
            <w:tcW w:w="221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448F0398" w14:textId="23FF3578" w:rsidR="47620091" w:rsidRPr="009E1B38" w:rsidRDefault="47620091" w:rsidP="47620091">
            <w:pPr>
              <w:jc w:val="right"/>
              <w:rPr>
                <w:rFonts w:ascii="Times New Roman" w:hAnsi="Times New Roman"/>
              </w:rPr>
            </w:pPr>
            <w:r w:rsidRPr="009E1B38">
              <w:rPr>
                <w:rFonts w:ascii="Times New Roman" w:hAnsi="Times New Roman"/>
              </w:rPr>
              <w:t>50.864.761.766</w:t>
            </w:r>
          </w:p>
        </w:tc>
        <w:tc>
          <w:tcPr>
            <w:tcW w:w="21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bottom"/>
          </w:tcPr>
          <w:p w14:paraId="4307EF28" w14:textId="79D05957" w:rsidR="47620091" w:rsidRPr="009E1B38" w:rsidRDefault="47620091" w:rsidP="47620091">
            <w:pPr>
              <w:jc w:val="right"/>
              <w:rPr>
                <w:rFonts w:ascii="Times New Roman" w:hAnsi="Times New Roman"/>
              </w:rPr>
            </w:pPr>
            <w:r w:rsidRPr="009E1B38">
              <w:rPr>
                <w:rFonts w:ascii="Times New Roman" w:hAnsi="Times New Roman"/>
              </w:rPr>
              <w:t>59.827.054.387</w:t>
            </w:r>
          </w:p>
        </w:tc>
        <w:tc>
          <w:tcPr>
            <w:tcW w:w="4696"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211ABD8D" w14:textId="767A27AA" w:rsidR="47620091" w:rsidRPr="009E1B38" w:rsidRDefault="47620091" w:rsidP="47620091">
            <w:pPr>
              <w:jc w:val="center"/>
              <w:rPr>
                <w:rFonts w:ascii="Times New Roman" w:hAnsi="Times New Roman"/>
              </w:rPr>
            </w:pPr>
            <w:r w:rsidRPr="009E1B38">
              <w:rPr>
                <w:rFonts w:ascii="Times New Roman" w:hAnsi="Times New Roman"/>
              </w:rPr>
              <w:t>17,62</w:t>
            </w:r>
          </w:p>
        </w:tc>
      </w:tr>
    </w:tbl>
    <w:p w14:paraId="5069BB5D" w14:textId="1450BEBE" w:rsidR="0032468F" w:rsidRPr="009E1B38" w:rsidRDefault="47620091" w:rsidP="47620091">
      <w:pPr>
        <w:spacing w:after="160" w:line="259" w:lineRule="auto"/>
        <w:rPr>
          <w:rFonts w:ascii="Times New Roman" w:hAnsi="Times New Roman"/>
        </w:rPr>
      </w:pPr>
      <w:r w:rsidRPr="009E1B38">
        <w:rPr>
          <w:rFonts w:ascii="Times New Roman" w:hAnsi="Times New Roman"/>
        </w:rPr>
        <w:t xml:space="preserve"> </w:t>
      </w:r>
    </w:p>
    <w:p w14:paraId="0F89744A" w14:textId="39C18A00" w:rsidR="0032468F" w:rsidRPr="009E1B38" w:rsidRDefault="47620091" w:rsidP="47620091">
      <w:pPr>
        <w:spacing w:after="160" w:line="259" w:lineRule="auto"/>
        <w:rPr>
          <w:rFonts w:ascii="Times New Roman" w:hAnsi="Times New Roman"/>
        </w:rPr>
      </w:pPr>
      <w:r w:rsidRPr="009E1B38">
        <w:rPr>
          <w:rFonts w:ascii="Times New Roman" w:hAnsi="Times New Roman"/>
        </w:rPr>
        <w:t xml:space="preserve"> </w:t>
      </w:r>
    </w:p>
    <w:p w14:paraId="35B4B462" w14:textId="7128E3F7" w:rsidR="0032468F" w:rsidRPr="009E1B38" w:rsidRDefault="47620091" w:rsidP="47620091">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With the Board Decision dated 11.02.2021 and numbered 10023 published in the Official Gazette dated 16.02.2021 and numbered 31397, it entered into force by being published in the Official Gazette dated 24.09.2020 and numbered 31254 “Prepared on the basis of Article 5 of the Presidential Decision dated 23.09.2020 and numbered 2953 on the Appointment of the General Directorate of BOTAŞ for the Purpose of Delivering Natural Gas to the Districts, </w:t>
      </w:r>
      <w:r w:rsidRPr="009E1B38">
        <w:rPr>
          <w:rFonts w:ascii="Times New Roman" w:hAnsi="Times New Roman"/>
          <w:b/>
          <w:bCs/>
        </w:rPr>
        <w:t>The Procedures and Principles Regarding the Implementation of the Presidential Decision dated 23/09/2020 and numbered 2953 for the Delivery of Natural Gas to the Districts</w:t>
      </w:r>
      <w:r w:rsidRPr="009E1B38">
        <w:rPr>
          <w:rFonts w:ascii="Times New Roman" w:hAnsi="Times New Roman"/>
        </w:rPr>
        <w:t xml:space="preserve"> have been accepted.</w:t>
      </w:r>
    </w:p>
    <w:p w14:paraId="5FE9B499" w14:textId="17FE6C74" w:rsidR="0032468F" w:rsidRPr="009E1B38" w:rsidRDefault="47620091" w:rsidP="47620091">
      <w:pPr>
        <w:spacing w:after="160" w:line="240" w:lineRule="exact"/>
        <w:rPr>
          <w:rFonts w:ascii="Times New Roman" w:hAnsi="Times New Roman"/>
        </w:rPr>
      </w:pPr>
      <w:r w:rsidRPr="009E1B38">
        <w:rPr>
          <w:rFonts w:ascii="Times New Roman" w:hAnsi="Times New Roman"/>
        </w:rPr>
        <w:t xml:space="preserve"> </w:t>
      </w:r>
    </w:p>
    <w:p w14:paraId="1508D6A4" w14:textId="3A466E08" w:rsidR="0032468F" w:rsidRPr="009E1B38" w:rsidRDefault="47620091" w:rsidP="47620091">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With the Board Decision dated 25.02.2021 and numbered 10046, its purpose, which was prepared on the basis of the Additional Article 2 of the Law on the Organization and Duties of the Energy Market Regulatory Authority dated 20.02.2001 and numbered 4628, and the 3rd article of the Natural Gas Market </w:t>
      </w:r>
      <w:r w:rsidRPr="009E1B38">
        <w:rPr>
          <w:rFonts w:ascii="Times New Roman" w:hAnsi="Times New Roman"/>
        </w:rPr>
        <w:lastRenderedPageBreak/>
        <w:t xml:space="preserve">Law dated 18.04.2001 and numbered 4646, Organized Wholesale Natural Gas Sales Market, published in the Official Gazette dated 31.03.2017 No. 30024 </w:t>
      </w:r>
      <w:r w:rsidRPr="009E1B38">
        <w:rPr>
          <w:rFonts w:ascii="Times New Roman" w:hAnsi="Times New Roman"/>
          <w:b/>
          <w:bCs/>
        </w:rPr>
        <w:t>The Forward Natural Gas Market Operating Procedures and Principles</w:t>
      </w:r>
      <w:r w:rsidRPr="009E1B38">
        <w:rPr>
          <w:rFonts w:ascii="Times New Roman" w:hAnsi="Times New Roman"/>
        </w:rPr>
        <w:t>, which regulate the matters left to these Procedures and Principles in the Regulation, entered into force by being published in the Official Gazette dated 12.03.2021 and numbered 31421.</w:t>
      </w:r>
    </w:p>
    <w:p w14:paraId="122438EE" w14:textId="14CF716B" w:rsidR="0032468F" w:rsidRPr="009E1B38" w:rsidRDefault="47620091" w:rsidP="47620091">
      <w:pPr>
        <w:spacing w:after="160" w:line="259" w:lineRule="auto"/>
        <w:rPr>
          <w:rFonts w:ascii="Times New Roman" w:hAnsi="Times New Roman"/>
        </w:rPr>
      </w:pPr>
      <w:r w:rsidRPr="009E1B38">
        <w:rPr>
          <w:rFonts w:ascii="Times New Roman" w:hAnsi="Times New Roman"/>
        </w:rPr>
        <w:t xml:space="preserve"> </w:t>
      </w:r>
    </w:p>
    <w:p w14:paraId="4A0C9E4A" w14:textId="5AA53F58" w:rsidR="0032468F" w:rsidRPr="009E1B38" w:rsidRDefault="47620091" w:rsidP="47620091">
      <w:pPr>
        <w:spacing w:after="160" w:line="259" w:lineRule="auto"/>
        <w:ind w:left="299" w:hanging="299"/>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With the Board Decision dated 30.06.2021 and numbered 10293 published in the Official Gazette dated 01.07.2021 and numbered 31528, the 15th article of the Organized Wholesale Natural Gas Market Regulation titled "Submission of Bids and Price Formation in STP", "For Bids to be Submitted in STP" Article 16 titled "Minimum Factors for the Law" and Article 18 titled "Extraordinary Situations" and Article 6.2 titled "Daily Reference Price Calculation" of the "Organized Wholesale Natural Gas Sales Market Operating Procedures and Principles (PUE)" "Structure and Content of Offers and Offer Types" Within the framework of Article 6.4 titled "Extraordinary Situations" and Article 11.1 titled "Extraordinary Circumstances", to be valid until a new decision of the Board on this issue:</w:t>
      </w:r>
    </w:p>
    <w:p w14:paraId="1087ED40" w14:textId="5F9A9BFF" w:rsidR="0032468F" w:rsidRPr="009E1B38" w:rsidRDefault="47620091" w:rsidP="47620091">
      <w:pPr>
        <w:spacing w:after="160" w:line="259" w:lineRule="auto"/>
        <w:ind w:firstLine="567"/>
        <w:rPr>
          <w:rFonts w:ascii="Times New Roman" w:hAnsi="Times New Roman"/>
        </w:rPr>
      </w:pPr>
      <w:r w:rsidRPr="009E1B38">
        <w:rPr>
          <w:rFonts w:ascii="Times New Roman" w:hAnsi="Times New Roman"/>
        </w:rPr>
        <w:t xml:space="preserve"> </w:t>
      </w:r>
    </w:p>
    <w:p w14:paraId="36260F3C" w14:textId="062493F1" w:rsidR="0032468F" w:rsidRPr="009E1B38" w:rsidRDefault="47620091" w:rsidP="47620091">
      <w:pPr>
        <w:spacing w:after="160" w:line="259" w:lineRule="auto"/>
        <w:rPr>
          <w:rFonts w:ascii="Times New Roman" w:hAnsi="Times New Roman"/>
        </w:rPr>
      </w:pPr>
      <w:r w:rsidRPr="009E1B38">
        <w:rPr>
          <w:rFonts w:ascii="Times New Roman" w:hAnsi="Times New Roman"/>
          <w:b/>
          <w:bCs/>
          <w:i/>
          <w:iCs/>
        </w:rPr>
        <w:t xml:space="preserve">1- </w:t>
      </w:r>
      <w:r w:rsidRPr="009E1B38">
        <w:rPr>
          <w:rFonts w:ascii="Times New Roman" w:hAnsi="Times New Roman"/>
        </w:rPr>
        <w:t xml:space="preserve">The minimum price of the offers to be submitted on the Continuous Trading Platform is determined as 0 TL/1000 </w:t>
      </w:r>
      <w:r w:rsidRPr="009E1B38">
        <w:rPr>
          <w:rFonts w:ascii="Times New Roman" w:hAnsi="Times New Roman"/>
          <w:i/>
          <w:iCs/>
        </w:rPr>
        <w:t>Sm</w:t>
      </w:r>
      <w:r w:rsidRPr="009E1B38">
        <w:rPr>
          <w:rFonts w:ascii="Times New Roman" w:hAnsi="Times New Roman"/>
          <w:i/>
          <w:iCs/>
          <w:vertAlign w:val="superscript"/>
        </w:rPr>
        <w:t>3</w:t>
      </w:r>
      <w:r w:rsidRPr="009E1B38">
        <w:rPr>
          <w:rFonts w:ascii="Times New Roman" w:hAnsi="Times New Roman"/>
        </w:rPr>
        <w:t>, and the maximum price is determined as 1.5 times the arithmetic average of the Daily Reference Prices formed in the STP in the first 25 days of the previous month,</w:t>
      </w:r>
    </w:p>
    <w:p w14:paraId="3FC61D85" w14:textId="547B93F4" w:rsidR="0032468F" w:rsidRPr="009E1B38" w:rsidRDefault="47620091" w:rsidP="47620091">
      <w:pPr>
        <w:spacing w:after="160" w:line="259" w:lineRule="auto"/>
        <w:rPr>
          <w:rFonts w:ascii="Times New Roman" w:hAnsi="Times New Roman"/>
        </w:rPr>
      </w:pPr>
      <w:r w:rsidRPr="009E1B38">
        <w:rPr>
          <w:rFonts w:ascii="Times New Roman" w:hAnsi="Times New Roman"/>
          <w:b/>
          <w:bCs/>
          <w:i/>
          <w:iCs/>
        </w:rPr>
        <w:t>2-</w:t>
      </w:r>
      <w:r w:rsidRPr="009E1B38">
        <w:rPr>
          <w:rFonts w:ascii="Times New Roman" w:hAnsi="Times New Roman"/>
          <w:i/>
          <w:iCs/>
        </w:rPr>
        <w:t xml:space="preserve"> </w:t>
      </w:r>
      <w:r w:rsidRPr="009E1B38">
        <w:rPr>
          <w:rFonts w:ascii="Times New Roman" w:hAnsi="Times New Roman"/>
        </w:rPr>
        <w:t>Except for the point/regional transactions, the minimum price of the matches to be realized in the sell-side transactions to be made in the STP, excluding the point / regional transactions, is 1500 TL/1000 Sm3, the maximum price of the matches to be realized in the buy-side transactions</w:t>
      </w:r>
      <w:r w:rsidR="008C0305">
        <w:rPr>
          <w:rFonts w:ascii="Times New Roman" w:hAnsi="Times New Roman"/>
        </w:rPr>
        <w:t xml:space="preserve"> </w:t>
      </w:r>
      <w:r w:rsidR="008C0305" w:rsidRPr="009E1B38">
        <w:rPr>
          <w:rFonts w:ascii="Times New Roman" w:hAnsi="Times New Roman"/>
        </w:rPr>
        <w:t>to be determined as 1.5 times the average,</w:t>
      </w:r>
      <w:r w:rsidRPr="009E1B38">
        <w:rPr>
          <w:rFonts w:ascii="Times New Roman" w:hAnsi="Times New Roman"/>
        </w:rPr>
        <w:t xml:space="preserve"> is the arithmetic calculation of the Daily Reference Prices formed in the STP in the first 25 days of the previous month</w:t>
      </w:r>
      <w:r w:rsidR="008C0305">
        <w:rPr>
          <w:rFonts w:ascii="Times New Roman" w:hAnsi="Times New Roman"/>
        </w:rPr>
        <w:t>.</w:t>
      </w:r>
    </w:p>
    <w:p w14:paraId="7D5B28DC" w14:textId="3577CD09" w:rsidR="0032468F" w:rsidRPr="009E1B38" w:rsidRDefault="47620091" w:rsidP="47620091">
      <w:pPr>
        <w:spacing w:after="160" w:line="259" w:lineRule="auto"/>
        <w:rPr>
          <w:rFonts w:ascii="Times New Roman" w:hAnsi="Times New Roman"/>
        </w:rPr>
      </w:pPr>
      <w:r w:rsidRPr="009E1B38">
        <w:rPr>
          <w:rFonts w:ascii="Times New Roman" w:hAnsi="Times New Roman"/>
          <w:b/>
          <w:bCs/>
          <w:i/>
          <w:iCs/>
        </w:rPr>
        <w:t xml:space="preserve">3- </w:t>
      </w:r>
      <w:r w:rsidRPr="009E1B38">
        <w:rPr>
          <w:rFonts w:ascii="Times New Roman" w:hAnsi="Times New Roman"/>
        </w:rPr>
        <w:t>If price formation is not possible in the STP as a result of the extraordinary events foreseen in the PUE, it has been decided that the last GRF used in the settlement calculations of the Gas Day before the Gas Day when the extraordinary situation occurred, shall be accepted as the extraordinary situation GRF.</w:t>
      </w:r>
    </w:p>
    <w:p w14:paraId="4A299AD5" w14:textId="1A121EE8" w:rsidR="0032468F" w:rsidRPr="009E1B38" w:rsidRDefault="47620091" w:rsidP="47620091">
      <w:pPr>
        <w:spacing w:after="160" w:line="259" w:lineRule="auto"/>
        <w:ind w:firstLine="567"/>
        <w:rPr>
          <w:rFonts w:ascii="Times New Roman" w:hAnsi="Times New Roman"/>
        </w:rPr>
      </w:pPr>
      <w:r w:rsidRPr="009E1B38">
        <w:rPr>
          <w:rFonts w:ascii="Times New Roman" w:hAnsi="Times New Roman"/>
        </w:rPr>
        <w:t xml:space="preserve">             </w:t>
      </w:r>
    </w:p>
    <w:p w14:paraId="45D02811" w14:textId="449B6475" w:rsidR="0032468F" w:rsidRPr="009E1B38" w:rsidRDefault="47620091" w:rsidP="47620091">
      <w:pPr>
        <w:spacing w:after="160" w:line="259" w:lineRule="auto"/>
        <w:ind w:firstLine="567"/>
        <w:rPr>
          <w:rFonts w:ascii="Times New Roman" w:hAnsi="Times New Roman"/>
        </w:rPr>
      </w:pPr>
      <w:r w:rsidRPr="009E1B38">
        <w:rPr>
          <w:rFonts w:ascii="Times New Roman" w:hAnsi="Times New Roman"/>
        </w:rPr>
        <w:t xml:space="preserve"> </w:t>
      </w:r>
    </w:p>
    <w:p w14:paraId="2BAF3218" w14:textId="24A45323" w:rsidR="0032468F" w:rsidRPr="009E1B38" w:rsidRDefault="47620091" w:rsidP="47620091">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Published in the Official Gazette dated 09.07.2021 and numbered 31536 with the Board Decision dated 08.07.2021 and numbered 10308, it was published in the Official Gazette dated 19.09.2019 and numbered 30893 dated 12.09.2019 and numbered 8828 The following changes were made in the </w:t>
      </w:r>
      <w:r w:rsidRPr="009E1B38">
        <w:rPr>
          <w:rFonts w:ascii="Times New Roman" w:hAnsi="Times New Roman"/>
          <w:b/>
          <w:bCs/>
        </w:rPr>
        <w:t>Procedures and Principles Regarding the Determination of Spot Pipe Gas Import Amount and Application Method</w:t>
      </w:r>
      <w:r w:rsidRPr="009E1B38">
        <w:rPr>
          <w:rFonts w:ascii="Times New Roman" w:hAnsi="Times New Roman"/>
        </w:rPr>
        <w:t>:</w:t>
      </w:r>
    </w:p>
    <w:p w14:paraId="16D2D493" w14:textId="52A38A03"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4334DFC6" w14:textId="63A7C8AF" w:rsidR="0032468F" w:rsidRPr="009E1B38" w:rsidRDefault="47620091" w:rsidP="47620091">
      <w:pPr>
        <w:spacing w:after="160" w:line="259" w:lineRule="auto"/>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i/>
          <w:iCs/>
        </w:rPr>
        <w:t>“17. The following article has been added to the end of the “Other provisions” article:</w:t>
      </w:r>
    </w:p>
    <w:p w14:paraId="4874A4E8" w14:textId="4C18B399" w:rsidR="0032468F" w:rsidRPr="009E1B38" w:rsidRDefault="47620091" w:rsidP="47620091">
      <w:pPr>
        <w:spacing w:after="160" w:line="259" w:lineRule="auto"/>
        <w:ind w:firstLine="567"/>
        <w:rPr>
          <w:rFonts w:ascii="Times New Roman" w:hAnsi="Times New Roman"/>
        </w:rPr>
      </w:pPr>
      <w:r w:rsidRPr="009E1B38">
        <w:rPr>
          <w:rFonts w:ascii="Times New Roman" w:hAnsi="Times New Roman"/>
          <w:i/>
          <w:iCs/>
        </w:rPr>
        <w:t xml:space="preserve"> </w:t>
      </w:r>
    </w:p>
    <w:p w14:paraId="22469237" w14:textId="00CE5A5C" w:rsidR="0032468F" w:rsidRPr="009E1B38" w:rsidRDefault="47620091" w:rsidP="47620091">
      <w:pPr>
        <w:spacing w:after="160" w:line="259" w:lineRule="auto"/>
        <w:rPr>
          <w:rFonts w:ascii="Times New Roman" w:hAnsi="Times New Roman"/>
        </w:rPr>
      </w:pPr>
      <w:r w:rsidRPr="009E1B38">
        <w:rPr>
          <w:rFonts w:ascii="Times New Roman" w:hAnsi="Times New Roman"/>
          <w:i/>
          <w:iCs/>
        </w:rPr>
        <w:t>“17.6 Board; Within the framework of the reasons given by the Transmission Company for the security of supply and the safe operation of the transmission system, it is authorized to change the distribution of the time and rates of the capacity products included in these Procedures and Principles, and to develop new products other than the capacity products included, provided that the acquired rights of the licensees are taken into account.</w:t>
      </w:r>
    </w:p>
    <w:p w14:paraId="48C58E96" w14:textId="5DE021B0" w:rsidR="0032468F" w:rsidRPr="009E1B38" w:rsidRDefault="47620091" w:rsidP="47620091">
      <w:pPr>
        <w:spacing w:after="160" w:line="259" w:lineRule="auto"/>
        <w:rPr>
          <w:rFonts w:ascii="Times New Roman" w:hAnsi="Times New Roman"/>
        </w:rPr>
      </w:pPr>
      <w:r w:rsidRPr="009E1B38">
        <w:rPr>
          <w:rFonts w:ascii="Times New Roman" w:hAnsi="Times New Roman"/>
        </w:rPr>
        <w:t xml:space="preserve"> </w:t>
      </w:r>
    </w:p>
    <w:p w14:paraId="11489EE9" w14:textId="017EC484" w:rsidR="0032468F" w:rsidRPr="009E1B38" w:rsidRDefault="47620091" w:rsidP="47620091">
      <w:pPr>
        <w:spacing w:after="160" w:line="259" w:lineRule="auto"/>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 </w:t>
      </w:r>
      <w:r w:rsidRPr="009E1B38">
        <w:rPr>
          <w:rFonts w:ascii="Times New Roman" w:hAnsi="Times New Roman"/>
          <w:b/>
          <w:bCs/>
        </w:rPr>
        <w:t>Spot Pipe Gas Import Amount and The Procedures and Principles Regarding the Determination of the Implementation Method</w:t>
      </w:r>
      <w:r w:rsidRPr="009E1B38">
        <w:rPr>
          <w:rFonts w:ascii="Times New Roman" w:hAnsi="Times New Roman"/>
        </w:rPr>
        <w:t xml:space="preserve"> dated 12.09.2019 and numbered 8828, which entered into force by being </w:t>
      </w:r>
      <w:r w:rsidRPr="009E1B38">
        <w:rPr>
          <w:rFonts w:ascii="Times New Roman" w:hAnsi="Times New Roman"/>
        </w:rPr>
        <w:lastRenderedPageBreak/>
        <w:t>published in the Official Gazette dated 19.09.2019 and numbered 30893, with the Board Decision dated 12/08/2021 and numbered 10367 published in the Official Gazette dated 13.08.2021 and numbered 31567.</w:t>
      </w:r>
    </w:p>
    <w:p w14:paraId="74695912" w14:textId="78ED0A98" w:rsidR="0032468F" w:rsidRPr="009E1B38" w:rsidRDefault="47620091" w:rsidP="47620091">
      <w:pPr>
        <w:spacing w:after="160" w:line="259" w:lineRule="auto"/>
        <w:rPr>
          <w:rFonts w:ascii="Times New Roman" w:hAnsi="Times New Roman"/>
        </w:rPr>
      </w:pPr>
      <w:r w:rsidRPr="009E1B38">
        <w:rPr>
          <w:rFonts w:ascii="Times New Roman" w:hAnsi="Times New Roman"/>
        </w:rPr>
        <w:t xml:space="preserve"> </w:t>
      </w:r>
    </w:p>
    <w:p w14:paraId="482576E2" w14:textId="3225BEF5" w:rsidR="0032468F" w:rsidRPr="009E1B38" w:rsidRDefault="47620091" w:rsidP="47620091">
      <w:pPr>
        <w:spacing w:after="160" w:line="259" w:lineRule="auto"/>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17. The following article has been added to the end of the “Other provisions” article:</w:t>
      </w:r>
    </w:p>
    <w:p w14:paraId="42C557FC" w14:textId="172BFE5A" w:rsidR="0032468F" w:rsidRPr="009E1B38" w:rsidRDefault="47620091" w:rsidP="47620091">
      <w:pPr>
        <w:spacing w:after="160" w:line="259" w:lineRule="auto"/>
        <w:rPr>
          <w:rFonts w:ascii="Times New Roman" w:hAnsi="Times New Roman"/>
        </w:rPr>
      </w:pPr>
      <w:r w:rsidRPr="009E1B38">
        <w:rPr>
          <w:rFonts w:ascii="Times New Roman" w:hAnsi="Times New Roman"/>
          <w:i/>
          <w:iCs/>
        </w:rPr>
        <w:t xml:space="preserve"> </w:t>
      </w:r>
    </w:p>
    <w:p w14:paraId="3CEEC31A" w14:textId="744C2B5E" w:rsidR="0032468F" w:rsidRPr="009E1B38" w:rsidRDefault="47620091" w:rsidP="47620091">
      <w:pPr>
        <w:spacing w:after="160" w:line="259" w:lineRule="auto"/>
        <w:rPr>
          <w:rFonts w:ascii="Times New Roman" w:hAnsi="Times New Roman"/>
        </w:rPr>
      </w:pPr>
      <w:r w:rsidRPr="009E1B38">
        <w:rPr>
          <w:rFonts w:ascii="Times New Roman" w:hAnsi="Times New Roman"/>
          <w:i/>
          <w:iCs/>
        </w:rPr>
        <w:t>“17.7 Capacity product may be created by the Board, covering more than one consecutive calendar year, for the entry points deemed necessary by taking the opinion of the Ministry. In this case, the announcement periods, application calendar, capacity ratios and distributions and other issues related to implementation determined in these Procedures and Principles for the relevant entry points may be determined separately by the Board.”</w:t>
      </w:r>
    </w:p>
    <w:p w14:paraId="2A61C3D5" w14:textId="6AA24104"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698603AD" w14:textId="5E279E19" w:rsidR="0032468F" w:rsidRPr="009E1B38" w:rsidRDefault="47620091" w:rsidP="0008108D">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With the Board Decision dated 16.09.2021 and numbered 10409 published in the Official Gazette dated 18.09.2021 and numbered 31602, in Article 19 of the Organized Wholesale Natural Gas Sales Market Regulation, titled “Market Operation Procedures and Principles”, “…The Board may make changes in PUE and VGPUE by taking the opinion of the relevant persons operating in the company or ex officio if necessary.” Within the framework of the provision, amendments were made to the Forward Natural Gas Market Operating Procedures and Principles (VGPUE) dated 25.02.2021 and numbered 10046, which was published in the Official Gazette dated 12.03.2021 and numbered 31421. With the aforementioned changes;</w:t>
      </w:r>
    </w:p>
    <w:p w14:paraId="75C2A7B7" w14:textId="208ACC8E"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Adding the coefficients (BK, TTFK and HHK) determined as a result of the analysis studies to the Base Price Formula</w:t>
      </w:r>
    </w:p>
    <w:p w14:paraId="64C89502" w14:textId="5C1FA668"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Determining the time period as “3 working days” for the participants requesting a position limit increase to complete their TGH contribution obligations.</w:t>
      </w:r>
    </w:p>
    <w:p w14:paraId="4755C62E" w14:textId="013F3DF2"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In order to make the Physical Term Coverage formulas more understandable and clear, NK expression is changed to NKZ and “net loss amount” is added to the formula.</w:t>
      </w:r>
    </w:p>
    <w:p w14:paraId="45063BB6" w14:textId="26CBDDF8"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Arranging the order of resources to be applied when closing the positions of market participants who have defaulted on the margin and/or TGH contribution margin, in a way that is the same as the invoice default</w:t>
      </w:r>
    </w:p>
    <w:p w14:paraId="7C92EC15" w14:textId="27304FFA"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Receiving VGP debt amount from spot invoice debt within the scope of PUE in invoice payments made to current accounts based on net debts of market participants</w:t>
      </w:r>
    </w:p>
    <w:p w14:paraId="7B6486C0" w14:textId="6197B481"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In line with Takasbank's opinions, the processes of notifying and changing the intermediary bank are carried out "through Takasbank systems" instead of "the obligation to notify in writing"</w:t>
      </w:r>
    </w:p>
    <w:p w14:paraId="7D6BF03F" w14:textId="4775807D" w:rsidR="0032468F" w:rsidRPr="009E1B38" w:rsidRDefault="47620091" w:rsidP="008C0305">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It is determined that PUE advance receivable is not a source to be applied separately in the order of resources to be applied in case of default.</w:t>
      </w:r>
    </w:p>
    <w:p w14:paraId="1D253B80" w14:textId="333D274B" w:rsidR="0032468F" w:rsidRPr="009E1B38" w:rsidRDefault="47620091" w:rsidP="47620091">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Article 6.3 of "Procedures and Principles for Determining the Import Amount of Spot Pipe Gas and Application Method" dated 12.09.2019 and numbered 8828, which entered into force by being published in the Official Gazette dated 19.09.2019 and numbered 30893 with the Board Decision dated 28.10.2021 and numbered 10521. It has been decided to apply the phrase "November 1st for the relevant gas year, until 1 November at the latest, before the gas year", as 1 December, for 2022 Gas Year at the latest.</w:t>
      </w:r>
    </w:p>
    <w:p w14:paraId="76BB9475" w14:textId="7BE1CFF2"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1CB04C95" w14:textId="07285FAB" w:rsidR="0032468F" w:rsidRPr="009E1B38" w:rsidRDefault="47620091" w:rsidP="47620091">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With the Board Decision dated 25.11.2021 and numbered 10581 published in the Official Gazette dated 26.11.2021 and numbered 31671, the Principles Regarding the Operational Regulations of the Pipelines and Petroleum Transport Corporation (BOTAŞ) Transmission Network (NOP) were amended;</w:t>
      </w:r>
    </w:p>
    <w:p w14:paraId="7409B78C" w14:textId="017BEE2D"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6306B1C7" w14:textId="3052D057"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ŞİD 1. Those who will request a capacity reservation to enter the system before the “Gas Year” in Part G, will submit these requests to the Carrier between November 15 (inclusive) and November 30 (inclusive), </w:t>
      </w:r>
      <w:r w:rsidRPr="009E1B38">
        <w:rPr>
          <w:rFonts w:ascii="Times New Roman" w:hAnsi="Times New Roman"/>
        </w:rPr>
        <w:lastRenderedPageBreak/>
        <w:t>and as a result of these applications, 1 (one) year-term STS is signed…”, the date of "30 November" is changed to "10 December (including)", only for 2022 applications,</w:t>
      </w:r>
    </w:p>
    <w:p w14:paraId="5EFC3FC7" w14:textId="4453556C" w:rsidR="0032468F" w:rsidRPr="009E1B38" w:rsidRDefault="47620091" w:rsidP="47620091">
      <w:pPr>
        <w:spacing w:after="160" w:line="240" w:lineRule="exact"/>
        <w:rPr>
          <w:rFonts w:ascii="Times New Roman" w:hAnsi="Times New Roman"/>
        </w:rPr>
      </w:pPr>
      <w:r w:rsidRPr="009E1B38">
        <w:rPr>
          <w:rFonts w:ascii="Times New Roman" w:hAnsi="Times New Roman"/>
        </w:rPr>
        <w:t xml:space="preserve"> </w:t>
      </w:r>
    </w:p>
    <w:p w14:paraId="38B42D0D" w14:textId="21F76567"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ŞİD 1. In Section G of Part G, “… In case the application is considered completely positive, the applicant is invited to sign the STS. The applicant is obliged to sign the STS within 7 days following the notification of this invitation. Changing the expression "7 (seven) days" in the provision of "..." to "4 (four) days" for applications for the year 2022,</w:t>
      </w:r>
    </w:p>
    <w:p w14:paraId="0391AE8B" w14:textId="75120F82" w:rsidR="0032468F" w:rsidRPr="009E1B38" w:rsidRDefault="47620091" w:rsidP="47620091">
      <w:pPr>
        <w:spacing w:after="160" w:line="240" w:lineRule="exact"/>
        <w:rPr>
          <w:rFonts w:ascii="Times New Roman" w:hAnsi="Times New Roman"/>
        </w:rPr>
      </w:pPr>
      <w:r w:rsidRPr="009E1B38">
        <w:rPr>
          <w:rFonts w:ascii="Times New Roman" w:hAnsi="Times New Roman"/>
        </w:rPr>
        <w:t xml:space="preserve"> </w:t>
      </w:r>
    </w:p>
    <w:p w14:paraId="600431AF" w14:textId="0E7EC4DB" w:rsidR="0032468F" w:rsidRPr="009E1B38" w:rsidRDefault="47620091" w:rsidP="47620091">
      <w:pPr>
        <w:spacing w:after="160" w:line="240"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ŞİD 1. In Section G of Part G, “…after the STSs are signed between the Shippers and the Transporter for the New Gas Year and the capacity registration certificates are given to the Shippers, the Transporter publishes the reserved capacities and Idle Capacities for the new Gas Year in the EBT on 15 December at the latest. For reservation requests with a duration of less than one year for Idle Capacities made after December 15, the details detailed in Section H below will be applicable..." to change the date of "December 15" to "December 20" for applications for the year 2022,</w:t>
      </w:r>
      <w:r w:rsidR="00E8233E" w:rsidRPr="009E1B38">
        <w:rPr>
          <w:rFonts w:ascii="Times New Roman" w:hAnsi="Times New Roman"/>
        </w:rPr>
        <w:t xml:space="preserve"> </w:t>
      </w:r>
      <w:r w:rsidRPr="009E1B38">
        <w:rPr>
          <w:rFonts w:ascii="Times New Roman" w:hAnsi="Times New Roman"/>
        </w:rPr>
        <w:t>decided.</w:t>
      </w:r>
    </w:p>
    <w:p w14:paraId="0F37A436" w14:textId="14B39802" w:rsidR="0032468F" w:rsidRPr="009E1B38" w:rsidRDefault="47620091" w:rsidP="47620091">
      <w:pPr>
        <w:spacing w:after="160" w:line="240" w:lineRule="exact"/>
        <w:rPr>
          <w:rFonts w:ascii="Times New Roman" w:hAnsi="Times New Roman"/>
        </w:rPr>
      </w:pPr>
      <w:r w:rsidRPr="009E1B38">
        <w:rPr>
          <w:rFonts w:ascii="Times New Roman" w:hAnsi="Times New Roman"/>
        </w:rPr>
        <w:t xml:space="preserve"> </w:t>
      </w:r>
    </w:p>
    <w:p w14:paraId="6E989008" w14:textId="11DFA4E5"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332262AF" w14:textId="4884870B" w:rsidR="0032468F" w:rsidRPr="009E1B38" w:rsidRDefault="47620091" w:rsidP="47620091">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With the Board Decision dated 02.12.2021 and numbered 10591 published in the Official Gazette dated 03.12.2021 and numbered 31678, amendments were made to the Procedures and Principles Regarding the Determination of the </w:t>
      </w:r>
      <w:r w:rsidRPr="009E1B38">
        <w:rPr>
          <w:rFonts w:ascii="Times New Roman" w:hAnsi="Times New Roman"/>
          <w:b/>
          <w:bCs/>
        </w:rPr>
        <w:t>Spot Pipe Gas Import Amount and Application Method</w:t>
      </w:r>
      <w:r w:rsidRPr="009E1B38">
        <w:rPr>
          <w:rFonts w:ascii="Times New Roman" w:hAnsi="Times New Roman"/>
        </w:rPr>
        <w:t xml:space="preserve"> published in the Official Gazette dated 19.09.2019 and numbered 30893. With the aforementioned changes;</w:t>
      </w:r>
    </w:p>
    <w:p w14:paraId="32483E3E" w14:textId="040A4FF8" w:rsidR="0032468F" w:rsidRPr="009E1B38" w:rsidRDefault="47620091" w:rsidP="47620091">
      <w:pPr>
        <w:spacing w:after="160" w:line="240" w:lineRule="exact"/>
        <w:rPr>
          <w:rFonts w:ascii="Times New Roman" w:hAnsi="Times New Roman"/>
        </w:rPr>
      </w:pPr>
      <w:r w:rsidRPr="009E1B38">
        <w:rPr>
          <w:rFonts w:ascii="Times New Roman" w:hAnsi="Times New Roman"/>
        </w:rPr>
        <w:t xml:space="preserve"> </w:t>
      </w:r>
    </w:p>
    <w:p w14:paraId="7901861C" w14:textId="63D6DFD7" w:rsidR="0032468F" w:rsidRPr="009E1B38" w:rsidRDefault="47620091" w:rsidP="47620091">
      <w:pPr>
        <w:spacing w:after="160" w:line="253"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In order for the spot imported natural gas to be sold on the Continuous Trade Platform (STP), the imported license holder must be registered with EPİAŞ. For this reason, the said license holder must have signed a Standard Transport Agreement with BOTAŞ and a Market Participation Agreement with EPİAŞ. With the amendment envisaged to be made in the Procedures and Principles, a copy of the Market Participation Agreement has been added to the documents required to be submitted to the Authority by the license holders who want to participate in the bookkeeping.</w:t>
      </w:r>
    </w:p>
    <w:p w14:paraId="33EEEF40" w14:textId="569AD505"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7A1FAF13" w14:textId="2000078C" w:rsidR="0032468F" w:rsidRPr="009E1B38" w:rsidRDefault="47620091" w:rsidP="47620091">
      <w:pPr>
        <w:spacing w:after="160" w:line="253" w:lineRule="exact"/>
        <w:ind w:left="360" w:hanging="360"/>
        <w:rPr>
          <w:rFonts w:ascii="Times New Roman" w:hAnsi="Times New Roman"/>
        </w:rPr>
      </w:pPr>
      <w:r w:rsidRPr="009E1B38">
        <w:rPr>
          <w:rFonts w:ascii="Times New Roman" w:eastAsia="Times New Roman" w:hAnsi="Times New Roman"/>
        </w:rPr>
        <w:t>-</w:t>
      </w:r>
      <w:r w:rsidR="004A744D" w:rsidRPr="009E1B38">
        <w:rPr>
          <w:rFonts w:ascii="Times New Roman" w:eastAsia="Times New Roman" w:hAnsi="Times New Roman"/>
          <w:sz w:val="14"/>
          <w:szCs w:val="14"/>
        </w:rPr>
        <w:t xml:space="preserve">    </w:t>
      </w:r>
      <w:r w:rsidRPr="009E1B38">
        <w:rPr>
          <w:rFonts w:ascii="Times New Roman" w:hAnsi="Times New Roman"/>
        </w:rPr>
        <w:t>Since transactions are c</w:t>
      </w:r>
      <w:r w:rsidR="004A744D" w:rsidRPr="009E1B38">
        <w:rPr>
          <w:rFonts w:ascii="Times New Roman" w:hAnsi="Times New Roman"/>
        </w:rPr>
        <w:t>arried out anonymously in STP; t</w:t>
      </w:r>
      <w:r w:rsidRPr="009E1B38">
        <w:rPr>
          <w:rFonts w:ascii="Times New Roman" w:hAnsi="Times New Roman"/>
        </w:rPr>
        <w:t>he obligation to sell a certain amount of spot imported natural gas at STP should be followed up by EPİAŞ and the Authority should be notified by EPİAŞ. In this context, the coordination of BOTAŞ and EPİAŞ in this regard is important, since BOTAŞ determines how much spot pipe gas a licensee imports and the obligation to sell 20% of this amount in the spot market will be followed by EPİAŞ. In this respect, with the article 13.6 added to the Procedures and Principles, “13.6 The market operator determines whether or to what extent the sales obligation of the relevant capacity product has been fulfilled on the continuous trading platform within the period and notifies the Authority. The transmission company and the market operator provide the necessary cooperation and coordination in the data exchange within the scope of the obligation to sell the imported natural gas on the permanent trade platform within the scope of these Procedures and Principles.</w:t>
      </w:r>
    </w:p>
    <w:p w14:paraId="0BD8C816" w14:textId="708C9F3D"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1F44617D" w14:textId="1816BD4F" w:rsidR="0032468F" w:rsidRPr="009E1B38" w:rsidRDefault="47620091" w:rsidP="47620091">
      <w:pPr>
        <w:spacing w:after="160" w:line="253" w:lineRule="exact"/>
        <w:ind w:left="360" w:hanging="360"/>
        <w:rPr>
          <w:rFonts w:ascii="Times New Roman" w:hAnsi="Times New Roman"/>
        </w:rPr>
      </w:pPr>
      <w:r w:rsidRPr="009E1B38">
        <w:rPr>
          <w:rFonts w:ascii="Times New Roman" w:eastAsia="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An arrangement has been made to present a certain amount of letter of guarantee in response to the risk that the license holder, who purchases a capacity for spot pipe gas imports, fails to fulfill its obligation regarding the sale of at least twenty percent of this gas at STP. In connection with this, a statement has been added to the 4th article of the Commitment in the annex of the Procedures and Principles, stating that the guarantee will be recorded as income in case the sales obligation is not fulfilled in the OTSP.</w:t>
      </w:r>
    </w:p>
    <w:p w14:paraId="147757C8" w14:textId="25B5CBA2"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59131604" w14:textId="1AEB3C45" w:rsidR="0032468F" w:rsidRPr="009E1B38" w:rsidRDefault="47620091" w:rsidP="47620091">
      <w:pPr>
        <w:spacing w:after="160" w:line="253" w:lineRule="exact"/>
        <w:ind w:left="360" w:hanging="360"/>
        <w:rPr>
          <w:rFonts w:ascii="Times New Roman" w:hAnsi="Times New Roman"/>
        </w:rPr>
      </w:pPr>
      <w:r w:rsidRPr="009E1B38">
        <w:rPr>
          <w:rFonts w:ascii="Times New Roman" w:eastAsia="Times New Roman" w:hAnsi="Times New Roman"/>
        </w:rPr>
        <w:lastRenderedPageBreak/>
        <w:t>-</w:t>
      </w:r>
      <w:r w:rsidRPr="009E1B38">
        <w:rPr>
          <w:rFonts w:ascii="Times New Roman" w:eastAsia="Times New Roman" w:hAnsi="Times New Roman"/>
          <w:sz w:val="14"/>
          <w:szCs w:val="14"/>
        </w:rPr>
        <w:t xml:space="preserve">       </w:t>
      </w:r>
      <w:r w:rsidRPr="009E1B38">
        <w:rPr>
          <w:rFonts w:ascii="Times New Roman" w:hAnsi="Times New Roman"/>
        </w:rPr>
        <w:t>A revision was made on the stipulated date for BOTAŞ to make its electronic infrastructure ready for daily and intraday capacity.</w:t>
      </w:r>
    </w:p>
    <w:p w14:paraId="4919D4D9" w14:textId="13843FA9"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366F215B" w14:textId="14EA32A0" w:rsidR="0032468F" w:rsidRPr="009E1B38" w:rsidRDefault="47620091" w:rsidP="47620091">
      <w:pPr>
        <w:spacing w:after="160" w:line="240" w:lineRule="exact"/>
        <w:ind w:left="360" w:hanging="360"/>
        <w:rPr>
          <w:rFonts w:ascii="Times New Roman" w:hAnsi="Times New Roman"/>
        </w:rPr>
      </w:pPr>
      <w:r w:rsidRPr="009E1B38">
        <w:rPr>
          <w:rFonts w:ascii="Times New Roman" w:eastAsia="Symbol" w:hAnsi="Times New Roman"/>
        </w:rPr>
        <w:t>·</w:t>
      </w:r>
      <w:r w:rsidR="004A744D" w:rsidRPr="009E1B38">
        <w:rPr>
          <w:rFonts w:ascii="Times New Roman" w:eastAsia="Times New Roman" w:hAnsi="Times New Roman"/>
          <w:sz w:val="14"/>
          <w:szCs w:val="14"/>
        </w:rPr>
        <w:t xml:space="preserve">      </w:t>
      </w:r>
      <w:r w:rsidRPr="009E1B38">
        <w:rPr>
          <w:rFonts w:ascii="Times New Roman" w:hAnsi="Times New Roman"/>
        </w:rPr>
        <w:t xml:space="preserve">According to the Board Decision dated 09.12.2021 and numbered 10610 published in the Official Gazette dated 14.12.2021 and numbered 31689, the applications that can be made to the Authority in the electronic environment by real and </w:t>
      </w:r>
      <w:r w:rsidR="00135D72" w:rsidRPr="009E1B38">
        <w:rPr>
          <w:rFonts w:ascii="Times New Roman" w:hAnsi="Times New Roman"/>
        </w:rPr>
        <w:t>legal entities</w:t>
      </w:r>
      <w:r w:rsidRPr="009E1B38">
        <w:rPr>
          <w:rFonts w:ascii="Times New Roman" w:hAnsi="Times New Roman"/>
        </w:rPr>
        <w:t xml:space="preserve"> operating in the natural gas market, and numbered 8522, dated 04.04.2019 By making changes in the Board Decision, it has been ensured that the relevant applications will continue to be received in writing until 31.12.2022 in order to allow time to establish the necessary infrastructure for those who will apply electronically.</w:t>
      </w:r>
    </w:p>
    <w:p w14:paraId="6C6D41FA" w14:textId="1E9F1D99" w:rsidR="0032468F" w:rsidRPr="009E1B38" w:rsidRDefault="47620091" w:rsidP="47620091">
      <w:pPr>
        <w:spacing w:after="160" w:line="240" w:lineRule="exact"/>
        <w:rPr>
          <w:rFonts w:ascii="Times New Roman" w:hAnsi="Times New Roman"/>
        </w:rPr>
      </w:pPr>
      <w:r w:rsidRPr="009E1B38">
        <w:rPr>
          <w:rFonts w:ascii="Times New Roman" w:hAnsi="Times New Roman"/>
        </w:rPr>
        <w:t xml:space="preserve"> </w:t>
      </w:r>
    </w:p>
    <w:p w14:paraId="1AF3AFA6" w14:textId="40461234" w:rsidR="0032468F" w:rsidRPr="009E1B38" w:rsidRDefault="47620091" w:rsidP="47620091">
      <w:pPr>
        <w:spacing w:after="160" w:line="240" w:lineRule="exact"/>
        <w:ind w:left="360" w:hanging="360"/>
        <w:rPr>
          <w:rFonts w:ascii="Times New Roman" w:hAnsi="Times New Roman"/>
        </w:rPr>
      </w:pPr>
      <w:r w:rsidRPr="009E1B38">
        <w:rPr>
          <w:rFonts w:ascii="Times New Roman" w:eastAsia="Symbol" w:hAnsi="Times New Roman"/>
        </w:rPr>
        <w:t>·</w:t>
      </w:r>
      <w:r w:rsidRPr="009E1B38">
        <w:rPr>
          <w:rFonts w:ascii="Times New Roman" w:eastAsia="Times New Roman" w:hAnsi="Times New Roman"/>
          <w:sz w:val="14"/>
          <w:szCs w:val="14"/>
        </w:rPr>
        <w:t xml:space="preserve">       </w:t>
      </w:r>
      <w:r w:rsidRPr="009E1B38">
        <w:rPr>
          <w:rFonts w:ascii="Times New Roman" w:hAnsi="Times New Roman"/>
        </w:rPr>
        <w:t>With the Board Decision dated 16.12.2021 and numbered 10627 published in the Official Gazette dated 21.12.2021 and numbered 31696, it was taken to be implemented throughout 2015 regarding the limit of being a free consumer in the natural gas market and published in the Official Gazette dated 26.12.2014 and numbered 29217. It has been decided to apply the Board Decision dated 18.12.2014 and numbered 5362 throughout 2022. The change in the eligible consumer limit in the natural gas market by years is given in Table 2.3.</w:t>
      </w:r>
    </w:p>
    <w:p w14:paraId="0BDE19E3" w14:textId="6695FF78" w:rsidR="0032468F" w:rsidRPr="009E1B38" w:rsidRDefault="47620091" w:rsidP="47620091">
      <w:pPr>
        <w:spacing w:after="160" w:line="253" w:lineRule="exact"/>
        <w:rPr>
          <w:rFonts w:ascii="Times New Roman" w:hAnsi="Times New Roman"/>
        </w:rPr>
      </w:pPr>
      <w:r w:rsidRPr="009E1B38">
        <w:rPr>
          <w:rFonts w:ascii="Times New Roman" w:hAnsi="Times New Roman"/>
        </w:rPr>
        <w:t xml:space="preserve"> </w:t>
      </w:r>
    </w:p>
    <w:p w14:paraId="0CCDA141" w14:textId="077020DF" w:rsidR="0032468F" w:rsidRPr="009E1B38" w:rsidRDefault="47620091" w:rsidP="0008108D">
      <w:pPr>
        <w:pStyle w:val="Balk5"/>
        <w:jc w:val="center"/>
        <w:rPr>
          <w:rFonts w:ascii="Times New Roman" w:hAnsi="Times New Roman" w:cs="Times New Roman"/>
        </w:rPr>
      </w:pPr>
      <w:bookmarkStart w:id="56" w:name="_Toc107499499"/>
      <w:r w:rsidRPr="009E1B38">
        <w:rPr>
          <w:rFonts w:ascii="Times New Roman" w:eastAsia="Calibri" w:hAnsi="Times New Roman" w:cs="Times New Roman"/>
          <w:bCs/>
        </w:rPr>
        <w:t>Table 2.3: Change of Eligible Consumer Limit in Natural Gas Market by Years (2005-2021)</w:t>
      </w:r>
      <w:bookmarkEnd w:id="56"/>
    </w:p>
    <w:tbl>
      <w:tblPr>
        <w:tblW w:w="0" w:type="auto"/>
        <w:tblLayout w:type="fixed"/>
        <w:tblLook w:val="06A0" w:firstRow="1" w:lastRow="0" w:firstColumn="1" w:lastColumn="0" w:noHBand="1" w:noVBand="1"/>
      </w:tblPr>
      <w:tblGrid>
        <w:gridCol w:w="1348"/>
        <w:gridCol w:w="2351"/>
        <w:gridCol w:w="3864"/>
        <w:gridCol w:w="2351"/>
      </w:tblGrid>
      <w:tr w:rsidR="47620091" w:rsidRPr="009E1B38" w14:paraId="14713552" w14:textId="77777777" w:rsidTr="47620091">
        <w:trPr>
          <w:trHeight w:val="300"/>
        </w:trPr>
        <w:tc>
          <w:tcPr>
            <w:tcW w:w="1348" w:type="dxa"/>
            <w:vMerge w:val="restar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6E9ECA"/>
            <w:vAlign w:val="center"/>
          </w:tcPr>
          <w:p w14:paraId="2CECE03A" w14:textId="7E3D3A5E" w:rsidR="47620091" w:rsidRPr="009E1B38" w:rsidRDefault="47620091" w:rsidP="47620091">
            <w:pPr>
              <w:jc w:val="center"/>
              <w:rPr>
                <w:rFonts w:ascii="Times New Roman" w:hAnsi="Times New Roman"/>
              </w:rPr>
            </w:pPr>
            <w:r w:rsidRPr="009E1B38">
              <w:rPr>
                <w:rFonts w:ascii="Times New Roman" w:hAnsi="Times New Roman"/>
                <w:b/>
                <w:bCs/>
                <w:color w:val="FFFFFF" w:themeColor="background1"/>
              </w:rPr>
              <w:t>Applied Year</w:t>
            </w:r>
          </w:p>
        </w:tc>
        <w:tc>
          <w:tcPr>
            <w:tcW w:w="2351" w:type="dxa"/>
            <w:vMerge w:val="restar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6E9ECA"/>
            <w:vAlign w:val="center"/>
          </w:tcPr>
          <w:p w14:paraId="435479A1" w14:textId="080ADCAB" w:rsidR="47620091" w:rsidRPr="009E1B38" w:rsidRDefault="47620091" w:rsidP="47620091">
            <w:pPr>
              <w:jc w:val="center"/>
              <w:rPr>
                <w:rFonts w:ascii="Times New Roman" w:hAnsi="Times New Roman"/>
              </w:rPr>
            </w:pPr>
            <w:r w:rsidRPr="009E1B38">
              <w:rPr>
                <w:rFonts w:ascii="Times New Roman" w:hAnsi="Times New Roman"/>
                <w:b/>
                <w:bCs/>
                <w:color w:val="FFFFFF" w:themeColor="background1"/>
              </w:rPr>
              <w:t>Number of Board Decisions</w:t>
            </w:r>
          </w:p>
        </w:tc>
        <w:tc>
          <w:tcPr>
            <w:tcW w:w="6215"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6E9ECA"/>
            <w:vAlign w:val="bottom"/>
          </w:tcPr>
          <w:p w14:paraId="2D5012E7" w14:textId="146802CD" w:rsidR="47620091" w:rsidRPr="009E1B38" w:rsidRDefault="47620091" w:rsidP="47620091">
            <w:pPr>
              <w:jc w:val="center"/>
              <w:rPr>
                <w:rFonts w:ascii="Times New Roman" w:hAnsi="Times New Roman"/>
              </w:rPr>
            </w:pPr>
            <w:r w:rsidRPr="009E1B38">
              <w:rPr>
                <w:rFonts w:ascii="Times New Roman" w:hAnsi="Times New Roman"/>
                <w:b/>
                <w:bCs/>
                <w:color w:val="FFFFFF" w:themeColor="background1"/>
              </w:rPr>
              <w:t>Eligible Consumer Limit (m</w:t>
            </w:r>
            <w:r w:rsidRPr="009E1B38">
              <w:rPr>
                <w:rFonts w:ascii="Times New Roman" w:hAnsi="Times New Roman"/>
                <w:b/>
                <w:bCs/>
                <w:color w:val="FFFFFF" w:themeColor="background1"/>
                <w:vertAlign w:val="superscript"/>
              </w:rPr>
              <w:t>3</w:t>
            </w:r>
            <w:r w:rsidRPr="009E1B38">
              <w:rPr>
                <w:rFonts w:ascii="Times New Roman" w:hAnsi="Times New Roman"/>
                <w:b/>
                <w:bCs/>
                <w:color w:val="FFFFFF" w:themeColor="background1"/>
              </w:rPr>
              <w:t>)</w:t>
            </w:r>
          </w:p>
        </w:tc>
      </w:tr>
      <w:tr w:rsidR="47620091" w:rsidRPr="009E1B38" w14:paraId="27AF5C6A" w14:textId="77777777" w:rsidTr="47620091">
        <w:trPr>
          <w:trHeight w:val="900"/>
        </w:trPr>
        <w:tc>
          <w:tcPr>
            <w:tcW w:w="1348" w:type="dxa"/>
            <w:vMerge/>
            <w:tcBorders>
              <w:left w:val="single" w:sz="0" w:space="0" w:color="D9D9D9" w:themeColor="background1" w:themeShade="D9"/>
              <w:bottom w:val="single" w:sz="0" w:space="0" w:color="D9D9D9" w:themeColor="background1" w:themeShade="D9"/>
              <w:right w:val="single" w:sz="0" w:space="0" w:color="D9D9D9" w:themeColor="background1" w:themeShade="D9"/>
            </w:tcBorders>
            <w:vAlign w:val="center"/>
          </w:tcPr>
          <w:p w14:paraId="166B571E" w14:textId="77777777" w:rsidR="000D3960" w:rsidRPr="009E1B38" w:rsidRDefault="000D3960">
            <w:pPr>
              <w:rPr>
                <w:rFonts w:ascii="Times New Roman" w:hAnsi="Times New Roman"/>
              </w:rPr>
            </w:pPr>
          </w:p>
        </w:tc>
        <w:tc>
          <w:tcPr>
            <w:tcW w:w="2351" w:type="dxa"/>
            <w:vMerge/>
            <w:tcBorders>
              <w:left w:val="single" w:sz="0" w:space="0" w:color="D9D9D9" w:themeColor="background1" w:themeShade="D9"/>
              <w:bottom w:val="single" w:sz="0" w:space="0" w:color="D9D9D9" w:themeColor="background1" w:themeShade="D9"/>
              <w:right w:val="single" w:sz="0" w:space="0" w:color="D9D9D9" w:themeColor="background1" w:themeShade="D9"/>
            </w:tcBorders>
            <w:vAlign w:val="center"/>
          </w:tcPr>
          <w:p w14:paraId="2D89B3EA" w14:textId="77777777" w:rsidR="000D3960" w:rsidRPr="009E1B38" w:rsidRDefault="000D3960">
            <w:pPr>
              <w:rPr>
                <w:rFonts w:ascii="Times New Roman" w:hAnsi="Times New Roman"/>
              </w:rPr>
            </w:pPr>
          </w:p>
        </w:tc>
        <w:tc>
          <w:tcPr>
            <w:tcW w:w="3864" w:type="dxa"/>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tcPr>
          <w:p w14:paraId="7A6A2035" w14:textId="44C2CEAA" w:rsidR="47620091" w:rsidRPr="009E1B38" w:rsidRDefault="47620091" w:rsidP="47620091">
            <w:pPr>
              <w:jc w:val="center"/>
              <w:rPr>
                <w:rFonts w:ascii="Times New Roman" w:hAnsi="Times New Roman"/>
              </w:rPr>
            </w:pPr>
            <w:r w:rsidRPr="009E1B38">
              <w:rPr>
                <w:rFonts w:ascii="Times New Roman" w:hAnsi="Times New Roman"/>
                <w:b/>
                <w:bCs/>
                <w:color w:val="FFFFFF" w:themeColor="background1"/>
              </w:rPr>
              <w:t>Existing companies and companies with tenders whose licenses expire after 5 years</w:t>
            </w:r>
          </w:p>
        </w:tc>
        <w:tc>
          <w:tcPr>
            <w:tcW w:w="2351" w:type="dxa"/>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6E9ECA"/>
            <w:vAlign w:val="center"/>
          </w:tcPr>
          <w:p w14:paraId="33DF5295" w14:textId="55F6EB3C" w:rsidR="47620091" w:rsidRPr="009E1B38" w:rsidRDefault="47620091" w:rsidP="47620091">
            <w:pPr>
              <w:jc w:val="center"/>
              <w:rPr>
                <w:rFonts w:ascii="Times New Roman" w:hAnsi="Times New Roman"/>
              </w:rPr>
            </w:pPr>
            <w:r w:rsidRPr="009E1B38">
              <w:rPr>
                <w:rFonts w:ascii="Times New Roman" w:hAnsi="Times New Roman"/>
                <w:b/>
                <w:bCs/>
                <w:color w:val="FFFFFF" w:themeColor="background1"/>
              </w:rPr>
              <w:t>Other companies licensed by tender</w:t>
            </w:r>
          </w:p>
        </w:tc>
      </w:tr>
      <w:tr w:rsidR="47620091" w:rsidRPr="009E1B38" w14:paraId="65D2A0AC" w14:textId="77777777" w:rsidTr="47620091">
        <w:trPr>
          <w:trHeight w:val="315"/>
        </w:trPr>
        <w:tc>
          <w:tcPr>
            <w:tcW w:w="1348" w:type="dxa"/>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16F6757" w14:textId="5F4F8A29" w:rsidR="47620091" w:rsidRPr="009E1B38" w:rsidRDefault="47620091" w:rsidP="47620091">
            <w:pPr>
              <w:jc w:val="center"/>
              <w:rPr>
                <w:rFonts w:ascii="Times New Roman" w:hAnsi="Times New Roman"/>
              </w:rPr>
            </w:pPr>
            <w:r w:rsidRPr="009E1B38">
              <w:rPr>
                <w:rFonts w:ascii="Times New Roman" w:hAnsi="Times New Roman"/>
              </w:rPr>
              <w:t>2005</w:t>
            </w:r>
          </w:p>
        </w:tc>
        <w:tc>
          <w:tcPr>
            <w:tcW w:w="2351" w:type="dxa"/>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9EF82E9" w14:textId="5403B98E" w:rsidR="47620091" w:rsidRPr="009E1B38" w:rsidRDefault="47620091" w:rsidP="47620091">
            <w:pPr>
              <w:jc w:val="center"/>
              <w:rPr>
                <w:rFonts w:ascii="Times New Roman" w:hAnsi="Times New Roman"/>
              </w:rPr>
            </w:pPr>
            <w:r w:rsidRPr="009E1B38">
              <w:rPr>
                <w:rFonts w:ascii="Times New Roman" w:hAnsi="Times New Roman"/>
              </w:rPr>
              <w:t>408</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3EDC8BB5" w14:textId="5155E29B" w:rsidR="47620091" w:rsidRPr="009E1B38" w:rsidRDefault="47620091" w:rsidP="47620091">
            <w:pPr>
              <w:jc w:val="right"/>
              <w:rPr>
                <w:rFonts w:ascii="Times New Roman" w:hAnsi="Times New Roman"/>
              </w:rPr>
            </w:pPr>
            <w:r w:rsidRPr="009E1B38">
              <w:rPr>
                <w:rFonts w:ascii="Times New Roman" w:hAnsi="Times New Roman"/>
              </w:rPr>
              <w:t>1.000.000</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1EB83D7B" w14:textId="362E43E9" w:rsidR="47620091" w:rsidRPr="009E1B38" w:rsidRDefault="47620091" w:rsidP="47620091">
            <w:pPr>
              <w:jc w:val="right"/>
              <w:rPr>
                <w:rFonts w:ascii="Times New Roman" w:hAnsi="Times New Roman"/>
              </w:rPr>
            </w:pPr>
            <w:r w:rsidRPr="009E1B38">
              <w:rPr>
                <w:rFonts w:ascii="Times New Roman" w:hAnsi="Times New Roman"/>
              </w:rPr>
              <w:t>15.000.000</w:t>
            </w:r>
          </w:p>
        </w:tc>
      </w:tr>
      <w:tr w:rsidR="47620091" w:rsidRPr="009E1B38" w14:paraId="6A9C8151" w14:textId="77777777" w:rsidTr="47620091">
        <w:trPr>
          <w:trHeight w:val="315"/>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4B35899" w14:textId="7180F285" w:rsidR="47620091" w:rsidRPr="009E1B38" w:rsidRDefault="47620091" w:rsidP="47620091">
            <w:pPr>
              <w:jc w:val="center"/>
              <w:rPr>
                <w:rFonts w:ascii="Times New Roman" w:hAnsi="Times New Roman"/>
              </w:rPr>
            </w:pPr>
            <w:r w:rsidRPr="009E1B38">
              <w:rPr>
                <w:rFonts w:ascii="Times New Roman" w:hAnsi="Times New Roman"/>
              </w:rPr>
              <w:t>2006</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726952F" w14:textId="28B890D3" w:rsidR="47620091" w:rsidRPr="009E1B38" w:rsidRDefault="47620091" w:rsidP="47620091">
            <w:pPr>
              <w:jc w:val="center"/>
              <w:rPr>
                <w:rFonts w:ascii="Times New Roman" w:hAnsi="Times New Roman"/>
              </w:rPr>
            </w:pPr>
            <w:r w:rsidRPr="009E1B38">
              <w:rPr>
                <w:rFonts w:ascii="Times New Roman" w:hAnsi="Times New Roman"/>
              </w:rPr>
              <w:t>629</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58C11053" w14:textId="5839B1FE" w:rsidR="47620091" w:rsidRPr="009E1B38" w:rsidRDefault="47620091" w:rsidP="47620091">
            <w:pPr>
              <w:jc w:val="right"/>
              <w:rPr>
                <w:rFonts w:ascii="Times New Roman" w:hAnsi="Times New Roman"/>
              </w:rPr>
            </w:pPr>
            <w:r w:rsidRPr="009E1B38">
              <w:rPr>
                <w:rFonts w:ascii="Times New Roman" w:hAnsi="Times New Roman"/>
              </w:rPr>
              <w:t>1.000.000</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2CC51AD3" w14:textId="494A40EC" w:rsidR="47620091" w:rsidRPr="009E1B38" w:rsidRDefault="47620091" w:rsidP="47620091">
            <w:pPr>
              <w:jc w:val="right"/>
              <w:rPr>
                <w:rFonts w:ascii="Times New Roman" w:hAnsi="Times New Roman"/>
              </w:rPr>
            </w:pPr>
            <w:r w:rsidRPr="009E1B38">
              <w:rPr>
                <w:rFonts w:ascii="Times New Roman" w:hAnsi="Times New Roman"/>
              </w:rPr>
              <w:t>15.000.000</w:t>
            </w:r>
          </w:p>
        </w:tc>
      </w:tr>
      <w:tr w:rsidR="47620091" w:rsidRPr="009E1B38" w14:paraId="570F4AB0" w14:textId="77777777" w:rsidTr="47620091">
        <w:trPr>
          <w:trHeight w:val="315"/>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83AC4A6" w14:textId="057E7A82" w:rsidR="47620091" w:rsidRPr="009E1B38" w:rsidRDefault="47620091" w:rsidP="47620091">
            <w:pPr>
              <w:jc w:val="center"/>
              <w:rPr>
                <w:rFonts w:ascii="Times New Roman" w:hAnsi="Times New Roman"/>
              </w:rPr>
            </w:pPr>
            <w:r w:rsidRPr="009E1B38">
              <w:rPr>
                <w:rFonts w:ascii="Times New Roman" w:hAnsi="Times New Roman"/>
              </w:rPr>
              <w:t>2007</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12535F0" w14:textId="270DFC46" w:rsidR="47620091" w:rsidRPr="009E1B38" w:rsidRDefault="47620091" w:rsidP="47620091">
            <w:pPr>
              <w:jc w:val="center"/>
              <w:rPr>
                <w:rFonts w:ascii="Times New Roman" w:hAnsi="Times New Roman"/>
              </w:rPr>
            </w:pPr>
            <w:r w:rsidRPr="009E1B38">
              <w:rPr>
                <w:rFonts w:ascii="Times New Roman" w:hAnsi="Times New Roman"/>
              </w:rPr>
              <w:t>1032</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72AAEB0A" w14:textId="37BE134C" w:rsidR="47620091" w:rsidRPr="009E1B38" w:rsidRDefault="47620091" w:rsidP="47620091">
            <w:pPr>
              <w:jc w:val="right"/>
              <w:rPr>
                <w:rFonts w:ascii="Times New Roman" w:hAnsi="Times New Roman"/>
              </w:rPr>
            </w:pPr>
            <w:r w:rsidRPr="009E1B38">
              <w:rPr>
                <w:rFonts w:ascii="Times New Roman" w:hAnsi="Times New Roman"/>
              </w:rPr>
              <w:t>1.000.000</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11310069" w14:textId="28F6E322" w:rsidR="47620091" w:rsidRPr="009E1B38" w:rsidRDefault="47620091" w:rsidP="47620091">
            <w:pPr>
              <w:jc w:val="right"/>
              <w:rPr>
                <w:rFonts w:ascii="Times New Roman" w:hAnsi="Times New Roman"/>
              </w:rPr>
            </w:pPr>
            <w:r w:rsidRPr="009E1B38">
              <w:rPr>
                <w:rFonts w:ascii="Times New Roman" w:hAnsi="Times New Roman"/>
              </w:rPr>
              <w:t>15.000.000</w:t>
            </w:r>
          </w:p>
        </w:tc>
      </w:tr>
      <w:tr w:rsidR="47620091" w:rsidRPr="009E1B38" w14:paraId="04F2E373" w14:textId="77777777" w:rsidTr="47620091">
        <w:trPr>
          <w:trHeight w:val="315"/>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9F90A4E" w14:textId="72611979" w:rsidR="47620091" w:rsidRPr="009E1B38" w:rsidRDefault="47620091" w:rsidP="47620091">
            <w:pPr>
              <w:jc w:val="center"/>
              <w:rPr>
                <w:rFonts w:ascii="Times New Roman" w:hAnsi="Times New Roman"/>
              </w:rPr>
            </w:pPr>
            <w:r w:rsidRPr="009E1B38">
              <w:rPr>
                <w:rFonts w:ascii="Times New Roman" w:hAnsi="Times New Roman"/>
              </w:rPr>
              <w:t>2008</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C33CC12" w14:textId="6D633868" w:rsidR="47620091" w:rsidRPr="009E1B38" w:rsidRDefault="47620091" w:rsidP="47620091">
            <w:pPr>
              <w:jc w:val="center"/>
              <w:rPr>
                <w:rFonts w:ascii="Times New Roman" w:hAnsi="Times New Roman"/>
              </w:rPr>
            </w:pPr>
            <w:r w:rsidRPr="009E1B38">
              <w:rPr>
                <w:rFonts w:ascii="Times New Roman" w:hAnsi="Times New Roman"/>
              </w:rPr>
              <w:t>1438 and 1808/1</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68255C31" w14:textId="727E56ED" w:rsidR="47620091" w:rsidRPr="009E1B38" w:rsidRDefault="47620091" w:rsidP="47620091">
            <w:pPr>
              <w:jc w:val="right"/>
              <w:rPr>
                <w:rFonts w:ascii="Times New Roman" w:hAnsi="Times New Roman"/>
              </w:rPr>
            </w:pPr>
            <w:r w:rsidRPr="009E1B38">
              <w:rPr>
                <w:rFonts w:ascii="Times New Roman" w:hAnsi="Times New Roman"/>
              </w:rPr>
              <w:t>1.000.000</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326DF151" w14:textId="3C04444B" w:rsidR="47620091" w:rsidRPr="009E1B38" w:rsidRDefault="47620091" w:rsidP="47620091">
            <w:pPr>
              <w:jc w:val="right"/>
              <w:rPr>
                <w:rFonts w:ascii="Times New Roman" w:hAnsi="Times New Roman"/>
              </w:rPr>
            </w:pPr>
            <w:r w:rsidRPr="009E1B38">
              <w:rPr>
                <w:rFonts w:ascii="Times New Roman" w:hAnsi="Times New Roman"/>
              </w:rPr>
              <w:t>15.000.000</w:t>
            </w:r>
          </w:p>
        </w:tc>
      </w:tr>
      <w:tr w:rsidR="47620091" w:rsidRPr="009E1B38" w14:paraId="122E8984" w14:textId="77777777" w:rsidTr="47620091">
        <w:trPr>
          <w:trHeight w:val="315"/>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B1EA9F4" w14:textId="50789994" w:rsidR="47620091" w:rsidRPr="009E1B38" w:rsidRDefault="47620091" w:rsidP="47620091">
            <w:pPr>
              <w:jc w:val="center"/>
              <w:rPr>
                <w:rFonts w:ascii="Times New Roman" w:hAnsi="Times New Roman"/>
              </w:rPr>
            </w:pPr>
            <w:r w:rsidRPr="009E1B38">
              <w:rPr>
                <w:rFonts w:ascii="Times New Roman" w:hAnsi="Times New Roman"/>
              </w:rPr>
              <w:t>2009</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6D5691F" w14:textId="312DD287" w:rsidR="47620091" w:rsidRPr="009E1B38" w:rsidRDefault="47620091" w:rsidP="47620091">
            <w:pPr>
              <w:jc w:val="center"/>
              <w:rPr>
                <w:rFonts w:ascii="Times New Roman" w:hAnsi="Times New Roman"/>
              </w:rPr>
            </w:pPr>
            <w:r w:rsidRPr="009E1B38">
              <w:rPr>
                <w:rFonts w:ascii="Times New Roman" w:hAnsi="Times New Roman"/>
              </w:rPr>
              <w:t>1896/1</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2B4D2796" w14:textId="1883AABB" w:rsidR="47620091" w:rsidRPr="009E1B38" w:rsidRDefault="47620091" w:rsidP="47620091">
            <w:pPr>
              <w:jc w:val="right"/>
              <w:rPr>
                <w:rFonts w:ascii="Times New Roman" w:hAnsi="Times New Roman"/>
              </w:rPr>
            </w:pPr>
            <w:r w:rsidRPr="009E1B38">
              <w:rPr>
                <w:rFonts w:ascii="Times New Roman" w:hAnsi="Times New Roman"/>
              </w:rPr>
              <w:t>1.000.000</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4DDC5A70" w14:textId="064B031A" w:rsidR="47620091" w:rsidRPr="009E1B38" w:rsidRDefault="47620091" w:rsidP="47620091">
            <w:pPr>
              <w:jc w:val="right"/>
              <w:rPr>
                <w:rFonts w:ascii="Times New Roman" w:hAnsi="Times New Roman"/>
              </w:rPr>
            </w:pPr>
            <w:r w:rsidRPr="009E1B38">
              <w:rPr>
                <w:rFonts w:ascii="Times New Roman" w:hAnsi="Times New Roman"/>
              </w:rPr>
              <w:t>15.000.000</w:t>
            </w:r>
          </w:p>
        </w:tc>
      </w:tr>
      <w:tr w:rsidR="47620091" w:rsidRPr="009E1B38" w14:paraId="403329AE" w14:textId="77777777" w:rsidTr="47620091">
        <w:trPr>
          <w:trHeight w:val="315"/>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750A105" w14:textId="78406FC8" w:rsidR="47620091" w:rsidRPr="009E1B38" w:rsidRDefault="47620091" w:rsidP="47620091">
            <w:pPr>
              <w:jc w:val="center"/>
              <w:rPr>
                <w:rFonts w:ascii="Times New Roman" w:hAnsi="Times New Roman"/>
              </w:rPr>
            </w:pPr>
            <w:r w:rsidRPr="009E1B38">
              <w:rPr>
                <w:rFonts w:ascii="Times New Roman" w:hAnsi="Times New Roman"/>
              </w:rPr>
              <w:t>2010</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68FECC7" w14:textId="5D9DF817" w:rsidR="47620091" w:rsidRPr="009E1B38" w:rsidRDefault="47620091" w:rsidP="47620091">
            <w:pPr>
              <w:jc w:val="center"/>
              <w:rPr>
                <w:rFonts w:ascii="Times New Roman" w:hAnsi="Times New Roman"/>
              </w:rPr>
            </w:pPr>
            <w:r w:rsidRPr="009E1B38">
              <w:rPr>
                <w:rFonts w:ascii="Times New Roman" w:hAnsi="Times New Roman"/>
              </w:rPr>
              <w:t>2378</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3E2B9F45" w14:textId="393C0673" w:rsidR="47620091" w:rsidRPr="009E1B38" w:rsidRDefault="47620091" w:rsidP="47620091">
            <w:pPr>
              <w:jc w:val="right"/>
              <w:rPr>
                <w:rFonts w:ascii="Times New Roman" w:hAnsi="Times New Roman"/>
              </w:rPr>
            </w:pPr>
            <w:r w:rsidRPr="009E1B38">
              <w:rPr>
                <w:rFonts w:ascii="Times New Roman" w:hAnsi="Times New Roman"/>
              </w:rPr>
              <w:t>800.000</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0D0BA924" w14:textId="4BA7247E" w:rsidR="47620091" w:rsidRPr="009E1B38" w:rsidRDefault="47620091" w:rsidP="47620091">
            <w:pPr>
              <w:jc w:val="right"/>
              <w:rPr>
                <w:rFonts w:ascii="Times New Roman" w:hAnsi="Times New Roman"/>
              </w:rPr>
            </w:pPr>
            <w:r w:rsidRPr="009E1B38">
              <w:rPr>
                <w:rFonts w:ascii="Times New Roman" w:hAnsi="Times New Roman"/>
              </w:rPr>
              <w:t>15.000.000</w:t>
            </w:r>
          </w:p>
        </w:tc>
      </w:tr>
      <w:tr w:rsidR="47620091" w:rsidRPr="009E1B38" w14:paraId="028FE1A2" w14:textId="77777777" w:rsidTr="47620091">
        <w:trPr>
          <w:trHeight w:val="315"/>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1E1D109" w14:textId="2E392125" w:rsidR="47620091" w:rsidRPr="009E1B38" w:rsidRDefault="47620091" w:rsidP="47620091">
            <w:pPr>
              <w:jc w:val="center"/>
              <w:rPr>
                <w:rFonts w:ascii="Times New Roman" w:hAnsi="Times New Roman"/>
              </w:rPr>
            </w:pPr>
            <w:r w:rsidRPr="009E1B38">
              <w:rPr>
                <w:rFonts w:ascii="Times New Roman" w:hAnsi="Times New Roman"/>
              </w:rPr>
              <w:t>2011</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59DD773" w14:textId="032BB4D4" w:rsidR="47620091" w:rsidRPr="009E1B38" w:rsidRDefault="47620091" w:rsidP="47620091">
            <w:pPr>
              <w:jc w:val="center"/>
              <w:rPr>
                <w:rFonts w:ascii="Times New Roman" w:hAnsi="Times New Roman"/>
              </w:rPr>
            </w:pPr>
            <w:r w:rsidRPr="009E1B38">
              <w:rPr>
                <w:rFonts w:ascii="Times New Roman" w:hAnsi="Times New Roman"/>
              </w:rPr>
              <w:t>2966</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7D7E4C7F" w14:textId="09AA3B49" w:rsidR="47620091" w:rsidRPr="009E1B38" w:rsidRDefault="47620091" w:rsidP="47620091">
            <w:pPr>
              <w:jc w:val="right"/>
              <w:rPr>
                <w:rFonts w:ascii="Times New Roman" w:hAnsi="Times New Roman"/>
              </w:rPr>
            </w:pPr>
            <w:r w:rsidRPr="009E1B38">
              <w:rPr>
                <w:rFonts w:ascii="Times New Roman" w:hAnsi="Times New Roman"/>
              </w:rPr>
              <w:t>700.000</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0FE59136" w14:textId="0B393DDF" w:rsidR="47620091" w:rsidRPr="009E1B38" w:rsidRDefault="47620091" w:rsidP="47620091">
            <w:pPr>
              <w:jc w:val="right"/>
              <w:rPr>
                <w:rFonts w:ascii="Times New Roman" w:hAnsi="Times New Roman"/>
              </w:rPr>
            </w:pPr>
            <w:r w:rsidRPr="009E1B38">
              <w:rPr>
                <w:rFonts w:ascii="Times New Roman" w:hAnsi="Times New Roman"/>
              </w:rPr>
              <w:t>15.000.000</w:t>
            </w:r>
          </w:p>
        </w:tc>
      </w:tr>
      <w:tr w:rsidR="47620091" w:rsidRPr="009E1B38" w14:paraId="67D0E14B" w14:textId="77777777" w:rsidTr="47620091">
        <w:trPr>
          <w:trHeight w:val="315"/>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4774B85" w14:textId="03F9B427" w:rsidR="47620091" w:rsidRPr="009E1B38" w:rsidRDefault="47620091" w:rsidP="47620091">
            <w:pPr>
              <w:jc w:val="center"/>
              <w:rPr>
                <w:rFonts w:ascii="Times New Roman" w:hAnsi="Times New Roman"/>
              </w:rPr>
            </w:pPr>
            <w:r w:rsidRPr="009E1B38">
              <w:rPr>
                <w:rFonts w:ascii="Times New Roman" w:hAnsi="Times New Roman"/>
              </w:rPr>
              <w:t>2012</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E52D629" w14:textId="252DBCAA" w:rsidR="47620091" w:rsidRPr="009E1B38" w:rsidRDefault="47620091" w:rsidP="47620091">
            <w:pPr>
              <w:jc w:val="center"/>
              <w:rPr>
                <w:rFonts w:ascii="Times New Roman" w:hAnsi="Times New Roman"/>
              </w:rPr>
            </w:pPr>
            <w:r w:rsidRPr="009E1B38">
              <w:rPr>
                <w:rFonts w:ascii="Times New Roman" w:hAnsi="Times New Roman"/>
              </w:rPr>
              <w:t>3600</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5AD122C6" w14:textId="6C611AA8" w:rsidR="47620091" w:rsidRPr="009E1B38" w:rsidRDefault="47620091" w:rsidP="47620091">
            <w:pPr>
              <w:jc w:val="right"/>
              <w:rPr>
                <w:rFonts w:ascii="Times New Roman" w:hAnsi="Times New Roman"/>
              </w:rPr>
            </w:pPr>
            <w:r w:rsidRPr="009E1B38">
              <w:rPr>
                <w:rFonts w:ascii="Times New Roman" w:hAnsi="Times New Roman"/>
              </w:rPr>
              <w:t>300.000</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461FA7AB" w14:textId="2391F442" w:rsidR="47620091" w:rsidRPr="009E1B38" w:rsidRDefault="47620091" w:rsidP="47620091">
            <w:pPr>
              <w:jc w:val="right"/>
              <w:rPr>
                <w:rFonts w:ascii="Times New Roman" w:hAnsi="Times New Roman"/>
              </w:rPr>
            </w:pPr>
            <w:r w:rsidRPr="009E1B38">
              <w:rPr>
                <w:rFonts w:ascii="Times New Roman" w:hAnsi="Times New Roman"/>
              </w:rPr>
              <w:t>15.000.000</w:t>
            </w:r>
          </w:p>
        </w:tc>
      </w:tr>
      <w:tr w:rsidR="47620091" w:rsidRPr="009E1B38" w14:paraId="29B0399A" w14:textId="77777777" w:rsidTr="47620091">
        <w:trPr>
          <w:trHeight w:val="1080"/>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D91F4A4" w14:textId="104557F3" w:rsidR="47620091" w:rsidRPr="009E1B38" w:rsidRDefault="47620091" w:rsidP="47620091">
            <w:pPr>
              <w:jc w:val="center"/>
              <w:rPr>
                <w:rFonts w:ascii="Times New Roman" w:hAnsi="Times New Roman"/>
              </w:rPr>
            </w:pPr>
            <w:r w:rsidRPr="009E1B38">
              <w:rPr>
                <w:rFonts w:ascii="Times New Roman" w:hAnsi="Times New Roman"/>
              </w:rPr>
              <w:t>2013</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A56588D" w14:textId="30FE37AF" w:rsidR="47620091" w:rsidRPr="009E1B38" w:rsidRDefault="47620091" w:rsidP="47620091">
            <w:pPr>
              <w:jc w:val="center"/>
              <w:rPr>
                <w:rFonts w:ascii="Times New Roman" w:hAnsi="Times New Roman"/>
              </w:rPr>
            </w:pPr>
            <w:r w:rsidRPr="009E1B38">
              <w:rPr>
                <w:rFonts w:ascii="Times New Roman" w:hAnsi="Times New Roman"/>
              </w:rPr>
              <w:t>4168</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1FEF0382" w14:textId="397FA832" w:rsidR="47620091" w:rsidRPr="009E1B38" w:rsidRDefault="47620091" w:rsidP="004A744D">
            <w:pPr>
              <w:rPr>
                <w:rFonts w:ascii="Times New Roman" w:hAnsi="Times New Roman"/>
              </w:rPr>
            </w:pPr>
            <w:r w:rsidRPr="009E1B38">
              <w:rPr>
                <w:rFonts w:ascii="Times New Roman" w:hAnsi="Times New Roman"/>
              </w:rPr>
              <w:t>All consumers are eligible consumers, with the exception of residential consumers (domestic consumers) whose usage is less than 300,000 m</w:t>
            </w:r>
            <w:r w:rsidRPr="009E1B38">
              <w:rPr>
                <w:rFonts w:ascii="Times New Roman" w:hAnsi="Times New Roman"/>
                <w:vertAlign w:val="superscript"/>
              </w:rPr>
              <w:t>3</w:t>
            </w:r>
            <w:r w:rsidRPr="009E1B38">
              <w:rPr>
                <w:rFonts w:ascii="Times New Roman" w:hAnsi="Times New Roman"/>
              </w:rPr>
              <w:t>.*</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F2D9733" w14:textId="1A101293" w:rsidR="47620091" w:rsidRPr="009E1B38" w:rsidRDefault="004A744D">
            <w:pPr>
              <w:rPr>
                <w:rFonts w:ascii="Times New Roman" w:hAnsi="Times New Roman"/>
              </w:rPr>
            </w:pPr>
            <w:r w:rsidRPr="009E1B38">
              <w:rPr>
                <w:rFonts w:ascii="Times New Roman" w:hAnsi="Times New Roman"/>
              </w:rPr>
              <w:t>It is stated in the tender notice and license.</w:t>
            </w:r>
          </w:p>
        </w:tc>
      </w:tr>
      <w:tr w:rsidR="47620091" w:rsidRPr="009E1B38" w14:paraId="6F952144" w14:textId="77777777" w:rsidTr="47620091">
        <w:trPr>
          <w:trHeight w:val="1140"/>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41622DE" w14:textId="2264DADE" w:rsidR="47620091" w:rsidRPr="009E1B38" w:rsidRDefault="47620091" w:rsidP="47620091">
            <w:pPr>
              <w:jc w:val="center"/>
              <w:rPr>
                <w:rFonts w:ascii="Times New Roman" w:hAnsi="Times New Roman"/>
              </w:rPr>
            </w:pPr>
            <w:r w:rsidRPr="009E1B38">
              <w:rPr>
                <w:rFonts w:ascii="Times New Roman" w:hAnsi="Times New Roman"/>
              </w:rPr>
              <w:t>2014</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207E1CD" w14:textId="2961496D" w:rsidR="47620091" w:rsidRPr="009E1B38" w:rsidRDefault="47620091" w:rsidP="47620091">
            <w:pPr>
              <w:jc w:val="center"/>
              <w:rPr>
                <w:rFonts w:ascii="Times New Roman" w:hAnsi="Times New Roman"/>
              </w:rPr>
            </w:pPr>
            <w:r w:rsidRPr="009E1B38">
              <w:rPr>
                <w:rFonts w:ascii="Times New Roman" w:hAnsi="Times New Roman"/>
              </w:rPr>
              <w:t>4793</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1BBDE244" w14:textId="368D2590" w:rsidR="47620091" w:rsidRPr="009E1B38" w:rsidRDefault="47620091" w:rsidP="004A744D">
            <w:pPr>
              <w:rPr>
                <w:rFonts w:ascii="Times New Roman" w:hAnsi="Times New Roman"/>
              </w:rPr>
            </w:pPr>
            <w:r w:rsidRPr="009E1B38">
              <w:rPr>
                <w:rFonts w:ascii="Times New Roman" w:hAnsi="Times New Roman"/>
              </w:rPr>
              <w:t>All consumers are eligible consumers, with the exception of residential consumers (domestic consumers) whose usage is less than 100,000 m</w:t>
            </w:r>
            <w:r w:rsidRPr="009E1B38">
              <w:rPr>
                <w:rFonts w:ascii="Times New Roman" w:hAnsi="Times New Roman"/>
                <w:vertAlign w:val="superscript"/>
              </w:rPr>
              <w:t>3</w:t>
            </w:r>
            <w:r w:rsidRPr="009E1B38">
              <w:rPr>
                <w:rFonts w:ascii="Times New Roman" w:hAnsi="Times New Roman"/>
              </w:rPr>
              <w:t>.*</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F78D508" w14:textId="464B7E96" w:rsidR="47620091" w:rsidRPr="009E1B38" w:rsidRDefault="004A744D">
            <w:pPr>
              <w:rPr>
                <w:rFonts w:ascii="Times New Roman" w:hAnsi="Times New Roman"/>
              </w:rPr>
            </w:pPr>
            <w:r w:rsidRPr="009E1B38">
              <w:rPr>
                <w:rFonts w:ascii="Times New Roman" w:hAnsi="Times New Roman"/>
              </w:rPr>
              <w:t>It is stated in the tender notice and license.</w:t>
            </w:r>
          </w:p>
        </w:tc>
      </w:tr>
      <w:tr w:rsidR="47620091" w:rsidRPr="009E1B38" w14:paraId="6544BE46" w14:textId="77777777" w:rsidTr="47620091">
        <w:trPr>
          <w:trHeight w:val="1110"/>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775BC6A" w14:textId="5E10C917" w:rsidR="47620091" w:rsidRPr="009E1B38" w:rsidRDefault="47620091" w:rsidP="47620091">
            <w:pPr>
              <w:jc w:val="center"/>
              <w:rPr>
                <w:rFonts w:ascii="Times New Roman" w:hAnsi="Times New Roman"/>
              </w:rPr>
            </w:pPr>
            <w:r w:rsidRPr="009E1B38">
              <w:rPr>
                <w:rFonts w:ascii="Times New Roman" w:hAnsi="Times New Roman"/>
              </w:rPr>
              <w:lastRenderedPageBreak/>
              <w:t>2015</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1614E0C" w14:textId="2805C6F1" w:rsidR="47620091" w:rsidRPr="009E1B38" w:rsidRDefault="47620091" w:rsidP="47620091">
            <w:pPr>
              <w:jc w:val="center"/>
              <w:rPr>
                <w:rFonts w:ascii="Times New Roman" w:hAnsi="Times New Roman"/>
              </w:rPr>
            </w:pPr>
            <w:r w:rsidRPr="009E1B38">
              <w:rPr>
                <w:rFonts w:ascii="Times New Roman" w:hAnsi="Times New Roman"/>
              </w:rPr>
              <w:t>5362</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0A5767AD" w14:textId="0454CD49" w:rsidR="47620091" w:rsidRPr="009E1B38" w:rsidRDefault="47620091" w:rsidP="004A744D">
            <w:pPr>
              <w:rPr>
                <w:rFonts w:ascii="Times New Roman" w:hAnsi="Times New Roman"/>
              </w:rPr>
            </w:pPr>
            <w:r w:rsidRPr="009E1B38">
              <w:rPr>
                <w:rFonts w:ascii="Times New Roman" w:hAnsi="Times New Roman"/>
              </w:rPr>
              <w:t>All consumers are eligible consumers, with the exception of residential consumers (domestic consumers) whose usage is less than 75,000 m</w:t>
            </w:r>
            <w:r w:rsidRPr="009E1B38">
              <w:rPr>
                <w:rFonts w:ascii="Times New Roman" w:hAnsi="Times New Roman"/>
                <w:vertAlign w:val="superscript"/>
              </w:rPr>
              <w:t>3</w:t>
            </w:r>
            <w:r w:rsidRPr="009E1B38">
              <w:rPr>
                <w:rFonts w:ascii="Times New Roman" w:hAnsi="Times New Roman"/>
              </w:rPr>
              <w:t>.*</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540DD0B" w14:textId="4C5538EB" w:rsidR="47620091" w:rsidRPr="009E1B38" w:rsidRDefault="004A744D">
            <w:pPr>
              <w:rPr>
                <w:rFonts w:ascii="Times New Roman" w:hAnsi="Times New Roman"/>
              </w:rPr>
            </w:pPr>
            <w:r w:rsidRPr="009E1B38">
              <w:rPr>
                <w:rFonts w:ascii="Times New Roman" w:hAnsi="Times New Roman"/>
              </w:rPr>
              <w:t>It is stated in the tender notice and license.</w:t>
            </w:r>
          </w:p>
        </w:tc>
      </w:tr>
      <w:tr w:rsidR="47620091" w:rsidRPr="009E1B38" w14:paraId="5DCBABAE" w14:textId="77777777" w:rsidTr="47620091">
        <w:trPr>
          <w:trHeight w:val="1035"/>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ABD4F24" w14:textId="3FAA184A" w:rsidR="47620091" w:rsidRPr="009E1B38" w:rsidRDefault="47620091" w:rsidP="47620091">
            <w:pPr>
              <w:jc w:val="center"/>
              <w:rPr>
                <w:rFonts w:ascii="Times New Roman" w:hAnsi="Times New Roman"/>
              </w:rPr>
            </w:pPr>
            <w:r w:rsidRPr="009E1B38">
              <w:rPr>
                <w:rFonts w:ascii="Times New Roman" w:hAnsi="Times New Roman"/>
              </w:rPr>
              <w:t>2016</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3F31AEE" w14:textId="42839AD7" w:rsidR="47620091" w:rsidRPr="009E1B38" w:rsidRDefault="47620091" w:rsidP="47620091">
            <w:pPr>
              <w:jc w:val="center"/>
              <w:rPr>
                <w:rFonts w:ascii="Times New Roman" w:hAnsi="Times New Roman"/>
              </w:rPr>
            </w:pPr>
            <w:r w:rsidRPr="009E1B38">
              <w:rPr>
                <w:rFonts w:ascii="Times New Roman" w:hAnsi="Times New Roman"/>
              </w:rPr>
              <w:t>5920</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3E75A39F" w14:textId="4933411A" w:rsidR="47620091" w:rsidRPr="009E1B38" w:rsidRDefault="47620091" w:rsidP="00E8233E">
            <w:pPr>
              <w:jc w:val="left"/>
              <w:rPr>
                <w:rFonts w:ascii="Times New Roman" w:eastAsia="Times New Roman" w:hAnsi="Times New Roman"/>
              </w:rPr>
            </w:pPr>
            <w:r w:rsidRPr="009E1B38">
              <w:rPr>
                <w:rFonts w:ascii="Times New Roman" w:hAnsi="Times New Roman"/>
              </w:rPr>
              <w:t xml:space="preserve">All consumers are eligible consumers, with the exception of residential consumers (domestic consumers) whose usage is less than 75,000 </w:t>
            </w:r>
            <w:r w:rsidR="00E8233E" w:rsidRPr="009E1B38">
              <w:rPr>
                <w:rFonts w:ascii="Times New Roman" w:hAnsi="Times New Roman"/>
                <w:color w:val="202124"/>
                <w:shd w:val="clear" w:color="auto" w:fill="FFFFFF"/>
              </w:rPr>
              <w:t>m³</w:t>
            </w:r>
            <w:r w:rsidRPr="009E1B38">
              <w:rPr>
                <w:rFonts w:ascii="Times New Roman" w:hAnsi="Times New Roman"/>
              </w:rPr>
              <w:t>.*</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B7B83DB" w14:textId="60158994" w:rsidR="47620091" w:rsidRPr="009E1B38" w:rsidRDefault="47620091" w:rsidP="47620091">
            <w:pPr>
              <w:rPr>
                <w:rFonts w:ascii="Times New Roman" w:hAnsi="Times New Roman"/>
              </w:rPr>
            </w:pPr>
            <w:r w:rsidRPr="009E1B38">
              <w:rPr>
                <w:rFonts w:ascii="Times New Roman" w:hAnsi="Times New Roman"/>
              </w:rPr>
              <w:t>It is stated in the tender notice and license.</w:t>
            </w:r>
          </w:p>
        </w:tc>
      </w:tr>
      <w:tr w:rsidR="47620091" w:rsidRPr="009E1B38" w14:paraId="79C04682" w14:textId="77777777" w:rsidTr="47620091">
        <w:trPr>
          <w:trHeight w:val="960"/>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5E9E863" w14:textId="7213AA90" w:rsidR="47620091" w:rsidRPr="009E1B38" w:rsidRDefault="47620091" w:rsidP="47620091">
            <w:pPr>
              <w:jc w:val="center"/>
              <w:rPr>
                <w:rFonts w:ascii="Times New Roman" w:hAnsi="Times New Roman"/>
              </w:rPr>
            </w:pPr>
            <w:r w:rsidRPr="009E1B38">
              <w:rPr>
                <w:rFonts w:ascii="Times New Roman" w:hAnsi="Times New Roman"/>
              </w:rPr>
              <w:t>2017</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9A77CC9" w14:textId="5A4823E8" w:rsidR="47620091" w:rsidRPr="009E1B38" w:rsidRDefault="47620091" w:rsidP="47620091">
            <w:pPr>
              <w:jc w:val="center"/>
              <w:rPr>
                <w:rFonts w:ascii="Times New Roman" w:hAnsi="Times New Roman"/>
              </w:rPr>
            </w:pPr>
            <w:r w:rsidRPr="009E1B38">
              <w:rPr>
                <w:rFonts w:ascii="Times New Roman" w:hAnsi="Times New Roman"/>
              </w:rPr>
              <w:t>6778</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6554CEEE" w14:textId="7647FB6D" w:rsidR="47620091" w:rsidRPr="009E1B38" w:rsidRDefault="47620091" w:rsidP="00E8233E">
            <w:pPr>
              <w:jc w:val="left"/>
              <w:rPr>
                <w:rFonts w:ascii="Times New Roman" w:eastAsia="Times New Roman" w:hAnsi="Times New Roman"/>
              </w:rPr>
            </w:pPr>
            <w:r w:rsidRPr="009E1B38">
              <w:rPr>
                <w:rFonts w:ascii="Times New Roman" w:hAnsi="Times New Roman"/>
              </w:rPr>
              <w:t xml:space="preserve">All consumers are eligible consumers, with the exception of residential consumers (domestic consumers) whose usage is less than 75,000 </w:t>
            </w:r>
            <w:r w:rsidR="00E8233E" w:rsidRPr="009E1B38">
              <w:rPr>
                <w:rFonts w:ascii="Times New Roman" w:hAnsi="Times New Roman"/>
                <w:color w:val="202124"/>
                <w:shd w:val="clear" w:color="auto" w:fill="FFFFFF"/>
              </w:rPr>
              <w:t>m³</w:t>
            </w:r>
            <w:r w:rsidRPr="009E1B38">
              <w:rPr>
                <w:rFonts w:ascii="Times New Roman" w:hAnsi="Times New Roman"/>
              </w:rPr>
              <w:t>.*</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4AAF1C5" w14:textId="18AAA69A" w:rsidR="47620091" w:rsidRPr="009E1B38" w:rsidRDefault="47620091" w:rsidP="47620091">
            <w:pPr>
              <w:rPr>
                <w:rFonts w:ascii="Times New Roman" w:hAnsi="Times New Roman"/>
              </w:rPr>
            </w:pPr>
            <w:r w:rsidRPr="009E1B38">
              <w:rPr>
                <w:rFonts w:ascii="Times New Roman" w:hAnsi="Times New Roman"/>
              </w:rPr>
              <w:t>It is stated in the tender notice and license.</w:t>
            </w:r>
          </w:p>
        </w:tc>
      </w:tr>
      <w:tr w:rsidR="47620091" w:rsidRPr="009E1B38" w14:paraId="4311C4CE" w14:textId="77777777" w:rsidTr="47620091">
        <w:trPr>
          <w:trHeight w:val="960"/>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092264B" w14:textId="437C1BE0" w:rsidR="47620091" w:rsidRPr="009E1B38" w:rsidRDefault="47620091" w:rsidP="47620091">
            <w:pPr>
              <w:jc w:val="center"/>
              <w:rPr>
                <w:rFonts w:ascii="Times New Roman" w:hAnsi="Times New Roman"/>
              </w:rPr>
            </w:pPr>
            <w:r w:rsidRPr="009E1B38">
              <w:rPr>
                <w:rFonts w:ascii="Times New Roman" w:hAnsi="Times New Roman"/>
              </w:rPr>
              <w:t>2018</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9E4192A" w14:textId="71BD11B7" w:rsidR="47620091" w:rsidRPr="009E1B38" w:rsidRDefault="47620091" w:rsidP="47620091">
            <w:pPr>
              <w:jc w:val="center"/>
              <w:rPr>
                <w:rFonts w:ascii="Times New Roman" w:hAnsi="Times New Roman"/>
              </w:rPr>
            </w:pPr>
            <w:r w:rsidRPr="009E1B38">
              <w:rPr>
                <w:rFonts w:ascii="Times New Roman" w:hAnsi="Times New Roman"/>
              </w:rPr>
              <w:t>7537</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74F7629B" w14:textId="31E5E365" w:rsidR="47620091" w:rsidRPr="009E1B38" w:rsidRDefault="47620091" w:rsidP="00E8233E">
            <w:pPr>
              <w:jc w:val="left"/>
              <w:rPr>
                <w:rFonts w:ascii="Times New Roman" w:eastAsia="Times New Roman" w:hAnsi="Times New Roman"/>
              </w:rPr>
            </w:pPr>
            <w:r w:rsidRPr="009E1B38">
              <w:rPr>
                <w:rFonts w:ascii="Times New Roman" w:hAnsi="Times New Roman"/>
              </w:rPr>
              <w:t xml:space="preserve">All consumers are eligible consumers, with the exception of residential consumers (domestic consumers) whose usage is less than 75,000 </w:t>
            </w:r>
            <w:r w:rsidR="00E8233E" w:rsidRPr="009E1B38">
              <w:rPr>
                <w:rFonts w:ascii="Times New Roman" w:hAnsi="Times New Roman"/>
                <w:color w:val="202124"/>
                <w:shd w:val="clear" w:color="auto" w:fill="FFFFFF"/>
              </w:rPr>
              <w:t>m³</w:t>
            </w:r>
            <w:r w:rsidRPr="009E1B38">
              <w:rPr>
                <w:rFonts w:ascii="Times New Roman" w:hAnsi="Times New Roman"/>
              </w:rPr>
              <w:t>.*</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3656972" w14:textId="3E466555" w:rsidR="47620091" w:rsidRPr="009E1B38" w:rsidRDefault="47620091" w:rsidP="47620091">
            <w:pPr>
              <w:rPr>
                <w:rFonts w:ascii="Times New Roman" w:hAnsi="Times New Roman"/>
              </w:rPr>
            </w:pPr>
            <w:r w:rsidRPr="009E1B38">
              <w:rPr>
                <w:rFonts w:ascii="Times New Roman" w:hAnsi="Times New Roman"/>
              </w:rPr>
              <w:t>It is stated in the tender notice and license.</w:t>
            </w:r>
          </w:p>
        </w:tc>
      </w:tr>
      <w:tr w:rsidR="47620091" w:rsidRPr="009E1B38" w14:paraId="19857E47" w14:textId="77777777" w:rsidTr="47620091">
        <w:trPr>
          <w:trHeight w:val="960"/>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175EA19" w14:textId="1496E623" w:rsidR="47620091" w:rsidRPr="009E1B38" w:rsidRDefault="47620091" w:rsidP="47620091">
            <w:pPr>
              <w:jc w:val="center"/>
              <w:rPr>
                <w:rFonts w:ascii="Times New Roman" w:hAnsi="Times New Roman"/>
              </w:rPr>
            </w:pPr>
            <w:r w:rsidRPr="009E1B38">
              <w:rPr>
                <w:rFonts w:ascii="Times New Roman" w:hAnsi="Times New Roman"/>
              </w:rPr>
              <w:t>2019</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80FE44F" w14:textId="0D8BEBD1" w:rsidR="47620091" w:rsidRPr="009E1B38" w:rsidRDefault="47620091" w:rsidP="47620091">
            <w:pPr>
              <w:jc w:val="center"/>
              <w:rPr>
                <w:rFonts w:ascii="Times New Roman" w:hAnsi="Times New Roman"/>
              </w:rPr>
            </w:pPr>
            <w:r w:rsidRPr="009E1B38">
              <w:rPr>
                <w:rFonts w:ascii="Times New Roman" w:hAnsi="Times New Roman"/>
              </w:rPr>
              <w:t>8265</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716988AB" w14:textId="51BE8672" w:rsidR="47620091" w:rsidRPr="009E1B38" w:rsidRDefault="47620091" w:rsidP="00E8233E">
            <w:pPr>
              <w:jc w:val="left"/>
              <w:rPr>
                <w:rFonts w:ascii="Times New Roman" w:eastAsia="Times New Roman" w:hAnsi="Times New Roman"/>
              </w:rPr>
            </w:pPr>
            <w:r w:rsidRPr="009E1B38">
              <w:rPr>
                <w:rFonts w:ascii="Times New Roman" w:hAnsi="Times New Roman"/>
              </w:rPr>
              <w:t xml:space="preserve">All consumers are eligible consumers, with the exception of residential consumers (domestic consumers) whose usage is less than 75,000 </w:t>
            </w:r>
            <w:r w:rsidR="00E8233E" w:rsidRPr="009E1B38">
              <w:rPr>
                <w:rFonts w:ascii="Times New Roman" w:hAnsi="Times New Roman"/>
                <w:color w:val="202124"/>
                <w:shd w:val="clear" w:color="auto" w:fill="FFFFFF"/>
              </w:rPr>
              <w:t>m³</w:t>
            </w:r>
            <w:r w:rsidRPr="009E1B38">
              <w:rPr>
                <w:rFonts w:ascii="Times New Roman" w:hAnsi="Times New Roman"/>
              </w:rPr>
              <w:t>.*</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AC68133" w14:textId="4C849187" w:rsidR="47620091" w:rsidRPr="009E1B38" w:rsidRDefault="47620091" w:rsidP="47620091">
            <w:pPr>
              <w:rPr>
                <w:rFonts w:ascii="Times New Roman" w:hAnsi="Times New Roman"/>
              </w:rPr>
            </w:pPr>
            <w:r w:rsidRPr="009E1B38">
              <w:rPr>
                <w:rFonts w:ascii="Times New Roman" w:hAnsi="Times New Roman"/>
              </w:rPr>
              <w:t>It is stated in the tender notice and license.</w:t>
            </w:r>
          </w:p>
        </w:tc>
      </w:tr>
      <w:tr w:rsidR="47620091" w:rsidRPr="009E1B38" w14:paraId="0FC873AB" w14:textId="77777777" w:rsidTr="47620091">
        <w:trPr>
          <w:trHeight w:val="960"/>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53B4FA9" w14:textId="1C370EBC" w:rsidR="47620091" w:rsidRPr="009E1B38" w:rsidRDefault="47620091" w:rsidP="47620091">
            <w:pPr>
              <w:jc w:val="center"/>
              <w:rPr>
                <w:rFonts w:ascii="Times New Roman" w:hAnsi="Times New Roman"/>
              </w:rPr>
            </w:pPr>
            <w:r w:rsidRPr="009E1B38">
              <w:rPr>
                <w:rFonts w:ascii="Times New Roman" w:hAnsi="Times New Roman"/>
              </w:rPr>
              <w:t>2020</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7FA7482" w14:textId="35841F0B" w:rsidR="47620091" w:rsidRPr="009E1B38" w:rsidRDefault="47620091" w:rsidP="47620091">
            <w:pPr>
              <w:jc w:val="center"/>
              <w:rPr>
                <w:rFonts w:ascii="Times New Roman" w:hAnsi="Times New Roman"/>
              </w:rPr>
            </w:pPr>
            <w:r w:rsidRPr="009E1B38">
              <w:rPr>
                <w:rFonts w:ascii="Times New Roman" w:hAnsi="Times New Roman"/>
              </w:rPr>
              <w:t>8996</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6E5E5ECC" w14:textId="30AAD0E1" w:rsidR="47620091" w:rsidRPr="009E1B38" w:rsidRDefault="47620091" w:rsidP="00E8233E">
            <w:pPr>
              <w:jc w:val="left"/>
              <w:rPr>
                <w:rFonts w:ascii="Times New Roman" w:eastAsia="Times New Roman" w:hAnsi="Times New Roman"/>
              </w:rPr>
            </w:pPr>
            <w:r w:rsidRPr="009E1B38">
              <w:rPr>
                <w:rFonts w:ascii="Times New Roman" w:hAnsi="Times New Roman"/>
              </w:rPr>
              <w:t xml:space="preserve">All consumers are eligible consumers, with the exception of residential consumers (domestic consumers) whose usage is less than 75,000 </w:t>
            </w:r>
            <w:r w:rsidR="00E8233E" w:rsidRPr="009E1B38">
              <w:rPr>
                <w:rFonts w:ascii="Times New Roman" w:hAnsi="Times New Roman"/>
                <w:color w:val="202124"/>
                <w:shd w:val="clear" w:color="auto" w:fill="FFFFFF"/>
              </w:rPr>
              <w:t>m³</w:t>
            </w:r>
            <w:r w:rsidRPr="009E1B38">
              <w:rPr>
                <w:rFonts w:ascii="Times New Roman" w:hAnsi="Times New Roman"/>
              </w:rPr>
              <w:t>.*</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BA133DA" w14:textId="64D1C407" w:rsidR="47620091" w:rsidRPr="009E1B38" w:rsidRDefault="47620091" w:rsidP="47620091">
            <w:pPr>
              <w:rPr>
                <w:rFonts w:ascii="Times New Roman" w:hAnsi="Times New Roman"/>
              </w:rPr>
            </w:pPr>
            <w:r w:rsidRPr="009E1B38">
              <w:rPr>
                <w:rFonts w:ascii="Times New Roman" w:hAnsi="Times New Roman"/>
              </w:rPr>
              <w:t>It is stated in the tender notice and license.</w:t>
            </w:r>
          </w:p>
        </w:tc>
      </w:tr>
      <w:tr w:rsidR="47620091" w:rsidRPr="009E1B38" w14:paraId="6A7B7FF8" w14:textId="77777777" w:rsidTr="47620091">
        <w:trPr>
          <w:trHeight w:val="1125"/>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72C4BE8" w14:textId="50153B5A" w:rsidR="47620091" w:rsidRPr="009E1B38" w:rsidRDefault="47620091" w:rsidP="47620091">
            <w:pPr>
              <w:jc w:val="center"/>
              <w:rPr>
                <w:rFonts w:ascii="Times New Roman" w:hAnsi="Times New Roman"/>
              </w:rPr>
            </w:pPr>
            <w:r w:rsidRPr="009E1B38">
              <w:rPr>
                <w:rFonts w:ascii="Times New Roman" w:hAnsi="Times New Roman"/>
              </w:rPr>
              <w:t>2021</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D3FE259" w14:textId="6D6333F9" w:rsidR="47620091" w:rsidRPr="009E1B38" w:rsidRDefault="47620091" w:rsidP="47620091">
            <w:pPr>
              <w:jc w:val="center"/>
              <w:rPr>
                <w:rFonts w:ascii="Times New Roman" w:hAnsi="Times New Roman"/>
              </w:rPr>
            </w:pPr>
            <w:r w:rsidRPr="009E1B38">
              <w:rPr>
                <w:rFonts w:ascii="Times New Roman" w:hAnsi="Times New Roman"/>
              </w:rPr>
              <w:t>9818</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123C5EF0" w14:textId="78C901A7" w:rsidR="47620091" w:rsidRPr="009E1B38" w:rsidRDefault="47620091" w:rsidP="00E8233E">
            <w:pPr>
              <w:jc w:val="left"/>
              <w:rPr>
                <w:rFonts w:ascii="Times New Roman" w:eastAsia="Times New Roman" w:hAnsi="Times New Roman"/>
              </w:rPr>
            </w:pPr>
            <w:r w:rsidRPr="009E1B38">
              <w:rPr>
                <w:rFonts w:ascii="Times New Roman" w:hAnsi="Times New Roman"/>
              </w:rPr>
              <w:t xml:space="preserve">All consumers are eligible consumers, with the exception of residential consumers (domestic consumers) whose usage is less than 75,000 </w:t>
            </w:r>
            <w:r w:rsidR="00E8233E" w:rsidRPr="009E1B38">
              <w:rPr>
                <w:rFonts w:ascii="Times New Roman" w:hAnsi="Times New Roman"/>
                <w:color w:val="202124"/>
                <w:shd w:val="clear" w:color="auto" w:fill="FFFFFF"/>
              </w:rPr>
              <w:t>m³</w:t>
            </w:r>
            <w:r w:rsidRPr="009E1B38">
              <w:rPr>
                <w:rFonts w:ascii="Times New Roman" w:hAnsi="Times New Roman"/>
              </w:rPr>
              <w:t>.*</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FAB1AA2" w14:textId="0312F24C" w:rsidR="47620091" w:rsidRPr="009E1B38" w:rsidRDefault="47620091" w:rsidP="47620091">
            <w:pPr>
              <w:rPr>
                <w:rFonts w:ascii="Times New Roman" w:hAnsi="Times New Roman"/>
              </w:rPr>
            </w:pPr>
            <w:r w:rsidRPr="009E1B38">
              <w:rPr>
                <w:rFonts w:ascii="Times New Roman" w:hAnsi="Times New Roman"/>
              </w:rPr>
              <w:t>It is stated in the tender notice and license.</w:t>
            </w:r>
          </w:p>
        </w:tc>
      </w:tr>
      <w:tr w:rsidR="47620091" w:rsidRPr="009E1B38" w14:paraId="47CBA845" w14:textId="77777777" w:rsidTr="47620091">
        <w:trPr>
          <w:trHeight w:val="1125"/>
        </w:trPr>
        <w:tc>
          <w:tcPr>
            <w:tcW w:w="1348"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D581FE2" w14:textId="76CFB09D" w:rsidR="47620091" w:rsidRPr="009E1B38" w:rsidRDefault="47620091" w:rsidP="47620091">
            <w:pPr>
              <w:jc w:val="center"/>
              <w:rPr>
                <w:rFonts w:ascii="Times New Roman" w:hAnsi="Times New Roman"/>
              </w:rPr>
            </w:pPr>
            <w:r w:rsidRPr="009E1B38">
              <w:rPr>
                <w:rFonts w:ascii="Times New Roman" w:hAnsi="Times New Roman"/>
              </w:rPr>
              <w:t>2022</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FAF5AF4" w14:textId="6792A163" w:rsidR="47620091" w:rsidRPr="009E1B38" w:rsidRDefault="47620091" w:rsidP="47620091">
            <w:pPr>
              <w:jc w:val="center"/>
              <w:rPr>
                <w:rFonts w:ascii="Times New Roman" w:hAnsi="Times New Roman"/>
              </w:rPr>
            </w:pPr>
            <w:r w:rsidRPr="009E1B38">
              <w:rPr>
                <w:rFonts w:ascii="Times New Roman" w:hAnsi="Times New Roman"/>
              </w:rPr>
              <w:t>10627</w:t>
            </w:r>
          </w:p>
        </w:tc>
        <w:tc>
          <w:tcPr>
            <w:tcW w:w="3864"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bottom"/>
          </w:tcPr>
          <w:p w14:paraId="21810000" w14:textId="0B59C8F3" w:rsidR="47620091" w:rsidRPr="009E1B38" w:rsidRDefault="47620091" w:rsidP="00E8233E">
            <w:pPr>
              <w:jc w:val="left"/>
              <w:rPr>
                <w:rFonts w:ascii="Times New Roman" w:eastAsia="Times New Roman" w:hAnsi="Times New Roman"/>
              </w:rPr>
            </w:pPr>
            <w:r w:rsidRPr="009E1B38">
              <w:rPr>
                <w:rFonts w:ascii="Times New Roman" w:hAnsi="Times New Roman"/>
              </w:rPr>
              <w:t xml:space="preserve">All consumers are eligible consumers, with the exception of residential consumers (domestic consumers) whose usage is less than 75,000 </w:t>
            </w:r>
            <w:r w:rsidR="00E8233E" w:rsidRPr="009E1B38">
              <w:rPr>
                <w:rFonts w:ascii="Times New Roman" w:hAnsi="Times New Roman"/>
                <w:color w:val="202124"/>
                <w:shd w:val="clear" w:color="auto" w:fill="FFFFFF"/>
              </w:rPr>
              <w:t>m³</w:t>
            </w:r>
            <w:r w:rsidRPr="009E1B38">
              <w:rPr>
                <w:rFonts w:ascii="Times New Roman" w:hAnsi="Times New Roman"/>
              </w:rPr>
              <w:t>.*</w:t>
            </w:r>
          </w:p>
        </w:tc>
        <w:tc>
          <w:tcPr>
            <w:tcW w:w="2351"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75F7DE0" w14:textId="26561B29" w:rsidR="47620091" w:rsidRPr="009E1B38" w:rsidRDefault="47620091" w:rsidP="47620091">
            <w:pPr>
              <w:rPr>
                <w:rFonts w:ascii="Times New Roman" w:hAnsi="Times New Roman"/>
              </w:rPr>
            </w:pPr>
            <w:r w:rsidRPr="009E1B38">
              <w:rPr>
                <w:rFonts w:ascii="Times New Roman" w:hAnsi="Times New Roman"/>
              </w:rPr>
              <w:t>It is stated in the tender notice and license.</w:t>
            </w:r>
          </w:p>
        </w:tc>
      </w:tr>
    </w:tbl>
    <w:p w14:paraId="05B333CE" w14:textId="52F1F23F" w:rsidR="004A744D" w:rsidRPr="009E1B38" w:rsidRDefault="47620091" w:rsidP="47620091">
      <w:pPr>
        <w:spacing w:after="160" w:line="240" w:lineRule="exact"/>
        <w:rPr>
          <w:rFonts w:ascii="Times New Roman" w:hAnsi="Times New Roman"/>
          <w:sz w:val="20"/>
          <w:szCs w:val="20"/>
        </w:rPr>
      </w:pPr>
      <w:r w:rsidRPr="009E1B38">
        <w:rPr>
          <w:rFonts w:ascii="Times New Roman" w:hAnsi="Times New Roman"/>
          <w:sz w:val="20"/>
          <w:szCs w:val="20"/>
        </w:rPr>
        <w:t>* The consumption amount measured from a single meter is taken into account in the calculation of the eligible consumer limit for residential consumers.</w:t>
      </w:r>
    </w:p>
    <w:p w14:paraId="26E72D4F" w14:textId="77777777" w:rsidR="004A744D" w:rsidRPr="009E1B38" w:rsidRDefault="004A744D">
      <w:pPr>
        <w:jc w:val="left"/>
        <w:rPr>
          <w:rFonts w:ascii="Times New Roman" w:hAnsi="Times New Roman"/>
          <w:sz w:val="20"/>
          <w:szCs w:val="20"/>
        </w:rPr>
      </w:pPr>
      <w:r w:rsidRPr="009E1B38">
        <w:rPr>
          <w:rFonts w:ascii="Times New Roman" w:hAnsi="Times New Roman"/>
          <w:sz w:val="20"/>
          <w:szCs w:val="20"/>
        </w:rPr>
        <w:br w:type="page"/>
      </w:r>
    </w:p>
    <w:p w14:paraId="5A7B76CB" w14:textId="058C2C1B" w:rsidR="0032468F" w:rsidRPr="009E1B38" w:rsidRDefault="47620091" w:rsidP="47620091">
      <w:pPr>
        <w:spacing w:after="160" w:line="253" w:lineRule="exact"/>
        <w:rPr>
          <w:rFonts w:ascii="Times New Roman" w:hAnsi="Times New Roman"/>
        </w:rPr>
      </w:pPr>
      <w:r w:rsidRPr="009E1B38">
        <w:rPr>
          <w:rFonts w:ascii="Times New Roman" w:hAnsi="Times New Roman"/>
          <w:b/>
          <w:bCs/>
        </w:rPr>
        <w:lastRenderedPageBreak/>
        <w:t>Demand Calls and Book Collection/Competition Results for Spot Pipe Gas Import;</w:t>
      </w:r>
    </w:p>
    <w:p w14:paraId="300032A9" w14:textId="5749E91C" w:rsidR="0032468F" w:rsidRPr="009E1B38" w:rsidRDefault="47620091" w:rsidP="47620091">
      <w:pPr>
        <w:spacing w:after="160" w:line="253" w:lineRule="exact"/>
        <w:rPr>
          <w:rFonts w:ascii="Times New Roman" w:hAnsi="Times New Roman"/>
        </w:rPr>
      </w:pPr>
      <w:r w:rsidRPr="009E1B38">
        <w:rPr>
          <w:rFonts w:ascii="Times New Roman" w:hAnsi="Times New Roman"/>
          <w:b/>
          <w:bCs/>
        </w:rPr>
        <w:t xml:space="preserve"> </w:t>
      </w:r>
    </w:p>
    <w:p w14:paraId="6344D46B" w14:textId="6BDF75D8" w:rsidR="0032468F" w:rsidRPr="009E1B38" w:rsidRDefault="47620091" w:rsidP="47620091">
      <w:pPr>
        <w:spacing w:after="160" w:line="253" w:lineRule="exact"/>
        <w:rPr>
          <w:rFonts w:ascii="Times New Roman" w:hAnsi="Times New Roman"/>
        </w:rPr>
      </w:pPr>
      <w:r w:rsidRPr="009E1B38">
        <w:rPr>
          <w:rFonts w:ascii="Times New Roman" w:hAnsi="Times New Roman"/>
        </w:rPr>
        <w:t>Book building/competitions organized within the scope of the annual, quarterly and monthly call for requests announced by the Authority within the scope of the "Procedures and Principles for Determining the Import Amount of Spot Pipe Gas and the Application Method" published in the Official Gazette dated 19.09.2019 and numbered 30893, in 2021, resulted in the following:</w:t>
      </w:r>
    </w:p>
    <w:p w14:paraId="26938E25" w14:textId="22CE7BA1"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t>2021/1:</w:t>
      </w:r>
      <w:r w:rsidRPr="009E1B38">
        <w:rPr>
          <w:rFonts w:ascii="Times New Roman" w:hAnsi="Times New Roman"/>
        </w:rPr>
        <w:t xml:space="preserve"> Within the scope of spot pipe gas imports, 2021 Gas Year, which was accepted with </w:t>
      </w:r>
      <w:r w:rsidRPr="009E1B38">
        <w:rPr>
          <w:rFonts w:ascii="Times New Roman" w:hAnsi="Times New Roman"/>
          <w:b/>
          <w:bCs/>
        </w:rPr>
        <w:t>the Board Decision Dated</w:t>
      </w:r>
      <w:r w:rsidRPr="009E1B38">
        <w:rPr>
          <w:rFonts w:ascii="Times New Roman" w:hAnsi="Times New Roman"/>
        </w:rPr>
        <w:t xml:space="preserve"> </w:t>
      </w:r>
      <w:r w:rsidRPr="009E1B38">
        <w:rPr>
          <w:rFonts w:ascii="Times New Roman" w:hAnsi="Times New Roman"/>
          <w:b/>
          <w:bCs/>
        </w:rPr>
        <w:t>10/12/2020 and numbered 9765</w:t>
      </w:r>
      <w:r w:rsidRPr="009E1B38">
        <w:rPr>
          <w:rFonts w:ascii="Times New Roman" w:hAnsi="Times New Roman"/>
        </w:rPr>
        <w:t xml:space="preserve"> and announced on our website; No applications were submitted to the Agency in the First Quarter (Q1) and January (A1) call for requests.</w:t>
      </w:r>
    </w:p>
    <w:p w14:paraId="186E5973" w14:textId="0C5740CB"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t>2021/2:</w:t>
      </w:r>
      <w:r w:rsidRPr="009E1B38">
        <w:rPr>
          <w:rFonts w:ascii="Times New Roman" w:hAnsi="Times New Roman"/>
          <w:b/>
          <w:bCs/>
        </w:rPr>
        <w:t xml:space="preserve"> </w:t>
      </w:r>
      <w:r w:rsidRPr="009E1B38">
        <w:rPr>
          <w:rFonts w:ascii="Times New Roman" w:hAnsi="Times New Roman"/>
        </w:rPr>
        <w:t xml:space="preserve">In the 2021 Gas Year February (A2) request call, which was accepted with </w:t>
      </w:r>
      <w:r w:rsidRPr="009E1B38">
        <w:rPr>
          <w:rFonts w:ascii="Times New Roman" w:hAnsi="Times New Roman"/>
          <w:b/>
          <w:bCs/>
        </w:rPr>
        <w:t>the Board Decision dated</w:t>
      </w:r>
      <w:r w:rsidRPr="009E1B38">
        <w:rPr>
          <w:rFonts w:ascii="Times New Roman" w:hAnsi="Times New Roman"/>
        </w:rPr>
        <w:t xml:space="preserve"> </w:t>
      </w:r>
      <w:r w:rsidRPr="009E1B38">
        <w:rPr>
          <w:rFonts w:ascii="Times New Roman" w:hAnsi="Times New Roman"/>
          <w:b/>
          <w:bCs/>
        </w:rPr>
        <w:t>07/01/2021 and numbered 9963-5</w:t>
      </w:r>
      <w:r w:rsidRPr="009E1B38">
        <w:rPr>
          <w:rFonts w:ascii="Times New Roman" w:hAnsi="Times New Roman"/>
        </w:rPr>
        <w:t xml:space="preserve"> and announced on the Agency's website, no application was submitted to the Agency.</w:t>
      </w:r>
    </w:p>
    <w:p w14:paraId="48B6600B" w14:textId="389D4149"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t>2021/3:</w:t>
      </w:r>
      <w:r w:rsidRPr="009E1B38">
        <w:rPr>
          <w:rFonts w:ascii="Times New Roman" w:hAnsi="Times New Roman"/>
          <w:b/>
          <w:bCs/>
        </w:rPr>
        <w:t xml:space="preserve"> </w:t>
      </w:r>
      <w:r w:rsidRPr="009E1B38">
        <w:rPr>
          <w:rFonts w:ascii="Times New Roman" w:hAnsi="Times New Roman"/>
        </w:rPr>
        <w:t xml:space="preserve">An application has been made by a company to the text of the Call for Request for March 2021 (A3), which was accepted </w:t>
      </w:r>
      <w:r w:rsidRPr="009E1B38">
        <w:rPr>
          <w:rFonts w:ascii="Times New Roman" w:hAnsi="Times New Roman"/>
          <w:b/>
          <w:bCs/>
        </w:rPr>
        <w:t xml:space="preserve">with the Board Decision No. 10012-3 and dated 04/02/2021, </w:t>
      </w:r>
      <w:r w:rsidRPr="009E1B38">
        <w:rPr>
          <w:rFonts w:ascii="Times New Roman" w:hAnsi="Times New Roman"/>
        </w:rPr>
        <w:t xml:space="preserve">and announced on the website of the Authority, but due to the incompleteness of the documents submitted to us regarding the application, </w:t>
      </w:r>
      <w:r w:rsidR="008C0305">
        <w:rPr>
          <w:rFonts w:ascii="Times New Roman" w:hAnsi="Times New Roman"/>
        </w:rPr>
        <w:t>i</w:t>
      </w:r>
      <w:r w:rsidR="008C0305" w:rsidRPr="009E1B38">
        <w:rPr>
          <w:rFonts w:ascii="Times New Roman" w:hAnsi="Times New Roman"/>
        </w:rPr>
        <w:t>n accordance with the relevant provisions of</w:t>
      </w:r>
      <w:r w:rsidR="008C0305">
        <w:rPr>
          <w:rFonts w:ascii="Times New Roman" w:hAnsi="Times New Roman"/>
        </w:rPr>
        <w:t xml:space="preserve"> the</w:t>
      </w:r>
      <w:r w:rsidR="008C0305" w:rsidRPr="009E1B38">
        <w:rPr>
          <w:rFonts w:ascii="Times New Roman" w:hAnsi="Times New Roman"/>
        </w:rPr>
        <w:t xml:space="preserve"> </w:t>
      </w:r>
      <w:r w:rsidRPr="009E1B38">
        <w:rPr>
          <w:rFonts w:ascii="Times New Roman" w:hAnsi="Times New Roman"/>
        </w:rPr>
        <w:t>Procedures and Principles.</w:t>
      </w:r>
    </w:p>
    <w:p w14:paraId="7395DA05" w14:textId="6EFC2CDF"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t>2021/4:</w:t>
      </w:r>
      <w:r w:rsidRPr="009E1B38">
        <w:rPr>
          <w:rFonts w:ascii="Times New Roman" w:hAnsi="Times New Roman"/>
          <w:b/>
          <w:bCs/>
        </w:rPr>
        <w:t xml:space="preserve"> </w:t>
      </w:r>
      <w:r w:rsidRPr="009E1B38">
        <w:rPr>
          <w:rFonts w:ascii="Times New Roman" w:hAnsi="Times New Roman"/>
        </w:rPr>
        <w:t xml:space="preserve">No application was received to the Authority in the 2021 Gas Year Second Quarter (Q2) and April (A4) call for requests, which was accepted </w:t>
      </w:r>
      <w:r w:rsidRPr="009E1B38">
        <w:rPr>
          <w:rFonts w:ascii="Times New Roman" w:hAnsi="Times New Roman"/>
          <w:b/>
          <w:bCs/>
        </w:rPr>
        <w:t xml:space="preserve">with the Board Decision dated 11/03/2021 and numbered 10069-2 </w:t>
      </w:r>
      <w:r w:rsidRPr="009E1B38">
        <w:rPr>
          <w:rFonts w:ascii="Times New Roman" w:hAnsi="Times New Roman"/>
        </w:rPr>
        <w:t>and numbered 10069-2 and announced on the Authority's website.</w:t>
      </w:r>
    </w:p>
    <w:p w14:paraId="6F4573CA" w14:textId="70DEB3BF"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t>2021/5:</w:t>
      </w:r>
      <w:r w:rsidRPr="009E1B38">
        <w:rPr>
          <w:rFonts w:ascii="Times New Roman" w:hAnsi="Times New Roman"/>
          <w:b/>
          <w:bCs/>
        </w:rPr>
        <w:t xml:space="preserve"> </w:t>
      </w:r>
      <w:r w:rsidRPr="009E1B38">
        <w:rPr>
          <w:rFonts w:ascii="Times New Roman" w:hAnsi="Times New Roman"/>
        </w:rPr>
        <w:t xml:space="preserve">In the May 2021 Gas Year (A5) request call, which was accepted </w:t>
      </w:r>
      <w:r w:rsidRPr="009E1B38">
        <w:rPr>
          <w:rFonts w:ascii="Times New Roman" w:hAnsi="Times New Roman"/>
          <w:b/>
          <w:bCs/>
        </w:rPr>
        <w:t xml:space="preserve">with the Board Decision dated 08/04/2021 and numbered 10128-6, </w:t>
      </w:r>
      <w:r w:rsidRPr="009E1B38">
        <w:rPr>
          <w:rFonts w:ascii="Times New Roman" w:hAnsi="Times New Roman"/>
        </w:rPr>
        <w:t>and announced on the Agency's website, no application was submitted to the Agency.</w:t>
      </w:r>
    </w:p>
    <w:p w14:paraId="604B74BD" w14:textId="35A00FC8"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t>2021/6:</w:t>
      </w:r>
      <w:r w:rsidRPr="009E1B38">
        <w:rPr>
          <w:rFonts w:ascii="Times New Roman" w:hAnsi="Times New Roman"/>
          <w:b/>
          <w:bCs/>
        </w:rPr>
        <w:t xml:space="preserve"> </w:t>
      </w:r>
      <w:r w:rsidRPr="009E1B38">
        <w:rPr>
          <w:rFonts w:ascii="Times New Roman" w:hAnsi="Times New Roman"/>
        </w:rPr>
        <w:t xml:space="preserve">No application was submitted to the Authority in the 2021 Gas Year June (A6) request call, which was accepted </w:t>
      </w:r>
      <w:r w:rsidRPr="009E1B38">
        <w:rPr>
          <w:rFonts w:ascii="Times New Roman" w:hAnsi="Times New Roman"/>
          <w:b/>
          <w:bCs/>
        </w:rPr>
        <w:t xml:space="preserve">with the Board Decision dated 06/05/2021 and numbered 10200-5 </w:t>
      </w:r>
      <w:r w:rsidRPr="009E1B38">
        <w:rPr>
          <w:rFonts w:ascii="Times New Roman" w:hAnsi="Times New Roman"/>
        </w:rPr>
        <w:t>and announced on the Authority's website.</w:t>
      </w:r>
    </w:p>
    <w:p w14:paraId="30F60C53" w14:textId="28485A6C"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t>2021/7:</w:t>
      </w:r>
      <w:r w:rsidRPr="009E1B38">
        <w:rPr>
          <w:rFonts w:ascii="Times New Roman" w:hAnsi="Times New Roman"/>
          <w:b/>
          <w:bCs/>
        </w:rPr>
        <w:t xml:space="preserve"> </w:t>
      </w:r>
      <w:r w:rsidRPr="009E1B38">
        <w:rPr>
          <w:rFonts w:ascii="Times New Roman" w:hAnsi="Times New Roman"/>
        </w:rPr>
        <w:t xml:space="preserve">No application was submitted to the Authority in the 2021 Gas Year Third Quarter (Q3) and July (A7) request call, which was accepted </w:t>
      </w:r>
      <w:r w:rsidRPr="009E1B38">
        <w:rPr>
          <w:rFonts w:ascii="Times New Roman" w:hAnsi="Times New Roman"/>
          <w:b/>
          <w:bCs/>
        </w:rPr>
        <w:t xml:space="preserve">with the Board Decision dated 10/06/2021 and numbered 10254-3 </w:t>
      </w:r>
      <w:r w:rsidRPr="009E1B38">
        <w:rPr>
          <w:rFonts w:ascii="Times New Roman" w:hAnsi="Times New Roman"/>
        </w:rPr>
        <w:t>and announced on the Authority's website.</w:t>
      </w:r>
    </w:p>
    <w:p w14:paraId="3ABD6193" w14:textId="502E7898"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t>2021/8:</w:t>
      </w:r>
      <w:r w:rsidRPr="009E1B38">
        <w:rPr>
          <w:rFonts w:ascii="Times New Roman" w:hAnsi="Times New Roman"/>
          <w:b/>
          <w:bCs/>
        </w:rPr>
        <w:t xml:space="preserve"> </w:t>
      </w:r>
      <w:r w:rsidRPr="009E1B38">
        <w:rPr>
          <w:rFonts w:ascii="Times New Roman" w:hAnsi="Times New Roman"/>
        </w:rPr>
        <w:t>To the text of the Call for Request (2021/8), which includes the rest of the year 2021 (YGK) and August (A8) spot capacity products, which was accepted</w:t>
      </w:r>
      <w:r w:rsidRPr="009E1B38">
        <w:rPr>
          <w:rFonts w:ascii="Times New Roman" w:hAnsi="Times New Roman"/>
          <w:b/>
          <w:bCs/>
        </w:rPr>
        <w:t xml:space="preserve"> with the Board Decision dated 08/07/2021 and numbered 10308 </w:t>
      </w:r>
      <w:r w:rsidRPr="009E1B38">
        <w:rPr>
          <w:rFonts w:ascii="Times New Roman" w:hAnsi="Times New Roman"/>
        </w:rPr>
        <w:t>and announced on the website of the Authority. Inc. (BOTAŞ) has made an application and it has been determined that the documents submitted in the examination and evaluation made by the Natural Gas Market Department within the framework of the relevant legislation regarding the application in question are appropriate and complete, and it has been announced that the company in question has the right to participate in the bookkeeping in line with the Presidential Consent.  The aforementioned company, which obtained the right to participate, declared an amount of 7,000,000 m</w:t>
      </w:r>
      <w:r w:rsidRPr="009E1B38">
        <w:rPr>
          <w:rFonts w:ascii="Times New Roman" w:hAnsi="Times New Roman"/>
          <w:vertAlign w:val="superscript"/>
        </w:rPr>
        <w:t>3</w:t>
      </w:r>
      <w:r w:rsidRPr="009E1B38">
        <w:rPr>
          <w:rFonts w:ascii="Times New Roman" w:hAnsi="Times New Roman"/>
        </w:rPr>
        <w:t>/day for the YGK spot capacity product on 28/07/2021, through Tü</w:t>
      </w:r>
      <w:r w:rsidR="008C0305">
        <w:rPr>
          <w:rFonts w:ascii="Times New Roman" w:hAnsi="Times New Roman"/>
        </w:rPr>
        <w:t>r</w:t>
      </w:r>
      <w:r w:rsidRPr="009E1B38">
        <w:rPr>
          <w:rFonts w:ascii="Times New Roman" w:hAnsi="Times New Roman"/>
        </w:rPr>
        <w:t>kgözü Entry Point, and made a spot capacity reservation for the relevant entry point within the scope of the Procedures and Principles.</w:t>
      </w:r>
    </w:p>
    <w:p w14:paraId="366C3E13" w14:textId="1FDD78C6"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t>2021/9:</w:t>
      </w:r>
      <w:r w:rsidRPr="009E1B38">
        <w:rPr>
          <w:rFonts w:ascii="Times New Roman" w:hAnsi="Times New Roman"/>
          <w:b/>
          <w:bCs/>
        </w:rPr>
        <w:t xml:space="preserve"> </w:t>
      </w:r>
      <w:r w:rsidRPr="009E1B38">
        <w:rPr>
          <w:rFonts w:ascii="Times New Roman" w:hAnsi="Times New Roman"/>
        </w:rPr>
        <w:t xml:space="preserve">BOTAŞ applied for the Call for Request text containing the spot capacity product for September 2021 (A9), which was accepted </w:t>
      </w:r>
      <w:r w:rsidRPr="009E1B38">
        <w:rPr>
          <w:rFonts w:ascii="Times New Roman" w:hAnsi="Times New Roman"/>
          <w:b/>
          <w:bCs/>
        </w:rPr>
        <w:t xml:space="preserve">with the Board Decision dated 05/08/2021 and numbered 10347-7 </w:t>
      </w:r>
      <w:r w:rsidRPr="009E1B38">
        <w:rPr>
          <w:rFonts w:ascii="Times New Roman" w:hAnsi="Times New Roman"/>
        </w:rPr>
        <w:t>and announced on our website. In the examination and evaluation made by the Department, it has been seen that the documents submitted are appropriate and complete, and it has been declared that he has the right to participate in the request collection. The company, which has obtained the right to participate, has notified an amount of 177,000 m</w:t>
      </w:r>
      <w:r w:rsidRPr="009E1B38">
        <w:rPr>
          <w:rFonts w:ascii="Times New Roman" w:hAnsi="Times New Roman"/>
          <w:vertAlign w:val="superscript"/>
        </w:rPr>
        <w:t>3</w:t>
      </w:r>
      <w:r w:rsidRPr="009E1B38">
        <w:rPr>
          <w:rFonts w:ascii="Times New Roman" w:hAnsi="Times New Roman"/>
        </w:rPr>
        <w:t>/day during the request collection stage held on 26/08/2021 for the spot capacity product for the Month of September through the Türkgözü Entry Point and has obtained the right to make a spot capacity reservation for the relevant entry point in accordance with the Procedures and Principles.</w:t>
      </w:r>
    </w:p>
    <w:p w14:paraId="30A22DA5" w14:textId="4E634E36"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lastRenderedPageBreak/>
        <w:t>2021/10:</w:t>
      </w:r>
      <w:r w:rsidRPr="009E1B38">
        <w:rPr>
          <w:rFonts w:ascii="Times New Roman" w:hAnsi="Times New Roman"/>
          <w:b/>
          <w:bCs/>
        </w:rPr>
        <w:t xml:space="preserve"> </w:t>
      </w:r>
      <w:r w:rsidRPr="009E1B38">
        <w:rPr>
          <w:rFonts w:ascii="Times New Roman" w:hAnsi="Times New Roman"/>
        </w:rPr>
        <w:t xml:space="preserve">An application was made by BOTAŞ to the text of the Call for Request, which includes the spot capacity products of the Fourth Quarter (Q4) and October (A10) of 2021, which was accepted with </w:t>
      </w:r>
      <w:r w:rsidRPr="009E1B38">
        <w:rPr>
          <w:rFonts w:ascii="Times New Roman" w:hAnsi="Times New Roman"/>
          <w:b/>
          <w:bCs/>
        </w:rPr>
        <w:t>the Board Decision dated 09/09/2021 and numbered 10399-9</w:t>
      </w:r>
      <w:r w:rsidRPr="009E1B38">
        <w:rPr>
          <w:rFonts w:ascii="Times New Roman" w:hAnsi="Times New Roman"/>
        </w:rPr>
        <w:t xml:space="preserve"> and announced on our website. In the examination and evaluation carried out by the Natural Gas Market Department within the framework of the relevant legislation, the documents submitted were found to be appropriate and complete, and it was announced that he had the right to participate in the demand collection. The company in question, which has obtained the right to participate, has notified an amount of 177,000 m</w:t>
      </w:r>
      <w:r w:rsidRPr="009E1B38">
        <w:rPr>
          <w:rFonts w:ascii="Times New Roman" w:hAnsi="Times New Roman"/>
          <w:vertAlign w:val="superscript"/>
        </w:rPr>
        <w:t>3</w:t>
      </w:r>
      <w:r w:rsidRPr="009E1B38">
        <w:rPr>
          <w:rFonts w:ascii="Times New Roman" w:hAnsi="Times New Roman"/>
        </w:rPr>
        <w:t>/day during the request collection stage held on 24/09/2021 for the spot capacity product of October through the Türkgözü Entry Point and has obtained the right to make a spot capacity reservation for the relevant entry point in accordance with the Procedures and Principles.</w:t>
      </w:r>
    </w:p>
    <w:p w14:paraId="6A80535B" w14:textId="5A3FC7BB"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t>2021/11:</w:t>
      </w:r>
      <w:r w:rsidRPr="009E1B38">
        <w:rPr>
          <w:rFonts w:ascii="Times New Roman" w:hAnsi="Times New Roman"/>
          <w:b/>
          <w:bCs/>
        </w:rPr>
        <w:t xml:space="preserve"> </w:t>
      </w:r>
      <w:r w:rsidRPr="009E1B38">
        <w:rPr>
          <w:rFonts w:ascii="Times New Roman" w:hAnsi="Times New Roman"/>
        </w:rPr>
        <w:t xml:space="preserve">BOTAŞ applied for the Call for Request text containing the spot capacity product for November 2021 (A11), which was accepted </w:t>
      </w:r>
      <w:r w:rsidRPr="009E1B38">
        <w:rPr>
          <w:rFonts w:ascii="Times New Roman" w:hAnsi="Times New Roman"/>
          <w:b/>
          <w:bCs/>
        </w:rPr>
        <w:t xml:space="preserve">with the Board Decision dated 08/10/2021 and numbered 10480-3 </w:t>
      </w:r>
      <w:r w:rsidRPr="009E1B38">
        <w:rPr>
          <w:rFonts w:ascii="Times New Roman" w:hAnsi="Times New Roman"/>
        </w:rPr>
        <w:t>and announced on our website. In the examination and evaluation made by the Department, it has been seen that the documents submitted are appropriate and complete, and it has been declared that he has the right to participate in the request collection. The aforementioned company, which obtained the right to participate</w:t>
      </w:r>
      <w:r w:rsidR="008C0305">
        <w:rPr>
          <w:rFonts w:ascii="Times New Roman" w:hAnsi="Times New Roman"/>
        </w:rPr>
        <w:t xml:space="preserve"> and </w:t>
      </w:r>
      <w:r w:rsidR="008C0305" w:rsidRPr="009E1B38">
        <w:rPr>
          <w:rFonts w:ascii="Times New Roman" w:hAnsi="Times New Roman"/>
        </w:rPr>
        <w:t>to make spot capacity reservation for the entry point</w:t>
      </w:r>
      <w:r w:rsidRPr="009E1B38">
        <w:rPr>
          <w:rFonts w:ascii="Times New Roman" w:hAnsi="Times New Roman"/>
        </w:rPr>
        <w:t>, declared an amount of 177,000 m</w:t>
      </w:r>
      <w:r w:rsidRPr="009E1B38">
        <w:rPr>
          <w:rFonts w:ascii="Times New Roman" w:hAnsi="Times New Roman"/>
          <w:vertAlign w:val="superscript"/>
        </w:rPr>
        <w:t>3</w:t>
      </w:r>
      <w:r w:rsidRPr="009E1B38">
        <w:rPr>
          <w:rFonts w:ascii="Times New Roman" w:hAnsi="Times New Roman"/>
        </w:rPr>
        <w:t>/day with the Import License (Spot) numbered DİT/25/10/2021 during the book-building stage for the November spot capacity produc</w:t>
      </w:r>
      <w:r w:rsidR="008C0305">
        <w:rPr>
          <w:rFonts w:ascii="Times New Roman" w:hAnsi="Times New Roman"/>
        </w:rPr>
        <w:t>t through Türkgözü Entry Point.</w:t>
      </w:r>
    </w:p>
    <w:p w14:paraId="33DA5BF1" w14:textId="73D13643" w:rsidR="0032468F" w:rsidRPr="009E1B38" w:rsidRDefault="47620091" w:rsidP="47620091">
      <w:pPr>
        <w:spacing w:after="160" w:line="253" w:lineRule="exact"/>
        <w:rPr>
          <w:rFonts w:ascii="Times New Roman" w:hAnsi="Times New Roman"/>
        </w:rPr>
      </w:pPr>
      <w:r w:rsidRPr="009E1B38">
        <w:rPr>
          <w:rFonts w:ascii="Times New Roman" w:hAnsi="Times New Roman"/>
          <w:b/>
          <w:bCs/>
          <w:u w:val="single"/>
        </w:rPr>
        <w:t>2021/12:</w:t>
      </w:r>
      <w:r w:rsidRPr="009E1B38">
        <w:rPr>
          <w:rFonts w:ascii="Times New Roman" w:hAnsi="Times New Roman"/>
          <w:b/>
          <w:bCs/>
        </w:rPr>
        <w:t xml:space="preserve"> </w:t>
      </w:r>
      <w:r w:rsidRPr="009E1B38">
        <w:rPr>
          <w:rFonts w:ascii="Times New Roman" w:hAnsi="Times New Roman"/>
        </w:rPr>
        <w:t xml:space="preserve">BOTAŞ and Oil Refining Center Petroleum Products Ltd. Şti. issued a request for the December 2021 Gas Year (A12), which was accepted </w:t>
      </w:r>
      <w:r w:rsidRPr="009E1B38">
        <w:rPr>
          <w:rFonts w:ascii="Times New Roman" w:hAnsi="Times New Roman"/>
          <w:b/>
          <w:bCs/>
        </w:rPr>
        <w:t xml:space="preserve">with the board decision dated 11/11/2021 and numbered 10559 </w:t>
      </w:r>
      <w:r w:rsidRPr="009E1B38">
        <w:rPr>
          <w:rFonts w:ascii="Times New Roman" w:hAnsi="Times New Roman"/>
        </w:rPr>
        <w:t xml:space="preserve">and announced on our website. The applications in question and by reference </w:t>
      </w:r>
      <w:r w:rsidR="00433FFD" w:rsidRPr="009E1B38">
        <w:rPr>
          <w:rFonts w:ascii="Times New Roman" w:hAnsi="Times New Roman"/>
        </w:rPr>
        <w:t>are</w:t>
      </w:r>
      <w:r w:rsidRPr="009E1B38">
        <w:rPr>
          <w:rFonts w:ascii="Times New Roman" w:hAnsi="Times New Roman"/>
        </w:rPr>
        <w:t xml:space="preserve"> made about the natural gas market in accordance with the relevant legislation made by the Office of review and evaluation of documents presented for the appropriate and complete to collect has earned the right to participate and demand is seen to be declared.  BOTAŞ, for the amount of 177,000 m3/day during the demand collection stage held on 26/11/2021 for the December spot capacity product via Türkgözü Entry Point; Oil Refinery Center Ltd. Şti. During the demand collection stage for the December spot capacity product via Gürbulak Entry Point, it obtained the right to realize spot imports for an amount of 5,541,000 m3/day.   Subsequently, Oil Refining Center Ltd. Şti. the request for non-implementation of this provision was accepted by </w:t>
      </w:r>
      <w:r w:rsidRPr="009E1B38">
        <w:rPr>
          <w:rFonts w:ascii="Times New Roman" w:hAnsi="Times New Roman"/>
          <w:b/>
          <w:bCs/>
        </w:rPr>
        <w:t>the Board Decision No. 10626-4 dated 16/12/2021</w:t>
      </w:r>
      <w:r w:rsidRPr="009E1B38">
        <w:rPr>
          <w:rFonts w:ascii="Times New Roman" w:hAnsi="Times New Roman"/>
        </w:rPr>
        <w:t xml:space="preserve"> and taken in the face of the requests of the ’Committee for the one-time non-implementation of the provision for the loss of unused capacity due to the inability to use the spot capacity to which it is entitled, effective by the end of the Gas Day of December 31, 2021.</w:t>
      </w:r>
    </w:p>
    <w:p w14:paraId="614601B4" w14:textId="7E169768" w:rsidR="0032468F" w:rsidRPr="009E1B38" w:rsidRDefault="47620091" w:rsidP="47620091">
      <w:pPr>
        <w:spacing w:after="160" w:line="253" w:lineRule="exact"/>
        <w:rPr>
          <w:rFonts w:ascii="Times New Roman" w:hAnsi="Times New Roman"/>
        </w:rPr>
      </w:pPr>
      <w:r w:rsidRPr="009E1B38">
        <w:rPr>
          <w:rFonts w:ascii="Times New Roman" w:hAnsi="Times New Roman"/>
          <w:b/>
          <w:bCs/>
        </w:rPr>
        <w:t>Information on Natural Gas Distribution License Tenders;</w:t>
      </w:r>
    </w:p>
    <w:p w14:paraId="16CEF606" w14:textId="13A3D297" w:rsidR="0032468F" w:rsidRPr="009E1B38" w:rsidRDefault="47620091" w:rsidP="47620091">
      <w:pPr>
        <w:spacing w:after="160" w:line="246" w:lineRule="exact"/>
        <w:ind w:left="705" w:hanging="705"/>
        <w:rPr>
          <w:rFonts w:ascii="Times New Roman" w:hAnsi="Times New Roman"/>
        </w:rPr>
      </w:pPr>
      <w:r w:rsidRPr="009E1B38">
        <w:rPr>
          <w:rFonts w:ascii="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          In the period from 2001, when the Natural Gas Market Law No. 4646 was published, to the present day, it was ensured that natural gas was disseminated and natural gas distribution activities were carried out by the private sector with the urban natural gas distribution license tenders held within the framework of the Law and secondary legislation.</w:t>
      </w:r>
    </w:p>
    <w:p w14:paraId="07C195D1" w14:textId="72ADCAC8" w:rsidR="0032468F" w:rsidRPr="009E1B38" w:rsidRDefault="47620091" w:rsidP="47620091">
      <w:pPr>
        <w:spacing w:after="160" w:line="246" w:lineRule="exact"/>
        <w:rPr>
          <w:rFonts w:ascii="Times New Roman" w:hAnsi="Times New Roman"/>
        </w:rPr>
      </w:pPr>
      <w:r w:rsidRPr="009E1B38">
        <w:rPr>
          <w:rFonts w:ascii="Times New Roman" w:hAnsi="Times New Roman"/>
        </w:rPr>
        <w:t xml:space="preserve"> </w:t>
      </w:r>
    </w:p>
    <w:p w14:paraId="4DAFE5A5" w14:textId="62F6493E" w:rsidR="0032468F" w:rsidRPr="009E1B38" w:rsidRDefault="47620091" w:rsidP="47620091">
      <w:pPr>
        <w:spacing w:after="160" w:line="246" w:lineRule="exact"/>
        <w:ind w:left="705" w:hanging="705"/>
        <w:rPr>
          <w:rFonts w:ascii="Times New Roman" w:hAnsi="Times New Roman"/>
        </w:rPr>
      </w:pPr>
      <w:r w:rsidRPr="009E1B38">
        <w:rPr>
          <w:rFonts w:ascii="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          In accordance with the law, the city natural gas distribution service is performed by the company that won the distribution license by winning the tender opened by EMRA. The bids submitted by the companies are evaluated on the basis of the unit service and depreciation cost, which is given as a single price for the delivery of one kWh of natural gas, in accordance with the procedures and principles specified in the relevant legislation.   </w:t>
      </w:r>
    </w:p>
    <w:p w14:paraId="7C819DC2" w14:textId="5C117A8E" w:rsidR="0032468F" w:rsidRPr="009E1B38" w:rsidRDefault="47620091" w:rsidP="47620091">
      <w:pPr>
        <w:spacing w:after="160" w:line="246" w:lineRule="exact"/>
        <w:rPr>
          <w:rFonts w:ascii="Times New Roman" w:hAnsi="Times New Roman"/>
        </w:rPr>
      </w:pPr>
      <w:r w:rsidRPr="009E1B38">
        <w:rPr>
          <w:rFonts w:ascii="Times New Roman" w:hAnsi="Times New Roman"/>
        </w:rPr>
        <w:t xml:space="preserve"> </w:t>
      </w:r>
    </w:p>
    <w:p w14:paraId="5AD4E2DD" w14:textId="50A1B043" w:rsidR="0032468F" w:rsidRPr="009E1B38" w:rsidRDefault="47620091" w:rsidP="47620091">
      <w:pPr>
        <w:spacing w:after="160" w:line="246" w:lineRule="exact"/>
        <w:ind w:left="705" w:hanging="705"/>
        <w:rPr>
          <w:rFonts w:ascii="Times New Roman" w:hAnsi="Times New Roman"/>
        </w:rPr>
      </w:pPr>
      <w:r w:rsidRPr="009E1B38">
        <w:rPr>
          <w:rFonts w:ascii="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 xml:space="preserve">          As a result of the tenders made by EMRA within the scope of the Natural Gas Market Law No. 4646 and the distribution licenses granted before the Law, natural gas has already started to be used in 81 provinces and 597 districts. In line with the goal of expanding the use of natural gas throughout the country, the tenders opened for the delivery of natural gas to our provinces of Artvin, Hakkâri and Şırnak, which were unsuccessful despite being awarded in previous years, were held in March 2017 and concluded successfully. Currently, licensing procedures have been completed and natural gas supply has been realized in these provinces in 2018. Thus, the use of natural gas has already been enabled in 81 provinces.</w:t>
      </w:r>
    </w:p>
    <w:p w14:paraId="51BA13EF" w14:textId="1AE3607C" w:rsidR="0032468F" w:rsidRPr="009E1B38" w:rsidRDefault="47620091" w:rsidP="47620091">
      <w:pPr>
        <w:spacing w:after="160" w:line="246" w:lineRule="exact"/>
        <w:rPr>
          <w:rFonts w:ascii="Times New Roman" w:hAnsi="Times New Roman"/>
        </w:rPr>
      </w:pPr>
      <w:r w:rsidRPr="009E1B38">
        <w:rPr>
          <w:rFonts w:ascii="Times New Roman" w:hAnsi="Times New Roman"/>
        </w:rPr>
        <w:lastRenderedPageBreak/>
        <w:t xml:space="preserve"> </w:t>
      </w:r>
    </w:p>
    <w:p w14:paraId="67F4DD12" w14:textId="7F37632D" w:rsidR="0032468F" w:rsidRPr="009E1B38" w:rsidRDefault="47620091" w:rsidP="47620091">
      <w:pPr>
        <w:spacing w:after="160" w:line="246" w:lineRule="exact"/>
        <w:ind w:left="705" w:hanging="705"/>
        <w:rPr>
          <w:rFonts w:ascii="Times New Roman" w:hAnsi="Times New Roman"/>
        </w:rPr>
      </w:pPr>
      <w:r w:rsidRPr="009E1B38">
        <w:rPr>
          <w:rFonts w:ascii="Times New Roman" w:hAnsi="Times New Roman"/>
        </w:rPr>
        <w:t>•</w:t>
      </w:r>
      <w:r w:rsidRPr="009E1B38">
        <w:rPr>
          <w:rFonts w:ascii="Times New Roman" w:eastAsia="Times New Roman" w:hAnsi="Times New Roman"/>
          <w:sz w:val="14"/>
          <w:szCs w:val="14"/>
        </w:rPr>
        <w:t xml:space="preserve">               </w:t>
      </w:r>
      <w:r w:rsidRPr="009E1B38">
        <w:rPr>
          <w:rFonts w:ascii="Times New Roman" w:hAnsi="Times New Roman"/>
        </w:rPr>
        <w:t>In line with the goal of expanding the use of natural gas throughout the country, necessary studies are carried out within the scope of the Council of Ministers' Decisions to deliver natural gas to our districts with a central population of 10 thousand and over 20 thousand, which are outside the scope of the current natural gas distribution region license, and the procedures for the inclusion of these districts within the scope of na</w:t>
      </w:r>
      <w:r w:rsidR="008C0305">
        <w:rPr>
          <w:rFonts w:ascii="Times New Roman" w:hAnsi="Times New Roman"/>
        </w:rPr>
        <w:t xml:space="preserve">tural gas distribution regions, </w:t>
      </w:r>
      <w:r w:rsidRPr="009E1B38">
        <w:rPr>
          <w:rFonts w:ascii="Times New Roman" w:hAnsi="Times New Roman"/>
        </w:rPr>
        <w:t>and investment processes are followed. A total of 72 “Natural Gas Distribution Licenses” have already been granted within the framework of the relevant legislation, together with 7 distribution companies that were carrying out their activities before the Law No. 4646 and 65 distribution companies that were licensed as a result of the tenders made by the Authority.</w:t>
      </w:r>
    </w:p>
    <w:p w14:paraId="19F9E4A2" w14:textId="75C3787B" w:rsidR="0032468F" w:rsidRPr="009E1B38" w:rsidRDefault="47620091" w:rsidP="47620091">
      <w:pPr>
        <w:spacing w:after="160" w:line="246" w:lineRule="exact"/>
        <w:rPr>
          <w:rFonts w:ascii="Times New Roman" w:hAnsi="Times New Roman"/>
        </w:rPr>
      </w:pPr>
      <w:r w:rsidRPr="009E1B38">
        <w:rPr>
          <w:rFonts w:ascii="Times New Roman" w:hAnsi="Times New Roman"/>
        </w:rPr>
        <w:t xml:space="preserve"> </w:t>
      </w:r>
    </w:p>
    <w:p w14:paraId="7D4A79E9" w14:textId="042AACE9" w:rsidR="0032468F" w:rsidRPr="009E1B38" w:rsidRDefault="47620091" w:rsidP="47620091">
      <w:pPr>
        <w:pStyle w:val="ListeParagraf"/>
        <w:spacing w:after="160" w:line="259" w:lineRule="auto"/>
        <w:rPr>
          <w:rFonts w:ascii="Times New Roman" w:hAnsi="Times New Roman"/>
        </w:rPr>
        <w:sectPr w:rsidR="0032468F" w:rsidRPr="009E1B38" w:rsidSect="00F922DE">
          <w:footerReference w:type="first" r:id="rId38"/>
          <w:pgSz w:w="11906" w:h="16838"/>
          <w:pgMar w:top="1418" w:right="566" w:bottom="1418" w:left="1418" w:header="709" w:footer="709" w:gutter="0"/>
          <w:cols w:space="708"/>
          <w:docGrid w:linePitch="360"/>
        </w:sectPr>
      </w:pPr>
      <w:r w:rsidRPr="009E1B38">
        <w:rPr>
          <w:rFonts w:ascii="Times New Roman" w:hAnsi="Times New Roman"/>
        </w:rPr>
        <w:t xml:space="preserve">          Except for Istanbul Gaz Dağıtım Sanayi ve Ticaret Anonim Şirketi (İGDAŞ), natural gas distribution in all distribution regions is carried out by the private sector.</w:t>
      </w:r>
    </w:p>
    <w:p w14:paraId="7D4A7C4A" w14:textId="023B2A33" w:rsidR="001D2DA2" w:rsidRPr="009E1B38" w:rsidRDefault="00382ACA" w:rsidP="00382ACA">
      <w:pPr>
        <w:pStyle w:val="Balk2"/>
        <w:rPr>
          <w:rFonts w:cs="Times New Roman"/>
        </w:rPr>
      </w:pPr>
      <w:bookmarkStart w:id="57" w:name="_Toc442431238"/>
      <w:bookmarkStart w:id="58" w:name="_Toc514251615"/>
      <w:bookmarkStart w:id="59" w:name="_Toc6684433"/>
      <w:bookmarkStart w:id="60" w:name="_Hlk78463935"/>
      <w:bookmarkStart w:id="61" w:name="_Hlk92222219"/>
      <w:bookmarkStart w:id="62" w:name="_Hlk92873860"/>
      <w:bookmarkStart w:id="63" w:name="_Toc442431241"/>
      <w:bookmarkStart w:id="64" w:name="_Toc514251618"/>
      <w:bookmarkStart w:id="65" w:name="_Toc6684436"/>
      <w:bookmarkStart w:id="66" w:name="_Hlk89333571"/>
      <w:bookmarkStart w:id="67" w:name="_Hlk89333866"/>
      <w:bookmarkStart w:id="68" w:name="_Hlk89334544"/>
      <w:bookmarkStart w:id="69" w:name="_Toc442431242"/>
      <w:bookmarkStart w:id="70" w:name="_Toc6684437"/>
      <w:bookmarkStart w:id="71" w:name="_Toc113615319"/>
      <w:bookmarkEnd w:id="57"/>
      <w:bookmarkEnd w:id="58"/>
      <w:bookmarkEnd w:id="59"/>
      <w:bookmarkEnd w:id="60"/>
      <w:bookmarkEnd w:id="61"/>
      <w:bookmarkEnd w:id="62"/>
      <w:bookmarkEnd w:id="63"/>
      <w:bookmarkEnd w:id="64"/>
      <w:bookmarkEnd w:id="65"/>
      <w:bookmarkEnd w:id="66"/>
      <w:bookmarkEnd w:id="67"/>
      <w:bookmarkEnd w:id="68"/>
      <w:r w:rsidRPr="009E1B38">
        <w:rPr>
          <w:rFonts w:cs="Times New Roman"/>
          <w:color w:val="000000" w:themeColor="text1"/>
        </w:rPr>
        <w:lastRenderedPageBreak/>
        <w:t xml:space="preserve">2.3. </w:t>
      </w:r>
      <w:r w:rsidR="47620091" w:rsidRPr="009E1B38">
        <w:rPr>
          <w:rFonts w:cs="Times New Roman"/>
          <w:color w:val="000000" w:themeColor="text1"/>
        </w:rPr>
        <w:t>Petroleum Market Legislation</w:t>
      </w:r>
      <w:bookmarkEnd w:id="69"/>
      <w:bookmarkEnd w:id="70"/>
      <w:bookmarkEnd w:id="71"/>
    </w:p>
    <w:p w14:paraId="7D4A7C4B" w14:textId="31ADC4F2" w:rsidR="00FD50A0" w:rsidRPr="009E1B38" w:rsidRDefault="00C679E9" w:rsidP="003C5E4D">
      <w:pPr>
        <w:pStyle w:val="Balk3"/>
        <w:numPr>
          <w:ilvl w:val="2"/>
          <w:numId w:val="60"/>
        </w:numPr>
        <w:spacing w:before="0" w:after="240"/>
        <w:rPr>
          <w:rFonts w:ascii="Times New Roman" w:hAnsi="Times New Roman" w:cs="Times New Roman"/>
          <w:color w:val="auto"/>
        </w:rPr>
      </w:pPr>
      <w:bookmarkStart w:id="72" w:name="_Toc113615320"/>
      <w:r w:rsidRPr="009E1B38">
        <w:rPr>
          <w:rFonts w:ascii="Times New Roman" w:hAnsi="Times New Roman" w:cs="Times New Roman"/>
          <w:color w:val="auto"/>
        </w:rPr>
        <w:t>Law</w:t>
      </w:r>
      <w:bookmarkEnd w:id="72"/>
    </w:p>
    <w:p w14:paraId="010767BE" w14:textId="56A25FCD" w:rsidR="00114CF3" w:rsidRPr="009E1B38" w:rsidRDefault="47620091" w:rsidP="47620091">
      <w:pPr>
        <w:rPr>
          <w:rFonts w:ascii="Times New Roman" w:hAnsi="Times New Roman"/>
        </w:rPr>
      </w:pPr>
      <w:r w:rsidRPr="009E1B38">
        <w:rPr>
          <w:rStyle w:val="y2iqfc"/>
          <w:rFonts w:ascii="Times New Roman" w:hAnsi="Times New Roman"/>
          <w:color w:val="202124"/>
        </w:rPr>
        <w:t>The following amendments were made to the Petroleum Market Law No. 5015 in 2021.</w:t>
      </w:r>
      <w:r w:rsidRPr="009E1B38">
        <w:rPr>
          <w:rFonts w:ascii="Times New Roman" w:hAnsi="Times New Roman"/>
        </w:rPr>
        <w:t xml:space="preserve"> </w:t>
      </w:r>
    </w:p>
    <w:p w14:paraId="7D4A7C4D" w14:textId="2EA6A7C1" w:rsidR="00DC14F4" w:rsidRPr="009E1B38" w:rsidRDefault="008C779E" w:rsidP="00C94443">
      <w:pPr>
        <w:rPr>
          <w:rFonts w:ascii="Times New Roman" w:hAnsi="Times New Roman"/>
          <w:b/>
        </w:rPr>
      </w:pPr>
      <w:r w:rsidRPr="009E1B38">
        <w:rPr>
          <w:rFonts w:ascii="Times New Roman" w:hAnsi="Times New Roman"/>
        </w:rPr>
        <w:t>With the Law No. 5015 Amending the Tax Procedure Law and Some Laws published in the Official Gazette dated 30.04.2021 and numbered 31470, Petroleum Market Law No. 5015;</w:t>
      </w:r>
    </w:p>
    <w:p w14:paraId="7D4A7C4E" w14:textId="77777777" w:rsidR="00DC14F4" w:rsidRPr="009E1B38" w:rsidRDefault="00DC14F4" w:rsidP="00DC14F4">
      <w:pPr>
        <w:ind w:left="720"/>
        <w:contextualSpacing/>
        <w:rPr>
          <w:rFonts w:ascii="Times New Roman" w:hAnsi="Times New Roman"/>
        </w:rPr>
      </w:pPr>
    </w:p>
    <w:p w14:paraId="7D4A7C4F" w14:textId="3AE49504" w:rsidR="00DC14F4" w:rsidRPr="009E1B38" w:rsidRDefault="00DD479B" w:rsidP="003C5E4D">
      <w:pPr>
        <w:numPr>
          <w:ilvl w:val="0"/>
          <w:numId w:val="35"/>
        </w:numPr>
        <w:spacing w:after="160" w:line="259" w:lineRule="auto"/>
        <w:contextualSpacing/>
        <w:rPr>
          <w:rFonts w:ascii="Times New Roman" w:hAnsi="Times New Roman"/>
        </w:rPr>
      </w:pPr>
      <w:r w:rsidRPr="009E1B38">
        <w:rPr>
          <w:rFonts w:ascii="Times New Roman" w:hAnsi="Times New Roman"/>
          <w:i/>
        </w:rPr>
        <w:t>- The following paragraphs have been added after the eleventh paragraph to Article 3, titled "Procedures and principles to which licenses will be governed".</w:t>
      </w:r>
    </w:p>
    <w:p w14:paraId="7D4A7C50" w14:textId="77777777" w:rsidR="00DC14F4" w:rsidRPr="009E1B38" w:rsidRDefault="00DC14F4" w:rsidP="00DC14F4">
      <w:pPr>
        <w:ind w:left="1430"/>
        <w:contextualSpacing/>
        <w:rPr>
          <w:rFonts w:ascii="Times New Roman" w:hAnsi="Times New Roman"/>
        </w:rPr>
      </w:pPr>
    </w:p>
    <w:p w14:paraId="7D4A7C51" w14:textId="7D16F320" w:rsidR="00DC14F4" w:rsidRPr="009E1B38" w:rsidRDefault="00DC14F4" w:rsidP="00DC14F4">
      <w:pPr>
        <w:ind w:left="1430"/>
        <w:contextualSpacing/>
        <w:rPr>
          <w:rFonts w:ascii="Times New Roman" w:hAnsi="Times New Roman"/>
          <w:i/>
        </w:rPr>
      </w:pPr>
      <w:r w:rsidRPr="009E1B38">
        <w:rPr>
          <w:rFonts w:ascii="Times New Roman" w:hAnsi="Times New Roman"/>
          <w:i/>
        </w:rPr>
        <w:t>“</w:t>
      </w:r>
      <w:r w:rsidR="00536402" w:rsidRPr="009E1B38">
        <w:rPr>
          <w:rFonts w:ascii="Times New Roman" w:hAnsi="Times New Roman"/>
          <w:i/>
        </w:rPr>
        <w:t>According to this Law, in order to fulfill the requests regarding the license application, license amendment or extension of the license period regarding distributor, bunker delivery and dealership licenses and other license types determined by the Agency, the Social Security Institution is subject to overdue premium and administrative fines, and to the tax offices according to the Law No.</w:t>
      </w:r>
      <w:r w:rsidRPr="009E1B38">
        <w:rPr>
          <w:rFonts w:ascii="Times New Roman" w:hAnsi="Times New Roman"/>
          <w:i/>
        </w:rPr>
        <w:t xml:space="preserve"> 6183</w:t>
      </w:r>
      <w:r w:rsidR="00536402" w:rsidRPr="009E1B38">
        <w:rPr>
          <w:rFonts w:ascii="Times New Roman" w:hAnsi="Times New Roman"/>
          <w:i/>
        </w:rPr>
        <w:t>. It is essential that there is no overdue debt within the scope of article</w:t>
      </w:r>
      <w:r w:rsidRPr="009E1B38">
        <w:rPr>
          <w:rFonts w:ascii="Times New Roman" w:hAnsi="Times New Roman"/>
          <w:i/>
        </w:rPr>
        <w:t xml:space="preserve"> 22/A</w:t>
      </w:r>
      <w:r w:rsidR="00536402" w:rsidRPr="009E1B38">
        <w:rPr>
          <w:rFonts w:ascii="Times New Roman" w:hAnsi="Times New Roman"/>
          <w:i/>
        </w:rPr>
        <w:t>.</w:t>
      </w:r>
      <w:r w:rsidRPr="009E1B38">
        <w:rPr>
          <w:rFonts w:ascii="Times New Roman" w:hAnsi="Times New Roman"/>
          <w:i/>
        </w:rPr>
        <w:t xml:space="preserve"> </w:t>
      </w:r>
      <w:r w:rsidR="00974E25" w:rsidRPr="009E1B38">
        <w:rPr>
          <w:rFonts w:ascii="Times New Roman" w:hAnsi="Times New Roman"/>
          <w:i/>
        </w:rPr>
        <w:t>Information that the license holders have no overdue debts is obtained from the Revenue Administration and the Social Security Institution by the Authority. The Institution is authorized to determine the procedures and principles regarding the implementation of this paragraph by obtaining the opinion of the Revenue Administration and the Social Security Institution.</w:t>
      </w:r>
      <w:r w:rsidRPr="009E1B38">
        <w:rPr>
          <w:rFonts w:ascii="Times New Roman" w:hAnsi="Times New Roman"/>
          <w:i/>
        </w:rPr>
        <w:t>”</w:t>
      </w:r>
    </w:p>
    <w:p w14:paraId="7D4A7C52" w14:textId="77777777" w:rsidR="00DC14F4" w:rsidRPr="009E1B38" w:rsidRDefault="00DC14F4" w:rsidP="00DC14F4">
      <w:pPr>
        <w:ind w:left="1430"/>
        <w:contextualSpacing/>
        <w:rPr>
          <w:rFonts w:ascii="Times New Roman" w:hAnsi="Times New Roman"/>
          <w:i/>
        </w:rPr>
      </w:pPr>
    </w:p>
    <w:p w14:paraId="7D4A7C53" w14:textId="4A602CEA" w:rsidR="00DC14F4" w:rsidRPr="009E1B38" w:rsidRDefault="00DC14F4" w:rsidP="00DC14F4">
      <w:pPr>
        <w:ind w:left="1430"/>
        <w:contextualSpacing/>
        <w:rPr>
          <w:rFonts w:ascii="Times New Roman" w:hAnsi="Times New Roman"/>
          <w:i/>
        </w:rPr>
      </w:pPr>
      <w:r w:rsidRPr="009E1B38">
        <w:rPr>
          <w:rFonts w:ascii="Times New Roman" w:hAnsi="Times New Roman"/>
          <w:i/>
        </w:rPr>
        <w:t>“</w:t>
      </w:r>
      <w:r w:rsidR="00A275BE" w:rsidRPr="009E1B38">
        <w:rPr>
          <w:rFonts w:ascii="Times New Roman" w:hAnsi="Times New Roman"/>
          <w:i/>
        </w:rPr>
        <w:t>The Authority may determine technical, economic criteria and special conditions regarding technology, quality, safety, service and sustainability of the enterprise, including the conditions for establishing a dealership organization and providing minimum sales volume for licensees. The licenses of those who cannot meet the specified criteria and conditions are terminated. Regulations regarding the issues in this paragraph are made by the regulation issued by the Institution.</w:t>
      </w:r>
      <w:r w:rsidRPr="009E1B38">
        <w:rPr>
          <w:rFonts w:ascii="Times New Roman" w:hAnsi="Times New Roman"/>
          <w:i/>
        </w:rPr>
        <w:t>”</w:t>
      </w:r>
    </w:p>
    <w:p w14:paraId="7D4A7C54" w14:textId="77777777" w:rsidR="00DC14F4" w:rsidRPr="009E1B38" w:rsidRDefault="00DC14F4" w:rsidP="00DC14F4">
      <w:pPr>
        <w:ind w:left="1430"/>
        <w:contextualSpacing/>
        <w:rPr>
          <w:rFonts w:ascii="Times New Roman" w:hAnsi="Times New Roman"/>
          <w:i/>
        </w:rPr>
      </w:pPr>
    </w:p>
    <w:p w14:paraId="7D4A7C56" w14:textId="4CEB4A70" w:rsidR="00DC14F4" w:rsidRPr="009E1B38" w:rsidRDefault="00A275BE" w:rsidP="00DC14F4">
      <w:pPr>
        <w:ind w:left="1430"/>
        <w:contextualSpacing/>
        <w:rPr>
          <w:rFonts w:ascii="Times New Roman" w:hAnsi="Times New Roman"/>
        </w:rPr>
      </w:pPr>
      <w:r w:rsidRPr="009E1B38">
        <w:rPr>
          <w:rFonts w:ascii="Times New Roman" w:hAnsi="Times New Roman"/>
        </w:rPr>
        <w:t>- With the effective date of 01.01.2022, the following sentences have been added to the sixth paragraph of Article 7 titled “Distribution”, following the first sentence, and the phrase “and authorized legal entities” has been added to the current fifth sentence, after the phrase “distributors”.</w:t>
      </w:r>
    </w:p>
    <w:p w14:paraId="799375EA" w14:textId="77777777" w:rsidR="00A275BE" w:rsidRPr="009E1B38" w:rsidRDefault="00A275BE" w:rsidP="00DC14F4">
      <w:pPr>
        <w:ind w:left="1430"/>
        <w:contextualSpacing/>
        <w:rPr>
          <w:rFonts w:ascii="Times New Roman" w:hAnsi="Times New Roman"/>
        </w:rPr>
      </w:pPr>
    </w:p>
    <w:p w14:paraId="7D4A7C57" w14:textId="326CA550" w:rsidR="00DC14F4" w:rsidRPr="009E1B38" w:rsidRDefault="00DC14F4" w:rsidP="00DC14F4">
      <w:pPr>
        <w:ind w:left="1430"/>
        <w:contextualSpacing/>
        <w:rPr>
          <w:rFonts w:ascii="Times New Roman" w:hAnsi="Times New Roman"/>
          <w:b/>
        </w:rPr>
      </w:pPr>
      <w:r w:rsidRPr="009E1B38">
        <w:rPr>
          <w:rFonts w:ascii="Times New Roman" w:hAnsi="Times New Roman"/>
          <w:i/>
        </w:rPr>
        <w:t>“</w:t>
      </w:r>
      <w:r w:rsidR="00A275BE" w:rsidRPr="009E1B38">
        <w:rPr>
          <w:rFonts w:ascii="Times New Roman" w:hAnsi="Times New Roman"/>
          <w:i/>
        </w:rPr>
        <w:t xml:space="preserve">Distributor license holder establishes and implements the audit system through legal entities authorized by the Authority. Administrative, financial and technical conditions to be sought in </w:t>
      </w:r>
      <w:r w:rsidR="00135D72" w:rsidRPr="009E1B38">
        <w:rPr>
          <w:rFonts w:ascii="Times New Roman" w:hAnsi="Times New Roman"/>
          <w:i/>
        </w:rPr>
        <w:t>legal entities</w:t>
      </w:r>
      <w:r w:rsidR="00A275BE" w:rsidRPr="009E1B38">
        <w:rPr>
          <w:rFonts w:ascii="Times New Roman" w:hAnsi="Times New Roman"/>
          <w:i/>
        </w:rPr>
        <w:t xml:space="preserve"> who will establish and implement the audit system, and the rights and obligations of these </w:t>
      </w:r>
      <w:r w:rsidR="00135D72" w:rsidRPr="009E1B38">
        <w:rPr>
          <w:rFonts w:ascii="Times New Roman" w:hAnsi="Times New Roman"/>
          <w:i/>
        </w:rPr>
        <w:t>legal entities</w:t>
      </w:r>
      <w:r w:rsidR="00A275BE" w:rsidRPr="009E1B38">
        <w:rPr>
          <w:rFonts w:ascii="Times New Roman" w:hAnsi="Times New Roman"/>
          <w:i/>
        </w:rPr>
        <w:t xml:space="preserve"> shall be determined by the Authority. The license holder and the legal entities authorized by the Authority are jointly responsible for the failure to fulfill the obligations regarding the establishment and implementation of the audit system</w:t>
      </w:r>
      <w:r w:rsidR="008C0305" w:rsidRPr="009E1B38">
        <w:rPr>
          <w:rFonts w:ascii="Times New Roman" w:hAnsi="Times New Roman"/>
          <w:i/>
        </w:rPr>
        <w:t>...”</w:t>
      </w:r>
      <w:r w:rsidRPr="009E1B38">
        <w:rPr>
          <w:rFonts w:ascii="Times New Roman" w:hAnsi="Times New Roman"/>
        </w:rPr>
        <w:t xml:space="preserve"> </w:t>
      </w:r>
    </w:p>
    <w:p w14:paraId="7D4A7C58" w14:textId="77777777" w:rsidR="00DC14F4" w:rsidRPr="009E1B38" w:rsidRDefault="00DC14F4" w:rsidP="00DC14F4">
      <w:pPr>
        <w:ind w:left="1430"/>
        <w:contextualSpacing/>
        <w:rPr>
          <w:rFonts w:ascii="Times New Roman" w:hAnsi="Times New Roman"/>
          <w:b/>
        </w:rPr>
      </w:pPr>
    </w:p>
    <w:p w14:paraId="7D4A7C5A" w14:textId="2651D128" w:rsidR="00DC14F4" w:rsidRPr="009E1B38" w:rsidRDefault="00A275BE" w:rsidP="00DC14F4">
      <w:pPr>
        <w:ind w:left="1430"/>
        <w:contextualSpacing/>
        <w:rPr>
          <w:rFonts w:ascii="Times New Roman" w:hAnsi="Times New Roman"/>
        </w:rPr>
      </w:pPr>
      <w:r w:rsidRPr="009E1B38">
        <w:rPr>
          <w:rFonts w:ascii="Times New Roman" w:hAnsi="Times New Roman"/>
        </w:rPr>
        <w:t>- The following sentence has been added after the fifth sentence of the first paragraph of the 9th article titled "Restriction of Activities", with the effective date being 01.01.2022.</w:t>
      </w:r>
    </w:p>
    <w:p w14:paraId="2BD1B842" w14:textId="77777777" w:rsidR="00A275BE" w:rsidRPr="009E1B38" w:rsidRDefault="00A275BE" w:rsidP="00DC14F4">
      <w:pPr>
        <w:ind w:left="1430"/>
        <w:contextualSpacing/>
        <w:rPr>
          <w:rFonts w:ascii="Times New Roman" w:hAnsi="Times New Roman"/>
        </w:rPr>
      </w:pPr>
    </w:p>
    <w:p w14:paraId="7ED8237D" w14:textId="39727DD3" w:rsidR="00A275BE" w:rsidRPr="009E1B38" w:rsidRDefault="00A275BE" w:rsidP="00A275BE">
      <w:pPr>
        <w:pStyle w:val="ListeParagraf"/>
        <w:spacing w:after="160" w:line="259" w:lineRule="auto"/>
        <w:ind w:left="1430"/>
        <w:rPr>
          <w:rFonts w:ascii="Times New Roman" w:hAnsi="Times New Roman"/>
        </w:rPr>
      </w:pPr>
      <w:r w:rsidRPr="009E1B38">
        <w:rPr>
          <w:rFonts w:ascii="Times New Roman" w:hAnsi="Times New Roman"/>
        </w:rPr>
        <w:t>“The distributors cannot sell the fuel they bought from any distributor to another distributor.”</w:t>
      </w:r>
    </w:p>
    <w:p w14:paraId="7851CF48" w14:textId="77777777" w:rsidR="00A275BE" w:rsidRPr="009E1B38" w:rsidRDefault="00A275BE" w:rsidP="00A275BE">
      <w:pPr>
        <w:pStyle w:val="ListeParagraf"/>
        <w:spacing w:after="160" w:line="259" w:lineRule="auto"/>
        <w:ind w:left="1430"/>
        <w:rPr>
          <w:rFonts w:ascii="Times New Roman" w:hAnsi="Times New Roman"/>
        </w:rPr>
      </w:pPr>
    </w:p>
    <w:p w14:paraId="7D4A7C5D" w14:textId="796384B3" w:rsidR="00DC14F4" w:rsidRPr="009E1B38" w:rsidRDefault="00A275BE" w:rsidP="00DC14F4">
      <w:pPr>
        <w:pStyle w:val="ListeParagraf"/>
        <w:ind w:left="1430"/>
        <w:rPr>
          <w:rFonts w:ascii="Times New Roman" w:hAnsi="Times New Roman"/>
        </w:rPr>
      </w:pPr>
      <w:r w:rsidRPr="009E1B38">
        <w:rPr>
          <w:rFonts w:ascii="Times New Roman" w:hAnsi="Times New Roman"/>
        </w:rPr>
        <w:lastRenderedPageBreak/>
        <w:t>- The following paragraph has been added to the first paragraph of Article 19 titled "Administrative Fines", following the (ğ) clause, and the other paragraph has been continued accordingly.</w:t>
      </w:r>
    </w:p>
    <w:p w14:paraId="79E6C6DA" w14:textId="77777777" w:rsidR="00A275BE" w:rsidRPr="009E1B38" w:rsidRDefault="00A275BE" w:rsidP="00DC14F4">
      <w:pPr>
        <w:pStyle w:val="ListeParagraf"/>
        <w:ind w:left="1430"/>
        <w:rPr>
          <w:rFonts w:ascii="Times New Roman" w:hAnsi="Times New Roman"/>
        </w:rPr>
      </w:pPr>
    </w:p>
    <w:p w14:paraId="7D4A7C5E" w14:textId="68AD6838" w:rsidR="00DC14F4" w:rsidRPr="009E1B38" w:rsidRDefault="00DC14F4" w:rsidP="00DC14F4">
      <w:pPr>
        <w:pStyle w:val="ListeParagraf"/>
        <w:ind w:left="1430"/>
        <w:rPr>
          <w:rFonts w:ascii="Times New Roman" w:hAnsi="Times New Roman"/>
          <w:i/>
        </w:rPr>
      </w:pPr>
      <w:r w:rsidRPr="009E1B38">
        <w:rPr>
          <w:rFonts w:ascii="Times New Roman" w:hAnsi="Times New Roman"/>
          <w:i/>
        </w:rPr>
        <w:t xml:space="preserve">“h) </w:t>
      </w:r>
      <w:r w:rsidR="005F6E76" w:rsidRPr="009E1B38">
        <w:rPr>
          <w:rFonts w:ascii="Times New Roman" w:hAnsi="Times New Roman"/>
          <w:i/>
        </w:rPr>
        <w:t>If the legal entities authorized to establish and implement the audit system duly do not fulfill their obligations, one-tenth of the penalty applied to the distributor license holder in accordance with sub-clause (ç) is applied.</w:t>
      </w:r>
      <w:r w:rsidRPr="009E1B38">
        <w:rPr>
          <w:rFonts w:ascii="Times New Roman" w:hAnsi="Times New Roman"/>
          <w:i/>
        </w:rPr>
        <w:t>”</w:t>
      </w:r>
    </w:p>
    <w:p w14:paraId="7D4A7C5F" w14:textId="77777777" w:rsidR="00DC14F4" w:rsidRPr="009E1B38" w:rsidRDefault="00DC14F4" w:rsidP="00DC14F4">
      <w:pPr>
        <w:pStyle w:val="ListeParagraf"/>
        <w:ind w:left="1430"/>
        <w:rPr>
          <w:rFonts w:ascii="Times New Roman" w:hAnsi="Times New Roman"/>
          <w:i/>
        </w:rPr>
      </w:pPr>
    </w:p>
    <w:p w14:paraId="7D4A7C60" w14:textId="778D689E" w:rsidR="00DC14F4" w:rsidRPr="009E1B38" w:rsidRDefault="009B1C79" w:rsidP="003C5E4D">
      <w:pPr>
        <w:pStyle w:val="ListeParagraf"/>
        <w:numPr>
          <w:ilvl w:val="0"/>
          <w:numId w:val="37"/>
        </w:numPr>
        <w:spacing w:after="160" w:line="259" w:lineRule="auto"/>
        <w:rPr>
          <w:rFonts w:ascii="Times New Roman" w:hAnsi="Times New Roman"/>
          <w:i/>
        </w:rPr>
      </w:pPr>
      <w:r w:rsidRPr="009E1B38">
        <w:rPr>
          <w:rFonts w:ascii="Times New Roman" w:hAnsi="Times New Roman"/>
          <w:i/>
        </w:rPr>
        <w:t xml:space="preserve"> The following sentences have been added to the subparagraph (e) of the second paragraph of Article 20, titled "Administrative Sanctions", and the following subparagraphs have been added to the paragraph.</w:t>
      </w:r>
    </w:p>
    <w:p w14:paraId="7D4A7C61" w14:textId="77777777" w:rsidR="00DC14F4" w:rsidRPr="009E1B38" w:rsidRDefault="00DC14F4" w:rsidP="00DC14F4">
      <w:pPr>
        <w:pStyle w:val="ListeParagraf"/>
        <w:ind w:left="1430"/>
        <w:rPr>
          <w:rFonts w:ascii="Times New Roman" w:hAnsi="Times New Roman"/>
          <w:i/>
        </w:rPr>
      </w:pPr>
    </w:p>
    <w:p w14:paraId="7D4A7C62" w14:textId="00EF06BA" w:rsidR="00DC14F4" w:rsidRPr="009E1B38" w:rsidRDefault="00DC14F4" w:rsidP="00DC14F4">
      <w:pPr>
        <w:pStyle w:val="ListeParagraf"/>
        <w:ind w:left="1430"/>
        <w:rPr>
          <w:rFonts w:ascii="Times New Roman" w:hAnsi="Times New Roman"/>
          <w:i/>
        </w:rPr>
      </w:pPr>
      <w:r w:rsidRPr="009E1B38">
        <w:rPr>
          <w:rFonts w:ascii="Times New Roman" w:hAnsi="Times New Roman"/>
          <w:i/>
        </w:rPr>
        <w:t>“</w:t>
      </w:r>
      <w:r w:rsidR="009B1C79" w:rsidRPr="009E1B38">
        <w:rPr>
          <w:rFonts w:ascii="Times New Roman" w:hAnsi="Times New Roman"/>
          <w:i/>
        </w:rPr>
        <w:t xml:space="preserve">Those whose licenses have been revoked under this provision will not be re-licensed. In case the license holder is a </w:t>
      </w:r>
      <w:r w:rsidR="00135D72" w:rsidRPr="009E1B38">
        <w:rPr>
          <w:rFonts w:ascii="Times New Roman" w:hAnsi="Times New Roman"/>
          <w:i/>
        </w:rPr>
        <w:t>legal entity</w:t>
      </w:r>
      <w:r w:rsidR="009B1C79" w:rsidRPr="009E1B38">
        <w:rPr>
          <w:rFonts w:ascii="Times New Roman" w:hAnsi="Times New Roman"/>
          <w:i/>
        </w:rPr>
        <w:t>, as of the date of the act subject to cancellation; Licenses are not granted to shareholders holding more than ten percent of the shares, the chairman and members of the board of directors and those authorized to represent and bind, and to legal entities where these persons are partners, chairman or members of the board of directors or authorized to represent and bind.</w:t>
      </w:r>
      <w:r w:rsidRPr="009E1B38">
        <w:rPr>
          <w:rFonts w:ascii="Times New Roman" w:hAnsi="Times New Roman"/>
          <w:i/>
        </w:rPr>
        <w:t>”</w:t>
      </w:r>
    </w:p>
    <w:p w14:paraId="7D4A7C63" w14:textId="77777777" w:rsidR="00DC14F4" w:rsidRPr="009E1B38" w:rsidRDefault="00DC14F4" w:rsidP="00DC14F4">
      <w:pPr>
        <w:pStyle w:val="ListeParagraf"/>
        <w:ind w:left="1430"/>
        <w:rPr>
          <w:rFonts w:ascii="Times New Roman" w:hAnsi="Times New Roman"/>
          <w:i/>
        </w:rPr>
      </w:pPr>
    </w:p>
    <w:p w14:paraId="732381FD" w14:textId="5305F278" w:rsidR="004D0DB1" w:rsidRPr="009E1B38" w:rsidRDefault="004D0DB1" w:rsidP="004D0DB1">
      <w:pPr>
        <w:pStyle w:val="ListeParagraf"/>
        <w:ind w:left="1430"/>
        <w:rPr>
          <w:rFonts w:ascii="Times New Roman" w:hAnsi="Times New Roman"/>
          <w:i/>
        </w:rPr>
      </w:pPr>
      <w:r w:rsidRPr="009E1B38">
        <w:rPr>
          <w:rFonts w:ascii="Times New Roman" w:hAnsi="Times New Roman"/>
          <w:i/>
        </w:rPr>
        <w:t xml:space="preserve">“g) Regarding the activities subject to license according to this Law, within the scope of paragraphs (a) and (b) of Article 359 of the Tax Procedure Law No. 213 of 4/1/1961; With the notification to the Office of the Chief Public Prosecutor, pursuant to Article 367 of the aforementioned Law, the offenses of issuing or using misleading documents in terms of their content, preparing the originals or copies of documents as forged or using these documents, as well as the crimes specified in paragraph (ç) of the same article, the situation is also notified to the Institution. All activities subject to license at any facility (except refinery) are temporarily suspended by the Authority until the decision not to prosecute or the court decision is final, and no license is granted to any other natural or </w:t>
      </w:r>
      <w:r w:rsidR="00135D72" w:rsidRPr="009E1B38">
        <w:rPr>
          <w:rFonts w:ascii="Times New Roman" w:hAnsi="Times New Roman"/>
          <w:i/>
        </w:rPr>
        <w:t>legal entity</w:t>
      </w:r>
      <w:r w:rsidRPr="009E1B38">
        <w:rPr>
          <w:rFonts w:ascii="Times New Roman" w:hAnsi="Times New Roman"/>
          <w:i/>
        </w:rPr>
        <w:t xml:space="preserve"> for the facility in question during this period. According to the finalized court decision, the licenses of the license holders are revoked. Unless the administrative fines for the acts within the scope of this paragraph are paid, a license shall not be granted for the facility subject to the license. Until the conclusion of the tax investigation regarding the crimes within the scope of this paragraph, no license shall be granted to another natural or </w:t>
      </w:r>
      <w:r w:rsidR="00135D72" w:rsidRPr="009E1B38">
        <w:rPr>
          <w:rFonts w:ascii="Times New Roman" w:hAnsi="Times New Roman"/>
          <w:i/>
        </w:rPr>
        <w:t>legal entity</w:t>
      </w:r>
      <w:r w:rsidRPr="009E1B38">
        <w:rPr>
          <w:rFonts w:ascii="Times New Roman" w:hAnsi="Times New Roman"/>
          <w:i/>
        </w:rPr>
        <w:t xml:space="preserve"> for the facility in question.</w:t>
      </w:r>
    </w:p>
    <w:p w14:paraId="7D4A7C64" w14:textId="0524AE13" w:rsidR="00DC14F4" w:rsidRPr="009E1B38" w:rsidRDefault="004D0DB1" w:rsidP="00DC14F4">
      <w:pPr>
        <w:pStyle w:val="ListeParagraf"/>
        <w:ind w:left="1430"/>
        <w:rPr>
          <w:rFonts w:ascii="Times New Roman" w:hAnsi="Times New Roman"/>
          <w:i/>
        </w:rPr>
      </w:pPr>
      <w:r w:rsidRPr="009E1B38">
        <w:rPr>
          <w:rFonts w:ascii="Times New Roman" w:hAnsi="Times New Roman"/>
          <w:i/>
        </w:rPr>
        <w:t>ğ) Distributors who are found to be in violation of the provisions regarding the fuel trade between distributors in Article 9 are subject to administrative fines within the scope of Article 19. If the violation of the same provisions is repeated by the licensee within two years, the distributor license is revoked.</w:t>
      </w:r>
    </w:p>
    <w:p w14:paraId="6B36CA2B" w14:textId="77777777" w:rsidR="004D0DB1" w:rsidRPr="009E1B38" w:rsidRDefault="004D0DB1" w:rsidP="004D0DB1">
      <w:pPr>
        <w:pStyle w:val="ListeParagraf"/>
        <w:ind w:left="1430"/>
        <w:rPr>
          <w:rFonts w:ascii="Times New Roman" w:hAnsi="Times New Roman"/>
          <w:i/>
        </w:rPr>
      </w:pPr>
    </w:p>
    <w:p w14:paraId="7D4A7C66" w14:textId="3B015AC9" w:rsidR="00DC14F4" w:rsidRPr="009E1B38" w:rsidRDefault="004D0DB1" w:rsidP="00DC14F4">
      <w:pPr>
        <w:pStyle w:val="ListeParagraf"/>
        <w:ind w:left="1430"/>
        <w:rPr>
          <w:rFonts w:ascii="Times New Roman" w:hAnsi="Times New Roman"/>
          <w:i/>
        </w:rPr>
      </w:pPr>
      <w:r w:rsidRPr="009E1B38">
        <w:rPr>
          <w:rFonts w:ascii="Times New Roman" w:hAnsi="Times New Roman"/>
          <w:i/>
        </w:rPr>
        <w:t>h) Among those engaged in activities subject to license within the scope of this Law, the relevant market activity of those who do not provide the required guarantee as per subparagraph (8) of the first paragraph of Article 257 of the Law No. the person is not licensed either.”</w:t>
      </w:r>
    </w:p>
    <w:p w14:paraId="7D4A7C67" w14:textId="4D493530" w:rsidR="001D2DA2" w:rsidRPr="009E1B38" w:rsidRDefault="004D0DB1" w:rsidP="003C5E4D">
      <w:pPr>
        <w:pStyle w:val="Balk3"/>
        <w:numPr>
          <w:ilvl w:val="2"/>
          <w:numId w:val="60"/>
        </w:numPr>
        <w:spacing w:before="0" w:after="240"/>
        <w:rPr>
          <w:rFonts w:ascii="Times New Roman" w:hAnsi="Times New Roman" w:cs="Times New Roman"/>
          <w:color w:val="auto"/>
        </w:rPr>
      </w:pPr>
      <w:bookmarkStart w:id="73" w:name="_Toc442431244"/>
      <w:bookmarkStart w:id="74" w:name="_Toc6684439"/>
      <w:bookmarkStart w:id="75" w:name="_Toc113615321"/>
      <w:r w:rsidRPr="009E1B38">
        <w:rPr>
          <w:rFonts w:ascii="Times New Roman" w:hAnsi="Times New Roman" w:cs="Times New Roman"/>
          <w:color w:val="auto"/>
        </w:rPr>
        <w:t>Regulations</w:t>
      </w:r>
      <w:bookmarkEnd w:id="73"/>
      <w:bookmarkEnd w:id="74"/>
      <w:bookmarkEnd w:id="75"/>
    </w:p>
    <w:p w14:paraId="7D4A7C68" w14:textId="4358247F" w:rsidR="001D2DA2" w:rsidRPr="009E1B38" w:rsidRDefault="004D0DB1" w:rsidP="001D2DA2">
      <w:pPr>
        <w:spacing w:after="0"/>
        <w:rPr>
          <w:rFonts w:ascii="Times New Roman" w:hAnsi="Times New Roman"/>
          <w:color w:val="000000" w:themeColor="text1"/>
        </w:rPr>
      </w:pPr>
      <w:r w:rsidRPr="009E1B38">
        <w:rPr>
          <w:rFonts w:ascii="Times New Roman" w:hAnsi="Times New Roman"/>
          <w:color w:val="000000" w:themeColor="text1"/>
        </w:rPr>
        <w:t>In 2021, the following Regulation studies were carried out in the oil market:</w:t>
      </w:r>
    </w:p>
    <w:p w14:paraId="7D4A7C69" w14:textId="77777777" w:rsidR="00DC14F4" w:rsidRPr="009E1B38" w:rsidRDefault="00DC14F4" w:rsidP="001D2DA2">
      <w:pPr>
        <w:spacing w:after="0"/>
        <w:rPr>
          <w:rFonts w:ascii="Times New Roman" w:hAnsi="Times New Roman"/>
          <w:color w:val="000000" w:themeColor="text1"/>
        </w:rPr>
      </w:pPr>
    </w:p>
    <w:p w14:paraId="7D4A7C6A" w14:textId="3EAF1AFF" w:rsidR="00DC14F4" w:rsidRPr="009E1B38" w:rsidRDefault="00671051" w:rsidP="003C5E4D">
      <w:pPr>
        <w:pStyle w:val="ListeParagraf"/>
        <w:numPr>
          <w:ilvl w:val="0"/>
          <w:numId w:val="34"/>
        </w:numPr>
        <w:spacing w:after="160" w:line="259" w:lineRule="auto"/>
        <w:rPr>
          <w:rFonts w:ascii="Times New Roman" w:hAnsi="Times New Roman"/>
          <w:b/>
        </w:rPr>
      </w:pPr>
      <w:r w:rsidRPr="009E1B38">
        <w:rPr>
          <w:rFonts w:ascii="Times New Roman" w:hAnsi="Times New Roman"/>
        </w:rPr>
        <w:lastRenderedPageBreak/>
        <w:t xml:space="preserve">• With the Amendment Regulation published in the Official Gazette dated 08.06.2021 and numbered 31505, </w:t>
      </w:r>
      <w:r w:rsidRPr="009E1B38">
        <w:rPr>
          <w:rFonts w:ascii="Times New Roman" w:hAnsi="Times New Roman"/>
          <w:b/>
          <w:bCs/>
        </w:rPr>
        <w:t xml:space="preserve">the Regulation on the Procedures and Principles to be Followed in the Controls to be Made in the Petroleum Market, and Preliminary Research and Investigations. </w:t>
      </w:r>
    </w:p>
    <w:p w14:paraId="7D4A7C6B" w14:textId="77777777" w:rsidR="00DC14F4" w:rsidRPr="009E1B38" w:rsidRDefault="00DC14F4" w:rsidP="00DC14F4">
      <w:pPr>
        <w:pStyle w:val="ListeParagraf"/>
        <w:rPr>
          <w:rFonts w:ascii="Times New Roman" w:hAnsi="Times New Roman"/>
        </w:rPr>
      </w:pPr>
    </w:p>
    <w:p w14:paraId="7D4A7C6D" w14:textId="07B07163" w:rsidR="00DC14F4" w:rsidRPr="009E1B38" w:rsidRDefault="00671051" w:rsidP="003C5E4D">
      <w:pPr>
        <w:pStyle w:val="ListeParagraf"/>
        <w:numPr>
          <w:ilvl w:val="0"/>
          <w:numId w:val="37"/>
        </w:numPr>
        <w:spacing w:after="160" w:line="259" w:lineRule="auto"/>
        <w:rPr>
          <w:rFonts w:ascii="Times New Roman" w:hAnsi="Times New Roman"/>
          <w:i/>
        </w:rPr>
      </w:pPr>
      <w:r w:rsidRPr="009E1B38">
        <w:rPr>
          <w:rFonts w:ascii="Times New Roman" w:hAnsi="Times New Roman"/>
          <w:i/>
        </w:rPr>
        <w:t xml:space="preserve">- The following paragraphs have been added to Article 17 titled “Wafering”. </w:t>
      </w:r>
    </w:p>
    <w:p w14:paraId="16FA940C" w14:textId="77777777" w:rsidR="00671051" w:rsidRPr="009E1B38" w:rsidRDefault="00671051" w:rsidP="00671051">
      <w:pPr>
        <w:pStyle w:val="ListeParagraf"/>
        <w:spacing w:after="160" w:line="259" w:lineRule="auto"/>
        <w:ind w:left="1430"/>
        <w:rPr>
          <w:rFonts w:ascii="Times New Roman" w:hAnsi="Times New Roman"/>
          <w:i/>
        </w:rPr>
      </w:pPr>
    </w:p>
    <w:p w14:paraId="7D4A7C6E" w14:textId="340B1A35" w:rsidR="00DC14F4" w:rsidRPr="009E1B38" w:rsidRDefault="00671051" w:rsidP="00DC14F4">
      <w:pPr>
        <w:pStyle w:val="ListeParagraf"/>
        <w:ind w:left="1430"/>
        <w:rPr>
          <w:rFonts w:ascii="Times New Roman" w:hAnsi="Times New Roman"/>
          <w:i/>
        </w:rPr>
      </w:pPr>
      <w:r w:rsidRPr="009E1B38">
        <w:rPr>
          <w:rFonts w:ascii="Times New Roman" w:hAnsi="Times New Roman"/>
          <w:i/>
        </w:rPr>
        <w:t xml:space="preserve">“(14) Regarding the activities subject to license, within the scope of paragraphs (a) and (b) of Article 359 of the Tax Procedure Law No. 213 of 4/1/1961; In the event that the Office of the Chief Public Prosecutor is notified together with the Office of the Chief Public Prosecutor, pursuant to Article 367 of the aforementioned Law, the offenses of issuing or using misleading documents in terms of their content, of preparing the originals or copies of documents completely or partially, or of using these documents, as well as of the crimes specified in paragraph (ç) of the same article, All activities subject to license in any facility (except refinery) are temporarily suspended by the Authority until the decision of non-prosecution or court decision is finalized. </w:t>
      </w:r>
    </w:p>
    <w:p w14:paraId="7D4A7C6F" w14:textId="77777777" w:rsidR="00DC14F4" w:rsidRPr="009E1B38" w:rsidRDefault="00DC14F4" w:rsidP="00DC14F4">
      <w:pPr>
        <w:pStyle w:val="ListeParagraf"/>
        <w:ind w:left="1430"/>
        <w:rPr>
          <w:rFonts w:ascii="Times New Roman" w:hAnsi="Times New Roman"/>
          <w:i/>
        </w:rPr>
      </w:pPr>
    </w:p>
    <w:p w14:paraId="7D4A7C70" w14:textId="44874F5B" w:rsidR="00DC14F4" w:rsidRPr="009E1B38" w:rsidRDefault="00671051" w:rsidP="00DC14F4">
      <w:pPr>
        <w:pStyle w:val="ListeParagraf"/>
        <w:ind w:left="1430"/>
        <w:rPr>
          <w:rFonts w:ascii="Times New Roman" w:hAnsi="Times New Roman"/>
          <w:i/>
        </w:rPr>
      </w:pPr>
      <w:r w:rsidRPr="009E1B38">
        <w:rPr>
          <w:rFonts w:ascii="Times New Roman" w:hAnsi="Times New Roman"/>
          <w:i/>
        </w:rPr>
        <w:t xml:space="preserve">(15) Among those engaged in activities subject to license, the relevant market activity of those who do not provide the required guarantee in accordance with the subparagraph (8) of the first paragraph of Article 257 of the Law No. 213, shall be suspended until the guarantee is given. </w:t>
      </w:r>
    </w:p>
    <w:p w14:paraId="7D4A7C71" w14:textId="77777777" w:rsidR="00DC14F4" w:rsidRPr="009E1B38" w:rsidRDefault="00DC14F4" w:rsidP="00DC14F4">
      <w:pPr>
        <w:pStyle w:val="ListeParagraf"/>
        <w:ind w:left="1430"/>
        <w:rPr>
          <w:rFonts w:ascii="Times New Roman" w:hAnsi="Times New Roman"/>
          <w:i/>
        </w:rPr>
      </w:pPr>
    </w:p>
    <w:p w14:paraId="7D4A7C72" w14:textId="55321F51" w:rsidR="00DC14F4" w:rsidRPr="009E1B38" w:rsidRDefault="00671051" w:rsidP="00DC14F4">
      <w:pPr>
        <w:pStyle w:val="ListeParagraf"/>
        <w:ind w:left="1430"/>
        <w:rPr>
          <w:rFonts w:ascii="Times New Roman" w:hAnsi="Times New Roman"/>
          <w:i/>
        </w:rPr>
      </w:pPr>
      <w:r w:rsidRPr="009E1B38">
        <w:rPr>
          <w:rFonts w:ascii="Times New Roman" w:hAnsi="Times New Roman"/>
          <w:i/>
        </w:rPr>
        <w:t xml:space="preserve">(16) Temporary suspension procedures to be made within the scope of the fourteenth and fifteenth paragraphs of this article are carried out by announcing on the website of the Authority in cases that do not require a facility for the execution of the activity.” </w:t>
      </w:r>
    </w:p>
    <w:p w14:paraId="7D4A7C73" w14:textId="77777777" w:rsidR="00DC14F4" w:rsidRPr="009E1B38" w:rsidRDefault="00DC14F4" w:rsidP="00DC14F4">
      <w:pPr>
        <w:pStyle w:val="ListeParagraf"/>
        <w:ind w:left="1430"/>
        <w:rPr>
          <w:rFonts w:ascii="Times New Roman" w:hAnsi="Times New Roman"/>
          <w:i/>
        </w:rPr>
      </w:pPr>
    </w:p>
    <w:p w14:paraId="7D4A7C74" w14:textId="3AC1D402" w:rsidR="00DC14F4" w:rsidRPr="009E1B38" w:rsidRDefault="006A5323" w:rsidP="003C5E4D">
      <w:pPr>
        <w:pStyle w:val="ListeParagraf"/>
        <w:numPr>
          <w:ilvl w:val="0"/>
          <w:numId w:val="34"/>
        </w:numPr>
        <w:spacing w:after="160" w:line="259" w:lineRule="auto"/>
        <w:rPr>
          <w:rFonts w:ascii="Times New Roman" w:hAnsi="Times New Roman"/>
          <w:b/>
        </w:rPr>
      </w:pPr>
      <w:bookmarkStart w:id="76" w:name="_Hlk78200715"/>
      <w:r w:rsidRPr="009E1B38">
        <w:rPr>
          <w:rFonts w:ascii="Times New Roman" w:hAnsi="Times New Roman"/>
        </w:rPr>
        <w:t xml:space="preserve">• The Amendment Regulation published in the Official Gazette dated 24.04.2021 and numbered 31464 and </w:t>
      </w:r>
      <w:r w:rsidRPr="009E1B38">
        <w:rPr>
          <w:rFonts w:ascii="Times New Roman" w:hAnsi="Times New Roman"/>
          <w:b/>
          <w:bCs/>
        </w:rPr>
        <w:t>the Petroleum Market License Regulation</w:t>
      </w:r>
      <w:bookmarkEnd w:id="76"/>
      <w:r w:rsidR="00DA9879" w:rsidRPr="009E1B38">
        <w:rPr>
          <w:rFonts w:ascii="Times New Roman" w:hAnsi="Times New Roman"/>
          <w:b/>
          <w:bCs/>
        </w:rPr>
        <w:t xml:space="preserve"> </w:t>
      </w:r>
    </w:p>
    <w:p w14:paraId="7D4A7C75" w14:textId="77777777" w:rsidR="00DC14F4" w:rsidRPr="009E1B38" w:rsidRDefault="00DC14F4" w:rsidP="00DC14F4">
      <w:pPr>
        <w:pStyle w:val="ListeParagraf"/>
        <w:rPr>
          <w:rFonts w:ascii="Times New Roman" w:hAnsi="Times New Roman"/>
        </w:rPr>
      </w:pPr>
    </w:p>
    <w:p w14:paraId="7D4A7C76" w14:textId="03ACD331" w:rsidR="00DC14F4" w:rsidRPr="009E1B38" w:rsidRDefault="00F55081" w:rsidP="003C5E4D">
      <w:pPr>
        <w:pStyle w:val="ListeParagraf"/>
        <w:numPr>
          <w:ilvl w:val="0"/>
          <w:numId w:val="37"/>
        </w:numPr>
        <w:spacing w:after="160" w:line="259" w:lineRule="auto"/>
        <w:rPr>
          <w:rFonts w:ascii="Times New Roman" w:hAnsi="Times New Roman"/>
        </w:rPr>
      </w:pPr>
      <w:r w:rsidRPr="009E1B38">
        <w:rPr>
          <w:rFonts w:ascii="Times New Roman" w:hAnsi="Times New Roman"/>
          <w:i/>
        </w:rPr>
        <w:t xml:space="preserve">- The fifth paragraph and the seventh paragraph subparagraph (b) of the article 7 titled "License application" have been amended as follows, and the phrase "except for applications made by public economic enterprises" has been added to the subparagraph (a) of the seventh paragraph of the same article, following the phrase "minimum paid-in capital". </w:t>
      </w:r>
    </w:p>
    <w:p w14:paraId="7D4A7C77" w14:textId="77777777" w:rsidR="00DC14F4" w:rsidRPr="009E1B38" w:rsidRDefault="00DC14F4" w:rsidP="00DC14F4">
      <w:pPr>
        <w:pStyle w:val="ListeParagraf"/>
        <w:ind w:left="1430"/>
        <w:rPr>
          <w:rFonts w:ascii="Times New Roman" w:hAnsi="Times New Roman"/>
        </w:rPr>
      </w:pPr>
    </w:p>
    <w:p w14:paraId="7D4A7C78" w14:textId="3D4ECDE5" w:rsidR="00DC14F4" w:rsidRPr="009E1B38" w:rsidRDefault="00237D21" w:rsidP="00DC14F4">
      <w:pPr>
        <w:pStyle w:val="ListeParagraf"/>
        <w:ind w:left="1430"/>
        <w:rPr>
          <w:rFonts w:ascii="Times New Roman" w:hAnsi="Times New Roman"/>
          <w:i/>
        </w:rPr>
      </w:pPr>
      <w:r w:rsidRPr="009E1B38">
        <w:rPr>
          <w:rFonts w:ascii="Times New Roman" w:hAnsi="Times New Roman"/>
          <w:i/>
        </w:rPr>
        <w:t>“Due to the detection of sales without Special Consumption Tax (SCT) in violation of the legislation or fraud or false statement against the law, the legal entity whose license has been canceled pursuant to Article 20 of the Law is directly or indirectly ten percent of the legal entity on the date of the action subject to the license cancellation. No license shall be granted to operate in the petroleum market to the shareholders holding more shares, the chairman and members of the board of directors and those authorized to represent and bind, and the legal entities where these persons are direct or indirect partners, chairman or members of the board of directors or authorized to represent and bind.”</w:t>
      </w:r>
      <w:r w:rsidR="00DC14F4" w:rsidRPr="009E1B38">
        <w:rPr>
          <w:rFonts w:ascii="Times New Roman" w:hAnsi="Times New Roman"/>
          <w:i/>
        </w:rPr>
        <w:t xml:space="preserve"> </w:t>
      </w:r>
    </w:p>
    <w:p w14:paraId="7D4A7C79" w14:textId="77777777" w:rsidR="00DC14F4" w:rsidRPr="009E1B38" w:rsidRDefault="00DC14F4" w:rsidP="00DC14F4">
      <w:pPr>
        <w:pStyle w:val="ListeParagraf"/>
        <w:ind w:left="1430"/>
        <w:rPr>
          <w:rFonts w:ascii="Times New Roman" w:hAnsi="Times New Roman"/>
          <w:i/>
        </w:rPr>
      </w:pPr>
    </w:p>
    <w:p w14:paraId="7D4A7C7A" w14:textId="34891B37" w:rsidR="00DC14F4" w:rsidRPr="009E1B38" w:rsidRDefault="005B7022" w:rsidP="00DC14F4">
      <w:pPr>
        <w:pStyle w:val="ListeParagraf"/>
        <w:ind w:left="1430"/>
        <w:rPr>
          <w:rFonts w:ascii="Times New Roman" w:hAnsi="Times New Roman"/>
          <w:i/>
        </w:rPr>
      </w:pPr>
      <w:r w:rsidRPr="009E1B38">
        <w:rPr>
          <w:rFonts w:ascii="Times New Roman" w:hAnsi="Times New Roman"/>
          <w:i/>
        </w:rPr>
        <w:t>“b) In the capacity report to be submitted in mineral oil license applications, excluding those with annual mineral oil production capacity over 50,000 tons or waste-to-base oil recycling capacity over 25,000 tons; Those who will be engaged in the production of base oil from waste mineral oil should have a minimum 55% production competency score, and those who will apply for other mineral oil licenses should have a minimum 50 percent production competency score</w:t>
      </w:r>
      <w:r w:rsidR="008C0305" w:rsidRPr="009E1B38">
        <w:rPr>
          <w:rFonts w:ascii="Times New Roman" w:hAnsi="Times New Roman"/>
          <w:i/>
        </w:rPr>
        <w:t>,”</w:t>
      </w:r>
    </w:p>
    <w:p w14:paraId="7D4A7C7B" w14:textId="77777777" w:rsidR="00DC14F4" w:rsidRPr="009E1B38" w:rsidRDefault="00DC14F4" w:rsidP="00DC14F4">
      <w:pPr>
        <w:pStyle w:val="ListeParagraf"/>
        <w:ind w:left="1430"/>
        <w:rPr>
          <w:rFonts w:ascii="Times New Roman" w:hAnsi="Times New Roman"/>
          <w:i/>
        </w:rPr>
      </w:pPr>
    </w:p>
    <w:p w14:paraId="7D4A7C7D" w14:textId="38702E5B" w:rsidR="00DC14F4" w:rsidRPr="009E1B38" w:rsidRDefault="005B7022" w:rsidP="00DC14F4">
      <w:pPr>
        <w:pStyle w:val="ListeParagraf"/>
        <w:ind w:left="1430"/>
        <w:rPr>
          <w:rFonts w:ascii="Times New Roman" w:hAnsi="Times New Roman"/>
          <w:i/>
        </w:rPr>
      </w:pPr>
      <w:r w:rsidRPr="009E1B38">
        <w:rPr>
          <w:rFonts w:ascii="Times New Roman" w:hAnsi="Times New Roman"/>
          <w:i/>
        </w:rPr>
        <w:lastRenderedPageBreak/>
        <w:t>- The following paragraph has been added to Article 24 titled "Liability of Lubricants License Holders".</w:t>
      </w:r>
    </w:p>
    <w:p w14:paraId="42AF21E4" w14:textId="77777777" w:rsidR="005B7022" w:rsidRPr="009E1B38" w:rsidRDefault="005B7022" w:rsidP="00DC14F4">
      <w:pPr>
        <w:pStyle w:val="ListeParagraf"/>
        <w:ind w:left="1430"/>
        <w:rPr>
          <w:rFonts w:ascii="Times New Roman" w:hAnsi="Times New Roman"/>
          <w:i/>
        </w:rPr>
      </w:pPr>
    </w:p>
    <w:p w14:paraId="7D4A7C7E" w14:textId="1E617DA6" w:rsidR="00DC14F4" w:rsidRPr="009E1B38" w:rsidRDefault="005B7022" w:rsidP="00DC14F4">
      <w:pPr>
        <w:pStyle w:val="ListeParagraf"/>
        <w:ind w:left="1430"/>
        <w:rPr>
          <w:rFonts w:ascii="Times New Roman" w:hAnsi="Times New Roman"/>
          <w:i/>
        </w:rPr>
      </w:pPr>
      <w:r w:rsidRPr="009E1B38">
        <w:rPr>
          <w:rFonts w:ascii="Times New Roman" w:hAnsi="Times New Roman"/>
          <w:i/>
        </w:rPr>
        <w:t xml:space="preserve">“Except for mineral oil license holders with an annual base oil production capacity of more than 5,000 tons; It is obligatory to use the base oil produced from waste mineral oil as a raw material in the production of mineral oil in the same facility.” </w:t>
      </w:r>
    </w:p>
    <w:p w14:paraId="7D4A7C7F" w14:textId="77777777" w:rsidR="00DC14F4" w:rsidRPr="009E1B38" w:rsidRDefault="00DC14F4" w:rsidP="00DC14F4">
      <w:pPr>
        <w:pStyle w:val="ListeParagraf"/>
        <w:ind w:left="1430"/>
        <w:rPr>
          <w:rFonts w:ascii="Times New Roman" w:hAnsi="Times New Roman"/>
          <w:i/>
        </w:rPr>
      </w:pPr>
    </w:p>
    <w:p w14:paraId="7D4A7C80" w14:textId="16725D38" w:rsidR="00DC14F4" w:rsidRPr="009E1B38" w:rsidRDefault="005B7022" w:rsidP="003C5E4D">
      <w:pPr>
        <w:pStyle w:val="ListeParagraf"/>
        <w:numPr>
          <w:ilvl w:val="0"/>
          <w:numId w:val="37"/>
        </w:numPr>
        <w:spacing w:after="160" w:line="259" w:lineRule="auto"/>
        <w:rPr>
          <w:rFonts w:ascii="Times New Roman" w:hAnsi="Times New Roman"/>
        </w:rPr>
      </w:pPr>
      <w:r w:rsidRPr="009E1B38">
        <w:rPr>
          <w:rFonts w:ascii="Times New Roman" w:hAnsi="Times New Roman"/>
          <w:i/>
        </w:rPr>
        <w:t>- The following sentence has been added to the first paragr</w:t>
      </w:r>
      <w:r w:rsidR="008C0305">
        <w:rPr>
          <w:rFonts w:ascii="Times New Roman" w:hAnsi="Times New Roman"/>
          <w:i/>
        </w:rPr>
        <w:t>aph of A</w:t>
      </w:r>
      <w:r w:rsidRPr="009E1B38">
        <w:rPr>
          <w:rFonts w:ascii="Times New Roman" w:hAnsi="Times New Roman"/>
          <w:i/>
        </w:rPr>
        <w:t xml:space="preserve">rticle 34/A titled "establishing a dealership organization". </w:t>
      </w:r>
    </w:p>
    <w:p w14:paraId="7D4A7C81" w14:textId="77777777" w:rsidR="00DC14F4" w:rsidRPr="009E1B38" w:rsidRDefault="00DC14F4" w:rsidP="00DC14F4">
      <w:pPr>
        <w:pStyle w:val="ListeParagraf"/>
        <w:ind w:left="1430"/>
        <w:rPr>
          <w:rFonts w:ascii="Times New Roman" w:hAnsi="Times New Roman"/>
          <w:i/>
        </w:rPr>
      </w:pPr>
    </w:p>
    <w:p w14:paraId="7D4A7C82" w14:textId="666A2055" w:rsidR="00DC14F4" w:rsidRPr="009E1B38" w:rsidRDefault="005B7022" w:rsidP="00DC14F4">
      <w:pPr>
        <w:pStyle w:val="ListeParagraf"/>
        <w:ind w:left="1430"/>
        <w:rPr>
          <w:rFonts w:ascii="Times New Roman" w:hAnsi="Times New Roman"/>
          <w:i/>
        </w:rPr>
      </w:pPr>
      <w:r w:rsidRPr="009E1B38">
        <w:rPr>
          <w:rFonts w:ascii="Times New Roman" w:hAnsi="Times New Roman"/>
          <w:i/>
        </w:rPr>
        <w:t xml:space="preserve">“For distribution companies that have a minimum storage capacity of 4,000 cubic meters in the storage license with the same title, working or individually, the condition of ten, twenty-five and fifty dealers specified in this paragraph is applied as five, thirteen and twenty-five, respectively.” </w:t>
      </w:r>
    </w:p>
    <w:p w14:paraId="7D4A7C83" w14:textId="77777777" w:rsidR="00DC14F4" w:rsidRPr="009E1B38" w:rsidRDefault="00DC14F4" w:rsidP="00DC14F4">
      <w:pPr>
        <w:pStyle w:val="ListeParagraf"/>
        <w:ind w:left="1430"/>
        <w:rPr>
          <w:rFonts w:ascii="Times New Roman" w:hAnsi="Times New Roman"/>
          <w:i/>
        </w:rPr>
      </w:pPr>
    </w:p>
    <w:p w14:paraId="7D4A7C85" w14:textId="75AE7E2D" w:rsidR="00DC14F4" w:rsidRPr="009E1B38" w:rsidRDefault="005B7022" w:rsidP="00DC14F4">
      <w:pPr>
        <w:pStyle w:val="ListeParagraf"/>
        <w:ind w:left="1430"/>
        <w:rPr>
          <w:rFonts w:ascii="Times New Roman" w:hAnsi="Times New Roman"/>
        </w:rPr>
      </w:pPr>
      <w:r w:rsidRPr="009E1B38">
        <w:rPr>
          <w:rFonts w:ascii="Times New Roman" w:hAnsi="Times New Roman"/>
        </w:rPr>
        <w:t>- The phrase "1/1/2021" in the first paragraph of the Provisional Article 27 has been changed to "1/4/2022", and the phrase "1/2/2021" in the second paragraph has been changed to "1/5/2022".</w:t>
      </w:r>
    </w:p>
    <w:p w14:paraId="422B7D95" w14:textId="77777777" w:rsidR="005B7022" w:rsidRPr="009E1B38" w:rsidRDefault="005B7022" w:rsidP="00DC14F4">
      <w:pPr>
        <w:pStyle w:val="ListeParagraf"/>
        <w:ind w:left="1430"/>
        <w:rPr>
          <w:rFonts w:ascii="Times New Roman" w:hAnsi="Times New Roman"/>
        </w:rPr>
      </w:pPr>
    </w:p>
    <w:p w14:paraId="7D4A7C86" w14:textId="13027DA7" w:rsidR="00DC14F4" w:rsidRPr="009E1B38" w:rsidRDefault="005B7022" w:rsidP="003C5E4D">
      <w:pPr>
        <w:pStyle w:val="ListeParagraf"/>
        <w:numPr>
          <w:ilvl w:val="0"/>
          <w:numId w:val="34"/>
        </w:numPr>
        <w:spacing w:after="160" w:line="259" w:lineRule="auto"/>
        <w:rPr>
          <w:rFonts w:ascii="Times New Roman" w:hAnsi="Times New Roman"/>
          <w:b/>
        </w:rPr>
      </w:pPr>
      <w:r w:rsidRPr="009E1B38">
        <w:rPr>
          <w:rFonts w:ascii="Times New Roman" w:hAnsi="Times New Roman"/>
        </w:rPr>
        <w:t xml:space="preserve">• The Amendment Regulation published in the Official Gazette dated 08.06.2021 and numbered 31505 and </w:t>
      </w:r>
      <w:r w:rsidRPr="009E1B38">
        <w:rPr>
          <w:rFonts w:ascii="Times New Roman" w:hAnsi="Times New Roman"/>
          <w:b/>
          <w:bCs/>
        </w:rPr>
        <w:t>the Petroleum Market License Regulation</w:t>
      </w:r>
    </w:p>
    <w:p w14:paraId="7D4A7C87" w14:textId="77777777" w:rsidR="00DC14F4" w:rsidRPr="009E1B38" w:rsidRDefault="00DC14F4" w:rsidP="00DC14F4">
      <w:pPr>
        <w:pStyle w:val="ListeParagraf"/>
        <w:rPr>
          <w:rFonts w:ascii="Times New Roman" w:hAnsi="Times New Roman"/>
        </w:rPr>
      </w:pPr>
      <w:r w:rsidRPr="009E1B38">
        <w:rPr>
          <w:rFonts w:ascii="Times New Roman" w:hAnsi="Times New Roman"/>
          <w:b/>
        </w:rPr>
        <w:t xml:space="preserve"> </w:t>
      </w:r>
    </w:p>
    <w:p w14:paraId="7D4A7C88" w14:textId="7FBE3DB5" w:rsidR="00DC14F4" w:rsidRPr="009E1B38" w:rsidRDefault="005B7022" w:rsidP="003C5E4D">
      <w:pPr>
        <w:pStyle w:val="ListeParagraf"/>
        <w:numPr>
          <w:ilvl w:val="0"/>
          <w:numId w:val="37"/>
        </w:numPr>
        <w:spacing w:after="160" w:line="259" w:lineRule="auto"/>
        <w:rPr>
          <w:rFonts w:ascii="Times New Roman" w:hAnsi="Times New Roman"/>
        </w:rPr>
      </w:pPr>
      <w:r w:rsidRPr="009E1B38">
        <w:rPr>
          <w:rFonts w:ascii="Times New Roman" w:hAnsi="Times New Roman"/>
          <w:i/>
        </w:rPr>
        <w:t xml:space="preserve">The following paragraph has been added to article 10 titled "Conclusion of the examination and evaluation". </w:t>
      </w:r>
    </w:p>
    <w:p w14:paraId="7D4A7C89" w14:textId="77777777" w:rsidR="00DC14F4" w:rsidRPr="009E1B38" w:rsidRDefault="00DC14F4" w:rsidP="00DC14F4">
      <w:pPr>
        <w:pStyle w:val="ListeParagraf"/>
        <w:ind w:left="1430"/>
        <w:rPr>
          <w:rFonts w:ascii="Times New Roman" w:hAnsi="Times New Roman"/>
          <w:i/>
        </w:rPr>
      </w:pPr>
    </w:p>
    <w:p w14:paraId="7D4A7C8A" w14:textId="71DFF1D1" w:rsidR="00DC14F4" w:rsidRPr="009E1B38" w:rsidRDefault="005B7022" w:rsidP="00DC14F4">
      <w:pPr>
        <w:pStyle w:val="ListeParagraf"/>
        <w:ind w:left="1430"/>
        <w:rPr>
          <w:rFonts w:ascii="Times New Roman" w:hAnsi="Times New Roman"/>
          <w:i/>
        </w:rPr>
      </w:pPr>
      <w:r w:rsidRPr="009E1B38">
        <w:rPr>
          <w:rFonts w:ascii="Times New Roman" w:hAnsi="Times New Roman"/>
          <w:i/>
        </w:rPr>
        <w:t>“In order to fulfill the requests regarding distributor, bunker delivery, mineral oil and dealership license applications, the applicant's debt of premium and administrative fine to the Social Security Institution and Article 22/A of the Law on Collection Procedure of Public Receivables dated 21/7/1953 and numbered 6183 It is obligatory that there is no overdue debt within the scope of the scope. Information on whether the applicant has overdue debts is obtained by the Agency from the Revenue Administration and the Social Security Institution. Objections regarding debt information are made to the Social Security Institution or the Revenue Administration, depending on the scope of the debt. Objections made by the applicant to the Institute or the information and documents submitted in this regard are not taken into consideration. The procedures and principles regarding the provision of debt information are determined by the data sharing protocols between the Institution, the Social Security Institution and the Revenue Administration.</w:t>
      </w:r>
      <w:r w:rsidR="00DC14F4" w:rsidRPr="009E1B38">
        <w:rPr>
          <w:rFonts w:ascii="Times New Roman" w:hAnsi="Times New Roman"/>
          <w:i/>
        </w:rPr>
        <w:t>”</w:t>
      </w:r>
    </w:p>
    <w:p w14:paraId="7D4A7C8B" w14:textId="77777777" w:rsidR="00DC14F4" w:rsidRPr="009E1B38" w:rsidRDefault="00DC14F4" w:rsidP="00DC14F4">
      <w:pPr>
        <w:pStyle w:val="ListeParagraf"/>
        <w:ind w:left="1430"/>
        <w:rPr>
          <w:rFonts w:ascii="Times New Roman" w:hAnsi="Times New Roman"/>
          <w:i/>
        </w:rPr>
      </w:pPr>
    </w:p>
    <w:p w14:paraId="7D4A7C8C" w14:textId="66B88D43" w:rsidR="00DC14F4" w:rsidRPr="009E1B38" w:rsidRDefault="005B7022" w:rsidP="003C5E4D">
      <w:pPr>
        <w:pStyle w:val="ListeParagraf"/>
        <w:numPr>
          <w:ilvl w:val="0"/>
          <w:numId w:val="37"/>
        </w:numPr>
        <w:spacing w:after="160" w:line="259" w:lineRule="auto"/>
        <w:rPr>
          <w:rFonts w:ascii="Times New Roman" w:hAnsi="Times New Roman"/>
        </w:rPr>
      </w:pPr>
      <w:r w:rsidRPr="009E1B38">
        <w:rPr>
          <w:rFonts w:ascii="Times New Roman" w:hAnsi="Times New Roman"/>
          <w:i/>
        </w:rPr>
        <w:t xml:space="preserve"> The following paragraph has been added to article 15 titled "License amendment". </w:t>
      </w:r>
    </w:p>
    <w:p w14:paraId="7D4A7C8D" w14:textId="77777777" w:rsidR="00DC14F4" w:rsidRPr="009E1B38" w:rsidRDefault="00DC14F4" w:rsidP="00DC14F4">
      <w:pPr>
        <w:pStyle w:val="ListeParagraf"/>
        <w:ind w:left="1430"/>
        <w:rPr>
          <w:rFonts w:ascii="Times New Roman" w:hAnsi="Times New Roman"/>
        </w:rPr>
      </w:pPr>
    </w:p>
    <w:p w14:paraId="7D4A7C8E" w14:textId="3A7D846C" w:rsidR="00DC14F4" w:rsidRPr="009E1B38" w:rsidRDefault="005B7022" w:rsidP="00DC14F4">
      <w:pPr>
        <w:pStyle w:val="ListeParagraf"/>
        <w:ind w:left="1430"/>
        <w:rPr>
          <w:rFonts w:ascii="Times New Roman" w:hAnsi="Times New Roman"/>
          <w:i/>
        </w:rPr>
      </w:pPr>
      <w:r w:rsidRPr="009E1B38">
        <w:rPr>
          <w:rFonts w:ascii="Times New Roman" w:hAnsi="Times New Roman"/>
          <w:i/>
        </w:rPr>
        <w:t xml:space="preserve">“In order to fulfill the amendment applications regarding distributor, bunker delivery, mineral oil and dealership licenses, the applicant must not have any overdue premium and administrative fine debt to the Social Security Institution, and no overdue debt within the scope of Article 22/A of the Law No. 6183. Information on whether the applicant has overdue debts is obtained by the Agency from the Revenue Administration and the Social Security Institution. Objections regarding debt information are made to the Social Security Institution or the Revenue Administration, depending on the scope of the debt. Objections made by the applicant to the Institute or the information and documents submitted in this regard are not taken into consideration. The procedures and principles regarding the provision of debt information are </w:t>
      </w:r>
      <w:r w:rsidRPr="009E1B38">
        <w:rPr>
          <w:rFonts w:ascii="Times New Roman" w:hAnsi="Times New Roman"/>
          <w:i/>
        </w:rPr>
        <w:lastRenderedPageBreak/>
        <w:t xml:space="preserve">determined by the data sharing protocols between the Institution, the Social Security Institution and the Revenue Administration. </w:t>
      </w:r>
      <w:r w:rsidR="00DC14F4" w:rsidRPr="009E1B38">
        <w:rPr>
          <w:rFonts w:ascii="Times New Roman" w:hAnsi="Times New Roman"/>
          <w:i/>
        </w:rPr>
        <w:t>“</w:t>
      </w:r>
    </w:p>
    <w:p w14:paraId="7D4A7C8F" w14:textId="77777777" w:rsidR="00DC14F4" w:rsidRPr="009E1B38" w:rsidRDefault="00DC14F4" w:rsidP="00DC14F4">
      <w:pPr>
        <w:pStyle w:val="ListeParagraf"/>
        <w:ind w:left="1430"/>
        <w:rPr>
          <w:rFonts w:ascii="Times New Roman" w:hAnsi="Times New Roman"/>
          <w:i/>
        </w:rPr>
      </w:pPr>
    </w:p>
    <w:p w14:paraId="7D4A7C90" w14:textId="4FDE9354" w:rsidR="00DC14F4" w:rsidRPr="009E1B38" w:rsidRDefault="00693954" w:rsidP="003C5E4D">
      <w:pPr>
        <w:pStyle w:val="ListeParagraf"/>
        <w:numPr>
          <w:ilvl w:val="0"/>
          <w:numId w:val="37"/>
        </w:numPr>
        <w:spacing w:after="160" w:line="259" w:lineRule="auto"/>
        <w:rPr>
          <w:rFonts w:ascii="Times New Roman" w:hAnsi="Times New Roman"/>
        </w:rPr>
      </w:pPr>
      <w:r w:rsidRPr="009E1B38">
        <w:rPr>
          <w:rFonts w:ascii="Times New Roman" w:hAnsi="Times New Roman"/>
          <w:i/>
        </w:rPr>
        <w:t xml:space="preserve">The following paragraph has been added to Article 16 titled “Extension of time”. </w:t>
      </w:r>
    </w:p>
    <w:p w14:paraId="7D4A7C91" w14:textId="77777777" w:rsidR="00DC14F4" w:rsidRPr="009E1B38" w:rsidRDefault="00DC14F4" w:rsidP="00DC14F4">
      <w:pPr>
        <w:pStyle w:val="ListeParagraf"/>
        <w:ind w:left="1430"/>
        <w:rPr>
          <w:rFonts w:ascii="Times New Roman" w:hAnsi="Times New Roman"/>
          <w:i/>
        </w:rPr>
      </w:pPr>
    </w:p>
    <w:p w14:paraId="7D4A7C92" w14:textId="7B26A539" w:rsidR="00DC14F4" w:rsidRPr="009E1B38" w:rsidRDefault="00693954" w:rsidP="00DC14F4">
      <w:pPr>
        <w:pStyle w:val="ListeParagraf"/>
        <w:ind w:left="1430"/>
        <w:rPr>
          <w:rFonts w:ascii="Times New Roman" w:hAnsi="Times New Roman"/>
          <w:i/>
        </w:rPr>
      </w:pPr>
      <w:r w:rsidRPr="009E1B38">
        <w:rPr>
          <w:rFonts w:ascii="Times New Roman" w:hAnsi="Times New Roman"/>
          <w:i/>
        </w:rPr>
        <w:t>“In order to fulfill the time extension applications for distributor, bunker delivery, mineral oil and dealership licenses, the applicant must not have any overdue premium and administrative fine debt to the Social Security Institution and no overdue debt within the scope of Article 22/A of the Law No. 6183. Information on whether the applicant has overdue debts is obtained by the Agency from the Revenue Administration and the Social Security Institution. Objections regarding debt information are made to the Social Security Institution or the Revenue Administration, depending on the scope of the debt. Objections made by the applicant to the Institute or the information and documents submitted in this regard are not taken into consideration. The procedures and principles regarding the provision of debt information are determined by the data sharing protocols between the Institution, the Social Security Institution and the Revenue Administration.</w:t>
      </w:r>
      <w:r w:rsidR="00DC14F4" w:rsidRPr="009E1B38">
        <w:rPr>
          <w:rFonts w:ascii="Times New Roman" w:hAnsi="Times New Roman"/>
          <w:i/>
        </w:rPr>
        <w:t>”</w:t>
      </w:r>
    </w:p>
    <w:p w14:paraId="7D4A7C93" w14:textId="77777777" w:rsidR="00DC14F4" w:rsidRPr="009E1B38" w:rsidRDefault="00DC14F4" w:rsidP="00DC14F4">
      <w:pPr>
        <w:pStyle w:val="ListeParagraf"/>
        <w:ind w:left="1430"/>
        <w:rPr>
          <w:rFonts w:ascii="Times New Roman" w:hAnsi="Times New Roman"/>
          <w:i/>
        </w:rPr>
      </w:pPr>
    </w:p>
    <w:p w14:paraId="7D4A7C94" w14:textId="6654B796" w:rsidR="00DC14F4" w:rsidRPr="009E1B38" w:rsidRDefault="00693954" w:rsidP="003C5E4D">
      <w:pPr>
        <w:pStyle w:val="ListeParagraf"/>
        <w:numPr>
          <w:ilvl w:val="0"/>
          <w:numId w:val="37"/>
        </w:numPr>
        <w:spacing w:after="160" w:line="259" w:lineRule="auto"/>
        <w:rPr>
          <w:rFonts w:ascii="Times New Roman" w:hAnsi="Times New Roman"/>
        </w:rPr>
      </w:pPr>
      <w:r w:rsidRPr="009E1B38">
        <w:rPr>
          <w:rFonts w:ascii="Times New Roman" w:hAnsi="Times New Roman"/>
          <w:i/>
        </w:rPr>
        <w:t xml:space="preserve">The second paragraph of Article 17 titled “Expiration and cancellation of licenses” has been changed as follows. </w:t>
      </w:r>
    </w:p>
    <w:p w14:paraId="7D4A7C95" w14:textId="77777777" w:rsidR="00DC14F4" w:rsidRPr="009E1B38" w:rsidRDefault="00DC14F4" w:rsidP="00DC14F4">
      <w:pPr>
        <w:pStyle w:val="ListeParagraf"/>
        <w:ind w:left="1430"/>
        <w:rPr>
          <w:rFonts w:ascii="Times New Roman" w:hAnsi="Times New Roman"/>
          <w:i/>
        </w:rPr>
      </w:pPr>
    </w:p>
    <w:p w14:paraId="7D4A7C96" w14:textId="4A856486" w:rsidR="00DC14F4" w:rsidRPr="009E1B38" w:rsidRDefault="00693954" w:rsidP="00DC14F4">
      <w:pPr>
        <w:pStyle w:val="ListeParagraf"/>
        <w:ind w:left="1430"/>
        <w:rPr>
          <w:rFonts w:ascii="Times New Roman" w:hAnsi="Times New Roman"/>
          <w:i/>
        </w:rPr>
      </w:pPr>
      <w:r w:rsidRPr="009E1B38">
        <w:rPr>
          <w:rFonts w:ascii="Times New Roman" w:hAnsi="Times New Roman"/>
          <w:i/>
        </w:rPr>
        <w:t>“Distribution license holders are required to sell a minimum of 20,000 tons of white products (gasoline and diesel) in the second calendar year following the license acquisition, a minimum of 30,000 tons in the third calendar year, a minimum of 40,000 tons in the fourth calendar year, and a minimum of 60,000 tons of white products per year as of the fifth calendar year. The license of the distributor license holder who does not fulfill the minimum sales obligation is terminated. If the minimum sales obligation is not fulfilled with a deviation of 10% or less, the license is monitored without terminating the license. In the evaluation of the minimum sales obligation, the amounts related to the fuel trade between the distributors and the fuel exports made within the scope of the relevant and other legislation are not taken into account.</w:t>
      </w:r>
      <w:r w:rsidR="00DC14F4" w:rsidRPr="009E1B38">
        <w:rPr>
          <w:rFonts w:ascii="Times New Roman" w:hAnsi="Times New Roman"/>
          <w:i/>
        </w:rPr>
        <w:t>”</w:t>
      </w:r>
    </w:p>
    <w:p w14:paraId="7D4A7C97" w14:textId="77777777" w:rsidR="00DC14F4" w:rsidRPr="009E1B38" w:rsidRDefault="00DC14F4" w:rsidP="00DC14F4">
      <w:pPr>
        <w:pStyle w:val="ListeParagraf"/>
        <w:ind w:left="1430"/>
        <w:rPr>
          <w:rFonts w:ascii="Times New Roman" w:hAnsi="Times New Roman"/>
          <w:i/>
        </w:rPr>
      </w:pPr>
    </w:p>
    <w:p w14:paraId="7D4A7C98" w14:textId="6840AAD8" w:rsidR="00DC14F4" w:rsidRPr="009E1B38" w:rsidRDefault="00693954" w:rsidP="003C5E4D">
      <w:pPr>
        <w:pStyle w:val="ListeParagraf"/>
        <w:numPr>
          <w:ilvl w:val="0"/>
          <w:numId w:val="37"/>
        </w:numPr>
        <w:spacing w:after="160" w:line="259" w:lineRule="auto"/>
        <w:rPr>
          <w:rFonts w:ascii="Times New Roman" w:hAnsi="Times New Roman"/>
          <w:i/>
        </w:rPr>
      </w:pPr>
      <w:r w:rsidRPr="009E1B38">
        <w:rPr>
          <w:rFonts w:ascii="Times New Roman" w:hAnsi="Times New Roman"/>
          <w:i/>
        </w:rPr>
        <w:t xml:space="preserve">The following paragraph has been added to Article 50 titled “Revenue Share”. </w:t>
      </w:r>
    </w:p>
    <w:p w14:paraId="7D4A7C99" w14:textId="77777777" w:rsidR="00DC14F4" w:rsidRPr="009E1B38" w:rsidRDefault="00DC14F4" w:rsidP="00DC14F4">
      <w:pPr>
        <w:pStyle w:val="ListeParagraf"/>
        <w:ind w:left="1430"/>
        <w:rPr>
          <w:rFonts w:ascii="Times New Roman" w:hAnsi="Times New Roman"/>
          <w:i/>
        </w:rPr>
      </w:pPr>
    </w:p>
    <w:p w14:paraId="7D4A7C9A" w14:textId="36BB58BC" w:rsidR="00DC14F4" w:rsidRPr="009E1B38" w:rsidRDefault="00693954" w:rsidP="00DC14F4">
      <w:pPr>
        <w:pStyle w:val="ListeParagraf"/>
        <w:ind w:left="1430"/>
        <w:rPr>
          <w:rFonts w:ascii="Times New Roman" w:hAnsi="Times New Roman"/>
          <w:i/>
        </w:rPr>
      </w:pPr>
      <w:r w:rsidRPr="009E1B38">
        <w:rPr>
          <w:rFonts w:ascii="Times New Roman" w:hAnsi="Times New Roman"/>
          <w:i/>
        </w:rPr>
        <w:t xml:space="preserve">“Applications for license, amendment and extension of time and national marker procurement requests of those who have income share debts related to previous periods; If the said debt is not paid within 10 working days from the notification to be made by the Institution, it is deemed not done.” </w:t>
      </w:r>
    </w:p>
    <w:p w14:paraId="7D4A7C9B" w14:textId="77777777" w:rsidR="00DC14F4" w:rsidRPr="009E1B38" w:rsidRDefault="00DC14F4" w:rsidP="00DC14F4">
      <w:pPr>
        <w:pStyle w:val="ListeParagraf"/>
        <w:ind w:left="1430"/>
        <w:rPr>
          <w:rFonts w:ascii="Times New Roman" w:hAnsi="Times New Roman"/>
          <w:i/>
        </w:rPr>
      </w:pPr>
    </w:p>
    <w:p w14:paraId="7D4A7C9D" w14:textId="7B11E811" w:rsidR="00DC14F4" w:rsidRPr="009E1B38" w:rsidRDefault="00693954" w:rsidP="003C5E4D">
      <w:pPr>
        <w:pStyle w:val="ListeParagraf"/>
        <w:numPr>
          <w:ilvl w:val="0"/>
          <w:numId w:val="37"/>
        </w:numPr>
        <w:spacing w:after="160" w:line="259" w:lineRule="auto"/>
        <w:rPr>
          <w:rFonts w:ascii="Times New Roman" w:hAnsi="Times New Roman"/>
        </w:rPr>
      </w:pPr>
      <w:r w:rsidRPr="009E1B38">
        <w:rPr>
          <w:rFonts w:ascii="Times New Roman" w:hAnsi="Times New Roman"/>
        </w:rPr>
        <w:t>- The following provisional article has been added to the same Regulation.</w:t>
      </w:r>
    </w:p>
    <w:p w14:paraId="7900D2E0" w14:textId="77777777" w:rsidR="00693954" w:rsidRPr="009E1B38" w:rsidRDefault="00693954" w:rsidP="00693954">
      <w:pPr>
        <w:spacing w:after="160" w:line="259" w:lineRule="auto"/>
        <w:ind w:left="1070"/>
        <w:rPr>
          <w:rFonts w:ascii="Times New Roman" w:hAnsi="Times New Roman"/>
        </w:rPr>
      </w:pPr>
    </w:p>
    <w:p w14:paraId="1C3D52EE" w14:textId="77777777" w:rsidR="00693954" w:rsidRPr="009E1B38" w:rsidRDefault="00693954" w:rsidP="00693954">
      <w:pPr>
        <w:pStyle w:val="ListeParagraf"/>
        <w:ind w:left="1430"/>
        <w:rPr>
          <w:rFonts w:ascii="Times New Roman" w:hAnsi="Times New Roman"/>
          <w:i/>
        </w:rPr>
      </w:pPr>
      <w:r w:rsidRPr="009E1B38">
        <w:rPr>
          <w:rFonts w:ascii="Times New Roman" w:hAnsi="Times New Roman"/>
          <w:i/>
        </w:rPr>
        <w:t>“PROVISIONAL ARTICLE 28</w:t>
      </w:r>
    </w:p>
    <w:p w14:paraId="7D4A7C9F" w14:textId="0EF9D7B3" w:rsidR="00DC14F4" w:rsidRPr="009E1B38" w:rsidRDefault="00693954" w:rsidP="00DC14F4">
      <w:pPr>
        <w:pStyle w:val="ListeParagraf"/>
        <w:ind w:left="1430"/>
        <w:rPr>
          <w:rFonts w:ascii="Times New Roman" w:hAnsi="Times New Roman"/>
          <w:i/>
        </w:rPr>
      </w:pPr>
      <w:r w:rsidRPr="009E1B38">
        <w:rPr>
          <w:rFonts w:ascii="Times New Roman" w:hAnsi="Times New Roman"/>
          <w:i/>
        </w:rPr>
        <w:t>Persons holding a distributor license on the effective date of this article are considered to have received a new license as of the effective date of this article in terms of the implementation of the second paragraph of article 17 of this Regulation</w:t>
      </w:r>
      <w:r w:rsidR="00DC14F4" w:rsidRPr="009E1B38">
        <w:rPr>
          <w:rFonts w:ascii="Times New Roman" w:hAnsi="Times New Roman"/>
          <w:i/>
        </w:rPr>
        <w:t>.”</w:t>
      </w:r>
    </w:p>
    <w:p w14:paraId="7D4A7CA0" w14:textId="77777777" w:rsidR="00DC14F4" w:rsidRPr="009E1B38" w:rsidRDefault="00DC14F4" w:rsidP="00DC14F4">
      <w:pPr>
        <w:pStyle w:val="ListeParagraf"/>
        <w:ind w:left="1430"/>
        <w:rPr>
          <w:rFonts w:ascii="Times New Roman" w:hAnsi="Times New Roman"/>
          <w:i/>
        </w:rPr>
      </w:pPr>
    </w:p>
    <w:p w14:paraId="7D4A7CA2" w14:textId="7F6CEF56" w:rsidR="00DC14F4" w:rsidRPr="009E1B38" w:rsidRDefault="00693954" w:rsidP="003C5E4D">
      <w:pPr>
        <w:pStyle w:val="ListeParagraf"/>
        <w:numPr>
          <w:ilvl w:val="0"/>
          <w:numId w:val="34"/>
        </w:numPr>
        <w:spacing w:after="160" w:line="259" w:lineRule="auto"/>
        <w:rPr>
          <w:rFonts w:ascii="Times New Roman" w:hAnsi="Times New Roman"/>
        </w:rPr>
      </w:pPr>
      <w:r w:rsidRPr="009E1B38">
        <w:rPr>
          <w:rFonts w:ascii="Times New Roman" w:hAnsi="Times New Roman"/>
        </w:rPr>
        <w:t xml:space="preserve">• The Amendment Regulation published in the Official Gazette dated 02.12.2021 and numbered 31677 and </w:t>
      </w:r>
      <w:r w:rsidRPr="009E1B38">
        <w:rPr>
          <w:rFonts w:ascii="Times New Roman" w:hAnsi="Times New Roman"/>
          <w:b/>
          <w:bCs/>
        </w:rPr>
        <w:t>the Petroleum Market License Regulation</w:t>
      </w:r>
    </w:p>
    <w:p w14:paraId="1126C3EF" w14:textId="77777777" w:rsidR="00693954" w:rsidRPr="009E1B38" w:rsidRDefault="00693954" w:rsidP="00693954">
      <w:pPr>
        <w:pStyle w:val="ListeParagraf"/>
        <w:spacing w:after="160" w:line="259" w:lineRule="auto"/>
        <w:rPr>
          <w:rFonts w:ascii="Times New Roman" w:hAnsi="Times New Roman"/>
        </w:rPr>
      </w:pPr>
    </w:p>
    <w:p w14:paraId="7D4A7CA3" w14:textId="410ED816" w:rsidR="00DC14F4" w:rsidRPr="009E1B38" w:rsidRDefault="00693954" w:rsidP="003C5E4D">
      <w:pPr>
        <w:pStyle w:val="ListeParagraf"/>
        <w:numPr>
          <w:ilvl w:val="0"/>
          <w:numId w:val="37"/>
        </w:numPr>
        <w:spacing w:after="160" w:line="259" w:lineRule="auto"/>
        <w:rPr>
          <w:rFonts w:ascii="Times New Roman" w:hAnsi="Times New Roman"/>
        </w:rPr>
      </w:pPr>
      <w:r w:rsidRPr="009E1B38">
        <w:rPr>
          <w:rFonts w:ascii="Times New Roman" w:hAnsi="Times New Roman"/>
          <w:i/>
        </w:rPr>
        <w:lastRenderedPageBreak/>
        <w:t xml:space="preserve">- The following paragraphs have been added to the first paragraph of article 4 titled "Definitions". </w:t>
      </w:r>
    </w:p>
    <w:p w14:paraId="7D4A7CA4" w14:textId="77777777" w:rsidR="00DC14F4" w:rsidRPr="009E1B38" w:rsidRDefault="00DC14F4" w:rsidP="00DC14F4">
      <w:pPr>
        <w:pStyle w:val="ListeParagraf"/>
        <w:ind w:left="1430"/>
        <w:rPr>
          <w:rFonts w:ascii="Times New Roman" w:hAnsi="Times New Roman"/>
        </w:rPr>
      </w:pPr>
    </w:p>
    <w:p w14:paraId="7D4A7CA5" w14:textId="3707183B" w:rsidR="00DC14F4" w:rsidRPr="009E1B38" w:rsidRDefault="00693954" w:rsidP="00DC14F4">
      <w:pPr>
        <w:pStyle w:val="ListeParagraf"/>
        <w:ind w:left="1430"/>
        <w:rPr>
          <w:rFonts w:ascii="Times New Roman" w:hAnsi="Times New Roman"/>
          <w:i/>
        </w:rPr>
      </w:pPr>
      <w:r w:rsidRPr="009E1B38">
        <w:rPr>
          <w:rFonts w:ascii="Times New Roman" w:hAnsi="Times New Roman"/>
          <w:i/>
        </w:rPr>
        <w:t xml:space="preserve">“38) Railway vehicle: Vehicles defined in subparagraph (ğ) of the first paragraph of Article 3 of the Railway Operator Authorization Regulation published in the Official Gazette dated 19/8/2016 and numbered 29806, </w:t>
      </w:r>
    </w:p>
    <w:p w14:paraId="7D4A7CA6" w14:textId="77777777" w:rsidR="00DC14F4" w:rsidRPr="009E1B38" w:rsidRDefault="00DC14F4" w:rsidP="00DC14F4">
      <w:pPr>
        <w:pStyle w:val="ListeParagraf"/>
        <w:ind w:left="1430"/>
        <w:rPr>
          <w:rFonts w:ascii="Times New Roman" w:hAnsi="Times New Roman"/>
          <w:i/>
        </w:rPr>
      </w:pPr>
    </w:p>
    <w:p w14:paraId="7D4A7CA7" w14:textId="607DF410" w:rsidR="00DC14F4" w:rsidRPr="009E1B38" w:rsidRDefault="00693954" w:rsidP="00DC14F4">
      <w:pPr>
        <w:pStyle w:val="ListeParagraf"/>
        <w:ind w:left="1430"/>
        <w:rPr>
          <w:rFonts w:ascii="Times New Roman" w:hAnsi="Times New Roman"/>
          <w:i/>
        </w:rPr>
      </w:pPr>
      <w:r w:rsidRPr="009E1B38">
        <w:rPr>
          <w:rFonts w:ascii="Times New Roman" w:hAnsi="Times New Roman"/>
          <w:i/>
        </w:rPr>
        <w:t>39) Railway pump: The places that meet the fuel needs of only the railway vehicles owned by the railway train operators, provided that they are processed under the dealership license, and the vehicles that must be used due to the activities of the railway infrastructure operator defined in the first paragraph (g) of the 3rd article of the Railway Operator Authorization Regulation,</w:t>
      </w:r>
      <w:r w:rsidR="00DC14F4" w:rsidRPr="009E1B38">
        <w:rPr>
          <w:rFonts w:ascii="Times New Roman" w:hAnsi="Times New Roman"/>
          <w:i/>
        </w:rPr>
        <w:t>”</w:t>
      </w:r>
    </w:p>
    <w:p w14:paraId="7D4A7CA8" w14:textId="77777777" w:rsidR="00DC14F4" w:rsidRPr="009E1B38" w:rsidRDefault="00DC14F4" w:rsidP="00DC14F4">
      <w:pPr>
        <w:pStyle w:val="ListeParagraf"/>
        <w:ind w:left="1430"/>
        <w:rPr>
          <w:rFonts w:ascii="Times New Roman" w:hAnsi="Times New Roman"/>
          <w:i/>
        </w:rPr>
      </w:pPr>
    </w:p>
    <w:p w14:paraId="7D4A7CA9" w14:textId="5A477211" w:rsidR="00DC14F4" w:rsidRPr="009E1B38" w:rsidRDefault="00693954" w:rsidP="003C5E4D">
      <w:pPr>
        <w:pStyle w:val="ListeParagraf"/>
        <w:numPr>
          <w:ilvl w:val="0"/>
          <w:numId w:val="37"/>
        </w:numPr>
        <w:spacing w:after="160" w:line="259" w:lineRule="auto"/>
        <w:rPr>
          <w:rFonts w:ascii="Times New Roman" w:hAnsi="Times New Roman"/>
        </w:rPr>
      </w:pPr>
      <w:r w:rsidRPr="009E1B38">
        <w:rPr>
          <w:rFonts w:ascii="Times New Roman" w:hAnsi="Times New Roman"/>
        </w:rPr>
        <w:t xml:space="preserve">- The phrase "and the license number of the facility where the delivery is made" has been added to the eleventh paragraph of Article 18, titled "Fundamental rights and obligations of license holders", to come after the phrase "license number". </w:t>
      </w:r>
    </w:p>
    <w:p w14:paraId="7D4A7CAA" w14:textId="77777777" w:rsidR="00DC14F4" w:rsidRPr="009E1B38" w:rsidRDefault="00DC14F4" w:rsidP="00DC14F4">
      <w:pPr>
        <w:pStyle w:val="ListeParagraf"/>
        <w:ind w:left="1430"/>
        <w:rPr>
          <w:rFonts w:ascii="Times New Roman" w:hAnsi="Times New Roman"/>
        </w:rPr>
      </w:pPr>
    </w:p>
    <w:p w14:paraId="7D4A7CAB" w14:textId="5A45F03A" w:rsidR="00DC14F4" w:rsidRPr="009E1B38" w:rsidRDefault="00693954" w:rsidP="003C5E4D">
      <w:pPr>
        <w:pStyle w:val="ListeParagraf"/>
        <w:numPr>
          <w:ilvl w:val="0"/>
          <w:numId w:val="37"/>
        </w:numPr>
        <w:spacing w:after="160" w:line="259" w:lineRule="auto"/>
        <w:rPr>
          <w:rFonts w:ascii="Times New Roman" w:hAnsi="Times New Roman"/>
        </w:rPr>
      </w:pPr>
      <w:r w:rsidRPr="009E1B38">
        <w:rPr>
          <w:rFonts w:ascii="Times New Roman" w:hAnsi="Times New Roman"/>
          <w:i/>
        </w:rPr>
        <w:t>- Sub-paragraph (ö) of the first paragraph of Article 34 titled “Liabilities of distributor license holders” has been amended as follows.</w:t>
      </w:r>
    </w:p>
    <w:p w14:paraId="7D4A7CAC" w14:textId="77777777" w:rsidR="00DC14F4" w:rsidRPr="009E1B38" w:rsidRDefault="00DC14F4" w:rsidP="00DC14F4">
      <w:pPr>
        <w:pStyle w:val="ListeParagraf"/>
        <w:ind w:left="1430"/>
        <w:rPr>
          <w:rFonts w:ascii="Times New Roman" w:hAnsi="Times New Roman"/>
        </w:rPr>
      </w:pPr>
    </w:p>
    <w:p w14:paraId="7D4A7CAD" w14:textId="561726CE" w:rsidR="00DC14F4" w:rsidRPr="009E1B38" w:rsidRDefault="00693954" w:rsidP="00DC14F4">
      <w:pPr>
        <w:pStyle w:val="ListeParagraf"/>
        <w:ind w:left="1430"/>
        <w:rPr>
          <w:rFonts w:ascii="Times New Roman" w:hAnsi="Times New Roman"/>
          <w:i/>
        </w:rPr>
      </w:pPr>
      <w:r w:rsidRPr="009E1B38">
        <w:rPr>
          <w:rFonts w:ascii="Times New Roman" w:hAnsi="Times New Roman"/>
          <w:i/>
        </w:rPr>
        <w:t xml:space="preserve">“ö) Establishment of a station automation system for the fuel station registered with the relevant dealership license, agricultural sales tankers, stationary village pumps and railway pumps before the dealers obtain a license, have the distributor modified, operate an agricultural sales tanker or a stationary village pump or a railway pump.” </w:t>
      </w:r>
    </w:p>
    <w:p w14:paraId="7D4A7CAE" w14:textId="77777777" w:rsidR="00DC14F4" w:rsidRPr="009E1B38" w:rsidRDefault="00DC14F4" w:rsidP="00DC14F4">
      <w:pPr>
        <w:pStyle w:val="ListeParagraf"/>
        <w:ind w:left="1430"/>
        <w:rPr>
          <w:rFonts w:ascii="Times New Roman" w:hAnsi="Times New Roman"/>
          <w:i/>
        </w:rPr>
      </w:pPr>
    </w:p>
    <w:p w14:paraId="7D4A7CB0" w14:textId="34B7EFBB" w:rsidR="00DC14F4" w:rsidRPr="009E1B38" w:rsidRDefault="00693954" w:rsidP="003C5E4D">
      <w:pPr>
        <w:pStyle w:val="ListeParagraf"/>
        <w:numPr>
          <w:ilvl w:val="0"/>
          <w:numId w:val="37"/>
        </w:numPr>
        <w:spacing w:after="160" w:line="259" w:lineRule="auto"/>
        <w:rPr>
          <w:rFonts w:ascii="Times New Roman" w:hAnsi="Times New Roman"/>
        </w:rPr>
      </w:pPr>
      <w:r w:rsidRPr="009E1B38">
        <w:rPr>
          <w:rFonts w:ascii="Times New Roman" w:hAnsi="Times New Roman"/>
          <w:i/>
        </w:rPr>
        <w:t xml:space="preserve">- The phrase "railway pumps for the fuel needs of railway vehicles and vehicles that must be used by the railway infrastructure operator due to their activities" has been added to the second paragraph of article 37 titled "activities that can be carried out within the scope of dealership license", following the phrase "village pump". </w:t>
      </w:r>
    </w:p>
    <w:p w14:paraId="3A4BBEFB" w14:textId="77777777" w:rsidR="00693954" w:rsidRPr="009E1B38" w:rsidRDefault="00693954" w:rsidP="00693954">
      <w:pPr>
        <w:pStyle w:val="ListeParagraf"/>
        <w:spacing w:after="160" w:line="259" w:lineRule="auto"/>
        <w:ind w:left="1430"/>
        <w:rPr>
          <w:rFonts w:ascii="Times New Roman" w:hAnsi="Times New Roman"/>
        </w:rPr>
      </w:pPr>
    </w:p>
    <w:p w14:paraId="7D4A7CB1" w14:textId="3B0AC363" w:rsidR="00414047" w:rsidRPr="009E1B38" w:rsidRDefault="00693954" w:rsidP="003C5E4D">
      <w:pPr>
        <w:pStyle w:val="ListeParagraf"/>
        <w:numPr>
          <w:ilvl w:val="0"/>
          <w:numId w:val="37"/>
        </w:numPr>
        <w:spacing w:after="160" w:line="259" w:lineRule="auto"/>
        <w:rPr>
          <w:rFonts w:ascii="Times New Roman" w:hAnsi="Times New Roman"/>
        </w:rPr>
      </w:pPr>
      <w:r w:rsidRPr="009E1B38">
        <w:rPr>
          <w:rFonts w:ascii="Times New Roman" w:hAnsi="Times New Roman"/>
          <w:i/>
        </w:rPr>
        <w:t xml:space="preserve"> The phrase "and fixed village pump" in subparagraph (h) of the first paragraph of Article 38 titled "Liability of dealership license holders" has been changed to "fixed village pump and railway pump". </w:t>
      </w:r>
    </w:p>
    <w:p w14:paraId="7D4A7CB2" w14:textId="3BC8A266" w:rsidR="001D2DA2" w:rsidRPr="009E1B38" w:rsidRDefault="00BF50F4" w:rsidP="003C5E4D">
      <w:pPr>
        <w:pStyle w:val="Balk3"/>
        <w:numPr>
          <w:ilvl w:val="2"/>
          <w:numId w:val="60"/>
        </w:numPr>
        <w:spacing w:after="240"/>
        <w:rPr>
          <w:rFonts w:ascii="Times New Roman" w:hAnsi="Times New Roman" w:cs="Times New Roman"/>
          <w:color w:val="auto"/>
        </w:rPr>
      </w:pPr>
      <w:bookmarkStart w:id="77" w:name="_Toc113615322"/>
      <w:r w:rsidRPr="009E1B38">
        <w:rPr>
          <w:rFonts w:ascii="Times New Roman" w:hAnsi="Times New Roman" w:cs="Times New Roman"/>
          <w:color w:val="auto"/>
        </w:rPr>
        <w:t>Rescripts</w:t>
      </w:r>
      <w:bookmarkEnd w:id="77"/>
    </w:p>
    <w:p w14:paraId="7D4A7CB4" w14:textId="3CA36A26" w:rsidR="00414047" w:rsidRPr="009E1B38" w:rsidRDefault="00BF50F4" w:rsidP="001D2DA2">
      <w:pPr>
        <w:spacing w:after="0"/>
        <w:rPr>
          <w:rFonts w:ascii="Times New Roman" w:hAnsi="Times New Roman"/>
          <w:color w:val="000000" w:themeColor="text1"/>
        </w:rPr>
      </w:pPr>
      <w:r w:rsidRPr="009E1B38">
        <w:rPr>
          <w:rFonts w:ascii="Times New Roman" w:hAnsi="Times New Roman"/>
          <w:color w:val="000000" w:themeColor="text1"/>
        </w:rPr>
        <w:t>In 2021, the following Communique studies were carried out in the oil market:</w:t>
      </w:r>
    </w:p>
    <w:p w14:paraId="3A1351B7" w14:textId="77777777" w:rsidR="00BF50F4" w:rsidRPr="009E1B38" w:rsidRDefault="00BF50F4" w:rsidP="001D2DA2">
      <w:pPr>
        <w:spacing w:after="0"/>
        <w:rPr>
          <w:rFonts w:ascii="Times New Roman" w:hAnsi="Times New Roman"/>
          <w:color w:val="000000" w:themeColor="text1"/>
        </w:rPr>
      </w:pPr>
    </w:p>
    <w:p w14:paraId="7D4A7CB6" w14:textId="1631F9B4" w:rsidR="00DC14F4" w:rsidRPr="009E1B38" w:rsidRDefault="39753632" w:rsidP="003C5E4D">
      <w:pPr>
        <w:pStyle w:val="ListeParagraf"/>
        <w:numPr>
          <w:ilvl w:val="0"/>
          <w:numId w:val="34"/>
        </w:numPr>
        <w:spacing w:after="160" w:line="259" w:lineRule="auto"/>
        <w:rPr>
          <w:rFonts w:ascii="Times New Roman" w:hAnsi="Times New Roman"/>
        </w:rPr>
      </w:pPr>
      <w:bookmarkStart w:id="78" w:name="_Toc442431246"/>
      <w:r w:rsidRPr="009E1B38">
        <w:rPr>
          <w:rFonts w:ascii="Times New Roman" w:hAnsi="Times New Roman"/>
        </w:rPr>
        <w:t>With the Amendment Communiqué published in the Official Gazette dated 25.09.2021 and numbered 31609, the Communiqué on the Blending of Biodiesel with Diesel Types</w:t>
      </w:r>
    </w:p>
    <w:p w14:paraId="793BE4C3" w14:textId="324AF022" w:rsidR="00BF50F4" w:rsidRPr="009E1B38" w:rsidRDefault="00BF50F4" w:rsidP="00BF50F4">
      <w:pPr>
        <w:pStyle w:val="ListeParagraf"/>
        <w:spacing w:after="160" w:line="259" w:lineRule="auto"/>
        <w:rPr>
          <w:rFonts w:ascii="Times New Roman" w:hAnsi="Times New Roman"/>
        </w:rPr>
      </w:pPr>
    </w:p>
    <w:p w14:paraId="7D4A7CB8" w14:textId="181F2F66" w:rsidR="00DC14F4" w:rsidRPr="009E1B38" w:rsidRDefault="2CAD1805" w:rsidP="00DC14F4">
      <w:pPr>
        <w:pStyle w:val="ListeParagraf"/>
        <w:ind w:left="1430"/>
        <w:rPr>
          <w:rFonts w:ascii="Times New Roman" w:hAnsi="Times New Roman"/>
        </w:rPr>
      </w:pPr>
      <w:r w:rsidRPr="009E1B38">
        <w:rPr>
          <w:rFonts w:ascii="Times New Roman" w:hAnsi="Times New Roman"/>
        </w:rPr>
        <w:t>- With the effective date of 1.1.2023, the following paragraph has been added after the first paragraph to the 5th article titled "Blending obligation" and the other paragraph has been repeated accordingly, the phrase "in the first paragraph" in the current second paragraph of the same article is in the "first and second paragraphs" was changed</w:t>
      </w:r>
      <w:r w:rsidR="00A43BA1" w:rsidRPr="009E1B38">
        <w:rPr>
          <w:rFonts w:ascii="Times New Roman" w:hAnsi="Times New Roman"/>
        </w:rPr>
        <w:t xml:space="preserve"> to</w:t>
      </w:r>
      <w:r w:rsidRPr="009E1B38">
        <w:rPr>
          <w:rFonts w:ascii="Times New Roman" w:hAnsi="Times New Roman"/>
        </w:rPr>
        <w:t>.</w:t>
      </w:r>
    </w:p>
    <w:p w14:paraId="7D4A7CBA" w14:textId="24B6925C" w:rsidR="00DC14F4" w:rsidRPr="009E1B38" w:rsidRDefault="00516307" w:rsidP="00DC14F4">
      <w:pPr>
        <w:pStyle w:val="ListeParagraf"/>
        <w:ind w:left="1430"/>
        <w:rPr>
          <w:rFonts w:ascii="Times New Roman" w:hAnsi="Times New Roman"/>
          <w:i/>
        </w:rPr>
      </w:pPr>
      <w:r w:rsidRPr="009E1B38">
        <w:rPr>
          <w:rFonts w:ascii="Times New Roman" w:hAnsi="Times New Roman"/>
          <w:i/>
        </w:rPr>
        <w:t>“(2) Within one calendar year, it is mandatory that biodiesel produced from domestic agricultural products and/or vegetable waste oils be blended at least 0.5% (V/V) of the total amount of diesel supplied with land tanker filling units, including those delivered in licensed warehouses, by refinery license holders.”</w:t>
      </w:r>
    </w:p>
    <w:p w14:paraId="730D72CB" w14:textId="77777777" w:rsidR="00516307" w:rsidRPr="009E1B38" w:rsidRDefault="00516307" w:rsidP="00DC14F4">
      <w:pPr>
        <w:pStyle w:val="ListeParagraf"/>
        <w:ind w:left="1430"/>
        <w:rPr>
          <w:rFonts w:ascii="Times New Roman" w:hAnsi="Times New Roman"/>
          <w:i/>
        </w:rPr>
      </w:pPr>
    </w:p>
    <w:p w14:paraId="7D4A7CBC" w14:textId="47EE6180" w:rsidR="00DC14F4" w:rsidRPr="009E1B38" w:rsidRDefault="00516307" w:rsidP="00DC14F4">
      <w:pPr>
        <w:pStyle w:val="ListeParagraf"/>
        <w:ind w:left="1430"/>
        <w:rPr>
          <w:rFonts w:ascii="Times New Roman" w:hAnsi="Times New Roman"/>
          <w:i/>
        </w:rPr>
      </w:pPr>
      <w:r w:rsidRPr="009E1B38">
        <w:rPr>
          <w:rFonts w:ascii="Times New Roman" w:hAnsi="Times New Roman"/>
          <w:i/>
        </w:rPr>
        <w:lastRenderedPageBreak/>
        <w:t>The phrase "distributor license" in the first paragraph of Annex 1, titled "Liability transfer", has been changed to "license", the second paragraph of the same article has been changed as follows, and the phrase "January" in the third paragraph has been changed to "May".</w:t>
      </w:r>
    </w:p>
    <w:p w14:paraId="1F1F5633" w14:textId="77777777" w:rsidR="00516307" w:rsidRPr="009E1B38" w:rsidRDefault="00516307" w:rsidP="00DC14F4">
      <w:pPr>
        <w:pStyle w:val="ListeParagraf"/>
        <w:ind w:left="1430"/>
        <w:rPr>
          <w:rFonts w:ascii="Times New Roman" w:hAnsi="Times New Roman"/>
        </w:rPr>
      </w:pPr>
    </w:p>
    <w:p w14:paraId="0C54EC76" w14:textId="77777777" w:rsidR="00516307" w:rsidRPr="009E1B38" w:rsidRDefault="00516307" w:rsidP="00A43184">
      <w:pPr>
        <w:pStyle w:val="ListeParagraf"/>
        <w:spacing w:after="0"/>
        <w:ind w:left="1430"/>
        <w:rPr>
          <w:rFonts w:ascii="Times New Roman" w:hAnsi="Times New Roman"/>
          <w:i/>
        </w:rPr>
      </w:pPr>
      <w:r w:rsidRPr="009E1B38">
        <w:rPr>
          <w:rFonts w:ascii="Times New Roman" w:hAnsi="Times New Roman"/>
          <w:i/>
        </w:rPr>
        <w:t>“(2) In the relevant obligation period within the scope of this Communiqué, the licensee who will take over the biodiesel blending obligation;</w:t>
      </w:r>
    </w:p>
    <w:p w14:paraId="028F31BA" w14:textId="77777777" w:rsidR="00516307" w:rsidRPr="009E1B38" w:rsidRDefault="00516307" w:rsidP="00516307">
      <w:pPr>
        <w:pStyle w:val="ListeParagraf"/>
        <w:ind w:left="1430"/>
        <w:rPr>
          <w:rFonts w:ascii="Times New Roman" w:hAnsi="Times New Roman"/>
          <w:i/>
        </w:rPr>
      </w:pPr>
      <w:r w:rsidRPr="009E1B38">
        <w:rPr>
          <w:rFonts w:ascii="Times New Roman" w:hAnsi="Times New Roman"/>
          <w:i/>
        </w:rPr>
        <w:t>a) To fulfill all of its biodiesel blending obligations,</w:t>
      </w:r>
    </w:p>
    <w:p w14:paraId="263442E9" w14:textId="77777777" w:rsidR="00516307" w:rsidRPr="009E1B38" w:rsidRDefault="00516307" w:rsidP="00516307">
      <w:pPr>
        <w:pStyle w:val="ListeParagraf"/>
        <w:ind w:left="1430"/>
        <w:rPr>
          <w:rFonts w:ascii="Times New Roman" w:hAnsi="Times New Roman"/>
          <w:i/>
        </w:rPr>
      </w:pPr>
      <w:r w:rsidRPr="009E1B38">
        <w:rPr>
          <w:rFonts w:ascii="Times New Roman" w:hAnsi="Times New Roman"/>
          <w:i/>
        </w:rPr>
        <w:t>b) Having blended at least 500 m3 of biodiesel,</w:t>
      </w:r>
    </w:p>
    <w:p w14:paraId="7D4A7CC1" w14:textId="08CAE3D9" w:rsidR="00DC14F4" w:rsidRPr="009E1B38" w:rsidRDefault="00516307" w:rsidP="00DC14F4">
      <w:pPr>
        <w:pStyle w:val="ListeParagraf"/>
        <w:ind w:left="1430"/>
        <w:rPr>
          <w:rFonts w:ascii="Times New Roman" w:hAnsi="Times New Roman"/>
          <w:i/>
          <w:color w:val="FF0000"/>
        </w:rPr>
      </w:pPr>
      <w:r w:rsidRPr="009E1B38">
        <w:rPr>
          <w:rFonts w:ascii="Times New Roman" w:hAnsi="Times New Roman"/>
          <w:i/>
        </w:rPr>
        <w:t>is mandatory.”</w:t>
      </w:r>
    </w:p>
    <w:p w14:paraId="7D4A7CC3" w14:textId="4C8E5A19" w:rsidR="00DC14F4" w:rsidRPr="009E1B38" w:rsidRDefault="00516307" w:rsidP="003C5E4D">
      <w:pPr>
        <w:pStyle w:val="ListeParagraf"/>
        <w:numPr>
          <w:ilvl w:val="0"/>
          <w:numId w:val="32"/>
        </w:numPr>
        <w:spacing w:after="160" w:line="259" w:lineRule="auto"/>
        <w:rPr>
          <w:rFonts w:ascii="Times New Roman" w:hAnsi="Times New Roman"/>
          <w:i/>
        </w:rPr>
      </w:pPr>
      <w:r w:rsidRPr="009E1B38">
        <w:rPr>
          <w:rFonts w:ascii="Times New Roman" w:hAnsi="Times New Roman"/>
        </w:rPr>
        <w:t xml:space="preserve"> Administrative fines issued in the Official Gazette dated 17.12.2021 and numbered 31692, regulated in the 19th article of the Petroleum Market Law dated 04.12.2003 and numbered 5015, the Tax Procedure Law published in the Official Gazette dated 27/11/2021 and numbered 31672 Administrative fines to be applied in 2022 were determined by the Communiqué, which was determined as the revaluation rate for 2021 in the General Communiqué (Sequence No: 533) by increasing it by 36.20% (thirty six point twenty).</w:t>
      </w:r>
    </w:p>
    <w:p w14:paraId="0C234275" w14:textId="77777777" w:rsidR="00516307" w:rsidRPr="009E1B38" w:rsidRDefault="00516307" w:rsidP="00516307">
      <w:pPr>
        <w:spacing w:after="160" w:line="259" w:lineRule="auto"/>
        <w:ind w:left="360"/>
        <w:rPr>
          <w:rFonts w:ascii="Times New Roman" w:hAnsi="Times New Roman"/>
          <w:i/>
        </w:rPr>
      </w:pPr>
    </w:p>
    <w:p w14:paraId="7D4A7CC4" w14:textId="78E75F67" w:rsidR="00DC14F4" w:rsidRPr="009E1B38" w:rsidRDefault="00EC59D6" w:rsidP="003C5E4D">
      <w:pPr>
        <w:pStyle w:val="ListeParagraf"/>
        <w:numPr>
          <w:ilvl w:val="0"/>
          <w:numId w:val="34"/>
        </w:numPr>
        <w:spacing w:after="160" w:line="259" w:lineRule="auto"/>
        <w:rPr>
          <w:rFonts w:ascii="Times New Roman" w:hAnsi="Times New Roman"/>
          <w:b/>
        </w:rPr>
      </w:pPr>
      <w:r w:rsidRPr="009E1B38">
        <w:rPr>
          <w:rFonts w:ascii="Times New Roman" w:hAnsi="Times New Roman"/>
        </w:rPr>
        <w:t>The Communiqu</w:t>
      </w:r>
      <w:r w:rsidR="00E8233E" w:rsidRPr="009E1B38">
        <w:rPr>
          <w:rFonts w:ascii="Times New Roman" w:hAnsi="Times New Roman"/>
        </w:rPr>
        <w:t>e</w:t>
      </w:r>
      <w:r w:rsidRPr="009E1B38">
        <w:rPr>
          <w:rFonts w:ascii="Times New Roman" w:hAnsi="Times New Roman"/>
        </w:rPr>
        <w:t xml:space="preserve"> on the Amendment published in the Official Gazette dated 25.12.2021 and numbered 31700 and the Communiqué on the Blending of Biodiesel into Diesel Types</w:t>
      </w:r>
    </w:p>
    <w:p w14:paraId="7D4A7CC5" w14:textId="77777777" w:rsidR="00DC14F4" w:rsidRPr="009E1B38" w:rsidRDefault="00DC14F4" w:rsidP="009F227A">
      <w:pPr>
        <w:pStyle w:val="ListeParagraf"/>
        <w:spacing w:after="160" w:line="259" w:lineRule="auto"/>
        <w:rPr>
          <w:rFonts w:ascii="Times New Roman" w:hAnsi="Times New Roman"/>
          <w:b/>
        </w:rPr>
      </w:pPr>
    </w:p>
    <w:p w14:paraId="7D4A7CC6" w14:textId="00C7A4CA" w:rsidR="00DC14F4" w:rsidRPr="009E1B38" w:rsidRDefault="00C12BBA" w:rsidP="003C5E4D">
      <w:pPr>
        <w:pStyle w:val="ListeParagraf"/>
        <w:numPr>
          <w:ilvl w:val="0"/>
          <w:numId w:val="39"/>
        </w:numPr>
        <w:spacing w:after="160" w:line="259" w:lineRule="auto"/>
        <w:rPr>
          <w:rFonts w:ascii="Times New Roman" w:hAnsi="Times New Roman"/>
        </w:rPr>
      </w:pPr>
      <w:r w:rsidRPr="009E1B38">
        <w:rPr>
          <w:rFonts w:ascii="Times New Roman" w:hAnsi="Times New Roman"/>
          <w:i/>
        </w:rPr>
        <w:t>The following paragraphs have been added to the first paragraph of Article 4 entitled</w:t>
      </w:r>
      <w:r w:rsidR="008C0305">
        <w:rPr>
          <w:rFonts w:ascii="Times New Roman" w:hAnsi="Times New Roman"/>
          <w:i/>
        </w:rPr>
        <w:t xml:space="preserve"> “</w:t>
      </w:r>
      <w:r w:rsidRPr="009E1B38">
        <w:rPr>
          <w:rFonts w:ascii="Times New Roman" w:hAnsi="Times New Roman"/>
          <w:i/>
        </w:rPr>
        <w:t>Definitions</w:t>
      </w:r>
      <w:r w:rsidR="008C0305">
        <w:rPr>
          <w:rFonts w:ascii="Times New Roman" w:hAnsi="Times New Roman"/>
          <w:i/>
        </w:rPr>
        <w:t>”</w:t>
      </w:r>
      <w:r w:rsidRPr="009E1B38">
        <w:rPr>
          <w:rFonts w:ascii="Times New Roman" w:hAnsi="Times New Roman"/>
          <w:i/>
        </w:rPr>
        <w:t>.</w:t>
      </w:r>
    </w:p>
    <w:p w14:paraId="7D4A7CC7" w14:textId="77777777" w:rsidR="00475E83" w:rsidRPr="009E1B38" w:rsidRDefault="00475E83" w:rsidP="00475E83">
      <w:pPr>
        <w:pStyle w:val="ListeParagraf"/>
        <w:spacing w:after="160" w:line="259" w:lineRule="auto"/>
        <w:ind w:left="1440"/>
        <w:rPr>
          <w:rFonts w:ascii="Times New Roman" w:hAnsi="Times New Roman"/>
        </w:rPr>
      </w:pPr>
    </w:p>
    <w:p w14:paraId="7D4A7CC8" w14:textId="3B0D0711" w:rsidR="00DC14F4" w:rsidRPr="009E1B38" w:rsidRDefault="00DC14F4" w:rsidP="00DC14F4">
      <w:pPr>
        <w:pStyle w:val="ListeParagraf"/>
        <w:ind w:left="1440"/>
        <w:rPr>
          <w:rFonts w:ascii="Times New Roman" w:hAnsi="Times New Roman"/>
          <w:i/>
        </w:rPr>
      </w:pPr>
      <w:r w:rsidRPr="009E1B38">
        <w:rPr>
          <w:rFonts w:ascii="Times New Roman" w:hAnsi="Times New Roman"/>
          <w:i/>
        </w:rPr>
        <w:t xml:space="preserve">“ç) </w:t>
      </w:r>
      <w:r w:rsidR="002D22C5" w:rsidRPr="009E1B38">
        <w:rPr>
          <w:rFonts w:ascii="Times New Roman" w:hAnsi="Times New Roman"/>
          <w:i/>
        </w:rPr>
        <w:t>Multiple counting: In the calculations of the blending obligation, the amount of product produced using the raw materials specified in this Communique should be multiplied by the specified coefficient and included in the liability account</w:t>
      </w:r>
      <w:r w:rsidR="008C0305" w:rsidRPr="009E1B38">
        <w:rPr>
          <w:rFonts w:ascii="Times New Roman" w:hAnsi="Times New Roman"/>
          <w:i/>
        </w:rPr>
        <w:t>.</w:t>
      </w:r>
    </w:p>
    <w:p w14:paraId="7D4A7CC9" w14:textId="7923AFB0" w:rsidR="00DC14F4" w:rsidRPr="009E1B38" w:rsidRDefault="00DC14F4" w:rsidP="00DC14F4">
      <w:pPr>
        <w:pStyle w:val="ListeParagraf"/>
        <w:ind w:left="1440"/>
        <w:rPr>
          <w:rFonts w:ascii="Times New Roman" w:hAnsi="Times New Roman"/>
          <w:i/>
        </w:rPr>
      </w:pPr>
      <w:r w:rsidRPr="009E1B38">
        <w:rPr>
          <w:rFonts w:ascii="Times New Roman" w:hAnsi="Times New Roman"/>
          <w:i/>
        </w:rPr>
        <w:t xml:space="preserve">d) </w:t>
      </w:r>
      <w:r w:rsidR="00F14EAB" w:rsidRPr="009E1B38">
        <w:rPr>
          <w:rFonts w:ascii="Times New Roman" w:hAnsi="Times New Roman"/>
          <w:i/>
        </w:rPr>
        <w:t>Input-Output balance: The quantitative consistency between substances entering, leaving and Decommissioning the processing license holder's facility and between the amount of biodiesel produced from vegetable waste oil and the amount of vegetable waste oil Dec to the facility,”</w:t>
      </w:r>
    </w:p>
    <w:p w14:paraId="7D4A7CCA" w14:textId="77777777" w:rsidR="00DC14F4" w:rsidRPr="009E1B38" w:rsidRDefault="00DC14F4" w:rsidP="00DC14F4">
      <w:pPr>
        <w:pStyle w:val="ListeParagraf"/>
        <w:ind w:left="1440"/>
        <w:rPr>
          <w:rFonts w:ascii="Times New Roman" w:hAnsi="Times New Roman"/>
          <w:i/>
        </w:rPr>
      </w:pPr>
    </w:p>
    <w:p w14:paraId="7D4A7CCB" w14:textId="340EDF1F" w:rsidR="00DC14F4" w:rsidRPr="009E1B38" w:rsidRDefault="00F14EAB" w:rsidP="003C5E4D">
      <w:pPr>
        <w:pStyle w:val="ListeParagraf"/>
        <w:numPr>
          <w:ilvl w:val="0"/>
          <w:numId w:val="39"/>
        </w:numPr>
        <w:spacing w:after="160" w:line="259" w:lineRule="auto"/>
        <w:jc w:val="left"/>
        <w:rPr>
          <w:rFonts w:ascii="Times New Roman" w:hAnsi="Times New Roman"/>
          <w:i/>
        </w:rPr>
      </w:pPr>
      <w:r w:rsidRPr="009E1B38">
        <w:rPr>
          <w:rFonts w:ascii="Times New Roman" w:hAnsi="Times New Roman"/>
          <w:i/>
        </w:rPr>
        <w:t>The following paragraphs have been added to Article 7 entitled ”Principles of application".</w:t>
      </w:r>
    </w:p>
    <w:p w14:paraId="7D4A7CCC" w14:textId="77777777" w:rsidR="00DC14F4" w:rsidRPr="009E1B38" w:rsidRDefault="00DC14F4" w:rsidP="00DC14F4">
      <w:pPr>
        <w:pStyle w:val="ListeParagraf"/>
        <w:ind w:left="1440"/>
        <w:rPr>
          <w:rFonts w:ascii="Times New Roman" w:hAnsi="Times New Roman"/>
          <w:i/>
        </w:rPr>
      </w:pPr>
      <w:bookmarkStart w:id="79" w:name="_Hlk90026724"/>
    </w:p>
    <w:p w14:paraId="7D4A7CCE" w14:textId="66BA0F58" w:rsidR="00DC14F4" w:rsidRPr="009E1B38" w:rsidRDefault="006D1D78" w:rsidP="00DC14F4">
      <w:pPr>
        <w:pStyle w:val="ListeParagraf"/>
        <w:ind w:left="1440"/>
        <w:rPr>
          <w:rFonts w:ascii="Times New Roman" w:hAnsi="Times New Roman"/>
          <w:i/>
        </w:rPr>
      </w:pPr>
      <w:r w:rsidRPr="009E1B38">
        <w:rPr>
          <w:rFonts w:ascii="Times New Roman" w:hAnsi="Times New Roman"/>
          <w:i/>
        </w:rPr>
        <w:t>“(5) The processing license holder is obliged to show the biodiesel sold in separate items as “Biodiesel (Produced from a Domestic Agricultural Product) / Biodiesel (Produced from Vegetable Waste Oil)” according to the type of raw material used in its production in the document replacing the invoice or invoice that he will issue for biodiesel deliveries. In the same document, a description of whether biodiesel is a blending product is also included.</w:t>
      </w:r>
    </w:p>
    <w:bookmarkEnd w:id="79"/>
    <w:p w14:paraId="69450A4F" w14:textId="77777777" w:rsidR="00502D9D" w:rsidRPr="009E1B38" w:rsidRDefault="00502D9D" w:rsidP="00DC14F4">
      <w:pPr>
        <w:pStyle w:val="ListeParagraf"/>
        <w:ind w:left="1440"/>
        <w:rPr>
          <w:rFonts w:ascii="Times New Roman" w:hAnsi="Times New Roman"/>
          <w:i/>
        </w:rPr>
      </w:pPr>
    </w:p>
    <w:p w14:paraId="7D4A7CCF" w14:textId="03BBE5FC" w:rsidR="00DC14F4" w:rsidRPr="009E1B38" w:rsidRDefault="00502D9D" w:rsidP="00DC14F4">
      <w:pPr>
        <w:pStyle w:val="ListeParagraf"/>
        <w:ind w:left="1440"/>
        <w:rPr>
          <w:rFonts w:ascii="Times New Roman" w:hAnsi="Times New Roman"/>
          <w:i/>
        </w:rPr>
      </w:pPr>
      <w:r w:rsidRPr="009E1B38">
        <w:rPr>
          <w:rFonts w:ascii="Times New Roman" w:hAnsi="Times New Roman"/>
          <w:i/>
        </w:rPr>
        <w:t>(6) Biodiesel supplied for blending with diesel oil cannot be Jul-</w:t>
      </w:r>
      <w:r w:rsidR="00E8233E" w:rsidRPr="009E1B38">
        <w:rPr>
          <w:rFonts w:ascii="Times New Roman" w:hAnsi="Times New Roman"/>
          <w:i/>
        </w:rPr>
        <w:t xml:space="preserve"> </w:t>
      </w:r>
      <w:r w:rsidRPr="009E1B38">
        <w:rPr>
          <w:rFonts w:ascii="Times New Roman" w:hAnsi="Times New Roman"/>
          <w:i/>
        </w:rPr>
        <w:t>tained for resale.</w:t>
      </w:r>
    </w:p>
    <w:p w14:paraId="7D4A7CD0" w14:textId="77777777" w:rsidR="00DC14F4" w:rsidRPr="009E1B38" w:rsidRDefault="00DC14F4" w:rsidP="00DC14F4">
      <w:pPr>
        <w:pStyle w:val="ListeParagraf"/>
        <w:ind w:left="1440"/>
        <w:rPr>
          <w:rFonts w:ascii="Times New Roman" w:hAnsi="Times New Roman"/>
          <w:i/>
        </w:rPr>
      </w:pPr>
      <w:r w:rsidRPr="009E1B38">
        <w:rPr>
          <w:rFonts w:ascii="Times New Roman" w:hAnsi="Times New Roman"/>
          <w:i/>
        </w:rPr>
        <w:t xml:space="preserve"> </w:t>
      </w:r>
    </w:p>
    <w:p w14:paraId="7D4A7CD2" w14:textId="62E83A2B" w:rsidR="00DC14F4" w:rsidRPr="009E1B38" w:rsidRDefault="006D1D78" w:rsidP="00DC14F4">
      <w:pPr>
        <w:pStyle w:val="ListeParagraf"/>
        <w:ind w:left="1440"/>
        <w:rPr>
          <w:rFonts w:ascii="Times New Roman" w:hAnsi="Times New Roman"/>
          <w:i/>
        </w:rPr>
      </w:pPr>
      <w:r w:rsidRPr="009E1B38">
        <w:rPr>
          <w:rFonts w:ascii="Times New Roman" w:hAnsi="Times New Roman"/>
          <w:i/>
        </w:rPr>
        <w:t>(7) Documents proving the source and type of raw materials used in biodiesel production shall be kept by the processing license holders for a period of 5 years.</w:t>
      </w:r>
    </w:p>
    <w:p w14:paraId="79D1ABE3" w14:textId="77777777" w:rsidR="00502D9D" w:rsidRPr="009E1B38" w:rsidRDefault="00502D9D" w:rsidP="00DC14F4">
      <w:pPr>
        <w:pStyle w:val="ListeParagraf"/>
        <w:ind w:left="1440"/>
        <w:rPr>
          <w:rFonts w:ascii="Times New Roman" w:hAnsi="Times New Roman"/>
          <w:i/>
        </w:rPr>
      </w:pPr>
    </w:p>
    <w:p w14:paraId="7D4A7CD4" w14:textId="1267EB0C" w:rsidR="00DC14F4" w:rsidRPr="009E1B38" w:rsidRDefault="00502D9D" w:rsidP="00DC14F4">
      <w:pPr>
        <w:pStyle w:val="ListeParagraf"/>
        <w:ind w:left="1440"/>
        <w:rPr>
          <w:rFonts w:ascii="Times New Roman" w:hAnsi="Times New Roman"/>
          <w:i/>
        </w:rPr>
      </w:pPr>
      <w:r w:rsidRPr="009E1B38">
        <w:rPr>
          <w:rFonts w:ascii="Times New Roman" w:hAnsi="Times New Roman"/>
          <w:i/>
        </w:rPr>
        <w:t>(8) Processing license holders submit their reports to the Institution by the end of March of the following year in accordance with the format contained in the Energy Market Notification System, which is prepared by a certified public accountant for each calendar year in relation to production, sales and inventory movements at their facilities.”</w:t>
      </w:r>
    </w:p>
    <w:p w14:paraId="585C87C4" w14:textId="77777777" w:rsidR="00741E7C" w:rsidRPr="009E1B38" w:rsidRDefault="00741E7C" w:rsidP="00DC14F4">
      <w:pPr>
        <w:pStyle w:val="ListeParagraf"/>
        <w:ind w:left="1440"/>
        <w:rPr>
          <w:rFonts w:ascii="Times New Roman" w:hAnsi="Times New Roman"/>
          <w:i/>
        </w:rPr>
      </w:pPr>
    </w:p>
    <w:p w14:paraId="716C0235" w14:textId="33A17689" w:rsidR="00197BA9" w:rsidRPr="009E1B38" w:rsidRDefault="00197BA9" w:rsidP="00DC14F4">
      <w:pPr>
        <w:pStyle w:val="ListeParagraf"/>
        <w:ind w:left="1440"/>
        <w:rPr>
          <w:rFonts w:ascii="Times New Roman" w:hAnsi="Times New Roman"/>
        </w:rPr>
      </w:pPr>
      <w:r w:rsidRPr="009E1B38">
        <w:rPr>
          <w:rFonts w:ascii="Times New Roman" w:hAnsi="Times New Roman"/>
        </w:rPr>
        <w:t xml:space="preserve">- </w:t>
      </w:r>
      <w:r w:rsidR="00301040" w:rsidRPr="009E1B38">
        <w:rPr>
          <w:rFonts w:ascii="Times New Roman" w:hAnsi="Times New Roman"/>
        </w:rPr>
        <w:t>The</w:t>
      </w:r>
      <w:r w:rsidRPr="009E1B38">
        <w:rPr>
          <w:rFonts w:ascii="Times New Roman" w:hAnsi="Times New Roman"/>
        </w:rPr>
        <w:t xml:space="preserve"> following article 8 /A has been added to follow Article 8. </w:t>
      </w:r>
    </w:p>
    <w:p w14:paraId="56827C5A" w14:textId="77777777" w:rsidR="00197BA9" w:rsidRPr="009E1B38" w:rsidRDefault="00197BA9" w:rsidP="00DC14F4">
      <w:pPr>
        <w:pStyle w:val="ListeParagraf"/>
        <w:ind w:left="1440"/>
        <w:rPr>
          <w:rFonts w:ascii="Times New Roman" w:hAnsi="Times New Roman"/>
        </w:rPr>
      </w:pPr>
    </w:p>
    <w:p w14:paraId="7D4A7CD8" w14:textId="1CAC5047" w:rsidR="00DC14F4" w:rsidRPr="009E1B38" w:rsidRDefault="00197BA9" w:rsidP="00DC14F4">
      <w:pPr>
        <w:pStyle w:val="ListeParagraf"/>
        <w:ind w:left="1440"/>
        <w:rPr>
          <w:rFonts w:ascii="Times New Roman" w:hAnsi="Times New Roman"/>
          <w:i/>
        </w:rPr>
      </w:pPr>
      <w:r w:rsidRPr="009E1B38">
        <w:rPr>
          <w:rFonts w:ascii="Times New Roman" w:hAnsi="Times New Roman"/>
          <w:i/>
        </w:rPr>
        <w:t>"Multiple counting</w:t>
      </w:r>
    </w:p>
    <w:p w14:paraId="586E3ED8" w14:textId="77777777" w:rsidR="00197BA9" w:rsidRPr="009E1B38" w:rsidRDefault="00197BA9" w:rsidP="00DC14F4">
      <w:pPr>
        <w:pStyle w:val="ListeParagraf"/>
        <w:ind w:left="1440"/>
        <w:rPr>
          <w:rFonts w:ascii="Times New Roman" w:hAnsi="Times New Roman"/>
          <w:i/>
        </w:rPr>
      </w:pPr>
    </w:p>
    <w:p w14:paraId="7D4A7CDA" w14:textId="497E8386" w:rsidR="00DC14F4" w:rsidRPr="009E1B38" w:rsidRDefault="00197BA9" w:rsidP="00DC14F4">
      <w:pPr>
        <w:pStyle w:val="ListeParagraf"/>
        <w:ind w:left="1440"/>
        <w:rPr>
          <w:rFonts w:ascii="Times New Roman" w:hAnsi="Times New Roman"/>
          <w:i/>
        </w:rPr>
      </w:pPr>
      <w:r w:rsidRPr="009E1B38">
        <w:rPr>
          <w:rFonts w:ascii="Times New Roman" w:hAnsi="Times New Roman"/>
          <w:i/>
        </w:rPr>
        <w:t>ARTICLE</w:t>
      </w:r>
      <w:r w:rsidR="00DC14F4" w:rsidRPr="009E1B38">
        <w:rPr>
          <w:rFonts w:ascii="Times New Roman" w:hAnsi="Times New Roman"/>
          <w:i/>
        </w:rPr>
        <w:t xml:space="preserve"> 8/A – </w:t>
      </w:r>
      <w:r w:rsidR="0077675A" w:rsidRPr="009E1B38">
        <w:rPr>
          <w:rFonts w:ascii="Times New Roman" w:hAnsi="Times New Roman"/>
          <w:i/>
        </w:rPr>
        <w:t>(1) Biodiesel produced from vegetable waste oils is counted as twice in the calculation of blending obligation.</w:t>
      </w:r>
    </w:p>
    <w:p w14:paraId="29EEDDBE" w14:textId="77777777" w:rsidR="0077675A" w:rsidRPr="009E1B38" w:rsidRDefault="0077675A" w:rsidP="00DC14F4">
      <w:pPr>
        <w:pStyle w:val="ListeParagraf"/>
        <w:ind w:left="1440"/>
        <w:rPr>
          <w:rFonts w:ascii="Times New Roman" w:hAnsi="Times New Roman"/>
          <w:i/>
        </w:rPr>
      </w:pPr>
    </w:p>
    <w:p w14:paraId="7D4A7CDC" w14:textId="6FC5417F" w:rsidR="00DC14F4" w:rsidRPr="009E1B38" w:rsidRDefault="00161335" w:rsidP="00DC14F4">
      <w:pPr>
        <w:pStyle w:val="ListeParagraf"/>
        <w:ind w:left="1440"/>
        <w:rPr>
          <w:rFonts w:ascii="Times New Roman" w:hAnsi="Times New Roman"/>
          <w:i/>
        </w:rPr>
      </w:pPr>
      <w:r w:rsidRPr="009E1B38">
        <w:rPr>
          <w:rFonts w:ascii="Times New Roman" w:hAnsi="Times New Roman"/>
          <w:i/>
        </w:rPr>
        <w:t>(2) It is mandatory to ensure the input-output balance of the facility covered by the processing license during the controls performed by the institution.”</w:t>
      </w:r>
    </w:p>
    <w:p w14:paraId="18C7037D" w14:textId="77777777" w:rsidR="00161335" w:rsidRPr="009E1B38" w:rsidRDefault="00161335" w:rsidP="00DC14F4">
      <w:pPr>
        <w:pStyle w:val="ListeParagraf"/>
        <w:ind w:left="1440"/>
        <w:rPr>
          <w:rFonts w:ascii="Times New Roman" w:hAnsi="Times New Roman"/>
          <w:i/>
        </w:rPr>
      </w:pPr>
    </w:p>
    <w:p w14:paraId="06843077" w14:textId="77777777" w:rsidR="00161335" w:rsidRPr="009E1B38" w:rsidRDefault="00161335" w:rsidP="00DC14F4">
      <w:pPr>
        <w:pStyle w:val="ListeParagraf"/>
        <w:ind w:left="1440"/>
        <w:rPr>
          <w:rFonts w:ascii="Times New Roman" w:hAnsi="Times New Roman"/>
        </w:rPr>
      </w:pPr>
      <w:r w:rsidRPr="009E1B38">
        <w:rPr>
          <w:rFonts w:ascii="Times New Roman" w:hAnsi="Times New Roman"/>
        </w:rPr>
        <w:t xml:space="preserve">- The following temporary clause has been added. </w:t>
      </w:r>
    </w:p>
    <w:p w14:paraId="047D9459" w14:textId="77777777" w:rsidR="00161335" w:rsidRPr="009E1B38" w:rsidRDefault="00161335" w:rsidP="00DC14F4">
      <w:pPr>
        <w:pStyle w:val="ListeParagraf"/>
        <w:ind w:left="1440"/>
        <w:rPr>
          <w:rFonts w:ascii="Times New Roman" w:hAnsi="Times New Roman"/>
        </w:rPr>
      </w:pPr>
    </w:p>
    <w:p w14:paraId="7D4A7CE0" w14:textId="4CE082E7" w:rsidR="00DC14F4" w:rsidRPr="009E1B38" w:rsidRDefault="00DC14F4" w:rsidP="00DC14F4">
      <w:pPr>
        <w:pStyle w:val="ListeParagraf"/>
        <w:ind w:left="1440"/>
        <w:rPr>
          <w:rFonts w:ascii="Times New Roman" w:hAnsi="Times New Roman"/>
          <w:i/>
        </w:rPr>
      </w:pPr>
      <w:r w:rsidRPr="009E1B38">
        <w:rPr>
          <w:rFonts w:ascii="Times New Roman" w:hAnsi="Times New Roman"/>
          <w:i/>
        </w:rPr>
        <w:t>“</w:t>
      </w:r>
      <w:r w:rsidR="00523162" w:rsidRPr="009E1B38">
        <w:rPr>
          <w:rFonts w:ascii="Times New Roman" w:hAnsi="Times New Roman"/>
          <w:i/>
        </w:rPr>
        <w:t>TEMPORARY ARTICLE</w:t>
      </w:r>
      <w:r w:rsidRPr="009E1B38">
        <w:rPr>
          <w:rFonts w:ascii="Times New Roman" w:hAnsi="Times New Roman"/>
          <w:i/>
        </w:rPr>
        <w:t xml:space="preserve"> 3 – </w:t>
      </w:r>
      <w:r w:rsidR="00166789" w:rsidRPr="009E1B38">
        <w:rPr>
          <w:rFonts w:ascii="Times New Roman" w:hAnsi="Times New Roman"/>
          <w:i/>
        </w:rPr>
        <w:t>(1) the amount of biodiesel blended in the 2020-2021 blending period is evaluated by multiplying it by a factor of 1.2 in the calculations of the obligations of licensees for the relevant period.”</w:t>
      </w:r>
    </w:p>
    <w:p w14:paraId="461E834C" w14:textId="77777777" w:rsidR="00166789" w:rsidRPr="009E1B38" w:rsidRDefault="00166789" w:rsidP="00DC14F4">
      <w:pPr>
        <w:pStyle w:val="ListeParagraf"/>
        <w:ind w:left="1440"/>
        <w:rPr>
          <w:rFonts w:ascii="Times New Roman" w:hAnsi="Times New Roman"/>
          <w:i/>
        </w:rPr>
      </w:pPr>
    </w:p>
    <w:p w14:paraId="7D4A7CE2" w14:textId="4F1BE588" w:rsidR="00DC14F4" w:rsidRPr="009E1B38" w:rsidRDefault="00166789" w:rsidP="003C5E4D">
      <w:pPr>
        <w:pStyle w:val="ListeParagraf"/>
        <w:numPr>
          <w:ilvl w:val="0"/>
          <w:numId w:val="34"/>
        </w:numPr>
        <w:spacing w:after="160" w:line="259" w:lineRule="auto"/>
        <w:rPr>
          <w:rFonts w:ascii="Times New Roman" w:hAnsi="Times New Roman"/>
          <w:b/>
        </w:rPr>
      </w:pPr>
      <w:r w:rsidRPr="009E1B38">
        <w:rPr>
          <w:rFonts w:ascii="Times New Roman" w:hAnsi="Times New Roman"/>
        </w:rPr>
        <w:t>Communique on the Blending of Ethanol into Gasoline Types with the Amendment Communique published in the Official Gazette dated 30.12.2021 and numbered 31705</w:t>
      </w:r>
    </w:p>
    <w:p w14:paraId="75CE33F3" w14:textId="77777777" w:rsidR="00166789" w:rsidRPr="009E1B38" w:rsidRDefault="00166789" w:rsidP="00166789">
      <w:pPr>
        <w:pStyle w:val="ListeParagraf"/>
        <w:spacing w:after="160" w:line="259" w:lineRule="auto"/>
        <w:rPr>
          <w:rFonts w:ascii="Times New Roman" w:hAnsi="Times New Roman"/>
          <w:b/>
        </w:rPr>
      </w:pPr>
    </w:p>
    <w:p w14:paraId="7D4A7CE4" w14:textId="149BB715" w:rsidR="00DC14F4" w:rsidRPr="009E1B38" w:rsidRDefault="00BA7E07" w:rsidP="003C5E4D">
      <w:pPr>
        <w:pStyle w:val="ListeParagraf"/>
        <w:numPr>
          <w:ilvl w:val="0"/>
          <w:numId w:val="38"/>
        </w:numPr>
        <w:spacing w:after="160" w:line="259" w:lineRule="auto"/>
        <w:rPr>
          <w:rFonts w:ascii="Times New Roman" w:hAnsi="Times New Roman"/>
          <w:b/>
        </w:rPr>
      </w:pPr>
      <w:r w:rsidRPr="009E1B38">
        <w:rPr>
          <w:rFonts w:ascii="Times New Roman" w:hAnsi="Times New Roman"/>
        </w:rPr>
        <w:t>The following temporary clause has been added.</w:t>
      </w:r>
    </w:p>
    <w:p w14:paraId="7AAADBD8" w14:textId="77777777" w:rsidR="00BA7E07" w:rsidRPr="009E1B38" w:rsidRDefault="00BA7E07" w:rsidP="00BA7E07">
      <w:pPr>
        <w:pStyle w:val="ListeParagraf"/>
        <w:spacing w:after="160" w:line="259" w:lineRule="auto"/>
        <w:ind w:left="1440"/>
        <w:rPr>
          <w:rFonts w:ascii="Times New Roman" w:hAnsi="Times New Roman"/>
          <w:b/>
        </w:rPr>
      </w:pPr>
    </w:p>
    <w:p w14:paraId="75D8AFA3" w14:textId="77777777" w:rsidR="00A878D8" w:rsidRPr="009E1B38" w:rsidRDefault="00A878D8" w:rsidP="00475E83">
      <w:pPr>
        <w:pStyle w:val="ListeParagraf"/>
        <w:ind w:left="1440"/>
        <w:rPr>
          <w:rFonts w:ascii="Times New Roman" w:hAnsi="Times New Roman"/>
          <w:i/>
        </w:rPr>
      </w:pPr>
      <w:r w:rsidRPr="009E1B38">
        <w:rPr>
          <w:rFonts w:ascii="Times New Roman" w:hAnsi="Times New Roman"/>
          <w:i/>
        </w:rPr>
        <w:t>"Consolidation of obligations</w:t>
      </w:r>
    </w:p>
    <w:p w14:paraId="10E0135D" w14:textId="4A46FB4D" w:rsidR="00681A07" w:rsidRPr="009E1B38" w:rsidRDefault="00DC14F4" w:rsidP="00475E83">
      <w:pPr>
        <w:pStyle w:val="ListeParagraf"/>
        <w:ind w:left="1440"/>
        <w:rPr>
          <w:rFonts w:ascii="Times New Roman" w:hAnsi="Times New Roman"/>
          <w:i/>
        </w:rPr>
      </w:pPr>
      <w:r w:rsidRPr="009E1B38">
        <w:rPr>
          <w:rFonts w:ascii="Times New Roman" w:hAnsi="Times New Roman"/>
          <w:i/>
        </w:rPr>
        <w:t xml:space="preserve">  </w:t>
      </w:r>
      <w:r w:rsidR="00A878D8" w:rsidRPr="009E1B38">
        <w:rPr>
          <w:rFonts w:ascii="Times New Roman" w:hAnsi="Times New Roman"/>
          <w:i/>
        </w:rPr>
        <w:t>TEMPORARY ARTICLE</w:t>
      </w:r>
      <w:r w:rsidRPr="009E1B38">
        <w:rPr>
          <w:rFonts w:ascii="Times New Roman" w:hAnsi="Times New Roman"/>
          <w:i/>
        </w:rPr>
        <w:t xml:space="preserve"> 1 – </w:t>
      </w:r>
      <w:r w:rsidR="00681A07" w:rsidRPr="009E1B38">
        <w:rPr>
          <w:rFonts w:ascii="Times New Roman" w:hAnsi="Times New Roman"/>
          <w:i/>
        </w:rPr>
        <w:t>(1) In calculating the ethanol blending obligation of refinery and distributor license holders, the years 2021 and 2022 are considered to be a single obligation period.”</w:t>
      </w:r>
    </w:p>
    <w:p w14:paraId="7D4A7CE7" w14:textId="2277DA3E" w:rsidR="001D2DA2" w:rsidRPr="009E1B38" w:rsidRDefault="002D1960" w:rsidP="003C5E4D">
      <w:pPr>
        <w:pStyle w:val="Balk3"/>
        <w:numPr>
          <w:ilvl w:val="2"/>
          <w:numId w:val="60"/>
        </w:numPr>
        <w:spacing w:after="240"/>
        <w:rPr>
          <w:rFonts w:ascii="Times New Roman" w:hAnsi="Times New Roman" w:cs="Times New Roman"/>
          <w:color w:val="auto"/>
        </w:rPr>
      </w:pPr>
      <w:bookmarkStart w:id="80" w:name="_Toc113615323"/>
      <w:r w:rsidRPr="009E1B38">
        <w:rPr>
          <w:rFonts w:ascii="Times New Roman" w:hAnsi="Times New Roman" w:cs="Times New Roman"/>
          <w:color w:val="auto"/>
        </w:rPr>
        <w:t>Board Decisions</w:t>
      </w:r>
      <w:bookmarkEnd w:id="78"/>
      <w:bookmarkEnd w:id="80"/>
    </w:p>
    <w:p w14:paraId="7D4A7CE9" w14:textId="6E053B67" w:rsidR="00475E83" w:rsidRPr="009E1B38" w:rsidRDefault="009E1B38" w:rsidP="001D2DA2">
      <w:pPr>
        <w:spacing w:after="0"/>
        <w:rPr>
          <w:rFonts w:ascii="Times New Roman" w:hAnsi="Times New Roman"/>
        </w:rPr>
      </w:pPr>
      <w:r w:rsidRPr="009E1B38">
        <w:rPr>
          <w:rFonts w:ascii="Times New Roman" w:hAnsi="Times New Roman"/>
        </w:rPr>
        <w:t>T</w:t>
      </w:r>
      <w:r w:rsidR="00561B5C" w:rsidRPr="009E1B38">
        <w:rPr>
          <w:rFonts w:ascii="Times New Roman" w:hAnsi="Times New Roman"/>
        </w:rPr>
        <w:t>he following Board Decisions have been made in 2021 as a regulatory act in the oil market:</w:t>
      </w:r>
    </w:p>
    <w:p w14:paraId="2F07B0B9" w14:textId="77777777" w:rsidR="00561B5C" w:rsidRPr="009E1B38" w:rsidRDefault="00561B5C" w:rsidP="001D2DA2">
      <w:pPr>
        <w:spacing w:after="0"/>
        <w:rPr>
          <w:rFonts w:ascii="Times New Roman" w:hAnsi="Times New Roman"/>
        </w:rPr>
      </w:pPr>
    </w:p>
    <w:p w14:paraId="7D4A7CEB" w14:textId="2F0EF4DE" w:rsidR="00475E83" w:rsidRPr="009E1B38" w:rsidRDefault="00D41F99" w:rsidP="003C5E4D">
      <w:pPr>
        <w:pStyle w:val="ListeParagraf"/>
        <w:numPr>
          <w:ilvl w:val="0"/>
          <w:numId w:val="34"/>
        </w:numPr>
        <w:spacing w:after="160" w:line="259" w:lineRule="auto"/>
        <w:rPr>
          <w:rFonts w:ascii="Times New Roman" w:hAnsi="Times New Roman"/>
          <w:iCs/>
        </w:rPr>
      </w:pPr>
      <w:r w:rsidRPr="009E1B38">
        <w:rPr>
          <w:rFonts w:ascii="Times New Roman" w:hAnsi="Times New Roman"/>
        </w:rPr>
        <w:t>16.01.2021 31366 published in the official gazette dated 14.01.2021 Assembly No. 9974 published in the Official Gazette numbered 9822 with the decision 22.12.2020 31342 17.12.2020 crude oil, fuel oil, bunker fuel, lube oil, base oil and oil-related substances of Article 4 of the decision of the first paragraph is amended. The change is related to the change of the GTIP Numbers of the fuel types.</w:t>
      </w:r>
    </w:p>
    <w:p w14:paraId="69A7C72F" w14:textId="77777777" w:rsidR="00D41F99" w:rsidRPr="009E1B38" w:rsidRDefault="00D41F99" w:rsidP="00D41F99">
      <w:pPr>
        <w:pStyle w:val="ListeParagraf"/>
        <w:spacing w:after="160" w:line="259" w:lineRule="auto"/>
        <w:rPr>
          <w:rFonts w:ascii="Times New Roman" w:hAnsi="Times New Roman"/>
          <w:iCs/>
        </w:rPr>
      </w:pPr>
    </w:p>
    <w:p w14:paraId="7D4A7CEC" w14:textId="3CA62149" w:rsidR="00475E83" w:rsidRPr="009E1B38" w:rsidRDefault="00274913" w:rsidP="003C5E4D">
      <w:pPr>
        <w:pStyle w:val="ListeParagraf"/>
        <w:numPr>
          <w:ilvl w:val="0"/>
          <w:numId w:val="34"/>
        </w:numPr>
        <w:spacing w:after="160" w:line="259" w:lineRule="auto"/>
        <w:rPr>
          <w:rFonts w:ascii="Times New Roman" w:hAnsi="Times New Roman"/>
          <w:b/>
        </w:rPr>
      </w:pPr>
      <w:r w:rsidRPr="009E1B38">
        <w:rPr>
          <w:rFonts w:ascii="Times New Roman" w:hAnsi="Times New Roman"/>
        </w:rPr>
        <w:t>05.05.2021 31475 published in the official gazette dated</w:t>
      </w:r>
      <w:r w:rsidR="00EB243C" w:rsidRPr="009E1B38">
        <w:rPr>
          <w:rFonts w:ascii="Times New Roman" w:hAnsi="Times New Roman"/>
        </w:rPr>
        <w:t xml:space="preserve"> </w:t>
      </w:r>
      <w:r w:rsidRPr="009E1B38">
        <w:rPr>
          <w:rFonts w:ascii="Times New Roman" w:hAnsi="Times New Roman"/>
        </w:rPr>
        <w:t>09.06.2011 29.04.2021 10183 27959 published in the Official Gazette numbered with the decision of the assembly, dated 31.05.2011 3242/2) the change in the disclosures of license applications in the petroleum market, the board's decision reviewed.</w:t>
      </w:r>
    </w:p>
    <w:p w14:paraId="7D4A7CED" w14:textId="77777777" w:rsidR="00475E83" w:rsidRPr="009E1B38" w:rsidRDefault="00475E83" w:rsidP="00475E83">
      <w:pPr>
        <w:pStyle w:val="ListeParagraf"/>
        <w:rPr>
          <w:rFonts w:ascii="Times New Roman" w:hAnsi="Times New Roman"/>
          <w:b/>
        </w:rPr>
      </w:pPr>
    </w:p>
    <w:p w14:paraId="7D4A7CEE" w14:textId="487759F7" w:rsidR="00475E83" w:rsidRPr="009E1B38" w:rsidRDefault="00F47E05" w:rsidP="003C5E4D">
      <w:pPr>
        <w:pStyle w:val="ListeParagraf"/>
        <w:numPr>
          <w:ilvl w:val="0"/>
          <w:numId w:val="34"/>
        </w:numPr>
        <w:spacing w:after="160" w:line="259" w:lineRule="auto"/>
        <w:rPr>
          <w:rFonts w:ascii="Times New Roman" w:hAnsi="Times New Roman"/>
        </w:rPr>
      </w:pPr>
      <w:r w:rsidRPr="009E1B38">
        <w:rPr>
          <w:rFonts w:ascii="Times New Roman" w:hAnsi="Times New Roman"/>
        </w:rPr>
        <w:t>The following amendments were made to the Board Decision on Differentiated Fuel Oils dated 27.05.2021 and numbered 10228, published in the Official Gazette dated 29.05.2021 and numbered 31495.</w:t>
      </w:r>
    </w:p>
    <w:p w14:paraId="7D4A7CEF" w14:textId="77777777" w:rsidR="00475E83" w:rsidRPr="009E1B38" w:rsidRDefault="00475E83" w:rsidP="00475E83">
      <w:pPr>
        <w:pStyle w:val="ListeParagraf"/>
        <w:rPr>
          <w:rFonts w:ascii="Times New Roman" w:hAnsi="Times New Roman"/>
        </w:rPr>
      </w:pPr>
    </w:p>
    <w:p w14:paraId="7D4A7CF1" w14:textId="6FD6FBAC" w:rsidR="00475E83" w:rsidRPr="009E1B38" w:rsidRDefault="0034786D" w:rsidP="00475E83">
      <w:pPr>
        <w:pStyle w:val="ListeParagraf"/>
        <w:spacing w:after="0" w:line="240" w:lineRule="auto"/>
        <w:ind w:left="1440"/>
        <w:rPr>
          <w:rFonts w:ascii="Times New Roman" w:hAnsi="Times New Roman"/>
        </w:rPr>
      </w:pPr>
      <w:r w:rsidRPr="009E1B38">
        <w:rPr>
          <w:rFonts w:ascii="Times New Roman" w:hAnsi="Times New Roman"/>
        </w:rPr>
        <w:t>- The following paragraph has been added to Article 4 of the decision entitled “Additive” to come after the first paragraph and the other paragraph has been amended accordingly.</w:t>
      </w:r>
    </w:p>
    <w:p w14:paraId="04DDDCB9" w14:textId="77777777" w:rsidR="0034786D" w:rsidRPr="009E1B38" w:rsidRDefault="0034786D" w:rsidP="00475E83">
      <w:pPr>
        <w:pStyle w:val="ListeParagraf"/>
        <w:spacing w:after="0" w:line="240" w:lineRule="auto"/>
        <w:ind w:left="1440"/>
        <w:rPr>
          <w:rFonts w:ascii="Times New Roman" w:hAnsi="Times New Roman"/>
        </w:rPr>
      </w:pPr>
    </w:p>
    <w:p w14:paraId="7D4A7CF3" w14:textId="0C17ECC3" w:rsidR="00475E83" w:rsidRPr="009E1B38" w:rsidRDefault="009143AA" w:rsidP="009143AA">
      <w:pPr>
        <w:pStyle w:val="ListeParagraf"/>
        <w:ind w:left="1560"/>
        <w:rPr>
          <w:rFonts w:ascii="Times New Roman" w:hAnsi="Times New Roman"/>
          <w:i/>
        </w:rPr>
      </w:pPr>
      <w:r w:rsidRPr="009E1B38">
        <w:rPr>
          <w:rFonts w:ascii="Times New Roman" w:hAnsi="Times New Roman"/>
          <w:i/>
        </w:rPr>
        <w:t xml:space="preserve">“(2) Requests for changes in the characteristics of differentiated fuel oil approved by the Board, with the exception of additives and the contribution rate, shall be concluded by the </w:t>
      </w:r>
      <w:r w:rsidRPr="009E1B38">
        <w:rPr>
          <w:rFonts w:ascii="Times New Roman" w:hAnsi="Times New Roman"/>
          <w:i/>
        </w:rPr>
        <w:lastRenderedPageBreak/>
        <w:t>Department of the Oil Market. Changes in claims and benefits related to differentiated fuel can be used after approval of the claim in this context.”</w:t>
      </w:r>
    </w:p>
    <w:p w14:paraId="462A899D" w14:textId="77777777" w:rsidR="009143AA" w:rsidRPr="009E1B38" w:rsidRDefault="009143AA" w:rsidP="00475E83">
      <w:pPr>
        <w:pStyle w:val="ListeParagraf"/>
        <w:rPr>
          <w:rFonts w:ascii="Times New Roman" w:hAnsi="Times New Roman"/>
        </w:rPr>
      </w:pPr>
    </w:p>
    <w:p w14:paraId="7D4A7CF4" w14:textId="0D49365A" w:rsidR="00475E83" w:rsidRPr="009E1B38" w:rsidRDefault="00FA184C" w:rsidP="003C5E4D">
      <w:pPr>
        <w:pStyle w:val="ListeParagraf"/>
        <w:numPr>
          <w:ilvl w:val="0"/>
          <w:numId w:val="34"/>
        </w:numPr>
        <w:spacing w:after="160" w:line="259" w:lineRule="auto"/>
        <w:rPr>
          <w:rFonts w:ascii="Times New Roman" w:hAnsi="Times New Roman"/>
          <w:b/>
        </w:rPr>
      </w:pPr>
      <w:bookmarkStart w:id="81" w:name="_Hlk89263641"/>
      <w:r w:rsidRPr="009E1B38">
        <w:rPr>
          <w:rFonts w:ascii="Times New Roman" w:hAnsi="Times New Roman"/>
        </w:rPr>
        <w:t>03.08.2021 31557 published in the official gazette dated</w:t>
      </w:r>
      <w:r w:rsidR="00EB243C" w:rsidRPr="009E1B38">
        <w:rPr>
          <w:rFonts w:ascii="Times New Roman" w:hAnsi="Times New Roman"/>
        </w:rPr>
        <w:t xml:space="preserve"> </w:t>
      </w:r>
      <w:r w:rsidRPr="009E1B38">
        <w:rPr>
          <w:rFonts w:ascii="Times New Roman" w:hAnsi="Times New Roman"/>
        </w:rPr>
        <w:t xml:space="preserve">29.07.2021 Assembly Resolution No. 10338 with 5, 7, and Article 9 of the effective date 01.01.2022 aim to the reseller control system establishment, implementation, maintenance and repair of persons who apply for authorization by the agency authorized Reseller regarding the determination of the rights and obligations of </w:t>
      </w:r>
      <w:r w:rsidR="00135D72" w:rsidRPr="009E1B38">
        <w:rPr>
          <w:rFonts w:ascii="Times New Roman" w:hAnsi="Times New Roman"/>
        </w:rPr>
        <w:t>legal entities</w:t>
      </w:r>
      <w:r w:rsidRPr="009E1B38">
        <w:rPr>
          <w:rFonts w:ascii="Times New Roman" w:hAnsi="Times New Roman"/>
        </w:rPr>
        <w:t xml:space="preserve"> with which the control system is adopted for legal empowerment of the decision on establishment and implementation of </w:t>
      </w:r>
      <w:r w:rsidR="00135D72" w:rsidRPr="009E1B38">
        <w:rPr>
          <w:rFonts w:ascii="Times New Roman" w:hAnsi="Times New Roman"/>
        </w:rPr>
        <w:t>legal entities</w:t>
      </w:r>
      <w:r w:rsidRPr="009E1B38">
        <w:rPr>
          <w:rFonts w:ascii="Times New Roman" w:hAnsi="Times New Roman"/>
        </w:rPr>
        <w:t>.</w:t>
      </w:r>
    </w:p>
    <w:p w14:paraId="7D4A7CF5" w14:textId="77777777" w:rsidR="00475E83" w:rsidRPr="009E1B38" w:rsidRDefault="00475E83" w:rsidP="00475E83">
      <w:pPr>
        <w:pStyle w:val="ListeParagraf"/>
        <w:rPr>
          <w:rFonts w:ascii="Times New Roman" w:hAnsi="Times New Roman"/>
          <w:b/>
        </w:rPr>
      </w:pPr>
    </w:p>
    <w:bookmarkEnd w:id="81"/>
    <w:p w14:paraId="7D4A7CF6" w14:textId="5DA304C7" w:rsidR="00475E83" w:rsidRPr="009E1B38" w:rsidRDefault="001E1687" w:rsidP="003C5E4D">
      <w:pPr>
        <w:pStyle w:val="ListeParagraf"/>
        <w:numPr>
          <w:ilvl w:val="0"/>
          <w:numId w:val="34"/>
        </w:numPr>
        <w:spacing w:after="160" w:line="259" w:lineRule="auto"/>
        <w:rPr>
          <w:rFonts w:ascii="Times New Roman" w:hAnsi="Times New Roman"/>
          <w:i/>
        </w:rPr>
      </w:pPr>
      <w:r w:rsidRPr="009E1B38">
        <w:rPr>
          <w:rFonts w:ascii="Times New Roman" w:hAnsi="Times New Roman"/>
        </w:rPr>
        <w:t>07.08.2021 dated 01.10.2019 No. 10349 31561 published in the official gazette dated 05.08.2021 with the decision published in the official gazette dated 26.09.2019 Assembly No. 30905 oil and LPG markets implemented in the board's decision dated about promotions 8845</w:t>
      </w:r>
    </w:p>
    <w:p w14:paraId="7D4A7CF7" w14:textId="77777777" w:rsidR="00475E83" w:rsidRPr="009E1B38" w:rsidRDefault="00475E83" w:rsidP="00475E83">
      <w:pPr>
        <w:pStyle w:val="ListeParagraf"/>
        <w:rPr>
          <w:rFonts w:ascii="Times New Roman" w:hAnsi="Times New Roman"/>
          <w:i/>
        </w:rPr>
      </w:pPr>
    </w:p>
    <w:p w14:paraId="7D4A7CF8" w14:textId="06784306" w:rsidR="00475E83" w:rsidRPr="009E1B38" w:rsidRDefault="008C39E9" w:rsidP="003C5E4D">
      <w:pPr>
        <w:pStyle w:val="ListeParagraf"/>
        <w:numPr>
          <w:ilvl w:val="0"/>
          <w:numId w:val="36"/>
        </w:numPr>
        <w:spacing w:after="160" w:line="259" w:lineRule="auto"/>
        <w:rPr>
          <w:rFonts w:ascii="Times New Roman" w:hAnsi="Times New Roman"/>
        </w:rPr>
      </w:pPr>
      <w:r w:rsidRPr="009E1B38">
        <w:rPr>
          <w:rFonts w:ascii="Times New Roman" w:hAnsi="Times New Roman"/>
          <w:i/>
        </w:rPr>
        <w:t>The following sentences have been added to the end of the third paragraph of Article 4 entitled ”Promotions".</w:t>
      </w:r>
    </w:p>
    <w:p w14:paraId="7D4A7CF9" w14:textId="77777777" w:rsidR="00475E83" w:rsidRPr="009E1B38" w:rsidRDefault="00475E83" w:rsidP="00475E83">
      <w:pPr>
        <w:pStyle w:val="ListeParagraf"/>
        <w:ind w:left="1430"/>
        <w:rPr>
          <w:rFonts w:ascii="Times New Roman" w:hAnsi="Times New Roman"/>
        </w:rPr>
      </w:pPr>
    </w:p>
    <w:p w14:paraId="7D4A7CFB" w14:textId="4ED68A1F" w:rsidR="00475E83" w:rsidRPr="009E1B38" w:rsidRDefault="00DB02B4" w:rsidP="00475E83">
      <w:pPr>
        <w:pStyle w:val="ListeParagraf"/>
        <w:ind w:left="1430"/>
        <w:rPr>
          <w:rFonts w:ascii="Times New Roman" w:hAnsi="Times New Roman"/>
          <w:i/>
        </w:rPr>
      </w:pPr>
      <w:r w:rsidRPr="009E1B38">
        <w:rPr>
          <w:rFonts w:ascii="Times New Roman" w:hAnsi="Times New Roman"/>
          <w:i/>
        </w:rPr>
        <w:t>"Distributor license holders may request a maximum of one thousandth (‰1) of their costs arising from the financial promotions they will organize from their dealers participating in these promotions. Distributor license holders for the costs of Financial Promotions to be arranged by a price that is within the above limit, in case you demand from dealers, dealers in each the duration of a financial promotion, scope and must inform and obtain written consent for the participation of dealers in terms of cost. Participation of dealers in financial promotions is old-fashioned.”</w:t>
      </w:r>
    </w:p>
    <w:p w14:paraId="5648BFAB" w14:textId="77777777" w:rsidR="00DB02B4" w:rsidRPr="009E1B38" w:rsidRDefault="00DB02B4" w:rsidP="00475E83">
      <w:pPr>
        <w:pStyle w:val="ListeParagraf"/>
        <w:ind w:left="1430"/>
        <w:rPr>
          <w:rFonts w:ascii="Times New Roman" w:hAnsi="Times New Roman"/>
          <w:i/>
        </w:rPr>
      </w:pPr>
    </w:p>
    <w:p w14:paraId="7D4A7CFC" w14:textId="39807829" w:rsidR="00122BE0" w:rsidRPr="009E1B38" w:rsidRDefault="00242861" w:rsidP="003C5E4D">
      <w:pPr>
        <w:pStyle w:val="ListeParagraf"/>
        <w:numPr>
          <w:ilvl w:val="0"/>
          <w:numId w:val="34"/>
        </w:numPr>
        <w:spacing w:after="160" w:line="259" w:lineRule="auto"/>
        <w:rPr>
          <w:rFonts w:ascii="Times New Roman" w:hAnsi="Times New Roman"/>
          <w:i/>
        </w:rPr>
      </w:pPr>
      <w:r w:rsidRPr="009E1B38">
        <w:rPr>
          <w:rFonts w:ascii="Times New Roman" w:hAnsi="Times New Roman"/>
        </w:rPr>
        <w:t>The Board's Decision dated 28.08.2021 and published in the Official Gazette numbered 31582 dated 26.08.2021 and numbered 10378-1 and the Board's Decision on the Supply of Fuel for R &amp; D, Testing and Initial Filling Purposes were adopted and the Board's Decision dated 30.05.2019 and numbered 8633 were Decommissioned.</w:t>
      </w:r>
    </w:p>
    <w:p w14:paraId="7D4A7CFD" w14:textId="77777777" w:rsidR="00122BE0" w:rsidRPr="009E1B38" w:rsidRDefault="00122BE0" w:rsidP="00475E83">
      <w:pPr>
        <w:pStyle w:val="ListeParagraf"/>
        <w:ind w:left="1430"/>
        <w:rPr>
          <w:rFonts w:ascii="Times New Roman" w:hAnsi="Times New Roman"/>
          <w:i/>
        </w:rPr>
      </w:pPr>
    </w:p>
    <w:p w14:paraId="7D4A7CFF" w14:textId="62ABABEB" w:rsidR="00475E83" w:rsidRPr="009E1B38" w:rsidRDefault="00F471E0" w:rsidP="003C5E4D">
      <w:pPr>
        <w:pStyle w:val="ListeParagraf"/>
        <w:numPr>
          <w:ilvl w:val="0"/>
          <w:numId w:val="34"/>
        </w:numPr>
        <w:spacing w:after="160" w:line="259" w:lineRule="auto"/>
        <w:rPr>
          <w:rFonts w:ascii="Times New Roman" w:hAnsi="Times New Roman"/>
          <w:b/>
        </w:rPr>
      </w:pPr>
      <w:r w:rsidRPr="009E1B38">
        <w:rPr>
          <w:rFonts w:ascii="Times New Roman" w:hAnsi="Times New Roman"/>
        </w:rPr>
        <w:t>The Decision of the Board dated 28.08.2021 and published in the Official Gazette numbered 31582 dated 26.08.2021 and numbered 10379 and the Decision of the Board dated 31.05.2011 and numbered 3242/2 on the Explanations of License Application in the Oil Market were amended.</w:t>
      </w:r>
    </w:p>
    <w:p w14:paraId="68E87B7C" w14:textId="77777777" w:rsidR="00F471E0" w:rsidRPr="009E1B38" w:rsidRDefault="00F471E0" w:rsidP="00F471E0">
      <w:pPr>
        <w:spacing w:after="160" w:line="259" w:lineRule="auto"/>
        <w:rPr>
          <w:rFonts w:ascii="Times New Roman" w:hAnsi="Times New Roman"/>
          <w:b/>
        </w:rPr>
      </w:pPr>
    </w:p>
    <w:p w14:paraId="7D4A7D00" w14:textId="43B1EE44" w:rsidR="00475E83" w:rsidRPr="009E1B38" w:rsidRDefault="0063395C" w:rsidP="003C5E4D">
      <w:pPr>
        <w:pStyle w:val="ListeParagraf"/>
        <w:numPr>
          <w:ilvl w:val="0"/>
          <w:numId w:val="34"/>
        </w:numPr>
        <w:spacing w:after="160" w:line="259" w:lineRule="auto"/>
        <w:rPr>
          <w:rFonts w:ascii="Times New Roman" w:hAnsi="Times New Roman"/>
          <w:b/>
        </w:rPr>
      </w:pPr>
      <w:r w:rsidRPr="009E1B38">
        <w:rPr>
          <w:rFonts w:ascii="Times New Roman" w:hAnsi="Times New Roman"/>
        </w:rPr>
        <w:t>19.10.2021 31633 published in the official gazette dated numbered dated 14.03.2018 with the decision of the board dated 14.10.2021 10492 7742 Decision about the trade from fuel distributors</w:t>
      </w:r>
    </w:p>
    <w:p w14:paraId="7D4A7D01" w14:textId="77777777" w:rsidR="00475E83" w:rsidRPr="009E1B38" w:rsidRDefault="00475E83" w:rsidP="00475E83">
      <w:pPr>
        <w:pStyle w:val="ListeParagraf"/>
        <w:rPr>
          <w:rFonts w:ascii="Times New Roman" w:hAnsi="Times New Roman"/>
          <w:b/>
        </w:rPr>
      </w:pPr>
    </w:p>
    <w:p w14:paraId="7D4A7D03" w14:textId="06975652" w:rsidR="00475E83" w:rsidRPr="009E1B38" w:rsidRDefault="00CE4533" w:rsidP="003C5E4D">
      <w:pPr>
        <w:pStyle w:val="ListeParagraf"/>
        <w:numPr>
          <w:ilvl w:val="0"/>
          <w:numId w:val="40"/>
        </w:numPr>
        <w:spacing w:after="160" w:line="259" w:lineRule="auto"/>
        <w:rPr>
          <w:rFonts w:ascii="Times New Roman" w:hAnsi="Times New Roman"/>
        </w:rPr>
      </w:pPr>
      <w:r w:rsidRPr="009E1B38">
        <w:rPr>
          <w:rFonts w:ascii="Times New Roman" w:hAnsi="Times New Roman"/>
          <w:i/>
        </w:rPr>
        <w:t>The following paragraph has been added to come after the fourth paragraph of Article 5 entitled</w:t>
      </w:r>
      <w:r w:rsidR="00E8233E" w:rsidRPr="009E1B38">
        <w:rPr>
          <w:rFonts w:ascii="Times New Roman" w:hAnsi="Times New Roman"/>
          <w:i/>
        </w:rPr>
        <w:t xml:space="preserve"> </w:t>
      </w:r>
      <w:r w:rsidR="00301040">
        <w:rPr>
          <w:rFonts w:ascii="Times New Roman" w:hAnsi="Times New Roman"/>
          <w:i/>
        </w:rPr>
        <w:t>“Limitations”</w:t>
      </w:r>
      <w:r w:rsidRPr="009E1B38">
        <w:rPr>
          <w:rFonts w:ascii="Times New Roman" w:hAnsi="Times New Roman"/>
          <w:i/>
        </w:rPr>
        <w:t>.</w:t>
      </w:r>
    </w:p>
    <w:p w14:paraId="6ABBBE04" w14:textId="77777777" w:rsidR="00CE4533" w:rsidRPr="009E1B38" w:rsidRDefault="00CE4533" w:rsidP="00CE4533">
      <w:pPr>
        <w:pStyle w:val="ListeParagraf"/>
        <w:spacing w:after="160" w:line="259" w:lineRule="auto"/>
        <w:ind w:left="1440"/>
        <w:rPr>
          <w:rFonts w:ascii="Times New Roman" w:hAnsi="Times New Roman"/>
        </w:rPr>
      </w:pPr>
    </w:p>
    <w:p w14:paraId="7D4A7D05" w14:textId="776D6477" w:rsidR="00475E83" w:rsidRPr="009E1B38" w:rsidRDefault="00101BF9" w:rsidP="00101BF9">
      <w:pPr>
        <w:pStyle w:val="ListeParagraf"/>
        <w:ind w:left="1418"/>
        <w:rPr>
          <w:rFonts w:ascii="Times New Roman" w:hAnsi="Times New Roman"/>
          <w:i/>
        </w:rPr>
      </w:pPr>
      <w:r w:rsidRPr="009E1B38">
        <w:rPr>
          <w:rFonts w:ascii="Times New Roman" w:hAnsi="Times New Roman"/>
          <w:i/>
        </w:rPr>
        <w:t>“(5) In the first paragraph of Article 9 of the Law, "Distributors cannot sell the fuel they receive from any distributor to another distributor</w:t>
      </w:r>
      <w:r w:rsidR="00301040">
        <w:rPr>
          <w:rFonts w:ascii="Times New Roman" w:hAnsi="Times New Roman"/>
          <w:i/>
        </w:rPr>
        <w:t>. E</w:t>
      </w:r>
      <w:r w:rsidRPr="009E1B38">
        <w:rPr>
          <w:rFonts w:ascii="Times New Roman" w:hAnsi="Times New Roman"/>
          <w:i/>
        </w:rPr>
        <w:t>valuation of the implementation of the provision, storage, showing the activity in the property of each license holder subject to the trade distributors fuel-free circulating on a monthly basis in consideration of the sum of the fuel is done by holders of a license under the relevant legislation in relation to monitoring the data that is transmitted to the institution and, if necessary, is performed through documents a</w:t>
      </w:r>
      <w:r w:rsidR="00301040">
        <w:rPr>
          <w:rFonts w:ascii="Times New Roman" w:hAnsi="Times New Roman"/>
          <w:i/>
        </w:rPr>
        <w:t>nd other relevant information.”</w:t>
      </w:r>
    </w:p>
    <w:p w14:paraId="52F195FD" w14:textId="77777777" w:rsidR="00101BF9" w:rsidRPr="009E1B38" w:rsidRDefault="00101BF9" w:rsidP="00475E83">
      <w:pPr>
        <w:pStyle w:val="ListeParagraf"/>
        <w:rPr>
          <w:rFonts w:ascii="Times New Roman" w:hAnsi="Times New Roman"/>
          <w:i/>
        </w:rPr>
      </w:pPr>
    </w:p>
    <w:p w14:paraId="7D4A7D06" w14:textId="6123CCBF" w:rsidR="00475E83" w:rsidRPr="009E1B38" w:rsidRDefault="00FE7DBD" w:rsidP="003C5E4D">
      <w:pPr>
        <w:pStyle w:val="ListeParagraf"/>
        <w:numPr>
          <w:ilvl w:val="0"/>
          <w:numId w:val="40"/>
        </w:numPr>
        <w:spacing w:after="160" w:line="259" w:lineRule="auto"/>
        <w:rPr>
          <w:rFonts w:ascii="Times New Roman" w:hAnsi="Times New Roman"/>
        </w:rPr>
      </w:pPr>
      <w:r w:rsidRPr="009E1B38">
        <w:rPr>
          <w:rFonts w:ascii="Times New Roman" w:hAnsi="Times New Roman"/>
        </w:rPr>
        <w:lastRenderedPageBreak/>
        <w:t>The following article has been added to come after Provisional Article 3.</w:t>
      </w:r>
    </w:p>
    <w:p w14:paraId="7D4A7D07" w14:textId="77777777" w:rsidR="00475E83" w:rsidRPr="009E1B38" w:rsidRDefault="00475E83" w:rsidP="00475E83">
      <w:pPr>
        <w:pStyle w:val="ListeParagraf"/>
        <w:ind w:left="1440"/>
        <w:rPr>
          <w:rFonts w:ascii="Times New Roman" w:hAnsi="Times New Roman"/>
        </w:rPr>
      </w:pPr>
    </w:p>
    <w:p w14:paraId="7D4A7D08" w14:textId="18FC3490" w:rsidR="00475E83" w:rsidRPr="009E1B38" w:rsidRDefault="00D61CE7" w:rsidP="00475E83">
      <w:pPr>
        <w:pStyle w:val="ListeParagraf"/>
        <w:ind w:left="1440"/>
        <w:rPr>
          <w:rFonts w:ascii="Times New Roman" w:hAnsi="Times New Roman"/>
          <w:b/>
          <w:bCs/>
          <w:i/>
        </w:rPr>
      </w:pPr>
      <w:r w:rsidRPr="009E1B38">
        <w:rPr>
          <w:rFonts w:ascii="Times New Roman" w:hAnsi="Times New Roman"/>
          <w:b/>
          <w:bCs/>
          <w:i/>
        </w:rPr>
        <w:t>"Previous warranties</w:t>
      </w:r>
    </w:p>
    <w:p w14:paraId="7D4A7D09" w14:textId="24D84428" w:rsidR="00475E83" w:rsidRPr="009E1B38" w:rsidRDefault="00D61CE7" w:rsidP="00475E83">
      <w:pPr>
        <w:pStyle w:val="ListeParagraf"/>
        <w:ind w:left="1440"/>
        <w:rPr>
          <w:rFonts w:ascii="Times New Roman" w:hAnsi="Times New Roman"/>
          <w:b/>
          <w:bCs/>
          <w:i/>
        </w:rPr>
      </w:pPr>
      <w:r w:rsidRPr="009E1B38">
        <w:rPr>
          <w:rFonts w:ascii="Times New Roman" w:hAnsi="Times New Roman"/>
          <w:b/>
          <w:bCs/>
          <w:i/>
        </w:rPr>
        <w:t xml:space="preserve">TEMPORARY ARTICLE </w:t>
      </w:r>
      <w:r w:rsidR="00475E83" w:rsidRPr="009E1B38">
        <w:rPr>
          <w:rFonts w:ascii="Times New Roman" w:hAnsi="Times New Roman"/>
          <w:b/>
          <w:bCs/>
          <w:i/>
        </w:rPr>
        <w:t xml:space="preserve"> 4</w:t>
      </w:r>
    </w:p>
    <w:p w14:paraId="7D4A7D0B" w14:textId="6A19125D" w:rsidR="00475E83" w:rsidRPr="009E1B38" w:rsidRDefault="00975069" w:rsidP="00475E83">
      <w:pPr>
        <w:pStyle w:val="ListeParagraf"/>
        <w:ind w:left="1440"/>
        <w:rPr>
          <w:rFonts w:ascii="Times New Roman" w:hAnsi="Times New Roman"/>
          <w:i/>
        </w:rPr>
      </w:pPr>
      <w:r w:rsidRPr="009E1B38">
        <w:rPr>
          <w:rFonts w:ascii="Times New Roman" w:hAnsi="Times New Roman"/>
          <w:i/>
        </w:rPr>
        <w:t>Guarantees before 1/1/2022 are not taken into account in the application of the fifth paragraph of Article 5 of this Decision."</w:t>
      </w:r>
    </w:p>
    <w:p w14:paraId="31467265" w14:textId="77777777" w:rsidR="00975069" w:rsidRPr="009E1B38" w:rsidRDefault="00975069" w:rsidP="00475E83">
      <w:pPr>
        <w:pStyle w:val="ListeParagraf"/>
        <w:ind w:left="1440"/>
        <w:rPr>
          <w:rFonts w:ascii="Times New Roman" w:hAnsi="Times New Roman"/>
          <w:i/>
        </w:rPr>
      </w:pPr>
    </w:p>
    <w:p w14:paraId="7D4A7D0D" w14:textId="2FFC85CB" w:rsidR="00475E83" w:rsidRPr="009E1B38" w:rsidRDefault="00272E95" w:rsidP="00475E83">
      <w:pPr>
        <w:pStyle w:val="ListeParagraf"/>
        <w:rPr>
          <w:rFonts w:ascii="Times New Roman" w:hAnsi="Times New Roman"/>
        </w:rPr>
      </w:pPr>
      <w:r w:rsidRPr="009E1B38">
        <w:rPr>
          <w:rFonts w:ascii="Times New Roman" w:hAnsi="Times New Roman"/>
        </w:rPr>
        <w:t>This Decision entered into force as of 01.01.2022.</w:t>
      </w:r>
    </w:p>
    <w:p w14:paraId="3B7AD694" w14:textId="77777777" w:rsidR="00272E95" w:rsidRPr="009E1B38" w:rsidRDefault="00272E95" w:rsidP="00475E83">
      <w:pPr>
        <w:pStyle w:val="ListeParagraf"/>
        <w:rPr>
          <w:rFonts w:ascii="Times New Roman" w:hAnsi="Times New Roman"/>
          <w:b/>
        </w:rPr>
      </w:pPr>
    </w:p>
    <w:p w14:paraId="7D4A7D0E" w14:textId="5D8CD312" w:rsidR="00475E83" w:rsidRPr="009E1B38" w:rsidRDefault="00367ED4" w:rsidP="003C5E4D">
      <w:pPr>
        <w:pStyle w:val="ListeParagraf"/>
        <w:numPr>
          <w:ilvl w:val="0"/>
          <w:numId w:val="34"/>
        </w:numPr>
        <w:spacing w:after="160" w:line="259" w:lineRule="auto"/>
        <w:rPr>
          <w:rFonts w:ascii="Times New Roman" w:hAnsi="Times New Roman"/>
          <w:b/>
        </w:rPr>
      </w:pPr>
      <w:r w:rsidRPr="009E1B38">
        <w:rPr>
          <w:rFonts w:ascii="Times New Roman" w:hAnsi="Times New Roman"/>
        </w:rPr>
        <w:t>16.11.2021 31661 published in the official gazette dated</w:t>
      </w:r>
      <w:r w:rsidR="00EB243C" w:rsidRPr="009E1B38">
        <w:rPr>
          <w:rFonts w:ascii="Times New Roman" w:hAnsi="Times New Roman"/>
        </w:rPr>
        <w:t xml:space="preserve"> </w:t>
      </w:r>
      <w:r w:rsidRPr="009E1B38">
        <w:rPr>
          <w:rFonts w:ascii="Times New Roman" w:hAnsi="Times New Roman"/>
        </w:rPr>
        <w:t>11.11.2021 10560 Assembly No. 30363 published in the official gazette No. 7742 17.3.2018 with the decision of 14.3.2018 about the trade of the board's decision dated from fuel distributors</w:t>
      </w:r>
    </w:p>
    <w:p w14:paraId="7D4A7D0F" w14:textId="77777777" w:rsidR="00475E83" w:rsidRPr="009E1B38" w:rsidRDefault="00475E83" w:rsidP="00475E83">
      <w:pPr>
        <w:pStyle w:val="ListeParagraf"/>
        <w:rPr>
          <w:rFonts w:ascii="Times New Roman" w:hAnsi="Times New Roman"/>
        </w:rPr>
      </w:pPr>
    </w:p>
    <w:p w14:paraId="7D4A7D10" w14:textId="6047CB8B" w:rsidR="00475E83" w:rsidRPr="009E1B38" w:rsidRDefault="00697CBA" w:rsidP="003C5E4D">
      <w:pPr>
        <w:pStyle w:val="ListeParagraf"/>
        <w:numPr>
          <w:ilvl w:val="0"/>
          <w:numId w:val="40"/>
        </w:numPr>
        <w:spacing w:after="160" w:line="259" w:lineRule="auto"/>
        <w:rPr>
          <w:rFonts w:ascii="Times New Roman" w:hAnsi="Times New Roman"/>
        </w:rPr>
      </w:pPr>
      <w:r w:rsidRPr="009E1B38">
        <w:rPr>
          <w:rFonts w:ascii="Times New Roman" w:hAnsi="Times New Roman"/>
          <w:i/>
        </w:rPr>
        <w:t>The sixth p</w:t>
      </w:r>
      <w:r w:rsidR="00301040">
        <w:rPr>
          <w:rFonts w:ascii="Times New Roman" w:hAnsi="Times New Roman"/>
          <w:i/>
        </w:rPr>
        <w:t>aragraph of Article 4 entitled “</w:t>
      </w:r>
      <w:r w:rsidRPr="009E1B38">
        <w:rPr>
          <w:rFonts w:ascii="Times New Roman" w:hAnsi="Times New Roman"/>
          <w:i/>
        </w:rPr>
        <w:t>Applica</w:t>
      </w:r>
      <w:r w:rsidR="00301040">
        <w:rPr>
          <w:rFonts w:ascii="Times New Roman" w:hAnsi="Times New Roman"/>
          <w:i/>
        </w:rPr>
        <w:t>tion and granting of permission”</w:t>
      </w:r>
      <w:r w:rsidRPr="009E1B38">
        <w:rPr>
          <w:rFonts w:ascii="Times New Roman" w:hAnsi="Times New Roman"/>
          <w:i/>
        </w:rPr>
        <w:t xml:space="preserve"> has been amended as follows.</w:t>
      </w:r>
    </w:p>
    <w:p w14:paraId="7D4A7D11" w14:textId="77777777" w:rsidR="00475E83" w:rsidRPr="009E1B38" w:rsidRDefault="00475E83" w:rsidP="00475E83">
      <w:pPr>
        <w:pStyle w:val="ListeParagraf"/>
        <w:ind w:left="1440"/>
        <w:rPr>
          <w:rFonts w:ascii="Times New Roman" w:hAnsi="Times New Roman"/>
        </w:rPr>
      </w:pPr>
    </w:p>
    <w:p w14:paraId="7D4A7D14" w14:textId="1DAEABB2" w:rsidR="00475E83" w:rsidRPr="009E1B38" w:rsidRDefault="00CB57C8" w:rsidP="00CB57C8">
      <w:pPr>
        <w:spacing w:after="160" w:line="259" w:lineRule="auto"/>
        <w:ind w:left="1418"/>
        <w:rPr>
          <w:rFonts w:ascii="Times New Roman" w:hAnsi="Times New Roman"/>
        </w:rPr>
      </w:pPr>
      <w:r w:rsidRPr="009E1B38">
        <w:rPr>
          <w:rFonts w:ascii="Times New Roman" w:hAnsi="Times New Roman"/>
          <w:i/>
        </w:rPr>
        <w:t>“(6) the permit holder “the dealer trade between dealers located in the guideline on trade with a statement of the sales of the facility-Based delivery in the table the table the supply of trade between dealers within the specified period of liability to the institution sends it through the network service</w:t>
      </w:r>
      <w:r w:rsidR="00EB243C" w:rsidRPr="009E1B38">
        <w:rPr>
          <w:rFonts w:ascii="Times New Roman" w:hAnsi="Times New Roman"/>
          <w:i/>
        </w:rPr>
        <w:t xml:space="preserve"> ”The “Guideline on Inter-Distributor Trade”, which is the annex of the same Decision, has been amended.</w:t>
      </w:r>
    </w:p>
    <w:p w14:paraId="7D4A7D15" w14:textId="77777777" w:rsidR="00475E83" w:rsidRPr="009E1B38" w:rsidRDefault="00475E83" w:rsidP="00475E83">
      <w:pPr>
        <w:pStyle w:val="ListeParagraf"/>
        <w:rPr>
          <w:rFonts w:ascii="Times New Roman" w:hAnsi="Times New Roman"/>
        </w:rPr>
      </w:pPr>
    </w:p>
    <w:p w14:paraId="7D4A7D16" w14:textId="26A8DDE3" w:rsidR="00475E83" w:rsidRPr="009E1B38" w:rsidRDefault="00413274" w:rsidP="00475E83">
      <w:pPr>
        <w:pStyle w:val="ListeParagraf"/>
        <w:rPr>
          <w:rFonts w:ascii="Times New Roman" w:hAnsi="Times New Roman"/>
        </w:rPr>
      </w:pPr>
      <w:r w:rsidRPr="009E1B38">
        <w:rPr>
          <w:rFonts w:ascii="Times New Roman" w:hAnsi="Times New Roman"/>
        </w:rPr>
        <w:t>This Decision entered into force as of 01.01.2022</w:t>
      </w:r>
      <w:r w:rsidR="00475E83" w:rsidRPr="009E1B38">
        <w:rPr>
          <w:rFonts w:ascii="Times New Roman" w:hAnsi="Times New Roman"/>
        </w:rPr>
        <w:t>.</w:t>
      </w:r>
    </w:p>
    <w:p w14:paraId="7D4A7D17" w14:textId="77777777" w:rsidR="00475E83" w:rsidRPr="009E1B38" w:rsidRDefault="00475E83" w:rsidP="00475E83">
      <w:pPr>
        <w:pStyle w:val="ListeParagraf"/>
        <w:rPr>
          <w:rFonts w:ascii="Times New Roman" w:hAnsi="Times New Roman"/>
        </w:rPr>
      </w:pPr>
    </w:p>
    <w:p w14:paraId="7D4A7D19" w14:textId="728C7F9F" w:rsidR="00475E83" w:rsidRPr="009E1B38" w:rsidRDefault="00074D56" w:rsidP="003C5E4D">
      <w:pPr>
        <w:pStyle w:val="ListeParagraf"/>
        <w:numPr>
          <w:ilvl w:val="0"/>
          <w:numId w:val="30"/>
        </w:numPr>
        <w:spacing w:after="160" w:line="259" w:lineRule="auto"/>
        <w:rPr>
          <w:rFonts w:ascii="Times New Roman" w:hAnsi="Times New Roman"/>
        </w:rPr>
      </w:pPr>
      <w:r w:rsidRPr="009E1B38">
        <w:rPr>
          <w:rFonts w:ascii="Times New Roman" w:hAnsi="Times New Roman"/>
        </w:rPr>
        <w:t>31677 published in the Official Gazette numbered 02.12.2021 dated 9.6.2011 with the decision of the board of 11.11.2021 10549 27959 published in the Official Gazette numbered, dated 31.05.2011 3242-2) of the board's decision disclosures of license applications in the petroleum market</w:t>
      </w:r>
    </w:p>
    <w:p w14:paraId="70C863F1" w14:textId="77777777" w:rsidR="00074D56" w:rsidRPr="009E1B38" w:rsidRDefault="00074D56" w:rsidP="00475E83">
      <w:pPr>
        <w:pStyle w:val="ListeParagraf"/>
        <w:rPr>
          <w:rFonts w:ascii="Times New Roman" w:hAnsi="Times New Roman"/>
        </w:rPr>
      </w:pPr>
    </w:p>
    <w:p w14:paraId="7D4A7D1A" w14:textId="70B32A43" w:rsidR="00475E83" w:rsidRPr="009E1B38" w:rsidRDefault="002A7581" w:rsidP="003C5E4D">
      <w:pPr>
        <w:pStyle w:val="ListeParagraf"/>
        <w:numPr>
          <w:ilvl w:val="0"/>
          <w:numId w:val="40"/>
        </w:numPr>
        <w:spacing w:after="160" w:line="259" w:lineRule="auto"/>
        <w:rPr>
          <w:rFonts w:ascii="Times New Roman" w:hAnsi="Times New Roman"/>
        </w:rPr>
      </w:pPr>
      <w:r w:rsidRPr="009E1B38">
        <w:rPr>
          <w:rFonts w:ascii="Times New Roman" w:hAnsi="Times New Roman"/>
          <w:i/>
        </w:rPr>
        <w:t>The phras</w:t>
      </w:r>
      <w:r w:rsidR="00301040">
        <w:rPr>
          <w:rFonts w:ascii="Times New Roman" w:hAnsi="Times New Roman"/>
          <w:i/>
        </w:rPr>
        <w:t>e “and/or railway pumps”</w:t>
      </w:r>
      <w:r w:rsidRPr="009E1B38">
        <w:rPr>
          <w:rFonts w:ascii="Times New Roman" w:hAnsi="Times New Roman"/>
          <w:i/>
        </w:rPr>
        <w:t xml:space="preserve"> has been added to the paragraph (s) of the first paragraph of </w:t>
      </w:r>
      <w:r w:rsidR="00301040">
        <w:rPr>
          <w:rFonts w:ascii="Times New Roman" w:hAnsi="Times New Roman"/>
          <w:i/>
        </w:rPr>
        <w:t>Article 3 entitled “Definitions”</w:t>
      </w:r>
      <w:r w:rsidRPr="009E1B38">
        <w:rPr>
          <w:rFonts w:ascii="Times New Roman" w:hAnsi="Times New Roman"/>
          <w:i/>
        </w:rPr>
        <w:t xml:space="preserve"> to be followed by the phrase ”stationary village pumps".</w:t>
      </w:r>
    </w:p>
    <w:p w14:paraId="7D4A7D1B" w14:textId="77777777" w:rsidR="00475E83" w:rsidRPr="009E1B38" w:rsidRDefault="00475E83" w:rsidP="00475E83">
      <w:pPr>
        <w:pStyle w:val="ListeParagraf"/>
        <w:ind w:left="1440"/>
        <w:rPr>
          <w:rFonts w:ascii="Times New Roman" w:hAnsi="Times New Roman"/>
        </w:rPr>
      </w:pPr>
    </w:p>
    <w:p w14:paraId="7D4A7D1C" w14:textId="71EE5735" w:rsidR="00475E83" w:rsidRPr="009E1B38" w:rsidRDefault="00F10E71" w:rsidP="003C5E4D">
      <w:pPr>
        <w:pStyle w:val="ListeParagraf"/>
        <w:numPr>
          <w:ilvl w:val="0"/>
          <w:numId w:val="40"/>
        </w:numPr>
        <w:spacing w:after="160" w:line="259" w:lineRule="auto"/>
        <w:rPr>
          <w:rFonts w:ascii="Times New Roman" w:hAnsi="Times New Roman"/>
        </w:rPr>
      </w:pPr>
      <w:r w:rsidRPr="009E1B38">
        <w:rPr>
          <w:rFonts w:ascii="Times New Roman" w:hAnsi="Times New Roman"/>
          <w:i/>
        </w:rPr>
        <w:t>The third paragraph of Article 14, entitled ”Dealership license", has been amended as follows.</w:t>
      </w:r>
    </w:p>
    <w:p w14:paraId="7D4A7D1D" w14:textId="17F94164" w:rsidR="00475E83" w:rsidRPr="009E1B38" w:rsidRDefault="00475E83" w:rsidP="002D3E19">
      <w:pPr>
        <w:rPr>
          <w:rFonts w:ascii="Times New Roman" w:hAnsi="Times New Roman"/>
          <w:lang w:eastAsia="tr-TR"/>
        </w:rPr>
      </w:pPr>
      <w:r w:rsidRPr="009E1B38">
        <w:rPr>
          <w:rFonts w:ascii="Times New Roman" w:hAnsi="Times New Roman"/>
          <w:lang w:eastAsia="tr-TR"/>
        </w:rPr>
        <w:t xml:space="preserve"> </w:t>
      </w:r>
      <w:r w:rsidRPr="009E1B38">
        <w:rPr>
          <w:rFonts w:ascii="Times New Roman" w:hAnsi="Times New Roman"/>
          <w:lang w:eastAsia="tr-TR"/>
        </w:rPr>
        <w:tab/>
      </w:r>
      <w:r w:rsidR="00F02695" w:rsidRPr="009E1B38">
        <w:rPr>
          <w:rFonts w:ascii="Times New Roman" w:hAnsi="Times New Roman"/>
          <w:lang w:eastAsia="tr-TR"/>
        </w:rPr>
        <w:t>“(3) License applications for a dealership license;</w:t>
      </w:r>
    </w:p>
    <w:p w14:paraId="137B711C" w14:textId="77777777" w:rsidR="007D37FC" w:rsidRPr="009E1B38" w:rsidRDefault="00475E83" w:rsidP="002D3E19">
      <w:pPr>
        <w:rPr>
          <w:rFonts w:ascii="Times New Roman" w:hAnsi="Times New Roman"/>
          <w:lang w:eastAsia="tr-TR"/>
        </w:rPr>
      </w:pPr>
      <w:r w:rsidRPr="009E1B38">
        <w:rPr>
          <w:rFonts w:ascii="Times New Roman" w:hAnsi="Times New Roman"/>
          <w:lang w:eastAsia="tr-TR"/>
        </w:rPr>
        <w:tab/>
      </w:r>
      <w:r w:rsidR="007D37FC" w:rsidRPr="009E1B38">
        <w:rPr>
          <w:rFonts w:ascii="Times New Roman" w:hAnsi="Times New Roman"/>
          <w:lang w:eastAsia="tr-TR"/>
        </w:rPr>
        <w:t>a) If there is a request to process the village pump, it belongs to the village pump,</w:t>
      </w:r>
    </w:p>
    <w:p w14:paraId="5E23AC8D" w14:textId="7716AD0B" w:rsidR="007D37FC" w:rsidRPr="009E1B38" w:rsidRDefault="002D3E19" w:rsidP="002D3E19">
      <w:pPr>
        <w:rPr>
          <w:rFonts w:ascii="Times New Roman" w:hAnsi="Times New Roman"/>
          <w:lang w:eastAsia="tr-TR"/>
        </w:rPr>
      </w:pPr>
      <w:r w:rsidRPr="009E1B38">
        <w:rPr>
          <w:rFonts w:ascii="Times New Roman" w:hAnsi="Times New Roman"/>
          <w:lang w:eastAsia="tr-TR"/>
        </w:rPr>
        <w:t xml:space="preserve">        </w:t>
      </w:r>
      <w:r w:rsidR="007D37FC" w:rsidRPr="009E1B38">
        <w:rPr>
          <w:rFonts w:ascii="Times New Roman" w:hAnsi="Times New Roman"/>
          <w:lang w:eastAsia="tr-TR"/>
        </w:rPr>
        <w:t>b) If there is a request for processing a railway pump, a License for Opening and Operating a Workplace containing the phrase “Railway Pump” is added as the subject of activity of a railway pump.”</w:t>
      </w:r>
    </w:p>
    <w:p w14:paraId="7D4A7D23" w14:textId="25E9BB10" w:rsidR="00475E83" w:rsidRPr="009E1B38" w:rsidRDefault="0078715C" w:rsidP="003C5E4D">
      <w:pPr>
        <w:pStyle w:val="ListeParagraf"/>
        <w:numPr>
          <w:ilvl w:val="0"/>
          <w:numId w:val="41"/>
        </w:numPr>
        <w:spacing w:after="160" w:line="259" w:lineRule="auto"/>
        <w:rPr>
          <w:rFonts w:ascii="Times New Roman" w:hAnsi="Times New Roman"/>
        </w:rPr>
      </w:pPr>
      <w:r w:rsidRPr="009E1B38">
        <w:rPr>
          <w:rFonts w:ascii="Times New Roman" w:hAnsi="Times New Roman"/>
        </w:rPr>
        <w:t>The table “Type of License Application” in October-1 of the same Decision has been changed.</w:t>
      </w:r>
    </w:p>
    <w:p w14:paraId="09BF63D0" w14:textId="77777777" w:rsidR="0078715C" w:rsidRPr="009E1B38" w:rsidRDefault="0078715C" w:rsidP="00502B66">
      <w:pPr>
        <w:pStyle w:val="ListeParagraf"/>
        <w:spacing w:after="160" w:line="259" w:lineRule="auto"/>
        <w:ind w:left="1440"/>
        <w:rPr>
          <w:rFonts w:ascii="Times New Roman" w:hAnsi="Times New Roman"/>
        </w:rPr>
      </w:pPr>
    </w:p>
    <w:p w14:paraId="7D4A7D25" w14:textId="0225A8AD" w:rsidR="00475E83" w:rsidRPr="009E1B38" w:rsidRDefault="00B043D0" w:rsidP="003C5E4D">
      <w:pPr>
        <w:pStyle w:val="ListeParagraf"/>
        <w:numPr>
          <w:ilvl w:val="0"/>
          <w:numId w:val="30"/>
        </w:numPr>
        <w:spacing w:after="160" w:line="259" w:lineRule="auto"/>
        <w:rPr>
          <w:rFonts w:ascii="Times New Roman" w:hAnsi="Times New Roman"/>
          <w:b/>
        </w:rPr>
      </w:pPr>
      <w:r w:rsidRPr="009E1B38">
        <w:rPr>
          <w:rFonts w:ascii="Times New Roman" w:hAnsi="Times New Roman"/>
        </w:rPr>
        <w:t>31677 published in the Official Gazette numbered 11.11.2021 02.12.2021 dated</w:t>
      </w:r>
      <w:r w:rsidR="00E8233E" w:rsidRPr="009E1B38">
        <w:rPr>
          <w:rFonts w:ascii="Times New Roman" w:hAnsi="Times New Roman"/>
        </w:rPr>
        <w:t xml:space="preserve"> </w:t>
      </w:r>
      <w:r w:rsidRPr="009E1B38">
        <w:rPr>
          <w:rFonts w:ascii="Times New Roman" w:hAnsi="Times New Roman"/>
        </w:rPr>
        <w:t>09.06.2011 with the decision of the board of 10550 27959 published in the Official Gazette numbered, dated 31.05.2011 3242-3) license amendment application in the petroleum market and the information to be sought in the documentation of the board's decision Regarding</w:t>
      </w:r>
    </w:p>
    <w:p w14:paraId="1C51E15F" w14:textId="77777777" w:rsidR="00B043D0" w:rsidRPr="009E1B38" w:rsidRDefault="00B043D0" w:rsidP="00B043D0">
      <w:pPr>
        <w:pStyle w:val="ListeParagraf"/>
        <w:spacing w:after="160" w:line="259" w:lineRule="auto"/>
        <w:rPr>
          <w:rFonts w:ascii="Times New Roman" w:hAnsi="Times New Roman"/>
          <w:b/>
        </w:rPr>
      </w:pPr>
    </w:p>
    <w:p w14:paraId="7D4A7D27" w14:textId="70E69A96" w:rsidR="00475E83" w:rsidRPr="009E1B38" w:rsidRDefault="00475E83" w:rsidP="003C5E4D">
      <w:pPr>
        <w:pStyle w:val="ListeParagraf"/>
        <w:numPr>
          <w:ilvl w:val="0"/>
          <w:numId w:val="41"/>
        </w:numPr>
        <w:spacing w:after="160" w:line="259" w:lineRule="auto"/>
        <w:rPr>
          <w:rFonts w:ascii="Times New Roman" w:hAnsi="Times New Roman"/>
        </w:rPr>
      </w:pPr>
      <w:r w:rsidRPr="009E1B38">
        <w:rPr>
          <w:rFonts w:ascii="Times New Roman" w:hAnsi="Times New Roman"/>
        </w:rPr>
        <w:t xml:space="preserve"> </w:t>
      </w:r>
      <w:r w:rsidR="00152FDC" w:rsidRPr="009E1B38">
        <w:rPr>
          <w:rFonts w:ascii="Times New Roman" w:hAnsi="Times New Roman"/>
        </w:rPr>
        <w:t xml:space="preserve">Article 14, the title of the “village pump hard and rail pump Amendment as modified, in the first paragraph of the same article, “the village Pump Hard the phrase” come from “or rail pump </w:t>
      </w:r>
      <w:r w:rsidR="00152FDC" w:rsidRPr="009E1B38">
        <w:rPr>
          <w:rFonts w:ascii="Times New Roman" w:hAnsi="Times New Roman"/>
        </w:rPr>
        <w:lastRenderedPageBreak/>
        <w:t>the phrase” was added, Following the same paragraph (B) of this clause have been added, removed, and the other bent accordingly solidarity in the second paragraph “the village Pump Hard the phrase” come from “or rail pump” the phrase was added.</w:t>
      </w:r>
    </w:p>
    <w:p w14:paraId="01476FB2" w14:textId="77777777" w:rsidR="00152FDC" w:rsidRPr="009E1B38" w:rsidRDefault="00152FDC" w:rsidP="00152FDC">
      <w:pPr>
        <w:pStyle w:val="ListeParagraf"/>
        <w:spacing w:after="160" w:line="259" w:lineRule="auto"/>
        <w:ind w:left="1440"/>
        <w:rPr>
          <w:rFonts w:ascii="Times New Roman" w:hAnsi="Times New Roman"/>
        </w:rPr>
      </w:pPr>
    </w:p>
    <w:p w14:paraId="7D4A7D29" w14:textId="4E05634E" w:rsidR="00475E83" w:rsidRPr="009E1B38" w:rsidRDefault="002346EE" w:rsidP="00475E83">
      <w:pPr>
        <w:pStyle w:val="ListeParagraf"/>
        <w:ind w:left="1440"/>
        <w:rPr>
          <w:rFonts w:ascii="Times New Roman" w:hAnsi="Times New Roman"/>
          <w:i/>
        </w:rPr>
      </w:pPr>
      <w:r w:rsidRPr="009E1B38">
        <w:rPr>
          <w:rFonts w:ascii="Times New Roman" w:hAnsi="Times New Roman"/>
          <w:i/>
        </w:rPr>
        <w:t>"b) A License to Open and Operate a Workplace containing the phrase "Railway Pump" as the subject of activity of the railway pump”</w:t>
      </w:r>
    </w:p>
    <w:p w14:paraId="2FE5775E" w14:textId="77777777" w:rsidR="002346EE" w:rsidRPr="009E1B38" w:rsidRDefault="002346EE" w:rsidP="00475E83">
      <w:pPr>
        <w:pStyle w:val="ListeParagraf"/>
        <w:ind w:left="1440"/>
        <w:rPr>
          <w:rFonts w:ascii="Times New Roman" w:hAnsi="Times New Roman"/>
          <w:i/>
        </w:rPr>
      </w:pPr>
    </w:p>
    <w:p w14:paraId="7D4A7D2A" w14:textId="29484F6A" w:rsidR="00475E83" w:rsidRPr="009E1B38" w:rsidRDefault="00475E83" w:rsidP="003C5E4D">
      <w:pPr>
        <w:pStyle w:val="ListeParagraf"/>
        <w:numPr>
          <w:ilvl w:val="0"/>
          <w:numId w:val="41"/>
        </w:numPr>
        <w:spacing w:after="160" w:line="259" w:lineRule="auto"/>
        <w:rPr>
          <w:rFonts w:ascii="Times New Roman" w:hAnsi="Times New Roman"/>
        </w:rPr>
      </w:pPr>
      <w:r w:rsidRPr="009E1B38">
        <w:rPr>
          <w:rFonts w:ascii="Times New Roman" w:hAnsi="Times New Roman"/>
        </w:rPr>
        <w:t>A</w:t>
      </w:r>
      <w:r w:rsidR="00E01332" w:rsidRPr="009E1B38">
        <w:rPr>
          <w:rFonts w:ascii="Times New Roman" w:hAnsi="Times New Roman"/>
        </w:rPr>
        <w:t>ppendix 2 of the same Decision, the “Information Form on the Request for Modification of the Dealership License” has been amended.</w:t>
      </w:r>
    </w:p>
    <w:p w14:paraId="7D4A7D2B" w14:textId="77777777" w:rsidR="00475E83" w:rsidRPr="009E1B38" w:rsidRDefault="00475E83" w:rsidP="00475E83">
      <w:pPr>
        <w:pStyle w:val="ListeParagraf"/>
        <w:rPr>
          <w:rFonts w:ascii="Times New Roman" w:hAnsi="Times New Roman"/>
          <w:b/>
        </w:rPr>
      </w:pPr>
    </w:p>
    <w:p w14:paraId="7D4A7D2D" w14:textId="2632EAC6" w:rsidR="00475E83" w:rsidRPr="009E1B38" w:rsidRDefault="00C036E3" w:rsidP="003C5E4D">
      <w:pPr>
        <w:pStyle w:val="ListeParagraf"/>
        <w:numPr>
          <w:ilvl w:val="0"/>
          <w:numId w:val="34"/>
        </w:numPr>
        <w:spacing w:after="160" w:line="259" w:lineRule="auto"/>
        <w:rPr>
          <w:rFonts w:ascii="Times New Roman" w:hAnsi="Times New Roman"/>
          <w:i/>
        </w:rPr>
      </w:pPr>
      <w:bookmarkStart w:id="82" w:name="_Hlk89264692"/>
      <w:r w:rsidRPr="009E1B38">
        <w:rPr>
          <w:rFonts w:ascii="Times New Roman" w:hAnsi="Times New Roman"/>
        </w:rPr>
        <w:t>07.12.2021 31682 published in the official gazette dated</w:t>
      </w:r>
      <w:r w:rsidR="00EB243C" w:rsidRPr="009E1B38">
        <w:rPr>
          <w:rFonts w:ascii="Times New Roman" w:hAnsi="Times New Roman"/>
        </w:rPr>
        <w:t xml:space="preserve"> </w:t>
      </w:r>
      <w:r w:rsidRPr="009E1B38">
        <w:rPr>
          <w:rFonts w:ascii="Times New Roman" w:hAnsi="Times New Roman"/>
        </w:rPr>
        <w:t>06.07.2007 No. 10594 02.12.2021 26574 published in the official gazette dated 27.06.2007 by a decision of the assembly 1240) license holders reseller distributor of Petroleum in the market About the rules and procedures for the control system of the board's decision</w:t>
      </w:r>
    </w:p>
    <w:p w14:paraId="60E093CA" w14:textId="77777777" w:rsidR="00C036E3" w:rsidRPr="009E1B38" w:rsidRDefault="00C036E3" w:rsidP="00C036E3">
      <w:pPr>
        <w:pStyle w:val="ListeParagraf"/>
        <w:spacing w:after="160" w:line="259" w:lineRule="auto"/>
        <w:rPr>
          <w:rFonts w:ascii="Times New Roman" w:hAnsi="Times New Roman"/>
          <w:i/>
        </w:rPr>
      </w:pPr>
    </w:p>
    <w:p w14:paraId="7D4A7D2E" w14:textId="7CF7EAEA" w:rsidR="00475E83" w:rsidRPr="009E1B38" w:rsidRDefault="0042217B" w:rsidP="003C5E4D">
      <w:pPr>
        <w:pStyle w:val="ListeParagraf"/>
        <w:numPr>
          <w:ilvl w:val="0"/>
          <w:numId w:val="40"/>
        </w:numPr>
        <w:spacing w:after="160" w:line="259" w:lineRule="auto"/>
        <w:jc w:val="left"/>
        <w:rPr>
          <w:rFonts w:ascii="Times New Roman" w:hAnsi="Times New Roman"/>
        </w:rPr>
      </w:pPr>
      <w:r w:rsidRPr="009E1B38">
        <w:rPr>
          <w:rFonts w:ascii="Times New Roman" w:hAnsi="Times New Roman"/>
          <w:i/>
        </w:rPr>
        <w:t xml:space="preserve"> The first sentence of the first paragraph of Article 4 entitled ”Obligation to Establish and Implement an Audit System" has been amended as follows.</w:t>
      </w:r>
    </w:p>
    <w:p w14:paraId="7D4A7D2F" w14:textId="77777777" w:rsidR="00475E83" w:rsidRPr="009E1B38" w:rsidRDefault="00475E83" w:rsidP="00475E83">
      <w:pPr>
        <w:pStyle w:val="ListeParagraf"/>
        <w:ind w:left="1440"/>
        <w:rPr>
          <w:rFonts w:ascii="Times New Roman" w:hAnsi="Times New Roman"/>
        </w:rPr>
      </w:pPr>
    </w:p>
    <w:p w14:paraId="7D4A7D30" w14:textId="176F1158" w:rsidR="00475E83" w:rsidRPr="009E1B38" w:rsidRDefault="006570D5" w:rsidP="00475E83">
      <w:pPr>
        <w:pStyle w:val="ListeParagraf"/>
        <w:ind w:left="1440"/>
        <w:rPr>
          <w:rFonts w:ascii="Times New Roman" w:hAnsi="Times New Roman"/>
          <w:i/>
        </w:rPr>
      </w:pPr>
      <w:r w:rsidRPr="009E1B38">
        <w:rPr>
          <w:rFonts w:ascii="Times New Roman" w:hAnsi="Times New Roman"/>
          <w:i/>
        </w:rPr>
        <w:t>"Distributor license holders establish and implement a dealer inspection system, including technological methods that prevent the sale of illegal fuel oil through an authorized automation company at their dealers operating under a registered trademark.”</w:t>
      </w:r>
    </w:p>
    <w:p w14:paraId="7D4A7D31" w14:textId="77777777" w:rsidR="00475E83" w:rsidRPr="009E1B38" w:rsidRDefault="00475E83" w:rsidP="00475E83">
      <w:pPr>
        <w:pStyle w:val="ListeParagraf"/>
        <w:ind w:left="1440"/>
        <w:rPr>
          <w:rFonts w:ascii="Times New Roman" w:hAnsi="Times New Roman"/>
          <w:i/>
        </w:rPr>
      </w:pPr>
    </w:p>
    <w:p w14:paraId="7D4A7D32" w14:textId="12ABEA68" w:rsidR="00475E83" w:rsidRPr="009E1B38" w:rsidRDefault="00475E83" w:rsidP="003C5E4D">
      <w:pPr>
        <w:pStyle w:val="ListeParagraf"/>
        <w:numPr>
          <w:ilvl w:val="0"/>
          <w:numId w:val="40"/>
        </w:numPr>
        <w:spacing w:after="160" w:line="259" w:lineRule="auto"/>
        <w:rPr>
          <w:rFonts w:ascii="Times New Roman" w:hAnsi="Times New Roman"/>
        </w:rPr>
      </w:pPr>
      <w:r w:rsidRPr="009E1B38">
        <w:rPr>
          <w:rFonts w:ascii="Times New Roman" w:hAnsi="Times New Roman"/>
        </w:rPr>
        <w:t>A</w:t>
      </w:r>
      <w:r w:rsidR="00010840" w:rsidRPr="009E1B38">
        <w:rPr>
          <w:rFonts w:ascii="Times New Roman" w:hAnsi="Times New Roman"/>
        </w:rPr>
        <w:t>ppendix 1 of the same Decision, the “Automation System Manual", has been amended as October.</w:t>
      </w:r>
    </w:p>
    <w:p w14:paraId="7D4A7D33" w14:textId="77777777" w:rsidR="00475E83" w:rsidRPr="009E1B38" w:rsidRDefault="00475E83" w:rsidP="00475E83">
      <w:pPr>
        <w:pStyle w:val="ListeParagraf"/>
        <w:ind w:left="1440"/>
        <w:rPr>
          <w:rFonts w:ascii="Times New Roman" w:hAnsi="Times New Roman"/>
        </w:rPr>
      </w:pPr>
    </w:p>
    <w:bookmarkEnd w:id="82"/>
    <w:p w14:paraId="7D4A7D35" w14:textId="5E8E2B70" w:rsidR="00475E83" w:rsidRPr="009E1B38" w:rsidRDefault="008E1132" w:rsidP="00475E83">
      <w:pPr>
        <w:pStyle w:val="ListeParagraf"/>
        <w:rPr>
          <w:rFonts w:ascii="Times New Roman" w:hAnsi="Times New Roman"/>
        </w:rPr>
      </w:pPr>
      <w:r w:rsidRPr="009E1B38">
        <w:rPr>
          <w:rFonts w:ascii="Times New Roman" w:hAnsi="Times New Roman"/>
        </w:rPr>
        <w:t>This Decision entered into force as of 01.01.2022.</w:t>
      </w:r>
    </w:p>
    <w:p w14:paraId="27465C11" w14:textId="77777777" w:rsidR="008E1132" w:rsidRPr="009E1B38" w:rsidRDefault="008E1132" w:rsidP="00475E83">
      <w:pPr>
        <w:pStyle w:val="ListeParagraf"/>
        <w:rPr>
          <w:rFonts w:ascii="Times New Roman" w:hAnsi="Times New Roman"/>
        </w:rPr>
      </w:pPr>
    </w:p>
    <w:p w14:paraId="7D4A7D37" w14:textId="70849786" w:rsidR="00475E83" w:rsidRPr="009E1B38" w:rsidRDefault="00475E83" w:rsidP="003C5E4D">
      <w:pPr>
        <w:pStyle w:val="ListeParagraf"/>
        <w:numPr>
          <w:ilvl w:val="0"/>
          <w:numId w:val="34"/>
        </w:numPr>
        <w:spacing w:after="160" w:line="259" w:lineRule="auto"/>
        <w:rPr>
          <w:rFonts w:ascii="Times New Roman" w:hAnsi="Times New Roman"/>
        </w:rPr>
      </w:pPr>
      <w:r w:rsidRPr="009E1B38">
        <w:rPr>
          <w:rFonts w:ascii="Times New Roman" w:hAnsi="Times New Roman"/>
        </w:rPr>
        <w:t>1</w:t>
      </w:r>
      <w:r w:rsidR="00FC0C2C" w:rsidRPr="009E1B38">
        <w:rPr>
          <w:rFonts w:ascii="Times New Roman" w:hAnsi="Times New Roman"/>
        </w:rPr>
        <w:t>4.12.2021 31689 published in the official gazette dated with the decision of the Petroleum Market Law No. 5015 09.12.2021 dated 10612 Assembly and the oil market license regulation in accordance with Article 16 of 50 the complementary part of the stock which will be implemented in 2022 national oil that may occur due to the acquisition of the resource needed for the storage and maintenance costs, financing costs and the revenue that will be used for this section of inventories were used to determine share price.</w:t>
      </w:r>
    </w:p>
    <w:p w14:paraId="41FA5748" w14:textId="77777777" w:rsidR="00FC0C2C" w:rsidRPr="009E1B38" w:rsidRDefault="00FC0C2C" w:rsidP="00FC0C2C">
      <w:pPr>
        <w:pStyle w:val="ListeParagraf"/>
        <w:spacing w:after="160" w:line="259" w:lineRule="auto"/>
        <w:rPr>
          <w:rFonts w:ascii="Times New Roman" w:hAnsi="Times New Roman"/>
        </w:rPr>
      </w:pPr>
    </w:p>
    <w:p w14:paraId="7D4A7D39" w14:textId="04B9D25D" w:rsidR="00D3422D" w:rsidRPr="009E1B38" w:rsidRDefault="00891B24" w:rsidP="003C5E4D">
      <w:pPr>
        <w:pStyle w:val="ListeParagraf"/>
        <w:numPr>
          <w:ilvl w:val="0"/>
          <w:numId w:val="30"/>
        </w:numPr>
        <w:spacing w:after="160" w:line="259" w:lineRule="auto"/>
        <w:rPr>
          <w:rFonts w:ascii="Times New Roman" w:hAnsi="Times New Roman"/>
        </w:rPr>
      </w:pPr>
      <w:r w:rsidRPr="009E1B38">
        <w:rPr>
          <w:rFonts w:ascii="Times New Roman" w:hAnsi="Times New Roman"/>
        </w:rPr>
        <w:t xml:space="preserve">Dated 31.12.2021 and numbered 31706 (6.Repeated) dated 10673 published in the official gazette dated with the decision of the assembly 30.12.2021 03.08.2021 31557 published in the Official Gazette numbered, dated 29.07.2021 No. 10338 establishment and implementation of the authorization of the reseller control system automation for </w:t>
      </w:r>
      <w:r w:rsidR="00135D72" w:rsidRPr="009E1B38">
        <w:rPr>
          <w:rFonts w:ascii="Times New Roman" w:hAnsi="Times New Roman"/>
        </w:rPr>
        <w:t>legal entities</w:t>
      </w:r>
      <w:r w:rsidRPr="009E1B38">
        <w:rPr>
          <w:rFonts w:ascii="Times New Roman" w:hAnsi="Times New Roman"/>
        </w:rPr>
        <w:t xml:space="preserve"> authorized under a decision about the company of the consideration for permission for applications to be made 340.500 determined as TL in the year 2022, it was decided.</w:t>
      </w:r>
    </w:p>
    <w:p w14:paraId="48AED527" w14:textId="4688FA87" w:rsidR="00D3422D" w:rsidRPr="009E1B38" w:rsidRDefault="00D3422D" w:rsidP="00D3422D">
      <w:pPr>
        <w:pStyle w:val="ListeParagraf"/>
        <w:spacing w:after="160" w:line="259" w:lineRule="auto"/>
        <w:rPr>
          <w:rFonts w:ascii="Times New Roman" w:hAnsi="Times New Roman"/>
        </w:rPr>
      </w:pPr>
    </w:p>
    <w:p w14:paraId="7D4A7D3B" w14:textId="6E618BD5" w:rsidR="001D2DA2" w:rsidRPr="009E1B38" w:rsidRDefault="5B9A5E4B" w:rsidP="003C5E4D">
      <w:pPr>
        <w:pStyle w:val="Balk2"/>
        <w:numPr>
          <w:ilvl w:val="1"/>
          <w:numId w:val="58"/>
        </w:numPr>
        <w:rPr>
          <w:rFonts w:cs="Times New Roman"/>
        </w:rPr>
      </w:pPr>
      <w:bookmarkStart w:id="83" w:name="_Toc442431247"/>
      <w:bookmarkStart w:id="84" w:name="_Toc6684442"/>
      <w:bookmarkStart w:id="85" w:name="_Toc113615324"/>
      <w:r w:rsidRPr="009E1B38">
        <w:rPr>
          <w:rFonts w:cs="Times New Roman"/>
        </w:rPr>
        <w:t>Liquefied Petroleum Gas (LPG) Market Legislation</w:t>
      </w:r>
      <w:bookmarkEnd w:id="83"/>
      <w:bookmarkEnd w:id="84"/>
      <w:bookmarkEnd w:id="85"/>
    </w:p>
    <w:p w14:paraId="7D4A7D3C" w14:textId="4375C27F" w:rsidR="00FD50A0" w:rsidRPr="009E1B38" w:rsidRDefault="00C13B47" w:rsidP="00C13B47">
      <w:pPr>
        <w:pStyle w:val="Balk3"/>
        <w:spacing w:after="240"/>
        <w:rPr>
          <w:rFonts w:ascii="Times New Roman" w:hAnsi="Times New Roman" w:cs="Times New Roman"/>
          <w:color w:val="auto"/>
        </w:rPr>
      </w:pPr>
      <w:bookmarkStart w:id="86" w:name="_Toc442431248"/>
      <w:bookmarkStart w:id="87" w:name="_Toc6684443"/>
      <w:bookmarkStart w:id="88" w:name="_Toc113615325"/>
      <w:r w:rsidRPr="009E1B38">
        <w:rPr>
          <w:rFonts w:ascii="Times New Roman" w:hAnsi="Times New Roman" w:cs="Times New Roman"/>
          <w:color w:val="auto"/>
        </w:rPr>
        <w:t>2.4.</w:t>
      </w:r>
      <w:r w:rsidR="00CD644D" w:rsidRPr="009E1B38">
        <w:rPr>
          <w:rFonts w:ascii="Times New Roman" w:hAnsi="Times New Roman" w:cs="Times New Roman"/>
          <w:color w:val="auto"/>
        </w:rPr>
        <w:t xml:space="preserve">1 </w:t>
      </w:r>
      <w:bookmarkEnd w:id="86"/>
      <w:bookmarkEnd w:id="87"/>
      <w:r w:rsidR="5B9A5E4B" w:rsidRPr="009E1B38">
        <w:rPr>
          <w:rFonts w:ascii="Times New Roman" w:hAnsi="Times New Roman" w:cs="Times New Roman"/>
          <w:color w:val="auto"/>
          <w:sz w:val="24"/>
          <w:szCs w:val="24"/>
        </w:rPr>
        <w:t>Law</w:t>
      </w:r>
      <w:bookmarkEnd w:id="88"/>
    </w:p>
    <w:p w14:paraId="417B0019" w14:textId="302615DC" w:rsidR="0EDF1BB8" w:rsidRPr="009E1B38" w:rsidRDefault="0EDF1BB8" w:rsidP="0EDF1BB8">
      <w:pPr>
        <w:rPr>
          <w:rFonts w:ascii="Times New Roman" w:hAnsi="Times New Roman"/>
        </w:rPr>
      </w:pPr>
      <w:r w:rsidRPr="009E1B38">
        <w:rPr>
          <w:rFonts w:ascii="Times New Roman" w:eastAsia="Cambria" w:hAnsi="Times New Roman"/>
        </w:rPr>
        <w:t>No change was made in the Law No. 5307 on Liquefied Petroleum Gas (LPG) Market Law and the Law on Amending the Electricity Market Law in 2021.</w:t>
      </w:r>
    </w:p>
    <w:p w14:paraId="7D4A7D3E" w14:textId="7079AB3E" w:rsidR="00475E83" w:rsidRPr="009E1B38" w:rsidRDefault="00F307DF" w:rsidP="003C5E4D">
      <w:pPr>
        <w:pStyle w:val="ListeParagraf"/>
        <w:numPr>
          <w:ilvl w:val="0"/>
          <w:numId w:val="30"/>
        </w:numPr>
        <w:spacing w:after="160" w:line="259" w:lineRule="auto"/>
        <w:rPr>
          <w:rFonts w:ascii="Times New Roman" w:hAnsi="Times New Roman"/>
          <w:b/>
        </w:rPr>
      </w:pPr>
      <w:r w:rsidRPr="009E1B38">
        <w:rPr>
          <w:rFonts w:ascii="Times New Roman" w:hAnsi="Times New Roman"/>
        </w:rPr>
        <w:lastRenderedPageBreak/>
        <w:t>Law No. 5307 Amending the Liquefied Petroleum Gases (LPG) Market Law and the Electricity Market Law with the Law No. 7318 Amending the Tax Procedure Law and some laws published in the Official Gazette dated 30.04.2021 and numbered 31470</w:t>
      </w:r>
    </w:p>
    <w:p w14:paraId="7D4A7D3F" w14:textId="77777777" w:rsidR="00475E83" w:rsidRPr="009E1B38" w:rsidRDefault="00475E83" w:rsidP="00475E83">
      <w:pPr>
        <w:pStyle w:val="ListeParagraf"/>
        <w:rPr>
          <w:rFonts w:ascii="Times New Roman" w:hAnsi="Times New Roman"/>
        </w:rPr>
      </w:pPr>
    </w:p>
    <w:p w14:paraId="3E2FCA2A" w14:textId="7C8C43AE" w:rsidR="65791FF6" w:rsidRPr="009E1B38" w:rsidRDefault="65791FF6" w:rsidP="003C5E4D">
      <w:pPr>
        <w:pStyle w:val="ListeParagraf"/>
        <w:numPr>
          <w:ilvl w:val="0"/>
          <w:numId w:val="31"/>
        </w:numPr>
        <w:spacing w:after="160" w:line="259" w:lineRule="auto"/>
        <w:rPr>
          <w:rFonts w:ascii="Times New Roman" w:hAnsi="Times New Roman"/>
          <w:i/>
          <w:iCs/>
        </w:rPr>
      </w:pPr>
      <w:r w:rsidRPr="009E1B38">
        <w:rPr>
          <w:rFonts w:ascii="Times New Roman" w:hAnsi="Times New Roman"/>
          <w:i/>
          <w:iCs/>
        </w:rPr>
        <w:t>“The following paragraph has been added after the ninth paragraph to the article 3 titled "The procedures and principles to which the licenses will be subject".</w:t>
      </w:r>
    </w:p>
    <w:p w14:paraId="7D4A7D41" w14:textId="77777777" w:rsidR="00475E83" w:rsidRPr="009E1B38" w:rsidRDefault="00475E83" w:rsidP="00475E83">
      <w:pPr>
        <w:pStyle w:val="ListeParagraf"/>
        <w:ind w:left="1440"/>
        <w:rPr>
          <w:rFonts w:ascii="Times New Roman" w:hAnsi="Times New Roman"/>
        </w:rPr>
      </w:pPr>
    </w:p>
    <w:p w14:paraId="7D4A7D42" w14:textId="16C09ABA" w:rsidR="00475E83" w:rsidRPr="009E1B38" w:rsidRDefault="754BAE92" w:rsidP="00475E83">
      <w:pPr>
        <w:pStyle w:val="ListeParagraf"/>
        <w:ind w:left="1440"/>
        <w:rPr>
          <w:rFonts w:ascii="Times New Roman" w:hAnsi="Times New Roman"/>
          <w:i/>
        </w:rPr>
      </w:pPr>
      <w:r w:rsidRPr="009E1B38">
        <w:rPr>
          <w:rFonts w:ascii="Times New Roman" w:hAnsi="Times New Roman"/>
          <w:i/>
          <w:iCs/>
        </w:rPr>
        <w:t>“</w:t>
      </w:r>
      <w:r w:rsidR="5EEE8169" w:rsidRPr="009E1B38">
        <w:rPr>
          <w:rFonts w:ascii="Times New Roman" w:hAnsi="Times New Roman"/>
          <w:i/>
          <w:iCs/>
        </w:rPr>
        <w:t>According to this Law, with regard to distributor and dealership licenses and other license types determined by the Authority, in order to fulfill the requests for license application, license amendment or extension of the license period, overdue premium and administrative fine debt to the Social Security Institution and to the tax offices in accordance with Article 22</w:t>
      </w:r>
      <w:r w:rsidRPr="009E1B38">
        <w:rPr>
          <w:rFonts w:ascii="Times New Roman" w:hAnsi="Times New Roman"/>
          <w:i/>
          <w:iCs/>
        </w:rPr>
        <w:t>/A</w:t>
      </w:r>
      <w:r w:rsidR="5EEE8169" w:rsidRPr="009E1B38">
        <w:rPr>
          <w:rFonts w:ascii="Times New Roman" w:hAnsi="Times New Roman"/>
          <w:i/>
          <w:iCs/>
        </w:rPr>
        <w:t xml:space="preserve"> of the Law No.</w:t>
      </w:r>
      <w:r w:rsidR="00475E83" w:rsidRPr="009E1B38">
        <w:rPr>
          <w:rFonts w:ascii="Times New Roman" w:hAnsi="Times New Roman"/>
          <w:i/>
        </w:rPr>
        <w:t xml:space="preserve"> 6183</w:t>
      </w:r>
      <w:r w:rsidR="5EEE8169" w:rsidRPr="009E1B38">
        <w:rPr>
          <w:rFonts w:ascii="Times New Roman" w:hAnsi="Times New Roman"/>
          <w:i/>
          <w:iCs/>
        </w:rPr>
        <w:t>. It is essential that there is no overdue debt within the scope of the article.</w:t>
      </w:r>
      <w:r w:rsidR="00475E83" w:rsidRPr="009E1B38">
        <w:rPr>
          <w:rFonts w:ascii="Times New Roman" w:hAnsi="Times New Roman"/>
          <w:i/>
        </w:rPr>
        <w:t xml:space="preserve"> </w:t>
      </w:r>
      <w:r w:rsidRPr="009E1B38">
        <w:rPr>
          <w:rFonts w:ascii="Times New Roman" w:hAnsi="Times New Roman"/>
          <w:i/>
          <w:iCs/>
        </w:rPr>
        <w:t>Information that the license holders have no overdue debts is obtained from the Revenue Administration and the Social Security Institution by the Authority. The Institution is authorized to determine the procedures and principles regarding the implementation of this paragraph by taking the opinion of the Revenue Administration and the Social Security Institution.”</w:t>
      </w:r>
    </w:p>
    <w:p w14:paraId="7D4A7D43" w14:textId="77777777" w:rsidR="00475E83" w:rsidRPr="009E1B38" w:rsidRDefault="00475E83" w:rsidP="00475E83">
      <w:pPr>
        <w:pStyle w:val="ListeParagraf"/>
        <w:rPr>
          <w:rFonts w:ascii="Times New Roman" w:hAnsi="Times New Roman"/>
        </w:rPr>
      </w:pPr>
    </w:p>
    <w:p w14:paraId="5B630BF9" w14:textId="0FB1E025" w:rsidR="754BAE92" w:rsidRPr="009E1B38" w:rsidRDefault="754BAE92" w:rsidP="003C5E4D">
      <w:pPr>
        <w:pStyle w:val="ListeParagraf"/>
        <w:numPr>
          <w:ilvl w:val="0"/>
          <w:numId w:val="31"/>
        </w:numPr>
        <w:spacing w:after="160" w:line="259" w:lineRule="auto"/>
        <w:rPr>
          <w:rFonts w:ascii="Times New Roman" w:hAnsi="Times New Roman"/>
        </w:rPr>
      </w:pPr>
      <w:r w:rsidRPr="009E1B38">
        <w:rPr>
          <w:rFonts w:ascii="Times New Roman" w:hAnsi="Times New Roman"/>
        </w:rPr>
        <w:t>The following paragraph has been added to the second paragraph of Article 17 titled “Administrative Sanctions”.</w:t>
      </w:r>
    </w:p>
    <w:p w14:paraId="7D4A7D45" w14:textId="77777777" w:rsidR="00475E83" w:rsidRPr="009E1B38" w:rsidRDefault="00475E83" w:rsidP="00475E83">
      <w:pPr>
        <w:pStyle w:val="ListeParagraf"/>
        <w:rPr>
          <w:rFonts w:ascii="Times New Roman" w:hAnsi="Times New Roman"/>
        </w:rPr>
      </w:pPr>
    </w:p>
    <w:p w14:paraId="7D4A7D46" w14:textId="290D64F7" w:rsidR="00475E83" w:rsidRPr="009E1B38" w:rsidRDefault="2BAD1DFC" w:rsidP="00475E83">
      <w:pPr>
        <w:pStyle w:val="ListeParagraf"/>
        <w:ind w:left="1440"/>
        <w:rPr>
          <w:rFonts w:ascii="Times New Roman" w:hAnsi="Times New Roman"/>
          <w:i/>
        </w:rPr>
      </w:pPr>
      <w:r w:rsidRPr="009E1B38">
        <w:rPr>
          <w:rFonts w:ascii="Times New Roman" w:hAnsi="Times New Roman"/>
          <w:i/>
          <w:iCs/>
        </w:rPr>
        <w:t xml:space="preserve">“e) Among those engaged in activities subject to license within the scope of this Law, and those who do not provide the required guarantee as per the subparagraph (8) of the first paragraph of Article 257 of the Tax Procedure Law dated 4/1/1961 and numbered 213, the relevant market activity is suspended until the guarantee is given, and within this period the said facility or No license shall be granted to any other natural or </w:t>
      </w:r>
      <w:r w:rsidR="00135D72" w:rsidRPr="009E1B38">
        <w:rPr>
          <w:rFonts w:ascii="Times New Roman" w:hAnsi="Times New Roman"/>
          <w:i/>
          <w:iCs/>
        </w:rPr>
        <w:t>legal entity</w:t>
      </w:r>
      <w:r w:rsidRPr="009E1B38">
        <w:rPr>
          <w:rFonts w:ascii="Times New Roman" w:hAnsi="Times New Roman"/>
          <w:i/>
          <w:iCs/>
        </w:rPr>
        <w:t xml:space="preserve"> for the activity.”</w:t>
      </w:r>
    </w:p>
    <w:p w14:paraId="7D4A7D47" w14:textId="0541AADA" w:rsidR="00B119A0" w:rsidRPr="009E1B38" w:rsidRDefault="5B9A5E4B" w:rsidP="003C5E4D">
      <w:pPr>
        <w:pStyle w:val="Balk3"/>
        <w:numPr>
          <w:ilvl w:val="2"/>
          <w:numId w:val="59"/>
        </w:numPr>
        <w:spacing w:after="240"/>
        <w:rPr>
          <w:rFonts w:ascii="Times New Roman" w:hAnsi="Times New Roman" w:cs="Times New Roman"/>
          <w:color w:val="auto"/>
          <w:sz w:val="24"/>
          <w:szCs w:val="24"/>
        </w:rPr>
      </w:pPr>
      <w:bookmarkStart w:id="89" w:name="_Toc442431249"/>
      <w:bookmarkStart w:id="90" w:name="_Toc6684444"/>
      <w:bookmarkStart w:id="91" w:name="_Toc113615326"/>
      <w:r w:rsidRPr="009E1B38">
        <w:rPr>
          <w:rFonts w:ascii="Times New Roman" w:hAnsi="Times New Roman" w:cs="Times New Roman"/>
          <w:color w:val="auto"/>
          <w:sz w:val="24"/>
          <w:szCs w:val="24"/>
        </w:rPr>
        <w:t>Regulations</w:t>
      </w:r>
      <w:bookmarkEnd w:id="89"/>
      <w:bookmarkEnd w:id="90"/>
      <w:bookmarkEnd w:id="91"/>
    </w:p>
    <w:p w14:paraId="0D0EC003" w14:textId="260238FC" w:rsidR="2BAD1DFC" w:rsidRPr="009E1B38" w:rsidRDefault="2BAD1DFC" w:rsidP="2BAD1DFC">
      <w:pPr>
        <w:spacing w:after="240"/>
        <w:rPr>
          <w:rFonts w:ascii="Times New Roman" w:hAnsi="Times New Roman"/>
          <w:color w:val="000000" w:themeColor="text1"/>
        </w:rPr>
      </w:pPr>
      <w:r w:rsidRPr="009E1B38">
        <w:rPr>
          <w:rFonts w:ascii="Times New Roman" w:hAnsi="Times New Roman"/>
          <w:color w:val="000000" w:themeColor="text1"/>
        </w:rPr>
        <w:t>In 2021, the following Regulation studies were carried out in the LPG market:</w:t>
      </w:r>
    </w:p>
    <w:p w14:paraId="2AD7B467" w14:textId="5093993D" w:rsidR="2BAD1DFC" w:rsidRPr="009E1B38" w:rsidRDefault="2BAD1DFC" w:rsidP="003C5E4D">
      <w:pPr>
        <w:pStyle w:val="ListeParagraf"/>
        <w:numPr>
          <w:ilvl w:val="0"/>
          <w:numId w:val="9"/>
        </w:numPr>
        <w:spacing w:after="160" w:line="259" w:lineRule="auto"/>
        <w:rPr>
          <w:rFonts w:ascii="Times New Roman" w:hAnsi="Times New Roman"/>
          <w:b/>
          <w:bCs/>
        </w:rPr>
      </w:pPr>
      <w:r w:rsidRPr="009E1B38">
        <w:rPr>
          <w:rFonts w:ascii="Times New Roman" w:hAnsi="Times New Roman"/>
          <w:b/>
          <w:bCs/>
        </w:rPr>
        <w:t>With the Amendment Regulation published in the Official Gazette dated 08.06.2021 and numbered 31505, Liquefied Petroleum Gases (LPG) Market License Regulation</w:t>
      </w:r>
    </w:p>
    <w:p w14:paraId="7D4A7D4A" w14:textId="77777777" w:rsidR="00475E83" w:rsidRPr="009E1B38" w:rsidRDefault="00475E83" w:rsidP="00475E83">
      <w:pPr>
        <w:pStyle w:val="ListeParagraf"/>
        <w:ind w:left="1440"/>
        <w:rPr>
          <w:rFonts w:ascii="Times New Roman" w:hAnsi="Times New Roman"/>
        </w:rPr>
      </w:pPr>
    </w:p>
    <w:p w14:paraId="109A4B51" w14:textId="1B36DE87" w:rsidR="0E0B3EBD" w:rsidRPr="009E1B38" w:rsidRDefault="0E0B3EBD" w:rsidP="003C5E4D">
      <w:pPr>
        <w:pStyle w:val="ListeParagraf"/>
        <w:numPr>
          <w:ilvl w:val="0"/>
          <w:numId w:val="31"/>
        </w:numPr>
        <w:spacing w:after="160" w:line="259" w:lineRule="auto"/>
        <w:rPr>
          <w:rFonts w:ascii="Times New Roman" w:hAnsi="Times New Roman"/>
        </w:rPr>
      </w:pPr>
      <w:r w:rsidRPr="009E1B38">
        <w:rPr>
          <w:rFonts w:ascii="Times New Roman" w:hAnsi="Times New Roman"/>
        </w:rPr>
        <w:t>The following paragraph has been added to article 10 titled "Conclusion of the examination and evaluation".</w:t>
      </w:r>
    </w:p>
    <w:p w14:paraId="7D4A7D4C" w14:textId="77777777" w:rsidR="00475E83" w:rsidRPr="009E1B38" w:rsidRDefault="00475E83" w:rsidP="00475E83">
      <w:pPr>
        <w:pStyle w:val="ListeParagraf"/>
        <w:spacing w:after="160" w:line="259" w:lineRule="auto"/>
        <w:ind w:left="1440"/>
        <w:rPr>
          <w:rFonts w:ascii="Times New Roman" w:hAnsi="Times New Roman"/>
        </w:rPr>
      </w:pPr>
    </w:p>
    <w:p w14:paraId="33504E72" w14:textId="5EE87815" w:rsidR="43A05A0A" w:rsidRPr="009E1B38" w:rsidRDefault="43A05A0A" w:rsidP="43A05A0A">
      <w:pPr>
        <w:pStyle w:val="ListeParagraf"/>
        <w:ind w:left="1440"/>
        <w:rPr>
          <w:rFonts w:ascii="Times New Roman" w:hAnsi="Times New Roman"/>
          <w:i/>
          <w:iCs/>
        </w:rPr>
      </w:pPr>
      <w:r w:rsidRPr="009E1B38">
        <w:rPr>
          <w:rFonts w:ascii="Times New Roman" w:hAnsi="Times New Roman"/>
          <w:i/>
          <w:iCs/>
        </w:rPr>
        <w:t>“In order to fulfill the license application requests, the applicant must not have any overdue premium and administrative fine debt to the Social Security Institution and no overdue debt within the scope of Article 22/A of the Law on Collection Procedure of Public Receivables No. 6183 dated 21/7/1953. Information on whether the applicant has overdue debts is obtained by the Agency from the Revenue Administration and the Social Security Institution. Objections regarding debt information are made to the Social Security Institution or the Revenue Administration, depending on the scope of the debt. Objections made by the applicant to the Institute or the information and documents submitted in this regard are not taken into consideration. The procedures and principles regarding the provision of debt information are determined by the data sharing protocols between the Institution, the Social Security Institution and the Revenue Administration.</w:t>
      </w:r>
    </w:p>
    <w:p w14:paraId="7D4A7D4E" w14:textId="77777777" w:rsidR="00475E83" w:rsidRPr="009E1B38" w:rsidRDefault="00475E83" w:rsidP="00475E83">
      <w:pPr>
        <w:pStyle w:val="ListeParagraf"/>
        <w:ind w:left="1440"/>
        <w:rPr>
          <w:rFonts w:ascii="Times New Roman" w:hAnsi="Times New Roman"/>
          <w:i/>
        </w:rPr>
      </w:pPr>
    </w:p>
    <w:p w14:paraId="63855F2D" w14:textId="1A002DDC" w:rsidR="0E0B3EBD" w:rsidRPr="009E1B38" w:rsidRDefault="0E0B3EBD" w:rsidP="003C5E4D">
      <w:pPr>
        <w:pStyle w:val="ListeParagraf"/>
        <w:numPr>
          <w:ilvl w:val="0"/>
          <w:numId w:val="31"/>
        </w:numPr>
        <w:spacing w:after="160" w:line="259" w:lineRule="auto"/>
        <w:rPr>
          <w:rFonts w:ascii="Times New Roman" w:hAnsi="Times New Roman"/>
        </w:rPr>
      </w:pPr>
      <w:r w:rsidRPr="009E1B38">
        <w:rPr>
          <w:rFonts w:ascii="Times New Roman" w:hAnsi="Times New Roman"/>
        </w:rPr>
        <w:t>The following paragraph has been added to article 15 titled “License amendment”.</w:t>
      </w:r>
    </w:p>
    <w:p w14:paraId="7D4A7D50" w14:textId="77777777" w:rsidR="00475E83" w:rsidRPr="009E1B38" w:rsidRDefault="00475E83" w:rsidP="00475E83">
      <w:pPr>
        <w:pStyle w:val="ListeParagraf"/>
        <w:ind w:left="1440"/>
        <w:rPr>
          <w:rFonts w:ascii="Times New Roman" w:hAnsi="Times New Roman"/>
        </w:rPr>
      </w:pPr>
    </w:p>
    <w:p w14:paraId="06224009" w14:textId="61778CE5" w:rsidR="27A7948C" w:rsidRPr="009E1B38" w:rsidRDefault="27A7948C" w:rsidP="27A7948C">
      <w:pPr>
        <w:pStyle w:val="ListeParagraf"/>
        <w:ind w:left="1440"/>
        <w:rPr>
          <w:rFonts w:ascii="Times New Roman" w:hAnsi="Times New Roman"/>
          <w:i/>
          <w:iCs/>
        </w:rPr>
      </w:pPr>
      <w:r w:rsidRPr="009E1B38">
        <w:rPr>
          <w:rFonts w:ascii="Times New Roman" w:hAnsi="Times New Roman"/>
          <w:i/>
          <w:iCs/>
        </w:rPr>
        <w:t>“In order for the license amendment requests to be fulfilled, the applicant must not have any overdue premium and administrative fine debt to the Social Security Institution and no overdue debt within the scope of Article 22/A of the Law No. 6183. Information on whether the applicant has overdue debts is obtained by the Agency from the Revenue Administration and the Social Security Institution. Objections regarding debt information are made to the Social Security Institution or the Revenue Administration, depending on the scope of the debt. Objections made by the applicant to the Institute or the information and documents submitted in this regard are not taken into consideration. The procedures and principles regarding the provision of debt information are determined by the data sharing protocols between the Institution, the Social Security Institution and the Revenue Administration.</w:t>
      </w:r>
    </w:p>
    <w:p w14:paraId="7D4A7D52" w14:textId="77777777" w:rsidR="00475E83" w:rsidRPr="009E1B38" w:rsidRDefault="00475E83" w:rsidP="00475E83">
      <w:pPr>
        <w:pStyle w:val="ListeParagraf"/>
        <w:ind w:left="1440"/>
        <w:rPr>
          <w:rFonts w:ascii="Times New Roman" w:hAnsi="Times New Roman"/>
        </w:rPr>
      </w:pPr>
    </w:p>
    <w:p w14:paraId="485E7B07" w14:textId="33860666" w:rsidR="0E0B3EBD" w:rsidRPr="009E1B38" w:rsidRDefault="0E0B3EBD" w:rsidP="003C5E4D">
      <w:pPr>
        <w:pStyle w:val="ListeParagraf"/>
        <w:numPr>
          <w:ilvl w:val="0"/>
          <w:numId w:val="31"/>
        </w:numPr>
        <w:spacing w:after="160" w:line="259" w:lineRule="auto"/>
        <w:rPr>
          <w:rFonts w:ascii="Times New Roman" w:hAnsi="Times New Roman"/>
        </w:rPr>
      </w:pPr>
      <w:r w:rsidRPr="009E1B38">
        <w:rPr>
          <w:rFonts w:ascii="Times New Roman" w:hAnsi="Times New Roman"/>
        </w:rPr>
        <w:t>The following paragraph has been added to Article 16 titled “Extension of time”.</w:t>
      </w:r>
    </w:p>
    <w:p w14:paraId="7D4A7D54" w14:textId="77777777" w:rsidR="00475E83" w:rsidRPr="009E1B38" w:rsidRDefault="00475E83" w:rsidP="00475E83">
      <w:pPr>
        <w:pStyle w:val="ListeParagraf"/>
        <w:ind w:left="1440"/>
        <w:rPr>
          <w:rFonts w:ascii="Times New Roman" w:hAnsi="Times New Roman"/>
        </w:rPr>
      </w:pPr>
    </w:p>
    <w:p w14:paraId="482AF21E" w14:textId="7CD6CB23" w:rsidR="27A7948C" w:rsidRPr="009E1B38" w:rsidRDefault="27A7948C" w:rsidP="27A7948C">
      <w:pPr>
        <w:pStyle w:val="ListeParagraf"/>
        <w:ind w:left="1440"/>
        <w:rPr>
          <w:rFonts w:ascii="Times New Roman" w:hAnsi="Times New Roman"/>
          <w:i/>
          <w:iCs/>
        </w:rPr>
      </w:pPr>
      <w:r w:rsidRPr="009E1B38">
        <w:rPr>
          <w:rFonts w:ascii="Times New Roman" w:hAnsi="Times New Roman"/>
          <w:i/>
          <w:iCs/>
        </w:rPr>
        <w:t>“In order to fulfill the license extension requests, the applicant must not have any overdue premium and administrative fine debt to the Social Security Institution and no overdue debt within the scope of Article 22/A of the Law No. 6183. Information on whether the applicant has overdue debts is obtained by the Agency from the Revenue Administration and the Social Security Institution. Objections regarding debt information are made to the Social Security Institution or the Revenue Administration, depending on the scope of the debt. Objections made by the applicant to the Institute or the information and documents submitted in this regard are not taken into consideration. The procedures and principles regarding the provision of debt information are determined by the data sharing protocols between the Institution, the Social Security Institution and the Revenue Administration.</w:t>
      </w:r>
    </w:p>
    <w:p w14:paraId="7D4A7D56" w14:textId="77777777" w:rsidR="00475E83" w:rsidRPr="009E1B38" w:rsidRDefault="00475E83" w:rsidP="00475E83">
      <w:pPr>
        <w:pStyle w:val="ListeParagraf"/>
        <w:ind w:left="1440"/>
        <w:rPr>
          <w:rFonts w:ascii="Times New Roman" w:hAnsi="Times New Roman"/>
          <w:i/>
        </w:rPr>
      </w:pPr>
    </w:p>
    <w:p w14:paraId="23BE63F1" w14:textId="530FD000" w:rsidR="0E0B3EBD" w:rsidRPr="009E1B38" w:rsidRDefault="0E0B3EBD" w:rsidP="003C5E4D">
      <w:pPr>
        <w:pStyle w:val="ListeParagraf"/>
        <w:numPr>
          <w:ilvl w:val="0"/>
          <w:numId w:val="31"/>
        </w:numPr>
        <w:spacing w:after="160" w:line="259" w:lineRule="auto"/>
        <w:rPr>
          <w:rFonts w:ascii="Times New Roman" w:hAnsi="Times New Roman"/>
        </w:rPr>
      </w:pPr>
      <w:r w:rsidRPr="009E1B38">
        <w:rPr>
          <w:rFonts w:ascii="Times New Roman" w:hAnsi="Times New Roman"/>
        </w:rPr>
        <w:t>Subparagraph (d) of the first paragraph of Article 17, entitled “Expiration and cancellation of licenses” has been amended as follows.</w:t>
      </w:r>
    </w:p>
    <w:p w14:paraId="7D4A7D58" w14:textId="77777777" w:rsidR="00475E83" w:rsidRPr="009E1B38" w:rsidRDefault="00475E83" w:rsidP="00475E83">
      <w:pPr>
        <w:pStyle w:val="ListeParagraf"/>
        <w:ind w:left="1440"/>
        <w:rPr>
          <w:rFonts w:ascii="Times New Roman" w:hAnsi="Times New Roman"/>
        </w:rPr>
      </w:pPr>
    </w:p>
    <w:p w14:paraId="7D4A7D59" w14:textId="21CB8D5F" w:rsidR="00FC2252" w:rsidRPr="009E1B38" w:rsidRDefault="00475E83" w:rsidP="00FC2252">
      <w:pPr>
        <w:pStyle w:val="ListeParagraf"/>
        <w:ind w:left="1440"/>
        <w:rPr>
          <w:rFonts w:ascii="Times New Roman" w:hAnsi="Times New Roman"/>
          <w:i/>
        </w:rPr>
      </w:pPr>
      <w:r w:rsidRPr="009E1B38">
        <w:rPr>
          <w:rFonts w:ascii="Times New Roman" w:hAnsi="Times New Roman"/>
          <w:i/>
        </w:rPr>
        <w:t xml:space="preserve">“d) </w:t>
      </w:r>
      <w:r w:rsidR="00EB243C" w:rsidRPr="009E1B38">
        <w:rPr>
          <w:rFonts w:ascii="Times New Roman" w:hAnsi="Times New Roman"/>
          <w:i/>
        </w:rPr>
        <w:t>LPG Autogas Dealership License holders fail to apply for amendments by making a contract with any distributor within 30 (thirty) days from the expiry of their contracts with LPG Distributor License holders, or renew their contract with their current distributor, or cancel or terminate the distributor license of the distributor company registered in the license. In case the distributor does not make an application for amendment within 30 (thirty) days from the date of its expiry, by the decision of the Liquefied Petroleum Gases (LPG) Market Department,</w:t>
      </w:r>
    </w:p>
    <w:p w14:paraId="5CF012B1" w14:textId="6AAADE2B" w:rsidR="0E0B3EBD" w:rsidRPr="009E1B38" w:rsidRDefault="0E0B3EBD" w:rsidP="003C5E4D">
      <w:pPr>
        <w:numPr>
          <w:ilvl w:val="0"/>
          <w:numId w:val="31"/>
        </w:numPr>
        <w:contextualSpacing/>
        <w:rPr>
          <w:rFonts w:ascii="Times New Roman" w:hAnsi="Times New Roman"/>
        </w:rPr>
      </w:pPr>
      <w:r w:rsidRPr="009E1B38">
        <w:rPr>
          <w:rFonts w:ascii="Times New Roman" w:hAnsi="Times New Roman"/>
        </w:rPr>
        <w:t>The fourth paragraph of Article 18 titled “Fundamental rights and obligations of license holders” has been amended as follows.</w:t>
      </w:r>
    </w:p>
    <w:p w14:paraId="7D4A7D5C" w14:textId="107EACD4" w:rsidR="00475E83" w:rsidRPr="009E1B38" w:rsidRDefault="00EB243C" w:rsidP="00475E83">
      <w:pPr>
        <w:pStyle w:val="ListeParagraf"/>
        <w:ind w:left="1440"/>
        <w:rPr>
          <w:rFonts w:ascii="Times New Roman" w:hAnsi="Times New Roman"/>
          <w:i/>
        </w:rPr>
      </w:pPr>
      <w:r w:rsidRPr="009E1B38">
        <w:rPr>
          <w:rFonts w:ascii="Times New Roman" w:hAnsi="Times New Roman"/>
          <w:i/>
        </w:rPr>
        <w:t>“License holders notify the Authority of the issues requiring amendment in their licenses, within 60 (sixty) days at the latest, from the date of occurrence of these issues, and within 30 (thirty) days in case of a change in the distribution company registered with the LPG autogas dealership license, together with all necessary information and documents, and submit their licenses to the Authority.</w:t>
      </w:r>
      <w:r w:rsidR="00301040">
        <w:rPr>
          <w:rFonts w:ascii="Times New Roman" w:hAnsi="Times New Roman"/>
          <w:i/>
        </w:rPr>
        <w:t xml:space="preserve"> </w:t>
      </w:r>
      <w:r w:rsidRPr="009E1B38">
        <w:rPr>
          <w:rFonts w:ascii="Times New Roman" w:hAnsi="Times New Roman"/>
          <w:i/>
        </w:rPr>
        <w:t>Except for distribution and storage licenses, license holders who request a license amendment within one year at the latest following the occurrence of the issue requiring license amendment, limited to the title change process of other licensees, may fulfill the said amendment obligation provided that they submit the requested information and documents completely to the Authorit</w:t>
      </w:r>
      <w:r w:rsidR="00CF3BFF" w:rsidRPr="009E1B38">
        <w:rPr>
          <w:rFonts w:ascii="Times New Roman" w:hAnsi="Times New Roman"/>
          <w:i/>
        </w:rPr>
        <w:t xml:space="preserve">y and to </w:t>
      </w:r>
      <w:r w:rsidRPr="009E1B38">
        <w:rPr>
          <w:rFonts w:ascii="Times New Roman" w:hAnsi="Times New Roman"/>
          <w:i/>
        </w:rPr>
        <w:t>deemed to have brought it.”</w:t>
      </w:r>
    </w:p>
    <w:p w14:paraId="2C1BD649" w14:textId="5753310E" w:rsidR="2850079C" w:rsidRPr="009E1B38" w:rsidRDefault="2850079C" w:rsidP="003C5E4D">
      <w:pPr>
        <w:pStyle w:val="ListeParagraf"/>
        <w:numPr>
          <w:ilvl w:val="0"/>
          <w:numId w:val="31"/>
        </w:numPr>
        <w:spacing w:after="160" w:line="259" w:lineRule="auto"/>
        <w:rPr>
          <w:rFonts w:ascii="Times New Roman" w:hAnsi="Times New Roman"/>
        </w:rPr>
      </w:pPr>
      <w:r w:rsidRPr="009E1B38">
        <w:rPr>
          <w:rFonts w:ascii="Times New Roman" w:hAnsi="Times New Roman"/>
        </w:rPr>
        <w:t>The following paragraph has been added to Article 40 titled “Revenue Share”.</w:t>
      </w:r>
    </w:p>
    <w:p w14:paraId="7D4A7D5E" w14:textId="77777777" w:rsidR="00475E83" w:rsidRPr="009E1B38" w:rsidRDefault="00475E83" w:rsidP="00475E83">
      <w:pPr>
        <w:pStyle w:val="ListeParagraf"/>
        <w:ind w:left="1440"/>
        <w:rPr>
          <w:rFonts w:ascii="Times New Roman" w:hAnsi="Times New Roman"/>
        </w:rPr>
      </w:pPr>
    </w:p>
    <w:p w14:paraId="242BDE32" w14:textId="1A14AE0F" w:rsidR="02D1A791" w:rsidRPr="009E1B38" w:rsidRDefault="02D1A791" w:rsidP="02D1A791">
      <w:pPr>
        <w:pStyle w:val="ListeParagraf"/>
        <w:ind w:left="1440"/>
        <w:rPr>
          <w:rFonts w:ascii="Times New Roman" w:hAnsi="Times New Roman"/>
          <w:i/>
          <w:iCs/>
        </w:rPr>
      </w:pPr>
      <w:r w:rsidRPr="009E1B38">
        <w:rPr>
          <w:rFonts w:ascii="Times New Roman" w:hAnsi="Times New Roman"/>
          <w:i/>
          <w:iCs/>
        </w:rPr>
        <w:lastRenderedPageBreak/>
        <w:t>“Applications for license, amendment and extension of time by those who have income share debts related to previous periods; If the said debt is not paid within 10 working days from the notification to be made by the Institution, it is deemed not done.”</w:t>
      </w:r>
    </w:p>
    <w:p w14:paraId="7D4A7D60" w14:textId="77777777" w:rsidR="00475E83" w:rsidRPr="009E1B38" w:rsidRDefault="00475E83" w:rsidP="00475E83">
      <w:pPr>
        <w:pStyle w:val="ListeParagraf"/>
        <w:ind w:left="1440"/>
        <w:rPr>
          <w:rFonts w:ascii="Times New Roman" w:hAnsi="Times New Roman"/>
          <w:i/>
        </w:rPr>
      </w:pPr>
    </w:p>
    <w:p w14:paraId="11A3408D" w14:textId="05F3CEDB" w:rsidR="53A60C4B" w:rsidRPr="009E1B38" w:rsidRDefault="53A60C4B" w:rsidP="003C5E4D">
      <w:pPr>
        <w:pStyle w:val="ListeParagraf"/>
        <w:numPr>
          <w:ilvl w:val="0"/>
          <w:numId w:val="9"/>
        </w:numPr>
        <w:spacing w:after="160" w:line="259" w:lineRule="auto"/>
        <w:rPr>
          <w:rFonts w:ascii="Times New Roman" w:hAnsi="Times New Roman"/>
          <w:b/>
          <w:bCs/>
        </w:rPr>
      </w:pPr>
      <w:r w:rsidRPr="009E1B38">
        <w:rPr>
          <w:rFonts w:ascii="Times New Roman" w:hAnsi="Times New Roman"/>
          <w:b/>
          <w:bCs/>
        </w:rPr>
        <w:t>With the Amendment Regulation published in the Official Gazette dated 08.06.2021 and numbered 31505, the Regulation on the Procedures and Principles to be Followed in Audits and Preliminary Research and Investigations in the Liquefied Petroleum Gases (LPG) Market.</w:t>
      </w:r>
    </w:p>
    <w:p w14:paraId="7D4A7D62" w14:textId="77777777" w:rsidR="00475E83" w:rsidRPr="009E1B38" w:rsidRDefault="00475E83" w:rsidP="00475E83">
      <w:pPr>
        <w:pStyle w:val="ListeParagraf"/>
        <w:rPr>
          <w:rFonts w:ascii="Times New Roman" w:hAnsi="Times New Roman"/>
          <w:b/>
        </w:rPr>
      </w:pPr>
    </w:p>
    <w:p w14:paraId="644A1159" w14:textId="3E2A0550" w:rsidR="02D1A791" w:rsidRPr="009E1B38" w:rsidRDefault="02D1A791" w:rsidP="003C5E4D">
      <w:pPr>
        <w:pStyle w:val="ListeParagraf"/>
        <w:numPr>
          <w:ilvl w:val="0"/>
          <w:numId w:val="31"/>
        </w:numPr>
        <w:spacing w:after="160" w:line="259" w:lineRule="auto"/>
        <w:rPr>
          <w:rFonts w:ascii="Times New Roman" w:hAnsi="Times New Roman"/>
        </w:rPr>
      </w:pPr>
      <w:r w:rsidRPr="009E1B38">
        <w:rPr>
          <w:rFonts w:ascii="Times New Roman" w:hAnsi="Times New Roman"/>
        </w:rPr>
        <w:t>The following paragraph has been added to Article 16.</w:t>
      </w:r>
    </w:p>
    <w:p w14:paraId="7D4A7D64" w14:textId="77777777" w:rsidR="00475E83" w:rsidRPr="009E1B38" w:rsidRDefault="00475E83" w:rsidP="00475E83">
      <w:pPr>
        <w:pStyle w:val="ListeParagraf"/>
        <w:ind w:left="1440"/>
        <w:rPr>
          <w:rFonts w:ascii="Times New Roman" w:hAnsi="Times New Roman"/>
          <w:i/>
        </w:rPr>
      </w:pPr>
    </w:p>
    <w:p w14:paraId="2F92A934" w14:textId="1689110A" w:rsidR="0F98312C" w:rsidRPr="009E1B38" w:rsidRDefault="0F98312C" w:rsidP="0F98312C">
      <w:pPr>
        <w:pStyle w:val="ListeParagraf"/>
        <w:ind w:left="1440"/>
        <w:rPr>
          <w:rFonts w:ascii="Times New Roman" w:hAnsi="Times New Roman"/>
          <w:i/>
          <w:iCs/>
        </w:rPr>
      </w:pPr>
      <w:r w:rsidRPr="009E1B38">
        <w:rPr>
          <w:rFonts w:ascii="Times New Roman" w:hAnsi="Times New Roman"/>
          <w:i/>
          <w:iCs/>
        </w:rPr>
        <w:t>“(8) Among those who are engaged in activities subject to a license, the relevant market activity of those who do not provide the required guarantee as per subparagraph (8) of the first paragraph of the repeated article 257 of the Tax Procedure Law dated 4/1/1961 and numbered 213 shall be suspended until the guarantee is given.”</w:t>
      </w:r>
    </w:p>
    <w:p w14:paraId="7D4A7D66" w14:textId="568DBF56" w:rsidR="007967DB" w:rsidRPr="009E1B38" w:rsidRDefault="5B9A5E4B" w:rsidP="003C5E4D">
      <w:pPr>
        <w:pStyle w:val="Balk3"/>
        <w:numPr>
          <w:ilvl w:val="2"/>
          <w:numId w:val="59"/>
        </w:numPr>
        <w:spacing w:after="240"/>
        <w:rPr>
          <w:rFonts w:ascii="Times New Roman" w:hAnsi="Times New Roman" w:cs="Times New Roman"/>
          <w:color w:val="auto"/>
        </w:rPr>
      </w:pPr>
      <w:bookmarkStart w:id="92" w:name="_Toc442431250"/>
      <w:bookmarkStart w:id="93" w:name="_Toc6684445"/>
      <w:bookmarkStart w:id="94" w:name="_Toc113615327"/>
      <w:r w:rsidRPr="009E1B38">
        <w:rPr>
          <w:rFonts w:ascii="Times New Roman" w:hAnsi="Times New Roman" w:cs="Times New Roman"/>
          <w:color w:val="auto"/>
          <w:sz w:val="24"/>
          <w:szCs w:val="24"/>
        </w:rPr>
        <w:t>Communiques</w:t>
      </w:r>
      <w:bookmarkEnd w:id="92"/>
      <w:bookmarkEnd w:id="93"/>
      <w:bookmarkEnd w:id="94"/>
    </w:p>
    <w:p w14:paraId="7D4A7D68" w14:textId="203F4261" w:rsidR="00782DC6" w:rsidRPr="009E1B38" w:rsidRDefault="0F98312C" w:rsidP="001D2DA2">
      <w:pPr>
        <w:spacing w:after="0"/>
        <w:rPr>
          <w:rFonts w:ascii="Times New Roman" w:hAnsi="Times New Roman"/>
        </w:rPr>
      </w:pPr>
      <w:r w:rsidRPr="009E1B38">
        <w:rPr>
          <w:rFonts w:ascii="Times New Roman" w:eastAsia="Cambria" w:hAnsi="Times New Roman"/>
          <w:color w:val="000000" w:themeColor="text1"/>
        </w:rPr>
        <w:t xml:space="preserve">In </w:t>
      </w:r>
      <w:r w:rsidR="6A131385" w:rsidRPr="009E1B38">
        <w:rPr>
          <w:rFonts w:ascii="Times New Roman" w:eastAsia="Cambria" w:hAnsi="Times New Roman"/>
          <w:color w:val="000000" w:themeColor="text1"/>
        </w:rPr>
        <w:t>2021</w:t>
      </w:r>
      <w:r w:rsidRPr="009E1B38">
        <w:rPr>
          <w:rFonts w:ascii="Times New Roman" w:eastAsia="Cambria" w:hAnsi="Times New Roman"/>
          <w:color w:val="000000" w:themeColor="text1"/>
        </w:rPr>
        <w:t>, the following Communiqué studies were carried out in the LPG market:</w:t>
      </w:r>
    </w:p>
    <w:p w14:paraId="199E1E4A" w14:textId="709BD7B5" w:rsidR="26C9955F" w:rsidRPr="009E1B38" w:rsidRDefault="39753632" w:rsidP="003C5E4D">
      <w:pPr>
        <w:pStyle w:val="ListeParagraf"/>
        <w:numPr>
          <w:ilvl w:val="0"/>
          <w:numId w:val="10"/>
        </w:numPr>
        <w:rPr>
          <w:rFonts w:ascii="Times New Roman" w:hAnsi="Times New Roman"/>
        </w:rPr>
      </w:pPr>
      <w:r w:rsidRPr="009E1B38">
        <w:rPr>
          <w:rFonts w:ascii="Times New Roman" w:hAnsi="Times New Roman"/>
        </w:rPr>
        <w:t>The lower and upper limits of the administrative fines published in the Official Gazette dated 17.12.2021 and numbered 31692, the purpose of which is regulated in Article 16 of the Law on the Amendment of the Liquefied Petroleum Gases (LPG) Market Law and the Electricity Market Law dated 2.3.2005 and numbered 5307, Re-determination by increasing 36.20% (thirty six point twenty) determined as the revaluation rate for 2021 in the Tax Procedure Law General Communiqué (Sequence No: 533) published in the Official Gazette dated 27/11/2021 and numbered 31672. Administrative fines to be applied in 2022 have been determined with the Communique.</w:t>
      </w:r>
    </w:p>
    <w:p w14:paraId="7D4A7D6A" w14:textId="6575D0BF" w:rsidR="007967DB" w:rsidRPr="009E1B38" w:rsidRDefault="3AE22603" w:rsidP="003C5E4D">
      <w:pPr>
        <w:pStyle w:val="Balk3"/>
        <w:numPr>
          <w:ilvl w:val="2"/>
          <w:numId w:val="59"/>
        </w:numPr>
        <w:spacing w:after="240"/>
        <w:rPr>
          <w:rFonts w:ascii="Times New Roman" w:hAnsi="Times New Roman" w:cs="Times New Roman"/>
          <w:color w:val="auto"/>
          <w:sz w:val="24"/>
          <w:szCs w:val="24"/>
        </w:rPr>
      </w:pPr>
      <w:bookmarkStart w:id="95" w:name="_Toc442431251"/>
      <w:bookmarkStart w:id="96" w:name="_Toc6684446"/>
      <w:bookmarkStart w:id="97" w:name="_Toc113615328"/>
      <w:r w:rsidRPr="009E1B38">
        <w:rPr>
          <w:rFonts w:ascii="Times New Roman" w:hAnsi="Times New Roman" w:cs="Times New Roman"/>
          <w:color w:val="auto"/>
          <w:sz w:val="24"/>
          <w:szCs w:val="24"/>
        </w:rPr>
        <w:t>Board</w:t>
      </w:r>
      <w:r w:rsidR="3E81D572" w:rsidRPr="009E1B38">
        <w:rPr>
          <w:rFonts w:ascii="Times New Roman" w:hAnsi="Times New Roman" w:cs="Times New Roman"/>
          <w:color w:val="auto"/>
          <w:sz w:val="24"/>
          <w:szCs w:val="24"/>
        </w:rPr>
        <w:t xml:space="preserve"> Decisions</w:t>
      </w:r>
      <w:bookmarkEnd w:id="95"/>
      <w:bookmarkEnd w:id="96"/>
      <w:bookmarkEnd w:id="97"/>
    </w:p>
    <w:p w14:paraId="0D4B5414" w14:textId="6B4AFE8F" w:rsidR="26C9955F" w:rsidRPr="009E1B38" w:rsidRDefault="26C9955F" w:rsidP="26C9955F">
      <w:pPr>
        <w:spacing w:after="0"/>
        <w:rPr>
          <w:rFonts w:ascii="Times New Roman" w:hAnsi="Times New Roman"/>
          <w:color w:val="000000" w:themeColor="text1"/>
        </w:rPr>
      </w:pPr>
      <w:r w:rsidRPr="009E1B38">
        <w:rPr>
          <w:rFonts w:ascii="Times New Roman" w:hAnsi="Times New Roman"/>
          <w:color w:val="000000" w:themeColor="text1"/>
        </w:rPr>
        <w:t>In 2021, the following Board Decisions were made as a regulatory action in the LPG market:</w:t>
      </w:r>
    </w:p>
    <w:p w14:paraId="7D4A7D6C" w14:textId="77777777" w:rsidR="00414047" w:rsidRPr="009E1B38" w:rsidRDefault="00414047" w:rsidP="00410B0D">
      <w:pPr>
        <w:spacing w:after="0"/>
        <w:rPr>
          <w:rFonts w:ascii="Times New Roman" w:hAnsi="Times New Roman"/>
          <w:color w:val="000000" w:themeColor="text1"/>
        </w:rPr>
      </w:pPr>
    </w:p>
    <w:p w14:paraId="63D6236F" w14:textId="07249242" w:rsidR="2AEF04C7" w:rsidRPr="009E1B38" w:rsidRDefault="2AEF04C7" w:rsidP="003C5E4D">
      <w:pPr>
        <w:numPr>
          <w:ilvl w:val="0"/>
          <w:numId w:val="9"/>
        </w:numPr>
        <w:spacing w:after="160" w:line="259" w:lineRule="auto"/>
        <w:rPr>
          <w:rFonts w:ascii="Times New Roman" w:hAnsi="Times New Roman"/>
        </w:rPr>
      </w:pPr>
      <w:r w:rsidRPr="009E1B38">
        <w:rPr>
          <w:rFonts w:ascii="Times New Roman" w:hAnsi="Times New Roman"/>
        </w:rPr>
        <w:t>With the Board decision dated 18.02.2021 and numbered 10035/2 published in the Official Gazette dated 20.02.2021 and numbered 31401, Processing License (Petrochemistry) holders operating within the scope of Petroleum Market Law No. 5015, Liquefied Petroleum Gases (LPG) Market Law No. 5307 and Within the scope of the Law Amending the Electricity Market Law, it has been decided that they can obtain the LPG they need directly from the refineries that produce LPG in the country, in order to use it as raw material in the petrochemical industry, provided that it is not subject to market activities.</w:t>
      </w:r>
    </w:p>
    <w:p w14:paraId="28518FF2" w14:textId="49418C6E" w:rsidR="08DD952D" w:rsidRPr="009E1B38" w:rsidRDefault="08DD952D" w:rsidP="003C5E4D">
      <w:pPr>
        <w:pStyle w:val="ListeParagraf"/>
        <w:numPr>
          <w:ilvl w:val="0"/>
          <w:numId w:val="9"/>
        </w:numPr>
        <w:spacing w:after="160" w:line="259" w:lineRule="auto"/>
        <w:rPr>
          <w:rFonts w:ascii="Times New Roman" w:hAnsi="Times New Roman"/>
        </w:rPr>
      </w:pPr>
      <w:r w:rsidRPr="009E1B38">
        <w:rPr>
          <w:rFonts w:ascii="Times New Roman" w:hAnsi="Times New Roman"/>
        </w:rPr>
        <w:t>With the Board Decision dated 25.03.2021 and numbered 10102 published in the Official Gazette dated 26.03.2021 and numbered 31435, the "propane content" limits of the "TS EN 589:2019 Automotive fuels- LPG- Properties and test methods" standard, which determines the characteristics of Autogas LPG The implementation date of this part has been postponed until January 1, 2024.</w:t>
      </w:r>
    </w:p>
    <w:p w14:paraId="7D4A7D6F" w14:textId="77777777" w:rsidR="00574EB9" w:rsidRPr="009E1B38" w:rsidRDefault="00574EB9" w:rsidP="00574EB9">
      <w:pPr>
        <w:pStyle w:val="ListeParagraf"/>
        <w:spacing w:after="160" w:line="259" w:lineRule="auto"/>
        <w:rPr>
          <w:rFonts w:ascii="Times New Roman" w:hAnsi="Times New Roman"/>
        </w:rPr>
      </w:pPr>
    </w:p>
    <w:p w14:paraId="32ED4781" w14:textId="720F17E8" w:rsidR="08DD952D" w:rsidRPr="009E1B38" w:rsidRDefault="08DD952D" w:rsidP="003C5E4D">
      <w:pPr>
        <w:pStyle w:val="ListeParagraf"/>
        <w:numPr>
          <w:ilvl w:val="0"/>
          <w:numId w:val="9"/>
        </w:numPr>
        <w:spacing w:after="160" w:line="259" w:lineRule="auto"/>
        <w:rPr>
          <w:rFonts w:ascii="Times New Roman" w:hAnsi="Times New Roman"/>
        </w:rPr>
      </w:pPr>
      <w:r w:rsidRPr="009E1B38">
        <w:rPr>
          <w:rFonts w:ascii="Times New Roman" w:hAnsi="Times New Roman"/>
        </w:rPr>
        <w:t>With the Board Decision dated 22.042021 and numbered 10169-4 published in the Official Gazette dated 23.04.2021 and numbered 31463, it was decided that Refiner License holders operating within the scope of Petroleum Market Law No. 5015 could receive LPG storage services from licensed LPG storage facilities connected to the refinery via pipeline.</w:t>
      </w:r>
    </w:p>
    <w:p w14:paraId="7D4A7D71" w14:textId="77777777" w:rsidR="00782DC6" w:rsidRPr="009E1B38" w:rsidRDefault="00782DC6" w:rsidP="00782DC6">
      <w:pPr>
        <w:pStyle w:val="ListeParagraf"/>
        <w:spacing w:after="160" w:line="259" w:lineRule="auto"/>
        <w:rPr>
          <w:rFonts w:ascii="Times New Roman" w:hAnsi="Times New Roman"/>
        </w:rPr>
      </w:pPr>
    </w:p>
    <w:p w14:paraId="21D91822" w14:textId="352C8F43" w:rsidR="08DD952D" w:rsidRPr="009E1B38" w:rsidRDefault="08DD952D" w:rsidP="003C5E4D">
      <w:pPr>
        <w:pStyle w:val="ListeParagraf"/>
        <w:numPr>
          <w:ilvl w:val="0"/>
          <w:numId w:val="9"/>
        </w:numPr>
        <w:spacing w:after="160" w:line="259" w:lineRule="auto"/>
        <w:rPr>
          <w:rFonts w:ascii="Times New Roman" w:hAnsi="Times New Roman"/>
          <w:b/>
          <w:bCs/>
        </w:rPr>
      </w:pPr>
      <w:r w:rsidRPr="009E1B38">
        <w:rPr>
          <w:rFonts w:ascii="Times New Roman" w:hAnsi="Times New Roman"/>
          <w:b/>
          <w:bCs/>
        </w:rPr>
        <w:t>With the Board Decision dated 05.08.2021 and numbered 10349 published in the Official Gazette dated 07.08.2021 and numbered 31561, the Board Decision on the Promotions Applied in the Petroleum and LPG Markets dated 26.09.2019 and numbered 8845.</w:t>
      </w:r>
    </w:p>
    <w:p w14:paraId="7D4A7D73" w14:textId="77777777" w:rsidR="00782DC6" w:rsidRPr="009E1B38" w:rsidRDefault="00782DC6" w:rsidP="00782DC6">
      <w:pPr>
        <w:pStyle w:val="ListeParagraf"/>
        <w:rPr>
          <w:rFonts w:ascii="Times New Roman" w:hAnsi="Times New Roman"/>
          <w:b/>
        </w:rPr>
      </w:pPr>
    </w:p>
    <w:p w14:paraId="6B37A211" w14:textId="3FE0BA73" w:rsidR="08DD952D" w:rsidRPr="009E1B38" w:rsidRDefault="08DD952D" w:rsidP="003C5E4D">
      <w:pPr>
        <w:numPr>
          <w:ilvl w:val="0"/>
          <w:numId w:val="31"/>
        </w:numPr>
        <w:spacing w:after="160" w:line="259" w:lineRule="auto"/>
        <w:contextualSpacing/>
        <w:rPr>
          <w:rFonts w:ascii="Times New Roman" w:hAnsi="Times New Roman"/>
        </w:rPr>
      </w:pPr>
      <w:r w:rsidRPr="009E1B38">
        <w:rPr>
          <w:rFonts w:ascii="Times New Roman" w:hAnsi="Times New Roman"/>
        </w:rPr>
        <w:t>The following sentences have been added to the end of the third paragraph of article 4 titled “Promotions”.</w:t>
      </w:r>
    </w:p>
    <w:p w14:paraId="7D4A7D75" w14:textId="77777777" w:rsidR="00782DC6" w:rsidRPr="009E1B38" w:rsidRDefault="00782DC6" w:rsidP="00782DC6">
      <w:pPr>
        <w:ind w:left="720"/>
        <w:contextualSpacing/>
        <w:rPr>
          <w:rFonts w:ascii="Times New Roman" w:hAnsi="Times New Roman"/>
        </w:rPr>
      </w:pPr>
    </w:p>
    <w:p w14:paraId="79C56875" w14:textId="766A0603" w:rsidR="08DD952D" w:rsidRPr="009E1B38" w:rsidRDefault="08DD952D" w:rsidP="08DD952D">
      <w:pPr>
        <w:ind w:left="1440"/>
        <w:contextualSpacing/>
        <w:rPr>
          <w:rFonts w:ascii="Times New Roman" w:hAnsi="Times New Roman"/>
          <w:i/>
          <w:iCs/>
        </w:rPr>
      </w:pPr>
      <w:r w:rsidRPr="009E1B38">
        <w:rPr>
          <w:rFonts w:ascii="Times New Roman" w:hAnsi="Times New Roman"/>
          <w:i/>
          <w:iCs/>
        </w:rPr>
        <w:t>“Distributor license holders may demand a maximum of one thousandth (‰1) of the costs arising from the financial promotions they will organize from their dealers participating in these promotions. In case the distributor license holders demand a price within the above limit from their dealers regarding the costs of the financial promotions they will organize, they must inform their dealers about the duration, scope and cost of the promotion for each financial promotion and obtain the written consent of the dealer for participation. Participation of dealers in financial promotions is voluntary.”</w:t>
      </w:r>
    </w:p>
    <w:p w14:paraId="1005AA3C" w14:textId="0B09C13B" w:rsidR="08DD952D" w:rsidRPr="009E1B38" w:rsidRDefault="08DD952D" w:rsidP="003C5E4D">
      <w:pPr>
        <w:pStyle w:val="ListeParagraf"/>
        <w:numPr>
          <w:ilvl w:val="0"/>
          <w:numId w:val="9"/>
        </w:numPr>
        <w:spacing w:after="160" w:line="259" w:lineRule="auto"/>
        <w:rPr>
          <w:rFonts w:ascii="Times New Roman" w:hAnsi="Times New Roman"/>
          <w:b/>
          <w:bCs/>
        </w:rPr>
      </w:pPr>
      <w:r w:rsidRPr="009E1B38">
        <w:rPr>
          <w:rFonts w:ascii="Times New Roman" w:hAnsi="Times New Roman"/>
          <w:b/>
          <w:bCs/>
        </w:rPr>
        <w:t>With the Board Decision dated 02.12.2021 and numbered 10596 published in the Official Gazette dated 02.12.2021 and numbered 31679, the Board Decision Regarding the License Application in the Liquefied Petroleum Gases (LPG) Market dated 08.03.2012 and numbered 3727</w:t>
      </w:r>
    </w:p>
    <w:p w14:paraId="7D4A7D78" w14:textId="77777777" w:rsidR="00782DC6" w:rsidRPr="009E1B38" w:rsidRDefault="00782DC6" w:rsidP="00782DC6">
      <w:pPr>
        <w:pStyle w:val="ListeParagraf"/>
        <w:rPr>
          <w:rFonts w:ascii="Times New Roman" w:hAnsi="Times New Roman"/>
          <w:b/>
        </w:rPr>
      </w:pPr>
    </w:p>
    <w:p w14:paraId="0EB3BA41" w14:textId="0D0508B8" w:rsidR="6C568215" w:rsidRPr="009E1B38" w:rsidRDefault="6C568215" w:rsidP="003C5E4D">
      <w:pPr>
        <w:pStyle w:val="ListeParagraf"/>
        <w:numPr>
          <w:ilvl w:val="0"/>
          <w:numId w:val="42"/>
        </w:numPr>
        <w:spacing w:after="160" w:line="259" w:lineRule="auto"/>
        <w:rPr>
          <w:rFonts w:ascii="Times New Roman" w:hAnsi="Times New Roman"/>
        </w:rPr>
      </w:pPr>
      <w:r w:rsidRPr="009E1B38">
        <w:rPr>
          <w:rFonts w:ascii="Times New Roman" w:hAnsi="Times New Roman"/>
        </w:rPr>
        <w:t>Sub-paragraph (f) of the first paragraph of Article 3 titled “Definitions” has been changed as follows, and the following paragraph has been added to the same paragraph.</w:t>
      </w:r>
    </w:p>
    <w:p w14:paraId="7D4A7D7A" w14:textId="77777777" w:rsidR="00782DC6" w:rsidRPr="009E1B38" w:rsidRDefault="00782DC6" w:rsidP="00782DC6">
      <w:pPr>
        <w:pStyle w:val="ListeParagraf"/>
        <w:ind w:left="1440"/>
        <w:rPr>
          <w:rFonts w:ascii="Times New Roman" w:hAnsi="Times New Roman"/>
        </w:rPr>
      </w:pPr>
    </w:p>
    <w:p w14:paraId="61C8A130" w14:textId="5F594CC1" w:rsidR="6C568215" w:rsidRPr="009E1B38" w:rsidRDefault="6C568215" w:rsidP="6C568215">
      <w:pPr>
        <w:pStyle w:val="ListeParagraf"/>
        <w:ind w:left="1440"/>
        <w:rPr>
          <w:rFonts w:ascii="Times New Roman" w:hAnsi="Times New Roman"/>
          <w:i/>
          <w:iCs/>
        </w:rPr>
      </w:pPr>
      <w:r w:rsidRPr="009E1B38">
        <w:rPr>
          <w:rFonts w:ascii="Times New Roman" w:hAnsi="Times New Roman"/>
          <w:i/>
          <w:iCs/>
        </w:rPr>
        <w:t>“f) Capacity Report: The report prepared by the relevant persons including the production subject of the facility, annual production capacity, technology, machinery park, raw materials used, capital and employment information and similar subjects,”</w:t>
      </w:r>
    </w:p>
    <w:p w14:paraId="6A998B15" w14:textId="63E1B725" w:rsidR="6C568215" w:rsidRPr="009E1B38" w:rsidRDefault="6C568215" w:rsidP="6C568215">
      <w:pPr>
        <w:pStyle w:val="ListeParagraf"/>
        <w:ind w:left="1440"/>
        <w:rPr>
          <w:rFonts w:ascii="Times New Roman" w:hAnsi="Times New Roman"/>
          <w:i/>
          <w:iCs/>
        </w:rPr>
      </w:pPr>
      <w:r w:rsidRPr="009E1B38">
        <w:rPr>
          <w:rFonts w:ascii="Times New Roman" w:hAnsi="Times New Roman"/>
          <w:i/>
          <w:iCs/>
        </w:rPr>
        <w:t>“t) LPG Cylinder Statement: Statement containing the number of cylinders owned by the relevant company,”</w:t>
      </w:r>
    </w:p>
    <w:p w14:paraId="7D4A7D7D" w14:textId="77777777" w:rsidR="00782DC6" w:rsidRPr="009E1B38" w:rsidRDefault="00782DC6" w:rsidP="00782DC6">
      <w:pPr>
        <w:pStyle w:val="ListeParagraf"/>
        <w:ind w:left="1440"/>
        <w:rPr>
          <w:rFonts w:ascii="Times New Roman" w:hAnsi="Times New Roman"/>
          <w:i/>
        </w:rPr>
      </w:pPr>
    </w:p>
    <w:p w14:paraId="0C008645" w14:textId="1C2A6A1A" w:rsidR="6C568215" w:rsidRPr="009E1B38" w:rsidRDefault="6C568215" w:rsidP="003C5E4D">
      <w:pPr>
        <w:pStyle w:val="ListeParagraf"/>
        <w:numPr>
          <w:ilvl w:val="0"/>
          <w:numId w:val="42"/>
        </w:numPr>
        <w:spacing w:after="160" w:line="259" w:lineRule="auto"/>
        <w:rPr>
          <w:rFonts w:ascii="Times New Roman" w:hAnsi="Times New Roman"/>
        </w:rPr>
      </w:pPr>
      <w:r w:rsidRPr="009E1B38">
        <w:rPr>
          <w:rFonts w:ascii="Times New Roman" w:hAnsi="Times New Roman"/>
        </w:rPr>
        <w:t>The following paragraph has been added to Article 4 titled “Common Provisions”.</w:t>
      </w:r>
    </w:p>
    <w:p w14:paraId="7D4A7D7F" w14:textId="77777777" w:rsidR="00782DC6" w:rsidRPr="009E1B38" w:rsidRDefault="00782DC6" w:rsidP="00782DC6">
      <w:pPr>
        <w:pStyle w:val="ListeParagraf"/>
        <w:ind w:left="1440"/>
        <w:rPr>
          <w:rFonts w:ascii="Times New Roman" w:hAnsi="Times New Roman"/>
          <w:i/>
        </w:rPr>
      </w:pPr>
    </w:p>
    <w:p w14:paraId="1D5BA4ED" w14:textId="64BD202E" w:rsidR="6C568215" w:rsidRPr="009E1B38" w:rsidRDefault="6C568215" w:rsidP="6C568215">
      <w:pPr>
        <w:pStyle w:val="ListeParagraf"/>
        <w:ind w:left="1440"/>
        <w:rPr>
          <w:rFonts w:ascii="Times New Roman" w:hAnsi="Times New Roman"/>
          <w:i/>
          <w:iCs/>
        </w:rPr>
      </w:pPr>
      <w:r w:rsidRPr="009E1B38">
        <w:rPr>
          <w:rFonts w:ascii="Times New Roman" w:hAnsi="Times New Roman"/>
          <w:i/>
          <w:iCs/>
        </w:rPr>
        <w:t>“(16) The date signed by the authorized person with a secure electronic signature is taken as the date of the declarations submitted to the Institute, which do not contain a date, in the applications.”</w:t>
      </w:r>
    </w:p>
    <w:p w14:paraId="7D4A7D81" w14:textId="77777777" w:rsidR="00782DC6" w:rsidRPr="009E1B38" w:rsidRDefault="00782DC6" w:rsidP="00782DC6">
      <w:pPr>
        <w:pStyle w:val="ListeParagraf"/>
        <w:ind w:left="1440"/>
        <w:rPr>
          <w:rFonts w:ascii="Times New Roman" w:hAnsi="Times New Roman"/>
          <w:i/>
        </w:rPr>
      </w:pPr>
    </w:p>
    <w:p w14:paraId="51759EC8" w14:textId="4629A07E" w:rsidR="6C568215" w:rsidRPr="009E1B38" w:rsidRDefault="6C568215" w:rsidP="003C5E4D">
      <w:pPr>
        <w:pStyle w:val="ListeParagraf"/>
        <w:numPr>
          <w:ilvl w:val="0"/>
          <w:numId w:val="42"/>
        </w:numPr>
        <w:spacing w:after="160" w:line="259" w:lineRule="auto"/>
        <w:rPr>
          <w:rFonts w:ascii="Times New Roman" w:hAnsi="Times New Roman"/>
        </w:rPr>
      </w:pPr>
      <w:r w:rsidRPr="009E1B38">
        <w:rPr>
          <w:rFonts w:ascii="Times New Roman" w:hAnsi="Times New Roman"/>
        </w:rPr>
        <w:t>The second paragraph of Article 8 titled "LPG Autogas Dealer License" has been repealed, and the third paragraph has been amended as follows.</w:t>
      </w:r>
    </w:p>
    <w:p w14:paraId="7D4A7D83" w14:textId="77777777" w:rsidR="00782DC6" w:rsidRPr="009E1B38" w:rsidRDefault="00782DC6" w:rsidP="00782DC6">
      <w:pPr>
        <w:pStyle w:val="ListeParagraf"/>
        <w:ind w:left="1440"/>
        <w:rPr>
          <w:rFonts w:ascii="Times New Roman" w:hAnsi="Times New Roman"/>
          <w:i/>
        </w:rPr>
      </w:pPr>
    </w:p>
    <w:p w14:paraId="663108C8" w14:textId="67F453CD" w:rsidR="6C568215" w:rsidRPr="009E1B38" w:rsidRDefault="6C568215" w:rsidP="6C568215">
      <w:pPr>
        <w:pStyle w:val="ListeParagraf"/>
        <w:ind w:left="1440"/>
        <w:rPr>
          <w:rFonts w:ascii="Times New Roman" w:hAnsi="Times New Roman"/>
          <w:i/>
          <w:iCs/>
        </w:rPr>
      </w:pPr>
      <w:r w:rsidRPr="009E1B38">
        <w:rPr>
          <w:rFonts w:ascii="Times New Roman" w:hAnsi="Times New Roman"/>
          <w:i/>
          <w:iCs/>
        </w:rPr>
        <w:t>“(3) In case the facility is subject to re-licensing due to handover, an Address Confirmation Letter is requested in cases where there is a difference in the facility address. However, if the information regarding the license transfer in the Business Opening and Working License matches the information registered in our Institution, an address confirmation letter is not required.”</w:t>
      </w:r>
    </w:p>
    <w:p w14:paraId="7D4A7D85" w14:textId="77777777" w:rsidR="00782DC6" w:rsidRPr="009E1B38" w:rsidRDefault="00782DC6" w:rsidP="00782DC6">
      <w:pPr>
        <w:pStyle w:val="ListeParagraf"/>
        <w:ind w:left="1440"/>
        <w:rPr>
          <w:rFonts w:ascii="Times New Roman" w:hAnsi="Times New Roman"/>
          <w:i/>
        </w:rPr>
      </w:pPr>
    </w:p>
    <w:p w14:paraId="3BAD90F6" w14:textId="67E87F52" w:rsidR="5BA0A20F" w:rsidRPr="009E1B38" w:rsidRDefault="5BA0A20F" w:rsidP="003C5E4D">
      <w:pPr>
        <w:pStyle w:val="ListeParagraf"/>
        <w:numPr>
          <w:ilvl w:val="0"/>
          <w:numId w:val="9"/>
        </w:numPr>
        <w:spacing w:after="160" w:line="259" w:lineRule="auto"/>
        <w:rPr>
          <w:rFonts w:ascii="Times New Roman" w:hAnsi="Times New Roman"/>
          <w:b/>
          <w:bCs/>
        </w:rPr>
      </w:pPr>
      <w:r w:rsidRPr="009E1B38">
        <w:rPr>
          <w:rFonts w:ascii="Times New Roman" w:hAnsi="Times New Roman"/>
          <w:b/>
          <w:bCs/>
        </w:rPr>
        <w:t>With the Board Decision dated 02.12.2021 and numbered 10597 published in the Official Gazette dated 02.12.2021 and numbered 31679, Information to be Required in Applications for License Amendment, Time Extension and Termination in the Liquefied Petroleum Gases (LPG) Market dated 04.04.2012 and numbered 3763-3. Board Decision Regarding Documents</w:t>
      </w:r>
    </w:p>
    <w:p w14:paraId="7D4A7D87" w14:textId="77777777" w:rsidR="00782DC6" w:rsidRPr="009E1B38" w:rsidRDefault="00782DC6" w:rsidP="00782DC6">
      <w:pPr>
        <w:pStyle w:val="ListeParagraf"/>
        <w:rPr>
          <w:rFonts w:ascii="Times New Roman" w:hAnsi="Times New Roman"/>
        </w:rPr>
      </w:pPr>
    </w:p>
    <w:p w14:paraId="2D3F9DDD" w14:textId="384DF184" w:rsidR="5BA0A20F" w:rsidRPr="009E1B38" w:rsidRDefault="5BA0A20F" w:rsidP="003C5E4D">
      <w:pPr>
        <w:pStyle w:val="ListeParagraf"/>
        <w:numPr>
          <w:ilvl w:val="0"/>
          <w:numId w:val="42"/>
        </w:numPr>
        <w:spacing w:after="160" w:line="259" w:lineRule="auto"/>
        <w:jc w:val="left"/>
        <w:rPr>
          <w:rFonts w:ascii="Times New Roman" w:hAnsi="Times New Roman"/>
        </w:rPr>
      </w:pPr>
      <w:r w:rsidRPr="009E1B38">
        <w:rPr>
          <w:rFonts w:ascii="Times New Roman" w:hAnsi="Times New Roman"/>
        </w:rPr>
        <w:t>Article 6 titled "Address Change" has been repealed.</w:t>
      </w:r>
    </w:p>
    <w:p w14:paraId="7D4A7D89" w14:textId="77777777" w:rsidR="00782DC6" w:rsidRPr="009E1B38" w:rsidRDefault="00782DC6" w:rsidP="00782DC6">
      <w:pPr>
        <w:pStyle w:val="ListeParagraf"/>
        <w:rPr>
          <w:rFonts w:ascii="Times New Roman" w:hAnsi="Times New Roman"/>
        </w:rPr>
      </w:pPr>
    </w:p>
    <w:p w14:paraId="6275F417" w14:textId="346F7BB4" w:rsidR="5BA0A20F" w:rsidRPr="009E1B38" w:rsidRDefault="5BA0A20F" w:rsidP="003C5E4D">
      <w:pPr>
        <w:pStyle w:val="ListeParagraf"/>
        <w:numPr>
          <w:ilvl w:val="0"/>
          <w:numId w:val="42"/>
        </w:numPr>
        <w:spacing w:after="160" w:line="259" w:lineRule="auto"/>
        <w:rPr>
          <w:rFonts w:ascii="Times New Roman" w:hAnsi="Times New Roman"/>
        </w:rPr>
      </w:pPr>
      <w:r w:rsidRPr="009E1B38">
        <w:rPr>
          <w:rFonts w:ascii="Times New Roman" w:hAnsi="Times New Roman"/>
        </w:rPr>
        <w:lastRenderedPageBreak/>
        <w:t>The first paragraph of the 8th article titled "Opening a Business and Amending the Work License Information" has been changed as follows.</w:t>
      </w:r>
    </w:p>
    <w:p w14:paraId="7D4A7D8B" w14:textId="77777777" w:rsidR="00782DC6" w:rsidRPr="009E1B38" w:rsidRDefault="00782DC6" w:rsidP="00782DC6">
      <w:pPr>
        <w:pStyle w:val="ListeParagraf"/>
        <w:rPr>
          <w:rFonts w:ascii="Times New Roman" w:hAnsi="Times New Roman"/>
        </w:rPr>
      </w:pPr>
    </w:p>
    <w:p w14:paraId="57BEFF3E" w14:textId="5654D68C" w:rsidR="5BA0A20F" w:rsidRPr="009E1B38" w:rsidRDefault="5BA0A20F" w:rsidP="5BA0A20F">
      <w:pPr>
        <w:pStyle w:val="ListeParagraf"/>
        <w:ind w:left="1418"/>
        <w:rPr>
          <w:rFonts w:ascii="Times New Roman" w:hAnsi="Times New Roman"/>
          <w:i/>
          <w:iCs/>
        </w:rPr>
      </w:pPr>
      <w:r w:rsidRPr="009E1B38">
        <w:rPr>
          <w:rFonts w:ascii="Times New Roman" w:hAnsi="Times New Roman"/>
          <w:i/>
          <w:iCs/>
        </w:rPr>
        <w:t>“(1) In case of any change in the information of the Business Opening and Working License registered in the license, the current Business Opening and Working License is submitted.”</w:t>
      </w:r>
    </w:p>
    <w:p w14:paraId="7D4A7D8D" w14:textId="77777777" w:rsidR="00782DC6" w:rsidRPr="009E1B38" w:rsidRDefault="00782DC6" w:rsidP="00782DC6">
      <w:pPr>
        <w:pStyle w:val="ListeParagraf"/>
        <w:rPr>
          <w:rFonts w:ascii="Times New Roman" w:hAnsi="Times New Roman"/>
        </w:rPr>
      </w:pPr>
    </w:p>
    <w:p w14:paraId="65C07104" w14:textId="6BB5ED5F" w:rsidR="711A1927" w:rsidRPr="009E1B38" w:rsidRDefault="39753632" w:rsidP="003C5E4D">
      <w:pPr>
        <w:pStyle w:val="ListeParagraf"/>
        <w:numPr>
          <w:ilvl w:val="0"/>
          <w:numId w:val="43"/>
        </w:numPr>
        <w:spacing w:after="160" w:line="259" w:lineRule="auto"/>
        <w:rPr>
          <w:rFonts w:ascii="Times New Roman" w:hAnsi="Times New Roman"/>
        </w:rPr>
      </w:pPr>
      <w:r w:rsidRPr="009E1B38">
        <w:rPr>
          <w:rFonts w:ascii="Times New Roman" w:hAnsi="Times New Roman"/>
        </w:rPr>
        <w:t>Subparagraph (b) of the second paragraph of Article 9 titled “Amendment of Distributor Company Information Regarding LPG Autogas Dealership License Amendments” has been amended as follows.</w:t>
      </w:r>
    </w:p>
    <w:p w14:paraId="7D4A7D8F" w14:textId="77777777" w:rsidR="00782DC6" w:rsidRPr="009E1B38" w:rsidRDefault="00782DC6" w:rsidP="00782DC6">
      <w:pPr>
        <w:pStyle w:val="ListeParagraf"/>
        <w:rPr>
          <w:rFonts w:ascii="Times New Roman" w:hAnsi="Times New Roman"/>
        </w:rPr>
      </w:pPr>
    </w:p>
    <w:p w14:paraId="4DE6DC24" w14:textId="10E46D7B" w:rsidR="711A1927" w:rsidRPr="009E1B38" w:rsidRDefault="711A1927" w:rsidP="711A1927">
      <w:pPr>
        <w:pStyle w:val="ListeParagraf"/>
        <w:ind w:left="1418"/>
        <w:rPr>
          <w:rFonts w:ascii="Times New Roman" w:hAnsi="Times New Roman"/>
          <w:i/>
          <w:iCs/>
        </w:rPr>
      </w:pPr>
      <w:r w:rsidRPr="009E1B38">
        <w:rPr>
          <w:rFonts w:ascii="Times New Roman" w:hAnsi="Times New Roman"/>
          <w:i/>
          <w:iCs/>
        </w:rPr>
        <w:t>“b) A notice of termination or mutual termination protocol indicating the termination of the dealership agreement, which has not expired and is in the records of the institution.”</w:t>
      </w:r>
    </w:p>
    <w:p w14:paraId="7D4A7D91" w14:textId="77777777" w:rsidR="00782DC6" w:rsidRPr="009E1B38" w:rsidRDefault="00782DC6" w:rsidP="00782DC6">
      <w:pPr>
        <w:pStyle w:val="ListeParagraf"/>
        <w:rPr>
          <w:rFonts w:ascii="Times New Roman" w:hAnsi="Times New Roman"/>
          <w:b/>
          <w:bCs/>
        </w:rPr>
      </w:pPr>
    </w:p>
    <w:p w14:paraId="5D871C93" w14:textId="3B3CBA04" w:rsidR="711A1927" w:rsidRPr="009E1B38" w:rsidRDefault="711A1927" w:rsidP="003C5E4D">
      <w:pPr>
        <w:pStyle w:val="ListeParagraf"/>
        <w:numPr>
          <w:ilvl w:val="0"/>
          <w:numId w:val="43"/>
        </w:numPr>
        <w:spacing w:after="160" w:line="259" w:lineRule="auto"/>
        <w:rPr>
          <w:rFonts w:ascii="Times New Roman" w:hAnsi="Times New Roman"/>
        </w:rPr>
      </w:pPr>
      <w:r w:rsidRPr="009E1B38">
        <w:rPr>
          <w:rFonts w:ascii="Times New Roman" w:hAnsi="Times New Roman"/>
        </w:rPr>
        <w:t>The fourth paragraph of Article 11, titled "Information and Documents to be Required in Applications for License Extension and Termination", has been amended as follows.</w:t>
      </w:r>
    </w:p>
    <w:p w14:paraId="7D4A7D93" w14:textId="77777777" w:rsidR="00782DC6" w:rsidRPr="009E1B38" w:rsidRDefault="00782DC6" w:rsidP="00782DC6">
      <w:pPr>
        <w:pStyle w:val="ListeParagraf"/>
        <w:rPr>
          <w:rFonts w:ascii="Times New Roman" w:hAnsi="Times New Roman"/>
        </w:rPr>
      </w:pPr>
    </w:p>
    <w:p w14:paraId="6A287D03" w14:textId="441234CB" w:rsidR="21048C58" w:rsidRPr="009E1B38" w:rsidRDefault="21048C58" w:rsidP="21048C58">
      <w:pPr>
        <w:pStyle w:val="ListeParagraf"/>
        <w:ind w:left="1418"/>
        <w:rPr>
          <w:rFonts w:ascii="Times New Roman" w:hAnsi="Times New Roman"/>
          <w:i/>
          <w:iCs/>
        </w:rPr>
      </w:pPr>
      <w:r w:rsidRPr="009E1B38">
        <w:rPr>
          <w:rFonts w:ascii="Times New Roman" w:hAnsi="Times New Roman"/>
          <w:i/>
          <w:iCs/>
        </w:rPr>
        <w:t>“(4) It is not necessary to submit documents other than the document stating that the time extension fee has been deposited in the appendix of the LPG Autogas Dealership license time extension application. All information and documents required for obtaining these licenses, according to the Board Decision on License Application in the Liquefied Petroleum Gases (LPG) Market, are attached to the application for extension of time for licenses other than LPG Autogas Dealership license. However, for LPG Distributor License, "LPG Cylinder Statement" is submitted instead of LPG cylinder invoices included in the facility information file. If the information submitted within the scope of the license extension application and the current information about the license and registered to the license have changed in the period before the license extension process, the obligations regarding the amendment procedures and notification obligations of the licensees in the relevant legislation continue.</w:t>
      </w:r>
    </w:p>
    <w:p w14:paraId="7D4A7D95" w14:textId="77777777" w:rsidR="00DE6B09" w:rsidRPr="009E1B38" w:rsidRDefault="00DE6B09" w:rsidP="00782DC6">
      <w:pPr>
        <w:pStyle w:val="ListeParagraf"/>
        <w:ind w:left="1418"/>
        <w:rPr>
          <w:rFonts w:ascii="Times New Roman" w:hAnsi="Times New Roman"/>
          <w:i/>
        </w:rPr>
      </w:pPr>
    </w:p>
    <w:p w14:paraId="772AEE2C" w14:textId="568AD64A" w:rsidR="21048C58" w:rsidRPr="009E1B38" w:rsidRDefault="21048C58" w:rsidP="003C5E4D">
      <w:pPr>
        <w:pStyle w:val="ListeParagraf"/>
        <w:numPr>
          <w:ilvl w:val="0"/>
          <w:numId w:val="9"/>
        </w:numPr>
        <w:spacing w:after="160" w:line="259" w:lineRule="auto"/>
        <w:rPr>
          <w:rFonts w:ascii="Times New Roman" w:hAnsi="Times New Roman"/>
          <w:b/>
          <w:bCs/>
        </w:rPr>
      </w:pPr>
      <w:r w:rsidRPr="009E1B38">
        <w:rPr>
          <w:rFonts w:ascii="Times New Roman" w:hAnsi="Times New Roman"/>
          <w:b/>
          <w:bCs/>
        </w:rPr>
        <w:t>Board Decision No. 10598 dated 02.12.2021 published in the Official Gazette No. 31697 dated 04.12.2021 and Board Decision No. 8248</w:t>
      </w:r>
    </w:p>
    <w:p w14:paraId="7D4A7D97" w14:textId="77777777" w:rsidR="00782DC6" w:rsidRPr="009E1B38" w:rsidRDefault="00782DC6" w:rsidP="00782DC6">
      <w:pPr>
        <w:pStyle w:val="ListeParagraf"/>
        <w:rPr>
          <w:rFonts w:ascii="Times New Roman" w:hAnsi="Times New Roman"/>
        </w:rPr>
      </w:pPr>
    </w:p>
    <w:p w14:paraId="3864DF9E" w14:textId="24A37B8C" w:rsidR="21048C58" w:rsidRPr="009E1B38" w:rsidRDefault="21048C58" w:rsidP="003C5E4D">
      <w:pPr>
        <w:pStyle w:val="ListeParagraf"/>
        <w:numPr>
          <w:ilvl w:val="0"/>
          <w:numId w:val="31"/>
        </w:numPr>
        <w:spacing w:after="160" w:line="259" w:lineRule="auto"/>
        <w:rPr>
          <w:rFonts w:ascii="Times New Roman" w:hAnsi="Times New Roman"/>
        </w:rPr>
      </w:pPr>
      <w:r w:rsidRPr="009E1B38">
        <w:rPr>
          <w:rFonts w:ascii="Times New Roman" w:hAnsi="Times New Roman"/>
        </w:rPr>
        <w:t>Paragraphs (a) and (b) of Article 1 have been amended as follows, and the following paragraphs have been added to the same article.</w:t>
      </w:r>
    </w:p>
    <w:p w14:paraId="7D4A7D99" w14:textId="77777777" w:rsidR="00782DC6" w:rsidRPr="009E1B38" w:rsidRDefault="00782DC6" w:rsidP="00782DC6">
      <w:pPr>
        <w:pStyle w:val="ListeParagraf"/>
        <w:ind w:left="1440"/>
        <w:rPr>
          <w:rFonts w:ascii="Times New Roman" w:hAnsi="Times New Roman"/>
        </w:rPr>
      </w:pPr>
    </w:p>
    <w:p w14:paraId="793ED143" w14:textId="3BB75D34" w:rsidR="2BAE4159" w:rsidRPr="009E1B38" w:rsidRDefault="2BAE4159" w:rsidP="2BAE4159">
      <w:pPr>
        <w:pStyle w:val="ListeParagraf"/>
        <w:ind w:left="1418"/>
        <w:rPr>
          <w:rFonts w:ascii="Times New Roman" w:hAnsi="Times New Roman"/>
          <w:i/>
          <w:iCs/>
        </w:rPr>
      </w:pPr>
      <w:r w:rsidRPr="009E1B38">
        <w:rPr>
          <w:rFonts w:ascii="Times New Roman" w:hAnsi="Times New Roman"/>
          <w:i/>
          <w:iCs/>
        </w:rPr>
        <w:t>“a) Fulfilling the application obligations regarding the title or opening a business and working license amendment after the deadline within the scope of Article 18 of the Liquefied Petroleum Gases (LPG) Market License Regulation, or found to have not fulfilled it in due time;</w:t>
      </w:r>
    </w:p>
    <w:p w14:paraId="4D1AA68B" w14:textId="62A13D16" w:rsidR="2BAE4159" w:rsidRPr="009E1B38" w:rsidRDefault="2BAE4159" w:rsidP="2BAE4159">
      <w:pPr>
        <w:pStyle w:val="ListeParagraf"/>
        <w:ind w:left="1418"/>
        <w:rPr>
          <w:rFonts w:ascii="Times New Roman" w:hAnsi="Times New Roman"/>
        </w:rPr>
      </w:pPr>
      <w:r w:rsidRPr="009E1B38">
        <w:rPr>
          <w:rFonts w:ascii="Times New Roman" w:hAnsi="Times New Roman"/>
          <w:i/>
          <w:iCs/>
        </w:rPr>
        <w:t xml:space="preserve"> </w:t>
      </w:r>
    </w:p>
    <w:p w14:paraId="191AB336" w14:textId="556D8EB5" w:rsidR="2BAE4159" w:rsidRPr="009E1B38" w:rsidRDefault="2BAE4159" w:rsidP="2BAE4159">
      <w:pPr>
        <w:pStyle w:val="ListeParagraf"/>
        <w:ind w:left="1418"/>
        <w:rPr>
          <w:rFonts w:ascii="Times New Roman" w:hAnsi="Times New Roman"/>
        </w:rPr>
      </w:pPr>
      <w:r w:rsidRPr="009E1B38">
        <w:rPr>
          <w:rFonts w:ascii="Times New Roman" w:hAnsi="Times New Roman"/>
          <w:i/>
          <w:iCs/>
        </w:rPr>
        <w:t>LPG Autogas Dealership License Holders,</w:t>
      </w:r>
    </w:p>
    <w:p w14:paraId="48EF77A9" w14:textId="7E826600" w:rsidR="2BAE4159" w:rsidRPr="009E1B38" w:rsidRDefault="2BAE4159" w:rsidP="2BAE4159">
      <w:pPr>
        <w:pStyle w:val="ListeParagraf"/>
        <w:ind w:left="1418"/>
        <w:rPr>
          <w:rFonts w:ascii="Times New Roman" w:hAnsi="Times New Roman"/>
        </w:rPr>
      </w:pPr>
      <w:r w:rsidRPr="009E1B38">
        <w:rPr>
          <w:rFonts w:ascii="Times New Roman" w:hAnsi="Times New Roman"/>
          <w:i/>
          <w:iCs/>
        </w:rPr>
        <w:t>LPG Transport License Holders,</w:t>
      </w:r>
    </w:p>
    <w:p w14:paraId="18934DED" w14:textId="05E8455E" w:rsidR="2BAE4159" w:rsidRPr="009E1B38" w:rsidRDefault="2BAE4159" w:rsidP="2BAE4159">
      <w:pPr>
        <w:pStyle w:val="ListeParagraf"/>
        <w:ind w:left="1418"/>
        <w:rPr>
          <w:rFonts w:ascii="Times New Roman" w:hAnsi="Times New Roman"/>
        </w:rPr>
      </w:pPr>
      <w:r w:rsidRPr="009E1B38">
        <w:rPr>
          <w:rFonts w:ascii="Times New Roman" w:hAnsi="Times New Roman"/>
          <w:i/>
          <w:iCs/>
        </w:rPr>
        <w:t>LPG Cylinder Manufacturing License Holders,</w:t>
      </w:r>
    </w:p>
    <w:p w14:paraId="6B258C35" w14:textId="5790D528" w:rsidR="2BAE4159" w:rsidRPr="009E1B38" w:rsidRDefault="2BAE4159" w:rsidP="2BAE4159">
      <w:pPr>
        <w:pStyle w:val="ListeParagraf"/>
        <w:ind w:left="1418"/>
        <w:rPr>
          <w:rFonts w:ascii="Times New Roman" w:hAnsi="Times New Roman"/>
        </w:rPr>
      </w:pPr>
      <w:r w:rsidRPr="009E1B38">
        <w:rPr>
          <w:rFonts w:ascii="Times New Roman" w:hAnsi="Times New Roman"/>
          <w:i/>
          <w:iCs/>
        </w:rPr>
        <w:t>LPG Cylinder Inspection, Repair and Maintenance License Holders,</w:t>
      </w:r>
    </w:p>
    <w:p w14:paraId="687C3649" w14:textId="580D8F1D" w:rsidR="2BAE4159" w:rsidRPr="009E1B38" w:rsidRDefault="2BAE4159" w:rsidP="2BAE4159">
      <w:pPr>
        <w:pStyle w:val="ListeParagraf"/>
        <w:ind w:left="1418"/>
        <w:rPr>
          <w:rFonts w:ascii="Times New Roman" w:hAnsi="Times New Roman"/>
        </w:rPr>
      </w:pPr>
      <w:r w:rsidRPr="009E1B38">
        <w:rPr>
          <w:rFonts w:ascii="Times New Roman" w:hAnsi="Times New Roman"/>
          <w:i/>
          <w:iCs/>
        </w:rPr>
        <w:t xml:space="preserve"> </w:t>
      </w:r>
    </w:p>
    <w:p w14:paraId="2A70FA38" w14:textId="48F09A5D" w:rsidR="2BAE4159" w:rsidRPr="009E1B38" w:rsidRDefault="2BAE4159" w:rsidP="2BAE4159">
      <w:pPr>
        <w:pStyle w:val="ListeParagraf"/>
        <w:ind w:left="1418"/>
        <w:rPr>
          <w:rFonts w:ascii="Times New Roman" w:hAnsi="Times New Roman"/>
        </w:rPr>
      </w:pPr>
      <w:r w:rsidRPr="009E1B38">
        <w:rPr>
          <w:rFonts w:ascii="Times New Roman" w:hAnsi="Times New Roman"/>
          <w:i/>
          <w:iCs/>
        </w:rPr>
        <w:t>If they make a license amendment application at a later date than the periods specified in the said Regulation, they will be deemed to have fulfilled the said amendment obligation by paying the license amendment fee equal to the license purchase price applied in the year for which the amendment is requested,</w:t>
      </w:r>
    </w:p>
    <w:p w14:paraId="7458EB0D" w14:textId="512EC349" w:rsidR="2BAE4159" w:rsidRPr="009E1B38" w:rsidRDefault="2BAE4159" w:rsidP="2BAE4159">
      <w:pPr>
        <w:pStyle w:val="ListeParagraf"/>
        <w:ind w:left="1418"/>
        <w:rPr>
          <w:rFonts w:ascii="Times New Roman" w:hAnsi="Times New Roman"/>
        </w:rPr>
      </w:pPr>
      <w:r w:rsidRPr="009E1B38">
        <w:rPr>
          <w:rFonts w:ascii="Times New Roman" w:hAnsi="Times New Roman"/>
          <w:i/>
          <w:iCs/>
        </w:rPr>
        <w:t xml:space="preserve"> </w:t>
      </w:r>
    </w:p>
    <w:p w14:paraId="19AD742B" w14:textId="2B9C057A" w:rsidR="2BAE4159" w:rsidRPr="009E1B38" w:rsidRDefault="2BAE4159" w:rsidP="2BAE4159">
      <w:pPr>
        <w:pStyle w:val="ListeParagraf"/>
        <w:ind w:left="1418"/>
        <w:rPr>
          <w:rFonts w:ascii="Times New Roman" w:hAnsi="Times New Roman"/>
        </w:rPr>
      </w:pPr>
      <w:r w:rsidRPr="009E1B38">
        <w:rPr>
          <w:rFonts w:ascii="Times New Roman" w:hAnsi="Times New Roman"/>
          <w:i/>
          <w:iCs/>
        </w:rPr>
        <w:lastRenderedPageBreak/>
        <w:t>b) Fulfilling the application obligations regarding the amendment of the business and working license due to the change of address (including the information on the island, plot and parcel) after the deadline, or found to have not fulfilled it in due time, within the scope of Article 18 of the Liquefied Petroleum Gases (LPG) Market License Regulation;</w:t>
      </w:r>
    </w:p>
    <w:p w14:paraId="4D6FAC7B" w14:textId="52637CF0" w:rsidR="2BAE4159" w:rsidRPr="009E1B38" w:rsidRDefault="2BAE4159" w:rsidP="2BAE4159">
      <w:pPr>
        <w:pStyle w:val="ListeParagraf"/>
        <w:ind w:left="1418"/>
        <w:rPr>
          <w:rFonts w:ascii="Times New Roman" w:hAnsi="Times New Roman"/>
        </w:rPr>
      </w:pPr>
      <w:r w:rsidRPr="009E1B38">
        <w:rPr>
          <w:rFonts w:ascii="Times New Roman" w:hAnsi="Times New Roman"/>
          <w:i/>
          <w:iCs/>
        </w:rPr>
        <w:t xml:space="preserve"> </w:t>
      </w:r>
    </w:p>
    <w:p w14:paraId="7A25E187" w14:textId="7A98D80F" w:rsidR="2BAE4159" w:rsidRPr="009E1B38" w:rsidRDefault="2BAE4159" w:rsidP="2BAE4159">
      <w:pPr>
        <w:pStyle w:val="ListeParagraf"/>
        <w:ind w:left="1418"/>
        <w:rPr>
          <w:rFonts w:ascii="Times New Roman" w:hAnsi="Times New Roman"/>
        </w:rPr>
      </w:pPr>
      <w:r w:rsidRPr="009E1B38">
        <w:rPr>
          <w:rFonts w:ascii="Times New Roman" w:hAnsi="Times New Roman"/>
          <w:i/>
          <w:iCs/>
        </w:rPr>
        <w:t>LPG Distributor License Holders,</w:t>
      </w:r>
    </w:p>
    <w:p w14:paraId="7C43F087" w14:textId="2CC4AF8E" w:rsidR="2BAE4159" w:rsidRPr="009E1B38" w:rsidRDefault="2BAE4159" w:rsidP="2BAE4159">
      <w:pPr>
        <w:pStyle w:val="ListeParagraf"/>
        <w:ind w:left="1418"/>
        <w:rPr>
          <w:rFonts w:ascii="Times New Roman" w:hAnsi="Times New Roman"/>
        </w:rPr>
      </w:pPr>
      <w:r w:rsidRPr="009E1B38">
        <w:rPr>
          <w:rFonts w:ascii="Times New Roman" w:hAnsi="Times New Roman"/>
          <w:i/>
          <w:iCs/>
        </w:rPr>
        <w:t>LPG Storage License Holders,</w:t>
      </w:r>
    </w:p>
    <w:p w14:paraId="37BEFBC2" w14:textId="1D1A1CD9" w:rsidR="2BAE4159" w:rsidRPr="009E1B38" w:rsidRDefault="2BAE4159" w:rsidP="2BAE4159">
      <w:pPr>
        <w:pStyle w:val="ListeParagraf"/>
        <w:ind w:left="1418"/>
        <w:rPr>
          <w:rFonts w:ascii="Times New Roman" w:hAnsi="Times New Roman"/>
        </w:rPr>
      </w:pPr>
      <w:r w:rsidRPr="009E1B38">
        <w:rPr>
          <w:rFonts w:ascii="Times New Roman" w:hAnsi="Times New Roman"/>
          <w:i/>
          <w:iCs/>
        </w:rPr>
        <w:t xml:space="preserve"> </w:t>
      </w:r>
    </w:p>
    <w:p w14:paraId="603A4174" w14:textId="2CE24AA4" w:rsidR="2BAE4159" w:rsidRPr="009E1B38" w:rsidRDefault="2BAE4159" w:rsidP="2BAE4159">
      <w:pPr>
        <w:pStyle w:val="ListeParagraf"/>
        <w:ind w:left="1418"/>
        <w:rPr>
          <w:rFonts w:ascii="Times New Roman" w:hAnsi="Times New Roman"/>
        </w:rPr>
      </w:pPr>
      <w:r w:rsidRPr="009E1B38">
        <w:rPr>
          <w:rFonts w:ascii="Times New Roman" w:hAnsi="Times New Roman"/>
          <w:i/>
          <w:iCs/>
        </w:rPr>
        <w:t>if they make a license amendment application at a later date than the periods specified in the said Regulation, they will be deemed to have fulfilled the said amendment obligation by paying the license amendment fee 5 times the license amendment price applied in the year for which the amendment was requested,</w:t>
      </w:r>
    </w:p>
    <w:p w14:paraId="1AA2B7C1" w14:textId="4F04A37A" w:rsidR="2BAE4159" w:rsidRPr="009E1B38" w:rsidRDefault="2BAE4159" w:rsidP="2BAE4159">
      <w:pPr>
        <w:pStyle w:val="ListeParagraf"/>
        <w:ind w:left="1418"/>
        <w:rPr>
          <w:rFonts w:ascii="Times New Roman" w:hAnsi="Times New Roman"/>
        </w:rPr>
      </w:pPr>
      <w:r w:rsidRPr="009E1B38">
        <w:rPr>
          <w:rFonts w:ascii="Times New Roman" w:hAnsi="Times New Roman"/>
          <w:i/>
          <w:iCs/>
        </w:rPr>
        <w:t xml:space="preserve"> </w:t>
      </w:r>
    </w:p>
    <w:p w14:paraId="6BAD38D6" w14:textId="66E1CDFF" w:rsidR="2BAE4159" w:rsidRPr="009E1B38" w:rsidRDefault="2BAE4159" w:rsidP="2BAE4159">
      <w:pPr>
        <w:pStyle w:val="ListeParagraf"/>
        <w:ind w:left="1418"/>
        <w:rPr>
          <w:rFonts w:ascii="Times New Roman" w:hAnsi="Times New Roman"/>
        </w:rPr>
      </w:pPr>
      <w:r w:rsidRPr="009E1B38">
        <w:rPr>
          <w:rFonts w:ascii="Times New Roman" w:hAnsi="Times New Roman"/>
          <w:i/>
          <w:iCs/>
        </w:rPr>
        <w:t>c) Companies whose LPG Distribution License holders fulfill their application obligations regarding the change of cylinder filling capacity within the scope of the 18th article of the Liquefied Petroleum Gases (LPG) Market License Regulation after the deadline, or which are determined not to fulfill the license amendment fee in the year in which the amendment request is made, to be deemed to have fulfilled the said amendment obligation by paying 5 times the amendment price,</w:t>
      </w:r>
    </w:p>
    <w:p w14:paraId="0C2364DE" w14:textId="23658425" w:rsidR="2BAE4159" w:rsidRPr="009E1B38" w:rsidRDefault="2BAE4159" w:rsidP="2BAE4159">
      <w:pPr>
        <w:pStyle w:val="ListeParagraf"/>
        <w:ind w:left="1418"/>
        <w:rPr>
          <w:rFonts w:ascii="Times New Roman" w:hAnsi="Times New Roman"/>
        </w:rPr>
      </w:pPr>
      <w:r w:rsidRPr="009E1B38">
        <w:rPr>
          <w:rFonts w:ascii="Times New Roman" w:hAnsi="Times New Roman"/>
          <w:i/>
          <w:iCs/>
        </w:rPr>
        <w:t xml:space="preserve"> </w:t>
      </w:r>
    </w:p>
    <w:p w14:paraId="49149537" w14:textId="3A4A57EA" w:rsidR="2BAE4159" w:rsidRPr="009E1B38" w:rsidRDefault="2BAE4159" w:rsidP="2BAE4159">
      <w:pPr>
        <w:pStyle w:val="ListeParagraf"/>
        <w:ind w:left="1418"/>
        <w:rPr>
          <w:rFonts w:ascii="Times New Roman" w:hAnsi="Times New Roman"/>
        </w:rPr>
      </w:pPr>
      <w:r w:rsidRPr="009E1B38">
        <w:rPr>
          <w:rFonts w:ascii="Times New Roman" w:hAnsi="Times New Roman"/>
          <w:i/>
          <w:iCs/>
        </w:rPr>
        <w:t>d) Legal entities who do not or cannot apply within the periods specified in the second paragraphs of Articles 5 and 6 of the Board Decision dated 07.12.2017 and numbered 7494, by paying 5 times the LPG distributor license amendment price valid on the date of application, to provide services within the scope of</w:t>
      </w:r>
      <w:r w:rsidR="00301040">
        <w:rPr>
          <w:rFonts w:ascii="Times New Roman" w:hAnsi="Times New Roman"/>
          <w:i/>
          <w:iCs/>
        </w:rPr>
        <w:t xml:space="preserve"> the Coupon system.</w:t>
      </w:r>
      <w:r w:rsidRPr="009E1B38">
        <w:rPr>
          <w:rFonts w:ascii="Times New Roman" w:hAnsi="Times New Roman"/>
          <w:i/>
          <w:iCs/>
        </w:rPr>
        <w:t>”</w:t>
      </w:r>
    </w:p>
    <w:p w14:paraId="3DB1D9E9" w14:textId="7C5C4B7B" w:rsidR="7B97FF96" w:rsidRPr="009E1B38" w:rsidRDefault="7B97FF96" w:rsidP="7B97FF96">
      <w:pPr>
        <w:pStyle w:val="ListeParagraf"/>
        <w:ind w:left="1418"/>
        <w:rPr>
          <w:rFonts w:ascii="Times New Roman" w:hAnsi="Times New Roman"/>
          <w:i/>
          <w:iCs/>
        </w:rPr>
      </w:pPr>
    </w:p>
    <w:p w14:paraId="115134DB" w14:textId="0DB8C826" w:rsidR="7B97FF96" w:rsidRPr="009E1B38" w:rsidRDefault="7B97FF96" w:rsidP="003C5E4D">
      <w:pPr>
        <w:pStyle w:val="ListeParagraf"/>
        <w:numPr>
          <w:ilvl w:val="0"/>
          <w:numId w:val="9"/>
        </w:numPr>
        <w:spacing w:after="160" w:line="259" w:lineRule="auto"/>
        <w:rPr>
          <w:rFonts w:ascii="Times New Roman" w:hAnsi="Times New Roman"/>
        </w:rPr>
      </w:pPr>
      <w:r w:rsidRPr="009E1B38">
        <w:rPr>
          <w:rFonts w:ascii="Times New Roman" w:hAnsi="Times New Roman"/>
        </w:rPr>
        <w:t>With the Board Decision dated 09.12.2021 and numbered 10613 published in the Official Gazette dated 14.12.2021 and numbered 31689, Liquefied Petroleum Gases (LPG) in accordance with Article 16 of the Petroleum Market Law No. 5015 and Article 40 of the Liquefied Petroleum Gases (LPG) Market License Regulation. It has been decided to determine the revenue share price in the market for 2022 as 16 TL/ton.</w:t>
      </w:r>
    </w:p>
    <w:p w14:paraId="7D4A7DA8" w14:textId="42B2C8B4" w:rsidR="007967DB" w:rsidRPr="009E1B38" w:rsidRDefault="02BE747C" w:rsidP="003C5E4D">
      <w:pPr>
        <w:pStyle w:val="Balk2"/>
        <w:numPr>
          <w:ilvl w:val="1"/>
          <w:numId w:val="59"/>
        </w:numPr>
        <w:rPr>
          <w:rFonts w:cs="Times New Roman"/>
        </w:rPr>
      </w:pPr>
      <w:bookmarkStart w:id="98" w:name="_Toc113615329"/>
      <w:r w:rsidRPr="009E1B38">
        <w:rPr>
          <w:rFonts w:cs="Times New Roman"/>
        </w:rPr>
        <w:t>Other Legislation Activities</w:t>
      </w:r>
      <w:bookmarkEnd w:id="98"/>
    </w:p>
    <w:p w14:paraId="7D4A7DA9" w14:textId="4CCFE9D0" w:rsidR="001D2DA2" w:rsidRPr="009E1B38" w:rsidRDefault="00B81CD1" w:rsidP="001D2DA2">
      <w:pPr>
        <w:spacing w:after="240"/>
        <w:rPr>
          <w:rFonts w:ascii="Times New Roman" w:hAnsi="Times New Roman"/>
        </w:rPr>
      </w:pPr>
      <w:r w:rsidRPr="009E1B38">
        <w:rPr>
          <w:rFonts w:ascii="Times New Roman" w:hAnsi="Times New Roman"/>
        </w:rPr>
        <w:t>In this section,</w:t>
      </w:r>
      <w:r w:rsidR="00F307DF" w:rsidRPr="009E1B38">
        <w:rPr>
          <w:rFonts w:ascii="Times New Roman" w:hAnsi="Times New Roman"/>
        </w:rPr>
        <w:t xml:space="preserve"> </w:t>
      </w:r>
      <w:r w:rsidRPr="009E1B38">
        <w:rPr>
          <w:rFonts w:ascii="Times New Roman" w:hAnsi="Times New Roman"/>
        </w:rPr>
        <w:t>regardless of the above-mentioned sectoral distinction,</w:t>
      </w:r>
      <w:r w:rsidR="00E8233E" w:rsidRPr="009E1B38">
        <w:rPr>
          <w:rFonts w:ascii="Times New Roman" w:hAnsi="Times New Roman"/>
        </w:rPr>
        <w:t xml:space="preserve"> </w:t>
      </w:r>
      <w:r w:rsidRPr="009E1B38">
        <w:rPr>
          <w:rFonts w:ascii="Times New Roman" w:hAnsi="Times New Roman"/>
        </w:rPr>
        <w:t>the legislation studies carried out by the Authority in 2021 are included.</w:t>
      </w:r>
    </w:p>
    <w:p w14:paraId="7D4A7DAA" w14:textId="16FC2145" w:rsidR="001D2DA2" w:rsidRPr="009E1B38" w:rsidRDefault="00B81CD1" w:rsidP="00B81CD1">
      <w:pPr>
        <w:pStyle w:val="Balk3"/>
        <w:spacing w:before="0" w:after="240"/>
        <w:rPr>
          <w:rFonts w:ascii="Times New Roman" w:hAnsi="Times New Roman" w:cs="Times New Roman"/>
          <w:color w:val="auto"/>
          <w:sz w:val="24"/>
          <w:szCs w:val="24"/>
        </w:rPr>
      </w:pPr>
      <w:bookmarkStart w:id="99" w:name="_Toc113615330"/>
      <w:r w:rsidRPr="009E1B38">
        <w:rPr>
          <w:rFonts w:ascii="Times New Roman" w:hAnsi="Times New Roman" w:cs="Times New Roman"/>
          <w:color w:val="auto"/>
        </w:rPr>
        <w:t xml:space="preserve">2.5.1.    </w:t>
      </w:r>
      <w:r w:rsidR="02BE747C" w:rsidRPr="009E1B38">
        <w:rPr>
          <w:rFonts w:ascii="Times New Roman" w:hAnsi="Times New Roman" w:cs="Times New Roman"/>
          <w:color w:val="auto"/>
        </w:rPr>
        <w:t>Legislative Changes Regarding Energy Market Notifications</w:t>
      </w:r>
      <w:bookmarkEnd w:id="99"/>
    </w:p>
    <w:p w14:paraId="2C729B09" w14:textId="68743979" w:rsidR="00517E39" w:rsidRPr="009E1B38" w:rsidRDefault="00517E39" w:rsidP="00517E39">
      <w:pPr>
        <w:spacing w:after="160" w:line="259" w:lineRule="auto"/>
        <w:rPr>
          <w:rFonts w:ascii="Times New Roman" w:hAnsi="Times New Roman"/>
        </w:rPr>
      </w:pPr>
      <w:r w:rsidRPr="009E1B38">
        <w:rPr>
          <w:rFonts w:ascii="Times New Roman" w:hAnsi="Times New Roman"/>
        </w:rPr>
        <w:t>With legislative changes in this context, changing the duration of some notifications that licensees operating in energy markets are obliged to make, defining new notification types for the relevant markets in some cases, making changes in the Departments that are the addressee of certain notifications, making revisions in the names and/or content of some of the notification forms. , adding additional forms to some of the notifications, as well as removing some of the existing notification forms, making changes in the explanation parts of some notification forms, and rearranging which license holders are responsible for the notifications.</w:t>
      </w:r>
    </w:p>
    <w:p w14:paraId="4DCDCAB9" w14:textId="64279220" w:rsidR="00517E39" w:rsidRPr="009E1B38" w:rsidRDefault="2A540350" w:rsidP="003C5E4D">
      <w:pPr>
        <w:pStyle w:val="ListeParagraf"/>
        <w:numPr>
          <w:ilvl w:val="0"/>
          <w:numId w:val="9"/>
        </w:numPr>
        <w:spacing w:after="160" w:line="259" w:lineRule="auto"/>
        <w:rPr>
          <w:rFonts w:ascii="Times New Roman" w:hAnsi="Times New Roman"/>
        </w:rPr>
      </w:pPr>
      <w:r w:rsidRPr="009E1B38">
        <w:rPr>
          <w:rFonts w:ascii="Times New Roman" w:hAnsi="Times New Roman"/>
        </w:rPr>
        <w:t>The Board Decision dated 30.12.2021 and numbered 10695 published in the Official Gazette dated 31.1.2021 and numbered 31706 (6.repeated) and adopted with the Board Decision dated 20.11.2014 and numbered 5313-1 and dated 24.12.2014 and numbered 29215. ”Appendix-1 Electricity Market Notification Liability Table”, “Appendix-2 Natural Gas Marke</w:t>
      </w:r>
      <w:r w:rsidR="00301040">
        <w:rPr>
          <w:rFonts w:ascii="Times New Roman" w:hAnsi="Times New Roman"/>
        </w:rPr>
        <w:t>t Notification Liability Table”</w:t>
      </w:r>
      <w:r w:rsidRPr="009E1B38">
        <w:rPr>
          <w:rFonts w:ascii="Times New Roman" w:hAnsi="Times New Roman"/>
        </w:rPr>
        <w:t>, “Appendix-3 Petroleum Market Notification Liability Table”, which are the appendix of the Energy Market Notification System Usage Instruction published in the Official Gazette,</w:t>
      </w:r>
      <w:r w:rsidR="00E8233E" w:rsidRPr="009E1B38">
        <w:rPr>
          <w:rFonts w:ascii="Times New Roman" w:hAnsi="Times New Roman"/>
        </w:rPr>
        <w:t xml:space="preserve"> </w:t>
      </w:r>
      <w:r w:rsidRPr="009E1B38">
        <w:rPr>
          <w:rFonts w:ascii="Times New Roman" w:hAnsi="Times New Roman"/>
        </w:rPr>
        <w:t xml:space="preserve">have been amended. </w:t>
      </w:r>
    </w:p>
    <w:p w14:paraId="7D4A7DAD" w14:textId="57B4B284" w:rsidR="00525158" w:rsidRPr="009E1B38" w:rsidRDefault="16B90BD3" w:rsidP="003C5E4D">
      <w:pPr>
        <w:pStyle w:val="Balk3"/>
        <w:numPr>
          <w:ilvl w:val="2"/>
          <w:numId w:val="59"/>
        </w:numPr>
        <w:spacing w:after="240"/>
        <w:rPr>
          <w:rFonts w:ascii="Times New Roman" w:hAnsi="Times New Roman" w:cs="Times New Roman"/>
          <w:color w:val="auto"/>
          <w:sz w:val="24"/>
          <w:szCs w:val="24"/>
        </w:rPr>
      </w:pPr>
      <w:bookmarkStart w:id="100" w:name="_Toc113615331"/>
      <w:r w:rsidRPr="009E1B38">
        <w:rPr>
          <w:rFonts w:ascii="Times New Roman" w:hAnsi="Times New Roman" w:cs="Times New Roman"/>
          <w:color w:val="auto"/>
        </w:rPr>
        <w:lastRenderedPageBreak/>
        <w:t>Other Changes</w:t>
      </w:r>
      <w:bookmarkEnd w:id="100"/>
    </w:p>
    <w:p w14:paraId="7D4A7DAF" w14:textId="6A9F864D" w:rsidR="00424198" w:rsidRPr="009E1B38" w:rsidRDefault="00DD2D33" w:rsidP="003C5E4D">
      <w:pPr>
        <w:pStyle w:val="ListeParagraf"/>
        <w:numPr>
          <w:ilvl w:val="0"/>
          <w:numId w:val="9"/>
        </w:numPr>
        <w:rPr>
          <w:rFonts w:ascii="Times New Roman" w:hAnsi="Times New Roman"/>
          <w:i/>
        </w:rPr>
      </w:pPr>
      <w:r w:rsidRPr="009E1B38">
        <w:rPr>
          <w:rFonts w:ascii="Times New Roman" w:hAnsi="Times New Roman"/>
        </w:rPr>
        <w:t>With the Law No. 7346 Amending Some Laws published in the Official Gazette dated 25.12.2021 and numbered 31700, and the Law No. 4628 on the Organization and Duties of the Energy Market Regulatory Authority, the Energy Conversion Department was established within the Authority and affiliated to the Department; Charging Service Group Presidency, Digital Transformation Group Presidency, Research-Development and Innovation Group Presidency, Complementary Markets and Alternative Fuels Group Presidency were established.</w:t>
      </w:r>
    </w:p>
    <w:p w14:paraId="7D4A7DB1" w14:textId="35FBDE3F" w:rsidR="0024468A" w:rsidRPr="009E1B38" w:rsidRDefault="00DD2D33" w:rsidP="003C5E4D">
      <w:pPr>
        <w:pStyle w:val="ListeParagraf"/>
        <w:numPr>
          <w:ilvl w:val="0"/>
          <w:numId w:val="9"/>
        </w:numPr>
        <w:spacing w:after="160" w:line="259" w:lineRule="auto"/>
        <w:rPr>
          <w:rFonts w:ascii="Times New Roman" w:hAnsi="Times New Roman"/>
        </w:rPr>
      </w:pPr>
      <w:r w:rsidRPr="009E1B38">
        <w:rPr>
          <w:rFonts w:ascii="Times New Roman" w:hAnsi="Times New Roman"/>
        </w:rPr>
        <w:t>Its purpose in the Official Gazette dated 02.11.2021 and numbered 31679; The Regulation on the Procurement of Real Estate Conducted by the Energy Market Regulatory Authority, which determines the procedures and principles regarding the implementation of the real estate procurement practices to be carried out by the Authority in the electricity, natural gas and oil markets, and the rights and obligations of the associate or license holders arising from the acquisition of real estate, has been published.</w:t>
      </w:r>
    </w:p>
    <w:p w14:paraId="214BFE94" w14:textId="68382616" w:rsidR="00DD2D33" w:rsidRPr="009E1B38" w:rsidRDefault="00DD2D33" w:rsidP="003C5E4D">
      <w:pPr>
        <w:pStyle w:val="ListeParagraf"/>
        <w:numPr>
          <w:ilvl w:val="0"/>
          <w:numId w:val="9"/>
        </w:numPr>
        <w:spacing w:after="160" w:line="259" w:lineRule="auto"/>
        <w:rPr>
          <w:rFonts w:ascii="Times New Roman" w:hAnsi="Times New Roman"/>
        </w:rPr>
      </w:pPr>
      <w:r w:rsidRPr="009E1B38">
        <w:rPr>
          <w:rFonts w:ascii="Times New Roman" w:hAnsi="Times New Roman"/>
        </w:rPr>
        <w:t>The Regulation published in the Official Gazette dated 28.12.2021 and numbered 31703 and the Energy Market Regulatory Authority Budget and Accounting Regulation published in the Official Gazette dated 4.3.2006 and numbered 26118 were repealed.</w:t>
      </w:r>
    </w:p>
    <w:p w14:paraId="7D4A7DB5" w14:textId="7C227011" w:rsidR="007745A4" w:rsidRPr="009E1B38" w:rsidRDefault="00DD2D33" w:rsidP="003C5E4D">
      <w:pPr>
        <w:pStyle w:val="ListeParagraf"/>
        <w:numPr>
          <w:ilvl w:val="0"/>
          <w:numId w:val="9"/>
        </w:numPr>
        <w:rPr>
          <w:rFonts w:ascii="Times New Roman" w:hAnsi="Times New Roman"/>
        </w:rPr>
      </w:pPr>
      <w:r w:rsidRPr="009E1B38">
        <w:rPr>
          <w:rFonts w:ascii="Times New Roman" w:hAnsi="Times New Roman"/>
        </w:rPr>
        <w:t>With the Board Decision dated 11.11.2021 and numbered 10554-2 published in the Official Gazette dated 15.11.2021 and numbered 31660, the Procedures and Principles Regarding the Applications Regarding the Procurement of Real Estate were accepted; The Procedures and Principles Regarding the Procurement of Real Estate Conducted by the Energy Market Regulatory Authority and published in the Official Gazette dated 02.02.2018 and numbered 30320, adopted by the Board Decision No. 10554-1 and Board Decision No. 7651 dated 18.01.2018 have been repealed.</w:t>
      </w:r>
    </w:p>
    <w:p w14:paraId="7D4A7DB6" w14:textId="77777777" w:rsidR="00DF652B" w:rsidRPr="009E1B38" w:rsidRDefault="008A672F" w:rsidP="007745A4">
      <w:pPr>
        <w:pStyle w:val="ListeParagraf"/>
        <w:spacing w:after="0" w:line="259" w:lineRule="auto"/>
        <w:rPr>
          <w:rFonts w:ascii="Times New Roman" w:hAnsi="Times New Roman"/>
        </w:rPr>
      </w:pPr>
      <w:r w:rsidRPr="009E1B38">
        <w:rPr>
          <w:rFonts w:ascii="Times New Roman" w:hAnsi="Times New Roman"/>
        </w:rPr>
        <w:tab/>
      </w:r>
      <w:r w:rsidRPr="009E1B38">
        <w:rPr>
          <w:rFonts w:ascii="Times New Roman" w:hAnsi="Times New Roman"/>
        </w:rPr>
        <w:tab/>
      </w:r>
    </w:p>
    <w:p w14:paraId="7D4A7DB7" w14:textId="77777777" w:rsidR="00DF652B" w:rsidRPr="009E1B38" w:rsidRDefault="00DF652B" w:rsidP="007745A4">
      <w:pPr>
        <w:pStyle w:val="ListeParagraf"/>
        <w:spacing w:after="0" w:line="259" w:lineRule="auto"/>
        <w:rPr>
          <w:rFonts w:ascii="Times New Roman" w:hAnsi="Times New Roman"/>
        </w:rPr>
      </w:pPr>
    </w:p>
    <w:p w14:paraId="7D4A7DB8" w14:textId="77777777" w:rsidR="00DF652B" w:rsidRPr="009E1B38" w:rsidRDefault="00DF652B" w:rsidP="007745A4">
      <w:pPr>
        <w:pStyle w:val="ListeParagraf"/>
        <w:spacing w:after="0" w:line="259" w:lineRule="auto"/>
        <w:rPr>
          <w:rFonts w:ascii="Times New Roman" w:hAnsi="Times New Roman"/>
        </w:rPr>
      </w:pPr>
    </w:p>
    <w:p w14:paraId="7D4A7DB9" w14:textId="77777777" w:rsidR="00DF652B" w:rsidRPr="009E1B38" w:rsidRDefault="00DF652B" w:rsidP="007745A4">
      <w:pPr>
        <w:pStyle w:val="ListeParagraf"/>
        <w:spacing w:after="0" w:line="259" w:lineRule="auto"/>
        <w:rPr>
          <w:rFonts w:ascii="Times New Roman" w:hAnsi="Times New Roman"/>
        </w:rPr>
      </w:pPr>
    </w:p>
    <w:p w14:paraId="7D4A7DBA" w14:textId="77777777" w:rsidR="00DF652B" w:rsidRPr="009E1B38" w:rsidRDefault="00DF652B" w:rsidP="007745A4">
      <w:pPr>
        <w:pStyle w:val="ListeParagraf"/>
        <w:spacing w:after="0" w:line="259" w:lineRule="auto"/>
        <w:rPr>
          <w:rFonts w:ascii="Times New Roman" w:hAnsi="Times New Roman"/>
        </w:rPr>
      </w:pPr>
    </w:p>
    <w:p w14:paraId="7D4A7DBB" w14:textId="77777777" w:rsidR="00DF652B" w:rsidRPr="009E1B38" w:rsidRDefault="00DF652B" w:rsidP="007745A4">
      <w:pPr>
        <w:pStyle w:val="ListeParagraf"/>
        <w:spacing w:after="0" w:line="259" w:lineRule="auto"/>
        <w:rPr>
          <w:rFonts w:ascii="Times New Roman" w:hAnsi="Times New Roman"/>
        </w:rPr>
      </w:pPr>
    </w:p>
    <w:p w14:paraId="7D4A7DBC" w14:textId="77777777" w:rsidR="00DF652B" w:rsidRPr="009E1B38" w:rsidRDefault="00DF652B" w:rsidP="007745A4">
      <w:pPr>
        <w:pStyle w:val="ListeParagraf"/>
        <w:spacing w:after="0" w:line="259" w:lineRule="auto"/>
        <w:rPr>
          <w:rFonts w:ascii="Times New Roman" w:hAnsi="Times New Roman"/>
        </w:rPr>
      </w:pPr>
    </w:p>
    <w:p w14:paraId="7D4A7DBD" w14:textId="77777777" w:rsidR="00DF652B" w:rsidRPr="009E1B38" w:rsidRDefault="00DF652B" w:rsidP="007745A4">
      <w:pPr>
        <w:pStyle w:val="ListeParagraf"/>
        <w:spacing w:after="0" w:line="259" w:lineRule="auto"/>
        <w:rPr>
          <w:rFonts w:ascii="Times New Roman" w:hAnsi="Times New Roman"/>
        </w:rPr>
      </w:pPr>
    </w:p>
    <w:p w14:paraId="7D4A7DBE" w14:textId="77777777" w:rsidR="00DF652B" w:rsidRPr="009E1B38" w:rsidRDefault="00DF652B" w:rsidP="007745A4">
      <w:pPr>
        <w:pStyle w:val="ListeParagraf"/>
        <w:spacing w:after="0" w:line="259" w:lineRule="auto"/>
        <w:rPr>
          <w:rFonts w:ascii="Times New Roman" w:hAnsi="Times New Roman"/>
        </w:rPr>
      </w:pPr>
    </w:p>
    <w:p w14:paraId="7D4A7DBF" w14:textId="77777777" w:rsidR="00DF652B" w:rsidRPr="009E1B38" w:rsidRDefault="00DF652B" w:rsidP="007745A4">
      <w:pPr>
        <w:pStyle w:val="ListeParagraf"/>
        <w:spacing w:after="0" w:line="259" w:lineRule="auto"/>
        <w:rPr>
          <w:rFonts w:ascii="Times New Roman" w:hAnsi="Times New Roman"/>
        </w:rPr>
      </w:pPr>
    </w:p>
    <w:p w14:paraId="7D4A7DC0" w14:textId="77777777" w:rsidR="00DF652B" w:rsidRPr="009E1B38" w:rsidRDefault="00DF652B" w:rsidP="007745A4">
      <w:pPr>
        <w:pStyle w:val="ListeParagraf"/>
        <w:spacing w:after="0" w:line="259" w:lineRule="auto"/>
        <w:rPr>
          <w:rFonts w:ascii="Times New Roman" w:hAnsi="Times New Roman"/>
        </w:rPr>
      </w:pPr>
    </w:p>
    <w:p w14:paraId="7D4A7DC1" w14:textId="77777777" w:rsidR="00DF652B" w:rsidRPr="009E1B38" w:rsidRDefault="00DF652B" w:rsidP="007745A4">
      <w:pPr>
        <w:pStyle w:val="ListeParagraf"/>
        <w:spacing w:after="0" w:line="259" w:lineRule="auto"/>
        <w:rPr>
          <w:rFonts w:ascii="Times New Roman" w:hAnsi="Times New Roman"/>
        </w:rPr>
      </w:pPr>
    </w:p>
    <w:p w14:paraId="7D4A7DC2" w14:textId="77777777" w:rsidR="00DF652B" w:rsidRPr="009E1B38" w:rsidRDefault="00DF652B" w:rsidP="007745A4">
      <w:pPr>
        <w:pStyle w:val="ListeParagraf"/>
        <w:spacing w:after="0" w:line="259" w:lineRule="auto"/>
        <w:rPr>
          <w:rFonts w:ascii="Times New Roman" w:hAnsi="Times New Roman"/>
        </w:rPr>
      </w:pPr>
    </w:p>
    <w:p w14:paraId="7D4A7DC3" w14:textId="77777777" w:rsidR="00DF652B" w:rsidRPr="009E1B38" w:rsidRDefault="00DF652B" w:rsidP="007745A4">
      <w:pPr>
        <w:pStyle w:val="ListeParagraf"/>
        <w:spacing w:after="0" w:line="259" w:lineRule="auto"/>
        <w:rPr>
          <w:rFonts w:ascii="Times New Roman" w:hAnsi="Times New Roman"/>
        </w:rPr>
      </w:pPr>
    </w:p>
    <w:p w14:paraId="7D4A7DC4" w14:textId="77777777" w:rsidR="00DF652B" w:rsidRPr="009E1B38" w:rsidRDefault="00DF652B" w:rsidP="007745A4">
      <w:pPr>
        <w:pStyle w:val="ListeParagraf"/>
        <w:spacing w:after="0" w:line="259" w:lineRule="auto"/>
        <w:rPr>
          <w:rFonts w:ascii="Times New Roman" w:hAnsi="Times New Roman"/>
        </w:rPr>
      </w:pPr>
    </w:p>
    <w:p w14:paraId="7D4A7DC5" w14:textId="77777777" w:rsidR="00DF652B" w:rsidRPr="009E1B38" w:rsidRDefault="00DF652B" w:rsidP="007745A4">
      <w:pPr>
        <w:pStyle w:val="ListeParagraf"/>
        <w:spacing w:after="0" w:line="259" w:lineRule="auto"/>
        <w:rPr>
          <w:rFonts w:ascii="Times New Roman" w:hAnsi="Times New Roman"/>
        </w:rPr>
      </w:pPr>
    </w:p>
    <w:p w14:paraId="7D4A7DC6" w14:textId="77777777" w:rsidR="00DF652B" w:rsidRPr="009E1B38" w:rsidRDefault="00DF652B" w:rsidP="007745A4">
      <w:pPr>
        <w:pStyle w:val="ListeParagraf"/>
        <w:spacing w:after="0" w:line="259" w:lineRule="auto"/>
        <w:rPr>
          <w:rFonts w:ascii="Times New Roman" w:hAnsi="Times New Roman"/>
        </w:rPr>
      </w:pPr>
    </w:p>
    <w:p w14:paraId="7D4A7DC7" w14:textId="77777777" w:rsidR="00DF652B" w:rsidRPr="009E1B38" w:rsidRDefault="00DF652B" w:rsidP="007745A4">
      <w:pPr>
        <w:pStyle w:val="ListeParagraf"/>
        <w:spacing w:after="0" w:line="259" w:lineRule="auto"/>
        <w:rPr>
          <w:rFonts w:ascii="Times New Roman" w:hAnsi="Times New Roman"/>
        </w:rPr>
      </w:pPr>
    </w:p>
    <w:p w14:paraId="7D4A7DC9" w14:textId="34B104D0" w:rsidR="009C0693" w:rsidRPr="009E1B38" w:rsidRDefault="008A672F" w:rsidP="00D55973">
      <w:pPr>
        <w:spacing w:after="0" w:line="259" w:lineRule="auto"/>
        <w:rPr>
          <w:rFonts w:ascii="Times New Roman" w:hAnsi="Times New Roman"/>
        </w:rPr>
      </w:pPr>
      <w:r w:rsidRPr="009E1B38">
        <w:rPr>
          <w:rFonts w:ascii="Times New Roman" w:hAnsi="Times New Roman"/>
        </w:rPr>
        <w:tab/>
      </w:r>
      <w:r w:rsidRPr="009E1B38">
        <w:rPr>
          <w:rFonts w:ascii="Times New Roman" w:hAnsi="Times New Roman"/>
        </w:rPr>
        <w:tab/>
      </w:r>
      <w:r w:rsidRPr="009E1B38">
        <w:rPr>
          <w:rFonts w:ascii="Times New Roman" w:hAnsi="Times New Roman"/>
        </w:rPr>
        <w:tab/>
      </w:r>
    </w:p>
    <w:p w14:paraId="7D4A7DCB" w14:textId="0D8B1048" w:rsidR="00DF652B" w:rsidRPr="009E1B38" w:rsidRDefault="00351CEE" w:rsidP="003C5E4D">
      <w:pPr>
        <w:pStyle w:val="Balk1"/>
        <w:numPr>
          <w:ilvl w:val="0"/>
          <w:numId w:val="7"/>
        </w:numPr>
        <w:rPr>
          <w:rFonts w:cs="Times New Roman"/>
          <w:szCs w:val="24"/>
        </w:rPr>
      </w:pPr>
      <w:bookmarkStart w:id="101" w:name="_Toc113615332"/>
      <w:bookmarkEnd w:id="27"/>
      <w:r w:rsidRPr="009E1B38">
        <w:rPr>
          <w:rFonts w:cs="Times New Roman"/>
          <w:szCs w:val="24"/>
        </w:rPr>
        <w:t xml:space="preserve">LICENSING, </w:t>
      </w:r>
      <w:r w:rsidR="005F0C50" w:rsidRPr="009E1B38">
        <w:rPr>
          <w:rFonts w:cs="Times New Roman"/>
          <w:szCs w:val="24"/>
        </w:rPr>
        <w:t>CERTIFICATION AND PERMITTING ACTIVITIES</w:t>
      </w:r>
      <w:bookmarkEnd w:id="101"/>
    </w:p>
    <w:p w14:paraId="72DE1A53" w14:textId="77777777" w:rsidR="009F1006" w:rsidRPr="009E1B38" w:rsidRDefault="009F1006" w:rsidP="009F1006">
      <w:pPr>
        <w:spacing w:after="0"/>
        <w:rPr>
          <w:rFonts w:ascii="Times New Roman" w:hAnsi="Times New Roman"/>
        </w:rPr>
      </w:pPr>
      <w:r w:rsidRPr="009E1B38">
        <w:rPr>
          <w:rFonts w:ascii="Times New Roman" w:hAnsi="Times New Roman"/>
        </w:rPr>
        <w:t>This section includes licensing, certification and permitting activities for the electricity, natural gas, petroleum and LPG markets.</w:t>
      </w:r>
    </w:p>
    <w:p w14:paraId="7D4A7DCD" w14:textId="0A1DDECD" w:rsidR="00CB5826" w:rsidRPr="009E1B38" w:rsidRDefault="001238F6" w:rsidP="00694BCF">
      <w:pPr>
        <w:pStyle w:val="Balk2"/>
        <w:rPr>
          <w:rFonts w:cs="Times New Roman"/>
        </w:rPr>
      </w:pPr>
      <w:bookmarkStart w:id="102" w:name="_Toc113615333"/>
      <w:r w:rsidRPr="009E1B38">
        <w:rPr>
          <w:rStyle w:val="Balk2Char"/>
          <w:rFonts w:cs="Times New Roman"/>
          <w:b/>
        </w:rPr>
        <w:lastRenderedPageBreak/>
        <w:t>3</w:t>
      </w:r>
      <w:r w:rsidR="00C476DD" w:rsidRPr="009E1B38">
        <w:rPr>
          <w:rStyle w:val="Balk2Char"/>
          <w:rFonts w:cs="Times New Roman"/>
          <w:b/>
        </w:rPr>
        <w:t>.1</w:t>
      </w:r>
      <w:r w:rsidR="009448AE" w:rsidRPr="009E1B38">
        <w:rPr>
          <w:rFonts w:cs="Times New Roman"/>
        </w:rPr>
        <w:t xml:space="preserve"> </w:t>
      </w:r>
      <w:r w:rsidR="00221781" w:rsidRPr="009E1B38">
        <w:rPr>
          <w:rFonts w:cs="Times New Roman"/>
          <w:szCs w:val="24"/>
        </w:rPr>
        <w:t>Electricity Market Licensing and Permit Activities</w:t>
      </w:r>
      <w:bookmarkEnd w:id="102"/>
    </w:p>
    <w:p w14:paraId="7D4A7DCE" w14:textId="799D4F81" w:rsidR="00AB21FD" w:rsidRPr="009E1B38" w:rsidRDefault="00CB5826" w:rsidP="003C5E4D">
      <w:pPr>
        <w:pStyle w:val="Balk3"/>
        <w:numPr>
          <w:ilvl w:val="2"/>
          <w:numId w:val="7"/>
        </w:numPr>
        <w:spacing w:after="240"/>
        <w:rPr>
          <w:rFonts w:ascii="Times New Roman" w:hAnsi="Times New Roman" w:cs="Times New Roman"/>
          <w:color w:val="auto"/>
          <w:sz w:val="24"/>
          <w:szCs w:val="24"/>
        </w:rPr>
      </w:pPr>
      <w:bookmarkStart w:id="103" w:name="_Toc442431256"/>
      <w:bookmarkStart w:id="104" w:name="_Toc113615334"/>
      <w:r w:rsidRPr="009E1B38">
        <w:rPr>
          <w:rFonts w:ascii="Times New Roman" w:hAnsi="Times New Roman" w:cs="Times New Roman"/>
          <w:color w:val="auto"/>
          <w:sz w:val="24"/>
          <w:szCs w:val="24"/>
        </w:rPr>
        <w:t>Li</w:t>
      </w:r>
      <w:bookmarkEnd w:id="103"/>
      <w:r w:rsidR="00322347" w:rsidRPr="009E1B38">
        <w:rPr>
          <w:rFonts w:ascii="Times New Roman" w:hAnsi="Times New Roman" w:cs="Times New Roman"/>
          <w:color w:val="auto"/>
          <w:sz w:val="24"/>
          <w:szCs w:val="24"/>
        </w:rPr>
        <w:t>censing Activities</w:t>
      </w:r>
      <w:bookmarkEnd w:id="104"/>
      <w:r w:rsidR="00322347" w:rsidRPr="009E1B38">
        <w:rPr>
          <w:rFonts w:ascii="Times New Roman" w:hAnsi="Times New Roman" w:cs="Times New Roman"/>
          <w:color w:val="auto"/>
          <w:sz w:val="24"/>
          <w:szCs w:val="24"/>
        </w:rPr>
        <w:t xml:space="preserve"> </w:t>
      </w:r>
    </w:p>
    <w:p w14:paraId="190470B6" w14:textId="77777777" w:rsidR="002E77DD" w:rsidRPr="009E1B38" w:rsidRDefault="002E77DD" w:rsidP="002E77DD">
      <w:pPr>
        <w:spacing w:after="0"/>
        <w:rPr>
          <w:rFonts w:ascii="Times New Roman" w:hAnsi="Times New Roman"/>
        </w:rPr>
      </w:pPr>
      <w:r w:rsidRPr="009E1B38">
        <w:rPr>
          <w:rFonts w:ascii="Times New Roman" w:hAnsi="Times New Roman"/>
        </w:rPr>
        <w:t>In the first paragraph of Article 4 of the Electricity Market Law No. 6446, the activities that can be performed in the electricity market with the condition of obtaining a license in accordance with the provisions of the Law are listed as generation, transmission, distribution, wholesale, retail sales, market operation, import and export activities; İn the third paragraph of the same article, legal entities that can operate in the market are defined. İn this context, legal entities wishing to operate in the electricity market are required to obtain a license from the Authority. The procedures and principles regarding the licenses to be granted by the Authority are regulated in the Electricity Market License Regulation.</w:t>
      </w:r>
    </w:p>
    <w:p w14:paraId="7D4A7DD0" w14:textId="77777777" w:rsidR="00AB21FD" w:rsidRPr="009E1B38" w:rsidRDefault="00AB21FD" w:rsidP="00AB21FD">
      <w:pPr>
        <w:spacing w:after="0"/>
        <w:rPr>
          <w:rFonts w:ascii="Times New Roman" w:hAnsi="Times New Roman"/>
        </w:rPr>
      </w:pPr>
    </w:p>
    <w:p w14:paraId="75E55748" w14:textId="77777777" w:rsidR="00191DC9" w:rsidRPr="009E1B38" w:rsidRDefault="00191DC9" w:rsidP="00191DC9">
      <w:pPr>
        <w:spacing w:after="0"/>
        <w:rPr>
          <w:rFonts w:ascii="Times New Roman" w:hAnsi="Times New Roman"/>
        </w:rPr>
      </w:pPr>
      <w:r w:rsidRPr="009E1B38">
        <w:rPr>
          <w:rFonts w:ascii="Times New Roman" w:hAnsi="Times New Roman"/>
        </w:rPr>
        <w:t>Except for the exceptions in the electricity market, market activities are carried out within the scope of licenses obtained from the Authority. İt is obligatory to obtain a separate license for each market activity and each facility where the activity is carried out. License holders are obliged to keep separate accounts and records for each activity subject to the license they hold, for each activity whose tariff is regulated, and for each region where this activity is restricted within the scope of the license.</w:t>
      </w:r>
    </w:p>
    <w:p w14:paraId="7D4A7DD2" w14:textId="77777777" w:rsidR="00AB21FD" w:rsidRPr="009E1B38" w:rsidRDefault="00AB21FD" w:rsidP="00AB21FD">
      <w:pPr>
        <w:spacing w:after="0"/>
        <w:rPr>
          <w:rFonts w:ascii="Times New Roman" w:hAnsi="Times New Roman"/>
        </w:rPr>
      </w:pPr>
    </w:p>
    <w:p w14:paraId="62F1992C" w14:textId="200D2A56" w:rsidR="00D55973" w:rsidRPr="009E1B38" w:rsidRDefault="00D55973" w:rsidP="00D55973">
      <w:pPr>
        <w:rPr>
          <w:rFonts w:ascii="Times New Roman" w:hAnsi="Times New Roman"/>
        </w:rPr>
      </w:pPr>
      <w:r w:rsidRPr="009E1B38">
        <w:rPr>
          <w:rFonts w:ascii="Times New Roman" w:hAnsi="Times New Roman"/>
        </w:rPr>
        <w:t>Licenses are not transferable; however, the shares of the licensee are transferable. In accordance with the amendment made with the Law on the Amendment of the Electricity Market Law and Certain Laws, dated 22.11.2020 and numbered 7257, published in the Official Gazette dated 02.12.2020 and numbered 31322, the transfer of the shares of the licensee legal entities whose tariffs are subject to regulation is subject to the approval of the Board. İt is no longer subject to authority approval. İn addition, a licensee; İn case a license holder wishes to merge with another license holder or a legal entity that is not a license holder as a whole with all its assets and liabilities, or if a license holder wishes to split completely or partially, it is obligatory to obtain permission from the Board.</w:t>
      </w:r>
    </w:p>
    <w:p w14:paraId="0A3B0C39" w14:textId="28F7661A" w:rsidR="00D55973" w:rsidRPr="009E1B38" w:rsidRDefault="00D55973" w:rsidP="00D55973">
      <w:pPr>
        <w:rPr>
          <w:rFonts w:ascii="Times New Roman" w:hAnsi="Times New Roman"/>
        </w:rPr>
      </w:pPr>
      <w:r w:rsidRPr="009E1B38">
        <w:rPr>
          <w:rFonts w:ascii="Times New Roman" w:hAnsi="Times New Roman"/>
        </w:rPr>
        <w:t>Licenses; generation, transmission and distribution licenses can be granted for a maximum of forty-nine years, with a minimum duration of ten years. Licensee legal entities perform their activities within the scope of their licenses within the framework determined in the license; In addition, they are obliged to secure the facility assets related to the activities they perform in order to protect them against possible risks according to the types of activities. İn this context, the generation, transmission and distribution facilities of the licensed legal entities; natural disasters, fire, accident, theft, financial liability against third parties, terrorism and sabotage.</w:t>
      </w:r>
    </w:p>
    <w:p w14:paraId="7D4A7DD9" w14:textId="37183A9E" w:rsidR="00DF652B" w:rsidRPr="009E1B38" w:rsidRDefault="00D55973" w:rsidP="007745A4">
      <w:pPr>
        <w:rPr>
          <w:rFonts w:ascii="Times New Roman" w:hAnsi="Times New Roman"/>
        </w:rPr>
      </w:pPr>
      <w:r w:rsidRPr="009E1B38">
        <w:rPr>
          <w:rFonts w:ascii="Times New Roman" w:hAnsi="Times New Roman"/>
        </w:rPr>
        <w:t>Licenses granted by the Authority to operate in the electricity market; Generation License, Transmission License, Distribution License, Supply License, O</w:t>
      </w:r>
      <w:r w:rsidR="0041293E" w:rsidRPr="009E1B38">
        <w:rPr>
          <w:rFonts w:ascii="Times New Roman" w:hAnsi="Times New Roman"/>
        </w:rPr>
        <w:t>I</w:t>
      </w:r>
      <w:r w:rsidRPr="009E1B38">
        <w:rPr>
          <w:rFonts w:ascii="Times New Roman" w:hAnsi="Times New Roman"/>
        </w:rPr>
        <w:t>Z Distribution License, O</w:t>
      </w:r>
      <w:r w:rsidR="0041293E" w:rsidRPr="009E1B38">
        <w:rPr>
          <w:rFonts w:ascii="Times New Roman" w:hAnsi="Times New Roman"/>
        </w:rPr>
        <w:t>I</w:t>
      </w:r>
      <w:r w:rsidRPr="009E1B38">
        <w:rPr>
          <w:rFonts w:ascii="Times New Roman" w:hAnsi="Times New Roman"/>
        </w:rPr>
        <w:t>Z Production License and Market Operation License.</w:t>
      </w:r>
      <w:bookmarkStart w:id="105" w:name="_Toc416447575"/>
      <w:bookmarkStart w:id="106" w:name="_Toc442441729"/>
    </w:p>
    <w:p w14:paraId="7877B461" w14:textId="37183A9E" w:rsidR="00294A06" w:rsidRPr="009E1B38" w:rsidRDefault="00294A06" w:rsidP="007745A4">
      <w:pPr>
        <w:rPr>
          <w:rFonts w:ascii="Times New Roman" w:hAnsi="Times New Roman"/>
        </w:rPr>
      </w:pPr>
    </w:p>
    <w:p w14:paraId="4C805CE8" w14:textId="37183A9E" w:rsidR="00294A06" w:rsidRPr="009E1B38" w:rsidRDefault="00294A06" w:rsidP="007745A4">
      <w:pPr>
        <w:rPr>
          <w:rFonts w:ascii="Times New Roman" w:hAnsi="Times New Roman"/>
        </w:rPr>
      </w:pPr>
    </w:p>
    <w:p w14:paraId="47851B67" w14:textId="37183A9E" w:rsidR="00294A06" w:rsidRPr="009E1B38" w:rsidRDefault="00294A06" w:rsidP="007745A4">
      <w:pPr>
        <w:rPr>
          <w:rStyle w:val="Gl"/>
          <w:rFonts w:ascii="Times New Roman" w:hAnsi="Times New Roman"/>
          <w:b w:val="0"/>
        </w:rPr>
      </w:pPr>
    </w:p>
    <w:bookmarkEnd w:id="105"/>
    <w:bookmarkEnd w:id="106"/>
    <w:p w14:paraId="7D4A7DDA" w14:textId="051AF8C4" w:rsidR="00CB5826" w:rsidRPr="009E1B38" w:rsidRDefault="00CB5826" w:rsidP="00671BC0">
      <w:pPr>
        <w:jc w:val="center"/>
        <w:rPr>
          <w:rStyle w:val="Gl"/>
          <w:rFonts w:ascii="Times New Roman" w:hAnsi="Times New Roman"/>
          <w:color w:val="000000" w:themeColor="text1"/>
        </w:rPr>
      </w:pPr>
      <w:r w:rsidRPr="009E1B38">
        <w:rPr>
          <w:rStyle w:val="Gl"/>
          <w:rFonts w:ascii="Times New Roman" w:hAnsi="Times New Roman"/>
          <w:color w:val="000000" w:themeColor="text1"/>
        </w:rPr>
        <w:t>Tabl</w:t>
      </w:r>
      <w:r w:rsidR="00294A06" w:rsidRPr="009E1B38">
        <w:rPr>
          <w:rStyle w:val="Gl"/>
          <w:rFonts w:ascii="Times New Roman" w:hAnsi="Times New Roman"/>
          <w:color w:val="000000" w:themeColor="text1"/>
        </w:rPr>
        <w:t>e</w:t>
      </w:r>
      <w:r w:rsidR="00623687" w:rsidRPr="009E1B38">
        <w:rPr>
          <w:rStyle w:val="Gl"/>
          <w:rFonts w:ascii="Times New Roman" w:hAnsi="Times New Roman"/>
          <w:color w:val="000000" w:themeColor="text1"/>
        </w:rPr>
        <w:t xml:space="preserve"> 3.1: </w:t>
      </w:r>
      <w:r w:rsidR="002D5A8C" w:rsidRPr="009E1B38">
        <w:rPr>
          <w:rStyle w:val="Gl"/>
          <w:rFonts w:ascii="Times New Roman" w:hAnsi="Times New Roman"/>
          <w:color w:val="000000" w:themeColor="text1"/>
        </w:rPr>
        <w:t>License Transactions in the Electricity Market in 2020 (Number)</w:t>
      </w: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41"/>
        <w:gridCol w:w="1041"/>
        <w:gridCol w:w="1037"/>
        <w:gridCol w:w="1991"/>
        <w:gridCol w:w="1041"/>
        <w:gridCol w:w="1160"/>
        <w:gridCol w:w="1041"/>
        <w:gridCol w:w="1210"/>
      </w:tblGrid>
      <w:tr w:rsidR="000B5AD5" w:rsidRPr="009E1B38" w14:paraId="7D4A7DE3" w14:textId="77777777" w:rsidTr="00570A51">
        <w:trPr>
          <w:trHeight w:val="340"/>
          <w:jc w:val="center"/>
        </w:trPr>
        <w:tc>
          <w:tcPr>
            <w:tcW w:w="789" w:type="pct"/>
            <w:shd w:val="clear" w:color="000000" w:fill="6E9ECA"/>
            <w:vAlign w:val="center"/>
            <w:hideMark/>
          </w:tcPr>
          <w:p w14:paraId="7D4A7DDB" w14:textId="35635B24" w:rsidR="00263DC6" w:rsidRPr="009E1B38" w:rsidRDefault="00F253F9"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 Type</w:t>
            </w:r>
          </w:p>
        </w:tc>
        <w:tc>
          <w:tcPr>
            <w:tcW w:w="539" w:type="pct"/>
            <w:shd w:val="clear" w:color="000000" w:fill="6E9ECA"/>
            <w:vAlign w:val="center"/>
            <w:hideMark/>
          </w:tcPr>
          <w:p w14:paraId="7D4A7DDC" w14:textId="4F3ECD2A" w:rsidR="00263DC6" w:rsidRPr="009E1B38" w:rsidRDefault="00F253F9"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 Application</w:t>
            </w:r>
          </w:p>
        </w:tc>
        <w:tc>
          <w:tcPr>
            <w:tcW w:w="540" w:type="pct"/>
            <w:shd w:val="clear" w:color="000000" w:fill="6E9ECA"/>
            <w:vAlign w:val="center"/>
            <w:hideMark/>
          </w:tcPr>
          <w:p w14:paraId="7D4A7DDD" w14:textId="527867C0" w:rsidR="00263DC6" w:rsidRPr="009E1B38" w:rsidRDefault="00F253F9"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Granting the License</w:t>
            </w:r>
          </w:p>
        </w:tc>
        <w:tc>
          <w:tcPr>
            <w:tcW w:w="887" w:type="pct"/>
            <w:shd w:val="clear" w:color="000000" w:fill="6E9ECA"/>
            <w:vAlign w:val="center"/>
            <w:hideMark/>
          </w:tcPr>
          <w:p w14:paraId="7D4A7DDE" w14:textId="2778319C" w:rsidR="00263DC6" w:rsidRPr="009E1B38" w:rsidRDefault="00F253F9"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 Expiration/Termination</w:t>
            </w:r>
          </w:p>
        </w:tc>
        <w:tc>
          <w:tcPr>
            <w:tcW w:w="540" w:type="pct"/>
            <w:shd w:val="clear" w:color="000000" w:fill="6E9ECA"/>
            <w:vAlign w:val="center"/>
            <w:hideMark/>
          </w:tcPr>
          <w:p w14:paraId="2059FF4C" w14:textId="77777777" w:rsidR="00F253F9" w:rsidRPr="009E1B38" w:rsidRDefault="00F253F9" w:rsidP="00F253F9">
            <w:pPr>
              <w:spacing w:after="0" w:line="240" w:lineRule="auto"/>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w:t>
            </w:r>
          </w:p>
          <w:p w14:paraId="7D4A7DDF" w14:textId="37A3DA9B" w:rsidR="00263DC6" w:rsidRPr="009E1B38" w:rsidRDefault="00F253F9"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Revocation</w:t>
            </w:r>
          </w:p>
        </w:tc>
        <w:tc>
          <w:tcPr>
            <w:tcW w:w="540" w:type="pct"/>
            <w:shd w:val="clear" w:color="000000" w:fill="6E9ECA"/>
            <w:vAlign w:val="center"/>
            <w:hideMark/>
          </w:tcPr>
          <w:p w14:paraId="7D4A7DE0" w14:textId="1D8D6AB3" w:rsidR="00263DC6" w:rsidRPr="009E1B38" w:rsidRDefault="00F253F9"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Number of Amendments</w:t>
            </w:r>
          </w:p>
        </w:tc>
        <w:tc>
          <w:tcPr>
            <w:tcW w:w="540" w:type="pct"/>
            <w:shd w:val="clear" w:color="000000" w:fill="6E9ECA"/>
            <w:vAlign w:val="center"/>
            <w:hideMark/>
          </w:tcPr>
          <w:p w14:paraId="7D4A7DE1" w14:textId="074B32CF" w:rsidR="00263DC6" w:rsidRPr="009E1B38" w:rsidRDefault="00F253F9"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Grand total</w:t>
            </w:r>
          </w:p>
        </w:tc>
        <w:tc>
          <w:tcPr>
            <w:tcW w:w="624" w:type="pct"/>
            <w:shd w:val="clear" w:color="000000" w:fill="6E9ECA"/>
            <w:vAlign w:val="center"/>
            <w:hideMark/>
          </w:tcPr>
          <w:p w14:paraId="7D4A7DE2" w14:textId="009DD76F" w:rsidR="00263DC6" w:rsidRPr="009E1B38" w:rsidRDefault="00F253F9"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Number of Licenses in Effect at the End of the Term</w:t>
            </w:r>
          </w:p>
        </w:tc>
      </w:tr>
      <w:tr w:rsidR="00AB21FD" w:rsidRPr="009E1B38" w14:paraId="7D4A7DEC" w14:textId="77777777" w:rsidTr="00570A51">
        <w:trPr>
          <w:trHeight w:val="340"/>
          <w:jc w:val="center"/>
        </w:trPr>
        <w:tc>
          <w:tcPr>
            <w:tcW w:w="789" w:type="pct"/>
            <w:shd w:val="clear" w:color="auto" w:fill="auto"/>
            <w:hideMark/>
          </w:tcPr>
          <w:p w14:paraId="7D4A7DE4" w14:textId="25427B90" w:rsidR="00AB21FD" w:rsidRPr="009E1B38" w:rsidRDefault="00570A51" w:rsidP="00AB21FD">
            <w:pPr>
              <w:spacing w:after="0" w:line="240" w:lineRule="auto"/>
              <w:jc w:val="left"/>
              <w:rPr>
                <w:rFonts w:ascii="Times New Roman" w:eastAsia="Times New Roman" w:hAnsi="Times New Roman"/>
                <w:color w:val="000000"/>
                <w:lang w:eastAsia="tr-TR"/>
              </w:rPr>
            </w:pPr>
            <w:r w:rsidRPr="009E1B38">
              <w:rPr>
                <w:rFonts w:ascii="Times New Roman" w:hAnsi="Times New Roman"/>
              </w:rPr>
              <w:lastRenderedPageBreak/>
              <w:t>Distribution License</w:t>
            </w:r>
          </w:p>
        </w:tc>
        <w:tc>
          <w:tcPr>
            <w:tcW w:w="539" w:type="pct"/>
            <w:shd w:val="clear" w:color="auto" w:fill="auto"/>
            <w:vAlign w:val="center"/>
            <w:hideMark/>
          </w:tcPr>
          <w:p w14:paraId="7D4A7DE5"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DE6"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887" w:type="pct"/>
            <w:shd w:val="clear" w:color="auto" w:fill="auto"/>
            <w:vAlign w:val="center"/>
            <w:hideMark/>
          </w:tcPr>
          <w:p w14:paraId="7D4A7DE7"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DE8"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DE9"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 </w:t>
            </w:r>
          </w:p>
        </w:tc>
        <w:tc>
          <w:tcPr>
            <w:tcW w:w="540" w:type="pct"/>
            <w:shd w:val="clear" w:color="auto" w:fill="auto"/>
            <w:vAlign w:val="center"/>
            <w:hideMark/>
          </w:tcPr>
          <w:p w14:paraId="7D4A7DEA"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624" w:type="pct"/>
            <w:shd w:val="clear" w:color="auto" w:fill="auto"/>
            <w:vAlign w:val="center"/>
            <w:hideMark/>
          </w:tcPr>
          <w:p w14:paraId="7D4A7DEB" w14:textId="77777777" w:rsidR="00AB21FD" w:rsidRPr="009E1B38" w:rsidRDefault="00AB21FD"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21</w:t>
            </w:r>
          </w:p>
        </w:tc>
      </w:tr>
      <w:tr w:rsidR="00AB21FD" w:rsidRPr="009E1B38" w14:paraId="7D4A7DF5" w14:textId="77777777" w:rsidTr="00570A51">
        <w:trPr>
          <w:trHeight w:val="340"/>
          <w:jc w:val="center"/>
        </w:trPr>
        <w:tc>
          <w:tcPr>
            <w:tcW w:w="789" w:type="pct"/>
            <w:shd w:val="clear" w:color="auto" w:fill="auto"/>
            <w:hideMark/>
          </w:tcPr>
          <w:p w14:paraId="7D4A7DED" w14:textId="2DD8F39E" w:rsidR="00AB21FD" w:rsidRPr="009E1B38" w:rsidRDefault="00570A51" w:rsidP="00AB21FD">
            <w:pPr>
              <w:spacing w:after="0" w:line="240" w:lineRule="auto"/>
              <w:jc w:val="left"/>
              <w:rPr>
                <w:rFonts w:ascii="Times New Roman" w:eastAsia="Times New Roman" w:hAnsi="Times New Roman"/>
                <w:color w:val="000000"/>
                <w:lang w:eastAsia="tr-TR"/>
              </w:rPr>
            </w:pPr>
            <w:r w:rsidRPr="009E1B38">
              <w:rPr>
                <w:rFonts w:ascii="Times New Roman" w:hAnsi="Times New Roman"/>
              </w:rPr>
              <w:t>Transmission License</w:t>
            </w:r>
          </w:p>
        </w:tc>
        <w:tc>
          <w:tcPr>
            <w:tcW w:w="539" w:type="pct"/>
            <w:shd w:val="clear" w:color="auto" w:fill="auto"/>
            <w:vAlign w:val="center"/>
            <w:hideMark/>
          </w:tcPr>
          <w:p w14:paraId="7D4A7DEE"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DEF"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887" w:type="pct"/>
            <w:shd w:val="clear" w:color="auto" w:fill="auto"/>
            <w:vAlign w:val="center"/>
            <w:hideMark/>
          </w:tcPr>
          <w:p w14:paraId="7D4A7DF0"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DF1"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DF2"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 </w:t>
            </w:r>
          </w:p>
        </w:tc>
        <w:tc>
          <w:tcPr>
            <w:tcW w:w="540" w:type="pct"/>
            <w:shd w:val="clear" w:color="auto" w:fill="auto"/>
            <w:vAlign w:val="center"/>
            <w:hideMark/>
          </w:tcPr>
          <w:p w14:paraId="7D4A7DF3"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624" w:type="pct"/>
            <w:shd w:val="clear" w:color="auto" w:fill="auto"/>
            <w:vAlign w:val="center"/>
            <w:hideMark/>
          </w:tcPr>
          <w:p w14:paraId="7D4A7DF4" w14:textId="77777777" w:rsidR="00AB21FD" w:rsidRPr="009E1B38" w:rsidRDefault="00AB21FD"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1</w:t>
            </w:r>
          </w:p>
        </w:tc>
      </w:tr>
      <w:tr w:rsidR="00AB21FD" w:rsidRPr="009E1B38" w14:paraId="7D4A7DFE" w14:textId="77777777" w:rsidTr="00570A51">
        <w:trPr>
          <w:trHeight w:val="340"/>
          <w:jc w:val="center"/>
        </w:trPr>
        <w:tc>
          <w:tcPr>
            <w:tcW w:w="789" w:type="pct"/>
            <w:shd w:val="clear" w:color="auto" w:fill="auto"/>
            <w:hideMark/>
          </w:tcPr>
          <w:p w14:paraId="7D4A7DF6" w14:textId="067B19C7" w:rsidR="00AB21FD" w:rsidRPr="009E1B38" w:rsidRDefault="00570A51" w:rsidP="00AB21FD">
            <w:pPr>
              <w:spacing w:after="0" w:line="240" w:lineRule="auto"/>
              <w:jc w:val="left"/>
              <w:rPr>
                <w:rFonts w:ascii="Times New Roman" w:eastAsia="Times New Roman" w:hAnsi="Times New Roman"/>
                <w:color w:val="000000"/>
                <w:lang w:eastAsia="tr-TR"/>
              </w:rPr>
            </w:pPr>
            <w:r w:rsidRPr="009E1B38">
              <w:rPr>
                <w:rFonts w:ascii="Times New Roman" w:hAnsi="Times New Roman"/>
              </w:rPr>
              <w:t>O</w:t>
            </w:r>
            <w:r w:rsidR="00671BC0" w:rsidRPr="009E1B38">
              <w:rPr>
                <w:rFonts w:ascii="Times New Roman" w:hAnsi="Times New Roman"/>
              </w:rPr>
              <w:t>IZ</w:t>
            </w:r>
            <w:r w:rsidRPr="009E1B38">
              <w:rPr>
                <w:rFonts w:ascii="Times New Roman" w:hAnsi="Times New Roman"/>
              </w:rPr>
              <w:t xml:space="preserve"> Distribution License</w:t>
            </w:r>
          </w:p>
        </w:tc>
        <w:tc>
          <w:tcPr>
            <w:tcW w:w="539" w:type="pct"/>
            <w:shd w:val="clear" w:color="auto" w:fill="auto"/>
            <w:vAlign w:val="center"/>
            <w:hideMark/>
          </w:tcPr>
          <w:p w14:paraId="7D4A7DF7"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7</w:t>
            </w:r>
          </w:p>
        </w:tc>
        <w:tc>
          <w:tcPr>
            <w:tcW w:w="540" w:type="pct"/>
            <w:shd w:val="clear" w:color="auto" w:fill="auto"/>
            <w:vAlign w:val="center"/>
            <w:hideMark/>
          </w:tcPr>
          <w:p w14:paraId="7D4A7DF8"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9</w:t>
            </w:r>
          </w:p>
        </w:tc>
        <w:tc>
          <w:tcPr>
            <w:tcW w:w="887" w:type="pct"/>
            <w:shd w:val="clear" w:color="auto" w:fill="auto"/>
            <w:vAlign w:val="center"/>
            <w:hideMark/>
          </w:tcPr>
          <w:p w14:paraId="7D4A7DF9"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w:t>
            </w:r>
          </w:p>
        </w:tc>
        <w:tc>
          <w:tcPr>
            <w:tcW w:w="540" w:type="pct"/>
            <w:shd w:val="clear" w:color="auto" w:fill="auto"/>
            <w:vAlign w:val="center"/>
            <w:hideMark/>
          </w:tcPr>
          <w:p w14:paraId="7D4A7DFA"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DFB"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3</w:t>
            </w:r>
          </w:p>
        </w:tc>
        <w:tc>
          <w:tcPr>
            <w:tcW w:w="540" w:type="pct"/>
            <w:shd w:val="clear" w:color="auto" w:fill="auto"/>
            <w:vAlign w:val="center"/>
            <w:hideMark/>
          </w:tcPr>
          <w:p w14:paraId="7D4A7DFC"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w:t>
            </w:r>
          </w:p>
        </w:tc>
        <w:tc>
          <w:tcPr>
            <w:tcW w:w="624" w:type="pct"/>
            <w:shd w:val="clear" w:color="auto" w:fill="auto"/>
            <w:vAlign w:val="center"/>
            <w:hideMark/>
          </w:tcPr>
          <w:p w14:paraId="7D4A7DFD" w14:textId="77777777" w:rsidR="00AB21FD" w:rsidRPr="009E1B38" w:rsidRDefault="00AB21FD"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18</w:t>
            </w:r>
            <w:r w:rsidR="00844F16" w:rsidRPr="009E1B38">
              <w:rPr>
                <w:rFonts w:ascii="Times New Roman" w:eastAsia="Times New Roman" w:hAnsi="Times New Roman"/>
                <w:b/>
                <w:color w:val="000000"/>
                <w:lang w:eastAsia="tr-TR"/>
              </w:rPr>
              <w:t>7</w:t>
            </w:r>
          </w:p>
        </w:tc>
      </w:tr>
      <w:tr w:rsidR="00AB21FD" w:rsidRPr="009E1B38" w14:paraId="7D4A7E07" w14:textId="77777777" w:rsidTr="00570A51">
        <w:trPr>
          <w:trHeight w:val="340"/>
          <w:jc w:val="center"/>
        </w:trPr>
        <w:tc>
          <w:tcPr>
            <w:tcW w:w="789" w:type="pct"/>
            <w:shd w:val="clear" w:color="auto" w:fill="auto"/>
            <w:hideMark/>
          </w:tcPr>
          <w:p w14:paraId="7D4A7DFF" w14:textId="6E30B461" w:rsidR="00AB21FD" w:rsidRPr="009E1B38" w:rsidRDefault="00570A51" w:rsidP="00AB21FD">
            <w:pPr>
              <w:spacing w:after="0" w:line="240" w:lineRule="auto"/>
              <w:jc w:val="left"/>
              <w:rPr>
                <w:rFonts w:ascii="Times New Roman" w:eastAsia="Times New Roman" w:hAnsi="Times New Roman"/>
                <w:color w:val="000000"/>
                <w:lang w:eastAsia="tr-TR"/>
              </w:rPr>
            </w:pPr>
            <w:r w:rsidRPr="009E1B38">
              <w:rPr>
                <w:rFonts w:ascii="Times New Roman" w:hAnsi="Times New Roman"/>
              </w:rPr>
              <w:t>O</w:t>
            </w:r>
            <w:r w:rsidR="00D74C1E" w:rsidRPr="009E1B38">
              <w:rPr>
                <w:rFonts w:ascii="Times New Roman" w:hAnsi="Times New Roman"/>
              </w:rPr>
              <w:t>IZ</w:t>
            </w:r>
            <w:r w:rsidRPr="009E1B38">
              <w:rPr>
                <w:rFonts w:ascii="Times New Roman" w:hAnsi="Times New Roman"/>
              </w:rPr>
              <w:t xml:space="preserve"> Production License</w:t>
            </w:r>
          </w:p>
        </w:tc>
        <w:tc>
          <w:tcPr>
            <w:tcW w:w="539" w:type="pct"/>
            <w:shd w:val="clear" w:color="auto" w:fill="auto"/>
            <w:vAlign w:val="center"/>
            <w:hideMark/>
          </w:tcPr>
          <w:p w14:paraId="7D4A7E00"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E01"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887" w:type="pct"/>
            <w:shd w:val="clear" w:color="auto" w:fill="auto"/>
            <w:vAlign w:val="center"/>
            <w:hideMark/>
          </w:tcPr>
          <w:p w14:paraId="7D4A7E02"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E03"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E04"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 </w:t>
            </w:r>
          </w:p>
        </w:tc>
        <w:tc>
          <w:tcPr>
            <w:tcW w:w="540" w:type="pct"/>
            <w:shd w:val="clear" w:color="auto" w:fill="auto"/>
            <w:vAlign w:val="center"/>
            <w:hideMark/>
          </w:tcPr>
          <w:p w14:paraId="7D4A7E05"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624" w:type="pct"/>
            <w:shd w:val="clear" w:color="auto" w:fill="auto"/>
            <w:vAlign w:val="center"/>
            <w:hideMark/>
          </w:tcPr>
          <w:p w14:paraId="7D4A7E06" w14:textId="77777777" w:rsidR="00AB21FD" w:rsidRPr="009E1B38" w:rsidRDefault="00AB21FD"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3</w:t>
            </w:r>
          </w:p>
        </w:tc>
      </w:tr>
      <w:tr w:rsidR="00AB21FD" w:rsidRPr="009E1B38" w14:paraId="7D4A7E10" w14:textId="77777777" w:rsidTr="00570A51">
        <w:trPr>
          <w:trHeight w:val="340"/>
          <w:jc w:val="center"/>
        </w:trPr>
        <w:tc>
          <w:tcPr>
            <w:tcW w:w="789" w:type="pct"/>
            <w:shd w:val="clear" w:color="auto" w:fill="auto"/>
            <w:hideMark/>
          </w:tcPr>
          <w:p w14:paraId="7D4A7E08" w14:textId="03A9238E" w:rsidR="00AB21FD" w:rsidRPr="009E1B38" w:rsidRDefault="00570A51" w:rsidP="00AB21FD">
            <w:pPr>
              <w:spacing w:after="0" w:line="240" w:lineRule="auto"/>
              <w:jc w:val="left"/>
              <w:rPr>
                <w:rFonts w:ascii="Times New Roman" w:eastAsia="Times New Roman" w:hAnsi="Times New Roman"/>
                <w:color w:val="000000"/>
                <w:lang w:eastAsia="tr-TR"/>
              </w:rPr>
            </w:pPr>
            <w:r w:rsidRPr="009E1B38">
              <w:rPr>
                <w:rFonts w:ascii="Times New Roman" w:hAnsi="Times New Roman"/>
              </w:rPr>
              <w:t>Production Associate*</w:t>
            </w:r>
          </w:p>
        </w:tc>
        <w:tc>
          <w:tcPr>
            <w:tcW w:w="539" w:type="pct"/>
            <w:shd w:val="clear" w:color="auto" w:fill="auto"/>
            <w:vAlign w:val="center"/>
            <w:hideMark/>
          </w:tcPr>
          <w:p w14:paraId="7D4A7E09" w14:textId="77777777" w:rsidR="00AB21FD" w:rsidRPr="009E1B38" w:rsidRDefault="00FD3B6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100</w:t>
            </w:r>
          </w:p>
        </w:tc>
        <w:tc>
          <w:tcPr>
            <w:tcW w:w="540" w:type="pct"/>
            <w:shd w:val="clear" w:color="auto" w:fill="auto"/>
            <w:vAlign w:val="center"/>
            <w:hideMark/>
          </w:tcPr>
          <w:p w14:paraId="7D4A7E0A"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w:t>
            </w:r>
            <w:r w:rsidR="00844F16" w:rsidRPr="009E1B38">
              <w:rPr>
                <w:rFonts w:ascii="Times New Roman" w:eastAsia="Times New Roman" w:hAnsi="Times New Roman"/>
                <w:color w:val="000000"/>
                <w:lang w:eastAsia="tr-TR"/>
              </w:rPr>
              <w:t>3</w:t>
            </w:r>
            <w:r w:rsidR="00FD3B66" w:rsidRPr="009E1B38">
              <w:rPr>
                <w:rFonts w:ascii="Times New Roman" w:eastAsia="Times New Roman" w:hAnsi="Times New Roman"/>
                <w:color w:val="000000"/>
                <w:lang w:eastAsia="tr-TR"/>
              </w:rPr>
              <w:t>4</w:t>
            </w:r>
          </w:p>
        </w:tc>
        <w:tc>
          <w:tcPr>
            <w:tcW w:w="887" w:type="pct"/>
            <w:shd w:val="clear" w:color="auto" w:fill="auto"/>
            <w:vAlign w:val="center"/>
            <w:hideMark/>
          </w:tcPr>
          <w:p w14:paraId="7D4A7E0B"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233</w:t>
            </w:r>
          </w:p>
        </w:tc>
        <w:tc>
          <w:tcPr>
            <w:tcW w:w="540" w:type="pct"/>
            <w:shd w:val="clear" w:color="auto" w:fill="auto"/>
            <w:vAlign w:val="center"/>
            <w:hideMark/>
          </w:tcPr>
          <w:p w14:paraId="7D4A7E0C"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E0D"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7</w:t>
            </w:r>
            <w:r w:rsidR="00FD3B66" w:rsidRPr="009E1B38">
              <w:rPr>
                <w:rFonts w:ascii="Times New Roman" w:eastAsia="Times New Roman" w:hAnsi="Times New Roman"/>
                <w:color w:val="000000"/>
                <w:lang w:eastAsia="tr-TR"/>
              </w:rPr>
              <w:t>2</w:t>
            </w:r>
          </w:p>
        </w:tc>
        <w:tc>
          <w:tcPr>
            <w:tcW w:w="540" w:type="pct"/>
            <w:shd w:val="clear" w:color="auto" w:fill="auto"/>
            <w:vAlign w:val="center"/>
            <w:hideMark/>
          </w:tcPr>
          <w:p w14:paraId="7D4A7E0E"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53</w:t>
            </w:r>
            <w:r w:rsidR="00FD3B66" w:rsidRPr="009E1B38">
              <w:rPr>
                <w:rFonts w:ascii="Times New Roman" w:eastAsia="Times New Roman" w:hAnsi="Times New Roman"/>
                <w:color w:val="000000"/>
                <w:lang w:eastAsia="tr-TR"/>
              </w:rPr>
              <w:t>9</w:t>
            </w:r>
          </w:p>
        </w:tc>
        <w:tc>
          <w:tcPr>
            <w:tcW w:w="624" w:type="pct"/>
            <w:shd w:val="clear" w:color="auto" w:fill="auto"/>
            <w:vAlign w:val="center"/>
            <w:hideMark/>
          </w:tcPr>
          <w:p w14:paraId="7D4A7E0F" w14:textId="77777777" w:rsidR="00AB21FD" w:rsidRPr="009E1B38" w:rsidRDefault="00844F16"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228</w:t>
            </w:r>
          </w:p>
        </w:tc>
      </w:tr>
      <w:tr w:rsidR="00AB21FD" w:rsidRPr="009E1B38" w14:paraId="7D4A7E19" w14:textId="77777777" w:rsidTr="00570A51">
        <w:trPr>
          <w:trHeight w:val="340"/>
          <w:jc w:val="center"/>
        </w:trPr>
        <w:tc>
          <w:tcPr>
            <w:tcW w:w="789" w:type="pct"/>
            <w:shd w:val="clear" w:color="auto" w:fill="auto"/>
            <w:hideMark/>
          </w:tcPr>
          <w:p w14:paraId="7D4A7E11" w14:textId="5D69A031" w:rsidR="00AB21FD" w:rsidRPr="009E1B38" w:rsidRDefault="00570A51" w:rsidP="00AB21FD">
            <w:pPr>
              <w:spacing w:after="0" w:line="240" w:lineRule="auto"/>
              <w:rPr>
                <w:rFonts w:ascii="Times New Roman" w:eastAsia="Times New Roman" w:hAnsi="Times New Roman"/>
                <w:color w:val="000000"/>
                <w:lang w:eastAsia="tr-TR"/>
              </w:rPr>
            </w:pPr>
            <w:r w:rsidRPr="009E1B38">
              <w:rPr>
                <w:rFonts w:ascii="Times New Roman" w:hAnsi="Times New Roman"/>
              </w:rPr>
              <w:t>Market Operating License</w:t>
            </w:r>
          </w:p>
        </w:tc>
        <w:tc>
          <w:tcPr>
            <w:tcW w:w="539" w:type="pct"/>
            <w:shd w:val="clear" w:color="auto" w:fill="auto"/>
            <w:vAlign w:val="center"/>
            <w:hideMark/>
          </w:tcPr>
          <w:p w14:paraId="7D4A7E12"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E13"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887" w:type="pct"/>
            <w:shd w:val="clear" w:color="auto" w:fill="auto"/>
            <w:vAlign w:val="center"/>
            <w:hideMark/>
          </w:tcPr>
          <w:p w14:paraId="7D4A7E14"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E15"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540" w:type="pct"/>
            <w:shd w:val="clear" w:color="auto" w:fill="auto"/>
            <w:vAlign w:val="center"/>
            <w:hideMark/>
          </w:tcPr>
          <w:p w14:paraId="7D4A7E16"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 </w:t>
            </w:r>
          </w:p>
        </w:tc>
        <w:tc>
          <w:tcPr>
            <w:tcW w:w="540" w:type="pct"/>
            <w:shd w:val="clear" w:color="auto" w:fill="auto"/>
            <w:vAlign w:val="center"/>
            <w:hideMark/>
          </w:tcPr>
          <w:p w14:paraId="7D4A7E17"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0</w:t>
            </w:r>
          </w:p>
        </w:tc>
        <w:tc>
          <w:tcPr>
            <w:tcW w:w="624" w:type="pct"/>
            <w:shd w:val="clear" w:color="auto" w:fill="auto"/>
            <w:vAlign w:val="center"/>
            <w:hideMark/>
          </w:tcPr>
          <w:p w14:paraId="7D4A7E18" w14:textId="77777777" w:rsidR="00AB21FD" w:rsidRPr="009E1B38" w:rsidRDefault="00AB21FD"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2</w:t>
            </w:r>
          </w:p>
        </w:tc>
      </w:tr>
      <w:tr w:rsidR="00AB21FD" w:rsidRPr="009E1B38" w14:paraId="7D4A7E22" w14:textId="77777777" w:rsidTr="00570A51">
        <w:trPr>
          <w:trHeight w:val="340"/>
          <w:jc w:val="center"/>
        </w:trPr>
        <w:tc>
          <w:tcPr>
            <w:tcW w:w="789" w:type="pct"/>
            <w:shd w:val="clear" w:color="auto" w:fill="auto"/>
            <w:hideMark/>
          </w:tcPr>
          <w:p w14:paraId="7D4A7E1A" w14:textId="235157F1" w:rsidR="00AB21FD" w:rsidRPr="009E1B38" w:rsidRDefault="00570A51" w:rsidP="00AB21FD">
            <w:pPr>
              <w:spacing w:after="0" w:line="240" w:lineRule="auto"/>
              <w:rPr>
                <w:rFonts w:ascii="Times New Roman" w:eastAsia="Times New Roman" w:hAnsi="Times New Roman"/>
                <w:color w:val="000000"/>
                <w:lang w:eastAsia="tr-TR"/>
              </w:rPr>
            </w:pPr>
            <w:r w:rsidRPr="009E1B38">
              <w:rPr>
                <w:rFonts w:ascii="Times New Roman" w:hAnsi="Times New Roman"/>
              </w:rPr>
              <w:t>Supply License</w:t>
            </w:r>
          </w:p>
        </w:tc>
        <w:tc>
          <w:tcPr>
            <w:tcW w:w="539" w:type="pct"/>
            <w:shd w:val="clear" w:color="auto" w:fill="auto"/>
            <w:vAlign w:val="center"/>
            <w:hideMark/>
          </w:tcPr>
          <w:p w14:paraId="7D4A7E1B"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22</w:t>
            </w:r>
          </w:p>
        </w:tc>
        <w:tc>
          <w:tcPr>
            <w:tcW w:w="540" w:type="pct"/>
            <w:shd w:val="clear" w:color="auto" w:fill="auto"/>
            <w:vAlign w:val="center"/>
            <w:hideMark/>
          </w:tcPr>
          <w:p w14:paraId="7D4A7E1C"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21</w:t>
            </w:r>
          </w:p>
        </w:tc>
        <w:tc>
          <w:tcPr>
            <w:tcW w:w="887" w:type="pct"/>
            <w:shd w:val="clear" w:color="auto" w:fill="auto"/>
            <w:vAlign w:val="center"/>
            <w:hideMark/>
          </w:tcPr>
          <w:p w14:paraId="7D4A7E1D"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w:t>
            </w:r>
          </w:p>
        </w:tc>
        <w:tc>
          <w:tcPr>
            <w:tcW w:w="540" w:type="pct"/>
            <w:shd w:val="clear" w:color="auto" w:fill="auto"/>
            <w:vAlign w:val="center"/>
            <w:hideMark/>
          </w:tcPr>
          <w:p w14:paraId="7D4A7E1E"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w:t>
            </w:r>
          </w:p>
        </w:tc>
        <w:tc>
          <w:tcPr>
            <w:tcW w:w="540" w:type="pct"/>
            <w:shd w:val="clear" w:color="auto" w:fill="auto"/>
            <w:vAlign w:val="center"/>
            <w:hideMark/>
          </w:tcPr>
          <w:p w14:paraId="7D4A7E1F"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8</w:t>
            </w:r>
          </w:p>
        </w:tc>
        <w:tc>
          <w:tcPr>
            <w:tcW w:w="540" w:type="pct"/>
            <w:shd w:val="clear" w:color="auto" w:fill="auto"/>
            <w:vAlign w:val="center"/>
            <w:hideMark/>
          </w:tcPr>
          <w:p w14:paraId="7D4A7E20"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53</w:t>
            </w:r>
          </w:p>
        </w:tc>
        <w:tc>
          <w:tcPr>
            <w:tcW w:w="624" w:type="pct"/>
            <w:shd w:val="clear" w:color="auto" w:fill="auto"/>
            <w:vAlign w:val="center"/>
            <w:hideMark/>
          </w:tcPr>
          <w:p w14:paraId="7D4A7E21" w14:textId="77777777" w:rsidR="00AB21FD" w:rsidRPr="009E1B38" w:rsidRDefault="00AB21FD"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2</w:t>
            </w:r>
            <w:r w:rsidR="00844F16" w:rsidRPr="009E1B38">
              <w:rPr>
                <w:rFonts w:ascii="Times New Roman" w:eastAsia="Times New Roman" w:hAnsi="Times New Roman"/>
                <w:b/>
                <w:color w:val="000000"/>
                <w:lang w:eastAsia="tr-TR"/>
              </w:rPr>
              <w:t>33</w:t>
            </w:r>
          </w:p>
        </w:tc>
      </w:tr>
      <w:tr w:rsidR="00AB21FD" w:rsidRPr="009E1B38" w14:paraId="7D4A7E2B" w14:textId="77777777" w:rsidTr="00570A51">
        <w:trPr>
          <w:trHeight w:val="340"/>
          <w:jc w:val="center"/>
        </w:trPr>
        <w:tc>
          <w:tcPr>
            <w:tcW w:w="789" w:type="pct"/>
            <w:shd w:val="clear" w:color="auto" w:fill="auto"/>
            <w:hideMark/>
          </w:tcPr>
          <w:p w14:paraId="7D4A7E23" w14:textId="70042AE1" w:rsidR="00AB21FD" w:rsidRPr="009E1B38" w:rsidRDefault="00570A51" w:rsidP="00AB21FD">
            <w:pPr>
              <w:spacing w:after="0" w:line="240" w:lineRule="auto"/>
              <w:rPr>
                <w:rFonts w:ascii="Times New Roman" w:eastAsia="Times New Roman" w:hAnsi="Times New Roman"/>
                <w:color w:val="000000"/>
                <w:lang w:eastAsia="tr-TR"/>
              </w:rPr>
            </w:pPr>
            <w:r w:rsidRPr="009E1B38">
              <w:rPr>
                <w:rFonts w:ascii="Times New Roman" w:hAnsi="Times New Roman"/>
              </w:rPr>
              <w:t>Production License</w:t>
            </w:r>
          </w:p>
        </w:tc>
        <w:tc>
          <w:tcPr>
            <w:tcW w:w="539" w:type="pct"/>
            <w:shd w:val="clear" w:color="auto" w:fill="auto"/>
            <w:vAlign w:val="center"/>
            <w:hideMark/>
          </w:tcPr>
          <w:p w14:paraId="7D4A7E24"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w:t>
            </w:r>
            <w:r w:rsidR="00844F16" w:rsidRPr="009E1B38">
              <w:rPr>
                <w:rFonts w:ascii="Times New Roman" w:eastAsia="Times New Roman" w:hAnsi="Times New Roman"/>
                <w:color w:val="000000"/>
                <w:lang w:eastAsia="tr-TR"/>
              </w:rPr>
              <w:t>41</w:t>
            </w:r>
          </w:p>
        </w:tc>
        <w:tc>
          <w:tcPr>
            <w:tcW w:w="540" w:type="pct"/>
            <w:shd w:val="clear" w:color="auto" w:fill="auto"/>
            <w:vAlign w:val="center"/>
            <w:hideMark/>
          </w:tcPr>
          <w:p w14:paraId="7D4A7E25" w14:textId="77777777" w:rsidR="00AB21FD" w:rsidRPr="009E1B38" w:rsidRDefault="00AB21FD"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18</w:t>
            </w:r>
            <w:r w:rsidR="00844F16" w:rsidRPr="009E1B38">
              <w:rPr>
                <w:rFonts w:ascii="Times New Roman" w:eastAsia="Times New Roman" w:hAnsi="Times New Roman"/>
                <w:color w:val="000000"/>
                <w:lang w:eastAsia="tr-TR"/>
              </w:rPr>
              <w:t>9</w:t>
            </w:r>
          </w:p>
        </w:tc>
        <w:tc>
          <w:tcPr>
            <w:tcW w:w="887" w:type="pct"/>
            <w:shd w:val="clear" w:color="auto" w:fill="auto"/>
            <w:vAlign w:val="center"/>
            <w:hideMark/>
          </w:tcPr>
          <w:p w14:paraId="7D4A7E26"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71</w:t>
            </w:r>
          </w:p>
        </w:tc>
        <w:tc>
          <w:tcPr>
            <w:tcW w:w="540" w:type="pct"/>
            <w:shd w:val="clear" w:color="auto" w:fill="auto"/>
            <w:vAlign w:val="center"/>
            <w:hideMark/>
          </w:tcPr>
          <w:p w14:paraId="7D4A7E27"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3</w:t>
            </w:r>
          </w:p>
        </w:tc>
        <w:tc>
          <w:tcPr>
            <w:tcW w:w="540" w:type="pct"/>
            <w:shd w:val="clear" w:color="auto" w:fill="auto"/>
            <w:vAlign w:val="center"/>
            <w:hideMark/>
          </w:tcPr>
          <w:p w14:paraId="7D4A7E28"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3</w:t>
            </w:r>
            <w:r w:rsidR="00FD3B66" w:rsidRPr="009E1B38">
              <w:rPr>
                <w:rFonts w:ascii="Times New Roman" w:eastAsia="Times New Roman" w:hAnsi="Times New Roman"/>
                <w:color w:val="000000"/>
                <w:lang w:eastAsia="tr-TR"/>
              </w:rPr>
              <w:t>86</w:t>
            </w:r>
          </w:p>
        </w:tc>
        <w:tc>
          <w:tcPr>
            <w:tcW w:w="540" w:type="pct"/>
            <w:shd w:val="clear" w:color="auto" w:fill="auto"/>
            <w:vAlign w:val="center"/>
            <w:hideMark/>
          </w:tcPr>
          <w:p w14:paraId="7D4A7E29" w14:textId="77777777" w:rsidR="00AB21FD" w:rsidRPr="009E1B38" w:rsidRDefault="00844F16" w:rsidP="00AB21FD">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7</w:t>
            </w:r>
            <w:r w:rsidR="00FD3B66" w:rsidRPr="009E1B38">
              <w:rPr>
                <w:rFonts w:ascii="Times New Roman" w:eastAsia="Times New Roman" w:hAnsi="Times New Roman"/>
                <w:color w:val="000000"/>
                <w:lang w:eastAsia="tr-TR"/>
              </w:rPr>
              <w:t>90</w:t>
            </w:r>
          </w:p>
        </w:tc>
        <w:tc>
          <w:tcPr>
            <w:tcW w:w="624" w:type="pct"/>
            <w:shd w:val="clear" w:color="auto" w:fill="auto"/>
            <w:vAlign w:val="center"/>
            <w:hideMark/>
          </w:tcPr>
          <w:p w14:paraId="7D4A7E2A" w14:textId="77777777" w:rsidR="00AB21FD" w:rsidRPr="009E1B38" w:rsidRDefault="00AB21FD"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1.</w:t>
            </w:r>
            <w:r w:rsidR="00844F16" w:rsidRPr="009E1B38">
              <w:rPr>
                <w:rFonts w:ascii="Times New Roman" w:eastAsia="Times New Roman" w:hAnsi="Times New Roman"/>
                <w:b/>
                <w:color w:val="000000"/>
                <w:lang w:eastAsia="tr-TR"/>
              </w:rPr>
              <w:t>891</w:t>
            </w:r>
          </w:p>
        </w:tc>
      </w:tr>
      <w:tr w:rsidR="00AB21FD" w:rsidRPr="009E1B38" w14:paraId="7D4A7E34" w14:textId="77777777" w:rsidTr="00570A51">
        <w:trPr>
          <w:trHeight w:val="340"/>
          <w:jc w:val="center"/>
        </w:trPr>
        <w:tc>
          <w:tcPr>
            <w:tcW w:w="789" w:type="pct"/>
            <w:shd w:val="clear" w:color="auto" w:fill="auto"/>
            <w:hideMark/>
          </w:tcPr>
          <w:p w14:paraId="7D4A7E2C" w14:textId="44B790F4" w:rsidR="00AB21FD" w:rsidRPr="009E1B38" w:rsidRDefault="00570A51" w:rsidP="00AB21FD">
            <w:pPr>
              <w:spacing w:after="0" w:line="240" w:lineRule="auto"/>
              <w:rPr>
                <w:rFonts w:ascii="Times New Roman" w:eastAsia="Times New Roman" w:hAnsi="Times New Roman"/>
                <w:b/>
                <w:color w:val="000000"/>
                <w:lang w:eastAsia="tr-TR"/>
              </w:rPr>
            </w:pPr>
            <w:r w:rsidRPr="009E1B38">
              <w:rPr>
                <w:rFonts w:ascii="Times New Roman" w:hAnsi="Times New Roman"/>
                <w:b/>
              </w:rPr>
              <w:t>Total</w:t>
            </w:r>
          </w:p>
        </w:tc>
        <w:tc>
          <w:tcPr>
            <w:tcW w:w="539" w:type="pct"/>
            <w:shd w:val="clear" w:color="auto" w:fill="auto"/>
            <w:vAlign w:val="center"/>
            <w:hideMark/>
          </w:tcPr>
          <w:p w14:paraId="7D4A7E2D" w14:textId="77777777" w:rsidR="00AB21FD" w:rsidRPr="009E1B38" w:rsidRDefault="00844F16"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2</w:t>
            </w:r>
            <w:r w:rsidR="00FD3B66" w:rsidRPr="009E1B38">
              <w:rPr>
                <w:rFonts w:ascii="Times New Roman" w:eastAsia="Times New Roman" w:hAnsi="Times New Roman"/>
                <w:b/>
                <w:color w:val="000000"/>
                <w:lang w:eastAsia="tr-TR"/>
              </w:rPr>
              <w:t>70</w:t>
            </w:r>
          </w:p>
        </w:tc>
        <w:tc>
          <w:tcPr>
            <w:tcW w:w="540" w:type="pct"/>
            <w:shd w:val="clear" w:color="auto" w:fill="auto"/>
            <w:vAlign w:val="center"/>
            <w:hideMark/>
          </w:tcPr>
          <w:p w14:paraId="7D4A7E2E" w14:textId="77777777" w:rsidR="00AB21FD" w:rsidRPr="009E1B38" w:rsidRDefault="00AB21FD"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3</w:t>
            </w:r>
            <w:r w:rsidR="00844F16" w:rsidRPr="009E1B38">
              <w:rPr>
                <w:rFonts w:ascii="Times New Roman" w:eastAsia="Times New Roman" w:hAnsi="Times New Roman"/>
                <w:b/>
                <w:color w:val="000000"/>
                <w:lang w:eastAsia="tr-TR"/>
              </w:rPr>
              <w:t>5</w:t>
            </w:r>
            <w:r w:rsidR="00FD3B66" w:rsidRPr="009E1B38">
              <w:rPr>
                <w:rFonts w:ascii="Times New Roman" w:eastAsia="Times New Roman" w:hAnsi="Times New Roman"/>
                <w:b/>
                <w:color w:val="000000"/>
                <w:lang w:eastAsia="tr-TR"/>
              </w:rPr>
              <w:t>3</w:t>
            </w:r>
          </w:p>
        </w:tc>
        <w:tc>
          <w:tcPr>
            <w:tcW w:w="887" w:type="pct"/>
            <w:shd w:val="clear" w:color="auto" w:fill="auto"/>
            <w:vAlign w:val="center"/>
            <w:hideMark/>
          </w:tcPr>
          <w:p w14:paraId="7D4A7E2F" w14:textId="77777777" w:rsidR="00AB21FD" w:rsidRPr="009E1B38" w:rsidRDefault="00844F16"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306</w:t>
            </w:r>
          </w:p>
        </w:tc>
        <w:tc>
          <w:tcPr>
            <w:tcW w:w="540" w:type="pct"/>
            <w:shd w:val="clear" w:color="auto" w:fill="auto"/>
            <w:vAlign w:val="center"/>
            <w:hideMark/>
          </w:tcPr>
          <w:p w14:paraId="7D4A7E30" w14:textId="77777777" w:rsidR="00AB21FD" w:rsidRPr="009E1B38" w:rsidRDefault="00844F16"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4</w:t>
            </w:r>
          </w:p>
        </w:tc>
        <w:tc>
          <w:tcPr>
            <w:tcW w:w="540" w:type="pct"/>
            <w:shd w:val="clear" w:color="auto" w:fill="auto"/>
            <w:vAlign w:val="center"/>
            <w:hideMark/>
          </w:tcPr>
          <w:p w14:paraId="7D4A7E31" w14:textId="77777777" w:rsidR="00AB21FD" w:rsidRPr="009E1B38" w:rsidRDefault="00844F16"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4</w:t>
            </w:r>
            <w:r w:rsidR="00FD3B66" w:rsidRPr="009E1B38">
              <w:rPr>
                <w:rFonts w:ascii="Times New Roman" w:eastAsia="Times New Roman" w:hAnsi="Times New Roman"/>
                <w:b/>
                <w:color w:val="000000"/>
                <w:lang w:eastAsia="tr-TR"/>
              </w:rPr>
              <w:t>69</w:t>
            </w:r>
          </w:p>
        </w:tc>
        <w:tc>
          <w:tcPr>
            <w:tcW w:w="540" w:type="pct"/>
            <w:shd w:val="clear" w:color="auto" w:fill="auto"/>
            <w:vAlign w:val="center"/>
            <w:hideMark/>
          </w:tcPr>
          <w:p w14:paraId="7D4A7E32" w14:textId="77777777" w:rsidR="00AB21FD" w:rsidRPr="009E1B38" w:rsidRDefault="00AB21FD"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1.</w:t>
            </w:r>
            <w:r w:rsidR="00FD3B66" w:rsidRPr="009E1B38">
              <w:rPr>
                <w:rFonts w:ascii="Times New Roman" w:eastAsia="Times New Roman" w:hAnsi="Times New Roman"/>
                <w:b/>
                <w:color w:val="000000"/>
                <w:lang w:eastAsia="tr-TR"/>
              </w:rPr>
              <w:t>402</w:t>
            </w:r>
          </w:p>
        </w:tc>
        <w:tc>
          <w:tcPr>
            <w:tcW w:w="624" w:type="pct"/>
            <w:shd w:val="clear" w:color="auto" w:fill="auto"/>
            <w:vAlign w:val="center"/>
            <w:hideMark/>
          </w:tcPr>
          <w:p w14:paraId="7D4A7E33" w14:textId="77777777" w:rsidR="00AB21FD" w:rsidRPr="009E1B38" w:rsidRDefault="00AB21FD" w:rsidP="00AB21FD">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lang w:eastAsia="tr-TR"/>
              </w:rPr>
              <w:t>2.5</w:t>
            </w:r>
            <w:r w:rsidR="00844F16" w:rsidRPr="009E1B38">
              <w:rPr>
                <w:rFonts w:ascii="Times New Roman" w:eastAsia="Times New Roman" w:hAnsi="Times New Roman"/>
                <w:b/>
                <w:color w:val="000000"/>
                <w:lang w:eastAsia="tr-TR"/>
              </w:rPr>
              <w:t>66</w:t>
            </w:r>
          </w:p>
        </w:tc>
      </w:tr>
    </w:tbl>
    <w:p w14:paraId="28E4BA1D" w14:textId="4A060D64" w:rsidR="0067712C" w:rsidRPr="009E1B38" w:rsidRDefault="0067712C" w:rsidP="0067712C">
      <w:pPr>
        <w:spacing w:after="0" w:line="240" w:lineRule="auto"/>
        <w:rPr>
          <w:rFonts w:ascii="Times New Roman" w:hAnsi="Times New Roman"/>
        </w:rPr>
      </w:pPr>
      <w:r w:rsidRPr="009E1B38">
        <w:rPr>
          <w:rFonts w:ascii="Times New Roman" w:hAnsi="Times New Roman"/>
        </w:rPr>
        <w:t xml:space="preserve">* </w:t>
      </w:r>
      <w:r w:rsidR="00D74C1E" w:rsidRPr="009E1B38">
        <w:rPr>
          <w:rFonts w:ascii="Times New Roman" w:hAnsi="Times New Roman"/>
        </w:rPr>
        <w:t>I</w:t>
      </w:r>
      <w:r w:rsidRPr="009E1B38">
        <w:rPr>
          <w:rFonts w:ascii="Times New Roman" w:hAnsi="Times New Roman"/>
        </w:rPr>
        <w:t xml:space="preserve">t is the permission given by the Authority for a certain period of time to the </w:t>
      </w:r>
      <w:r w:rsidR="00135D72" w:rsidRPr="009E1B38">
        <w:rPr>
          <w:rFonts w:ascii="Times New Roman" w:hAnsi="Times New Roman"/>
        </w:rPr>
        <w:t>legal entity</w:t>
      </w:r>
      <w:r w:rsidRPr="009E1B38">
        <w:rPr>
          <w:rFonts w:ascii="Times New Roman" w:hAnsi="Times New Roman"/>
        </w:rPr>
        <w:t xml:space="preserve"> applying for a generation license, in order to start the generation facility investment, to obtain permits, approvals, licenses and similar documents arising from the legislation and to acquire the ownership or right of use of the area where the generation facility will be established.</w:t>
      </w:r>
    </w:p>
    <w:p w14:paraId="69C4C2CD" w14:textId="77777777" w:rsidR="0067712C" w:rsidRPr="009E1B38" w:rsidRDefault="0067712C" w:rsidP="0067712C">
      <w:pPr>
        <w:spacing w:after="0" w:line="240" w:lineRule="auto"/>
        <w:rPr>
          <w:rFonts w:ascii="Times New Roman" w:hAnsi="Times New Roman"/>
        </w:rPr>
      </w:pPr>
    </w:p>
    <w:p w14:paraId="3C722244" w14:textId="441E910F" w:rsidR="0067712C" w:rsidRPr="009E1B38" w:rsidRDefault="0067712C" w:rsidP="0067712C">
      <w:pPr>
        <w:spacing w:after="0"/>
        <w:rPr>
          <w:rFonts w:ascii="Times New Roman" w:hAnsi="Times New Roman"/>
        </w:rPr>
      </w:pPr>
      <w:r w:rsidRPr="009E1B38">
        <w:rPr>
          <w:rFonts w:ascii="Times New Roman" w:hAnsi="Times New Roman"/>
        </w:rPr>
        <w:t>The licensing procedures carried out by the Authority within the scope of the generation activity and the distribution of the licensed generation capacity as of the end of 202</w:t>
      </w:r>
      <w:r w:rsidR="00166506" w:rsidRPr="009E1B38">
        <w:rPr>
          <w:rFonts w:ascii="Times New Roman" w:hAnsi="Times New Roman"/>
        </w:rPr>
        <w:t>1</w:t>
      </w:r>
      <w:r w:rsidRPr="009E1B38">
        <w:rPr>
          <w:rFonts w:ascii="Times New Roman" w:hAnsi="Times New Roman"/>
        </w:rPr>
        <w:t xml:space="preserve"> by fuel/resource type and installed power are shown in Table 3.2.</w:t>
      </w:r>
    </w:p>
    <w:p w14:paraId="7D4A7E38" w14:textId="77777777" w:rsidR="00CB5826" w:rsidRPr="009E1B38" w:rsidRDefault="00CB5826" w:rsidP="00C466F8">
      <w:pPr>
        <w:spacing w:after="0"/>
        <w:jc w:val="center"/>
        <w:rPr>
          <w:rFonts w:ascii="Times New Roman" w:hAnsi="Times New Roman"/>
        </w:rPr>
      </w:pPr>
    </w:p>
    <w:p w14:paraId="7D4A7E39" w14:textId="07BC8A6A" w:rsidR="00CB5826" w:rsidRPr="009E1B38" w:rsidRDefault="00CB5826" w:rsidP="00C466F8">
      <w:pPr>
        <w:pStyle w:val="Balk5"/>
        <w:spacing w:before="0"/>
        <w:jc w:val="center"/>
        <w:rPr>
          <w:rStyle w:val="Gl"/>
          <w:rFonts w:ascii="Times New Roman" w:hAnsi="Times New Roman" w:cs="Times New Roman"/>
        </w:rPr>
      </w:pPr>
      <w:bookmarkStart w:id="107" w:name="_Toc416447578"/>
      <w:bookmarkStart w:id="108" w:name="_Toc442441731"/>
      <w:bookmarkStart w:id="109" w:name="_Toc107499500"/>
      <w:r w:rsidRPr="009E1B38">
        <w:rPr>
          <w:rStyle w:val="Gl"/>
          <w:rFonts w:ascii="Times New Roman" w:hAnsi="Times New Roman" w:cs="Times New Roman"/>
        </w:rPr>
        <w:t>Tabl</w:t>
      </w:r>
      <w:r w:rsidR="009B3EA2" w:rsidRPr="009E1B38">
        <w:rPr>
          <w:rStyle w:val="Gl"/>
          <w:rFonts w:ascii="Times New Roman" w:hAnsi="Times New Roman" w:cs="Times New Roman"/>
        </w:rPr>
        <w:t>e</w:t>
      </w:r>
      <w:r w:rsidR="00443A47" w:rsidRPr="009E1B38">
        <w:rPr>
          <w:rStyle w:val="Gl"/>
          <w:rFonts w:ascii="Times New Roman" w:hAnsi="Times New Roman" w:cs="Times New Roman"/>
        </w:rPr>
        <w:t xml:space="preserve"> 3.2</w:t>
      </w:r>
      <w:r w:rsidR="00F200E0" w:rsidRPr="009E1B38">
        <w:rPr>
          <w:rStyle w:val="Gl"/>
          <w:rFonts w:ascii="Times New Roman" w:hAnsi="Times New Roman" w:cs="Times New Roman"/>
        </w:rPr>
        <w:t xml:space="preserve">: </w:t>
      </w:r>
      <w:bookmarkEnd w:id="107"/>
      <w:bookmarkEnd w:id="108"/>
      <w:r w:rsidR="00A368F1" w:rsidRPr="009E1B38">
        <w:rPr>
          <w:rStyle w:val="Gl"/>
          <w:rFonts w:ascii="Times New Roman" w:hAnsi="Times New Roman" w:cs="Times New Roman"/>
        </w:rPr>
        <w:t>License Transactions Performed in the Electricity Market within the Scope of Generation Activity in 2020 (MWe)</w:t>
      </w:r>
      <w:bookmarkEnd w:id="109"/>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277"/>
        <w:gridCol w:w="1308"/>
        <w:gridCol w:w="1041"/>
        <w:gridCol w:w="984"/>
        <w:gridCol w:w="1991"/>
        <w:gridCol w:w="1000"/>
        <w:gridCol w:w="1463"/>
        <w:gridCol w:w="998"/>
      </w:tblGrid>
      <w:tr w:rsidR="00287772" w:rsidRPr="009E1B38" w14:paraId="7D4A7E44" w14:textId="77777777" w:rsidTr="00483BD1">
        <w:trPr>
          <w:trHeight w:val="340"/>
          <w:tblHeader/>
        </w:trPr>
        <w:tc>
          <w:tcPr>
            <w:tcW w:w="634" w:type="pct"/>
            <w:shd w:val="clear" w:color="000000" w:fill="6E9ECA"/>
            <w:vAlign w:val="center"/>
            <w:hideMark/>
          </w:tcPr>
          <w:p w14:paraId="7D4A7E3A" w14:textId="2E0B415F" w:rsidR="00FD3B66" w:rsidRPr="009E1B38" w:rsidRDefault="00C56EA7" w:rsidP="00FD3B6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 Type</w:t>
            </w:r>
          </w:p>
        </w:tc>
        <w:tc>
          <w:tcPr>
            <w:tcW w:w="650" w:type="pct"/>
            <w:shd w:val="clear" w:color="auto" w:fill="6E9ECA"/>
            <w:vAlign w:val="center"/>
            <w:hideMark/>
          </w:tcPr>
          <w:p w14:paraId="7D4A7E3B" w14:textId="699328B5" w:rsidR="00FD3B66" w:rsidRPr="009E1B38" w:rsidRDefault="00C56EA7" w:rsidP="00FD3B6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Source/Fuel Type</w:t>
            </w:r>
          </w:p>
        </w:tc>
        <w:tc>
          <w:tcPr>
            <w:tcW w:w="517" w:type="pct"/>
            <w:shd w:val="clear" w:color="000000" w:fill="6E9ECA"/>
            <w:vAlign w:val="center"/>
            <w:hideMark/>
          </w:tcPr>
          <w:p w14:paraId="7D4A7E3D" w14:textId="4C57B753" w:rsidR="00263DC6" w:rsidRPr="009E1B38" w:rsidRDefault="00C56EA7" w:rsidP="00FD3B6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 Application</w:t>
            </w:r>
          </w:p>
        </w:tc>
        <w:tc>
          <w:tcPr>
            <w:tcW w:w="489" w:type="pct"/>
            <w:shd w:val="clear" w:color="000000" w:fill="6E9ECA"/>
            <w:vAlign w:val="center"/>
            <w:hideMark/>
          </w:tcPr>
          <w:p w14:paraId="7D4A7E3E" w14:textId="6F6E9EBD" w:rsidR="00FD3B66" w:rsidRPr="009E1B38" w:rsidRDefault="00C56EA7" w:rsidP="00FD3B6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 Grant</w:t>
            </w:r>
          </w:p>
        </w:tc>
        <w:tc>
          <w:tcPr>
            <w:tcW w:w="989" w:type="pct"/>
            <w:shd w:val="clear" w:color="000000" w:fill="6E9ECA"/>
            <w:vAlign w:val="center"/>
            <w:hideMark/>
          </w:tcPr>
          <w:p w14:paraId="7D4A7E40" w14:textId="21CC36DA" w:rsidR="00263DC6" w:rsidRPr="009E1B38" w:rsidRDefault="00C56EA7" w:rsidP="00FD3B6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 Expiration/Termination</w:t>
            </w:r>
          </w:p>
        </w:tc>
        <w:tc>
          <w:tcPr>
            <w:tcW w:w="497" w:type="pct"/>
            <w:shd w:val="clear" w:color="000000" w:fill="6E9ECA"/>
            <w:vAlign w:val="center"/>
            <w:hideMark/>
          </w:tcPr>
          <w:p w14:paraId="4E1D9769" w14:textId="77777777" w:rsidR="00C56EA7" w:rsidRPr="009E1B38" w:rsidRDefault="00C56EA7" w:rsidP="00C56EA7">
            <w:pPr>
              <w:spacing w:after="0" w:line="240" w:lineRule="auto"/>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w:t>
            </w:r>
          </w:p>
          <w:p w14:paraId="7D4A7E41" w14:textId="6046630C" w:rsidR="00FD3B66" w:rsidRPr="009E1B38" w:rsidRDefault="00C56EA7" w:rsidP="00FD3B6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Revocation</w:t>
            </w:r>
          </w:p>
        </w:tc>
        <w:tc>
          <w:tcPr>
            <w:tcW w:w="727" w:type="pct"/>
            <w:shd w:val="clear" w:color="000000" w:fill="6E9ECA"/>
            <w:vAlign w:val="center"/>
            <w:hideMark/>
          </w:tcPr>
          <w:p w14:paraId="7D4A7E42" w14:textId="07685F13" w:rsidR="00FD3B66" w:rsidRPr="009E1B38" w:rsidRDefault="00C56EA7" w:rsidP="00FD3B6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Term End Effective License Board Power</w:t>
            </w:r>
          </w:p>
        </w:tc>
        <w:tc>
          <w:tcPr>
            <w:tcW w:w="496" w:type="pct"/>
            <w:shd w:val="clear" w:color="000000" w:fill="6E9ECA"/>
            <w:vAlign w:val="center"/>
            <w:hideMark/>
          </w:tcPr>
          <w:p w14:paraId="7D4A7E43" w14:textId="7DEF75CC" w:rsidR="00FD3B66" w:rsidRPr="009E1B38" w:rsidRDefault="00C56EA7" w:rsidP="00FD3B6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Number of Licenses in Effect at the End of the Term (Number)</w:t>
            </w:r>
          </w:p>
        </w:tc>
      </w:tr>
      <w:tr w:rsidR="00F7609F" w:rsidRPr="009E1B38" w14:paraId="7D4A7E4D" w14:textId="77777777" w:rsidTr="00483BD1">
        <w:trPr>
          <w:trHeight w:val="340"/>
        </w:trPr>
        <w:tc>
          <w:tcPr>
            <w:tcW w:w="634" w:type="pct"/>
            <w:vMerge w:val="restart"/>
            <w:shd w:val="clear" w:color="auto" w:fill="auto"/>
            <w:vAlign w:val="center"/>
            <w:hideMark/>
          </w:tcPr>
          <w:p w14:paraId="7D4A7E45" w14:textId="46C8146C" w:rsidR="00FD3B66" w:rsidRPr="009E1B38" w:rsidRDefault="00BF3B2C"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O</w:t>
            </w:r>
            <w:r w:rsidR="00671BC0" w:rsidRPr="009E1B38">
              <w:rPr>
                <w:rFonts w:ascii="Times New Roman" w:eastAsia="Times New Roman" w:hAnsi="Times New Roman"/>
                <w:b/>
                <w:color w:val="000000"/>
                <w:lang w:eastAsia="tr-TR"/>
              </w:rPr>
              <w:t>IZ</w:t>
            </w:r>
            <w:r w:rsidR="00191873" w:rsidRPr="009E1B38">
              <w:rPr>
                <w:rFonts w:ascii="Times New Roman" w:eastAsia="Times New Roman" w:hAnsi="Times New Roman"/>
                <w:b/>
                <w:color w:val="000000"/>
                <w:lang w:eastAsia="tr-TR"/>
              </w:rPr>
              <w:t xml:space="preserve"> </w:t>
            </w:r>
            <w:r w:rsidR="00191873" w:rsidRPr="009E1B38">
              <w:rPr>
                <w:rFonts w:ascii="Times New Roman" w:eastAsia="Times New Roman" w:hAnsi="Times New Roman"/>
                <w:color w:val="000000"/>
                <w:lang w:eastAsia="tr-TR"/>
              </w:rPr>
              <w:t>Production License</w:t>
            </w:r>
          </w:p>
        </w:tc>
        <w:tc>
          <w:tcPr>
            <w:tcW w:w="650" w:type="pct"/>
            <w:shd w:val="clear" w:color="auto" w:fill="auto"/>
            <w:hideMark/>
          </w:tcPr>
          <w:p w14:paraId="7D4A7E46" w14:textId="01D7EC09"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Natural gas</w:t>
            </w:r>
          </w:p>
        </w:tc>
        <w:tc>
          <w:tcPr>
            <w:tcW w:w="517" w:type="pct"/>
            <w:shd w:val="clear" w:color="auto" w:fill="auto"/>
            <w:hideMark/>
          </w:tcPr>
          <w:p w14:paraId="7D4A7E4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shd w:val="clear" w:color="auto" w:fill="auto"/>
            <w:hideMark/>
          </w:tcPr>
          <w:p w14:paraId="7D4A7E4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shd w:val="clear" w:color="auto" w:fill="auto"/>
            <w:hideMark/>
          </w:tcPr>
          <w:p w14:paraId="7D4A7E4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shd w:val="clear" w:color="auto" w:fill="auto"/>
            <w:hideMark/>
          </w:tcPr>
          <w:p w14:paraId="7D4A7E4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4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156,68</w:t>
            </w:r>
          </w:p>
        </w:tc>
        <w:tc>
          <w:tcPr>
            <w:tcW w:w="496" w:type="pct"/>
            <w:shd w:val="clear" w:color="auto" w:fill="auto"/>
            <w:hideMark/>
          </w:tcPr>
          <w:p w14:paraId="7D4A7E4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w:t>
            </w:r>
          </w:p>
        </w:tc>
      </w:tr>
      <w:tr w:rsidR="00287772" w:rsidRPr="009E1B38" w14:paraId="7D4A7E56" w14:textId="77777777" w:rsidTr="00483BD1">
        <w:trPr>
          <w:trHeight w:val="340"/>
        </w:trPr>
        <w:tc>
          <w:tcPr>
            <w:tcW w:w="634" w:type="pct"/>
            <w:vMerge/>
            <w:vAlign w:val="center"/>
            <w:hideMark/>
          </w:tcPr>
          <w:p w14:paraId="7D4A7E4E"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6E9ECA"/>
            <w:hideMark/>
          </w:tcPr>
          <w:p w14:paraId="7D4A7E4F" w14:textId="7582510A"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Total</w:t>
            </w:r>
          </w:p>
        </w:tc>
        <w:tc>
          <w:tcPr>
            <w:tcW w:w="517" w:type="pct"/>
            <w:shd w:val="clear" w:color="auto" w:fill="6E9ECA"/>
            <w:hideMark/>
          </w:tcPr>
          <w:p w14:paraId="7D4A7E50"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0,00</w:t>
            </w:r>
          </w:p>
        </w:tc>
        <w:tc>
          <w:tcPr>
            <w:tcW w:w="489" w:type="pct"/>
            <w:shd w:val="clear" w:color="auto" w:fill="6E9ECA"/>
            <w:hideMark/>
          </w:tcPr>
          <w:p w14:paraId="7D4A7E51"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0,00</w:t>
            </w:r>
          </w:p>
        </w:tc>
        <w:tc>
          <w:tcPr>
            <w:tcW w:w="989" w:type="pct"/>
            <w:shd w:val="clear" w:color="auto" w:fill="6E9ECA"/>
            <w:hideMark/>
          </w:tcPr>
          <w:p w14:paraId="7D4A7E52"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0,00</w:t>
            </w:r>
          </w:p>
        </w:tc>
        <w:tc>
          <w:tcPr>
            <w:tcW w:w="497" w:type="pct"/>
            <w:shd w:val="clear" w:color="auto" w:fill="6E9ECA"/>
            <w:hideMark/>
          </w:tcPr>
          <w:p w14:paraId="7D4A7E53"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0,00</w:t>
            </w:r>
          </w:p>
        </w:tc>
        <w:tc>
          <w:tcPr>
            <w:tcW w:w="727" w:type="pct"/>
            <w:shd w:val="clear" w:color="auto" w:fill="6E9ECA"/>
            <w:hideMark/>
          </w:tcPr>
          <w:p w14:paraId="7D4A7E54"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156,68</w:t>
            </w:r>
          </w:p>
        </w:tc>
        <w:tc>
          <w:tcPr>
            <w:tcW w:w="496" w:type="pct"/>
            <w:shd w:val="clear" w:color="auto" w:fill="6E9ECA"/>
            <w:hideMark/>
          </w:tcPr>
          <w:p w14:paraId="7D4A7E55"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3</w:t>
            </w:r>
          </w:p>
        </w:tc>
      </w:tr>
      <w:tr w:rsidR="00F7609F" w:rsidRPr="009E1B38" w14:paraId="7D4A7E5F" w14:textId="77777777" w:rsidTr="00483BD1">
        <w:trPr>
          <w:trHeight w:val="340"/>
        </w:trPr>
        <w:tc>
          <w:tcPr>
            <w:tcW w:w="634" w:type="pct"/>
            <w:vMerge w:val="restart"/>
            <w:shd w:val="clear" w:color="auto" w:fill="auto"/>
            <w:vAlign w:val="center"/>
            <w:hideMark/>
          </w:tcPr>
          <w:p w14:paraId="7D4A7E57" w14:textId="31221210" w:rsidR="00FD3B66" w:rsidRPr="009E1B38" w:rsidRDefault="00191873"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Pr</w:t>
            </w:r>
            <w:r w:rsidRPr="009E1B38">
              <w:rPr>
                <w:rFonts w:ascii="Times New Roman" w:eastAsia="Times New Roman" w:hAnsi="Times New Roman"/>
                <w:color w:val="000000"/>
                <w:lang w:eastAsia="tr-TR"/>
              </w:rPr>
              <w:t>e-license</w:t>
            </w:r>
          </w:p>
        </w:tc>
        <w:tc>
          <w:tcPr>
            <w:tcW w:w="650" w:type="pct"/>
            <w:shd w:val="clear" w:color="auto" w:fill="auto"/>
            <w:hideMark/>
          </w:tcPr>
          <w:p w14:paraId="7D4A7E58" w14:textId="7DFF4458"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Biomass</w:t>
            </w:r>
          </w:p>
        </w:tc>
        <w:tc>
          <w:tcPr>
            <w:tcW w:w="517" w:type="pct"/>
            <w:shd w:val="clear" w:color="auto" w:fill="auto"/>
            <w:hideMark/>
          </w:tcPr>
          <w:p w14:paraId="7D4A7E5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618,84</w:t>
            </w:r>
          </w:p>
        </w:tc>
        <w:tc>
          <w:tcPr>
            <w:tcW w:w="489" w:type="pct"/>
            <w:shd w:val="clear" w:color="auto" w:fill="auto"/>
            <w:hideMark/>
          </w:tcPr>
          <w:p w14:paraId="7D4A7E5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906,18</w:t>
            </w:r>
          </w:p>
        </w:tc>
        <w:tc>
          <w:tcPr>
            <w:tcW w:w="989" w:type="pct"/>
            <w:shd w:val="clear" w:color="auto" w:fill="auto"/>
            <w:hideMark/>
          </w:tcPr>
          <w:p w14:paraId="7D4A7E5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1.027,31</w:t>
            </w:r>
          </w:p>
        </w:tc>
        <w:tc>
          <w:tcPr>
            <w:tcW w:w="497" w:type="pct"/>
            <w:shd w:val="clear" w:color="auto" w:fill="auto"/>
            <w:hideMark/>
          </w:tcPr>
          <w:p w14:paraId="7D4A7E5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5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548,31</w:t>
            </w:r>
          </w:p>
        </w:tc>
        <w:tc>
          <w:tcPr>
            <w:tcW w:w="496" w:type="pct"/>
            <w:shd w:val="clear" w:color="auto" w:fill="auto"/>
            <w:hideMark/>
          </w:tcPr>
          <w:p w14:paraId="7D4A7E5E"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103</w:t>
            </w:r>
          </w:p>
        </w:tc>
      </w:tr>
      <w:tr w:rsidR="00F7609F" w:rsidRPr="009E1B38" w14:paraId="7D4A7E68" w14:textId="77777777" w:rsidTr="00483BD1">
        <w:trPr>
          <w:trHeight w:val="340"/>
        </w:trPr>
        <w:tc>
          <w:tcPr>
            <w:tcW w:w="634" w:type="pct"/>
            <w:vMerge/>
            <w:vAlign w:val="center"/>
            <w:hideMark/>
          </w:tcPr>
          <w:p w14:paraId="7D4A7E60"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61" w14:textId="77374835"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Other</w:t>
            </w:r>
          </w:p>
        </w:tc>
        <w:tc>
          <w:tcPr>
            <w:tcW w:w="517" w:type="pct"/>
            <w:shd w:val="clear" w:color="auto" w:fill="auto"/>
            <w:hideMark/>
          </w:tcPr>
          <w:p w14:paraId="7D4A7E62"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shd w:val="clear" w:color="auto" w:fill="auto"/>
            <w:hideMark/>
          </w:tcPr>
          <w:p w14:paraId="7D4A7E63"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shd w:val="clear" w:color="auto" w:fill="auto"/>
            <w:hideMark/>
          </w:tcPr>
          <w:p w14:paraId="7D4A7E64"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shd w:val="clear" w:color="auto" w:fill="auto"/>
            <w:hideMark/>
          </w:tcPr>
          <w:p w14:paraId="7D4A7E65"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6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6" w:type="pct"/>
            <w:shd w:val="clear" w:color="auto" w:fill="auto"/>
            <w:hideMark/>
          </w:tcPr>
          <w:p w14:paraId="7D4A7E6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r>
      <w:tr w:rsidR="00F7609F" w:rsidRPr="009E1B38" w14:paraId="7D4A7E71" w14:textId="77777777" w:rsidTr="00483BD1">
        <w:trPr>
          <w:trHeight w:val="340"/>
        </w:trPr>
        <w:tc>
          <w:tcPr>
            <w:tcW w:w="634" w:type="pct"/>
            <w:vMerge/>
            <w:vAlign w:val="center"/>
            <w:hideMark/>
          </w:tcPr>
          <w:p w14:paraId="7D4A7E69"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6A" w14:textId="2CAE3641"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Natural gas</w:t>
            </w:r>
          </w:p>
        </w:tc>
        <w:tc>
          <w:tcPr>
            <w:tcW w:w="517" w:type="pct"/>
            <w:shd w:val="clear" w:color="auto" w:fill="auto"/>
            <w:hideMark/>
          </w:tcPr>
          <w:p w14:paraId="7D4A7E6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4,30</w:t>
            </w:r>
          </w:p>
        </w:tc>
        <w:tc>
          <w:tcPr>
            <w:tcW w:w="489" w:type="pct"/>
            <w:shd w:val="clear" w:color="auto" w:fill="auto"/>
            <w:hideMark/>
          </w:tcPr>
          <w:p w14:paraId="7D4A7E6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9,07</w:t>
            </w:r>
          </w:p>
        </w:tc>
        <w:tc>
          <w:tcPr>
            <w:tcW w:w="989" w:type="pct"/>
            <w:shd w:val="clear" w:color="auto" w:fill="auto"/>
            <w:hideMark/>
          </w:tcPr>
          <w:p w14:paraId="7D4A7E6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816,46</w:t>
            </w:r>
          </w:p>
        </w:tc>
        <w:tc>
          <w:tcPr>
            <w:tcW w:w="497" w:type="pct"/>
            <w:shd w:val="clear" w:color="auto" w:fill="auto"/>
            <w:hideMark/>
          </w:tcPr>
          <w:p w14:paraId="7D4A7E6E"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6F"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6" w:type="pct"/>
            <w:shd w:val="clear" w:color="auto" w:fill="auto"/>
            <w:hideMark/>
          </w:tcPr>
          <w:p w14:paraId="7D4A7E70"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r>
      <w:tr w:rsidR="00F7609F" w:rsidRPr="009E1B38" w14:paraId="7D4A7E7A" w14:textId="77777777" w:rsidTr="00483BD1">
        <w:trPr>
          <w:trHeight w:val="340"/>
        </w:trPr>
        <w:tc>
          <w:tcPr>
            <w:tcW w:w="634" w:type="pct"/>
            <w:vMerge/>
            <w:vAlign w:val="center"/>
            <w:hideMark/>
          </w:tcPr>
          <w:p w14:paraId="7D4A7E72"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73" w14:textId="27928403" w:rsidR="00FD3B66" w:rsidRPr="009E1B38" w:rsidRDefault="00BF3B2C"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S</w:t>
            </w:r>
            <w:r w:rsidR="009F5508" w:rsidRPr="009E1B38">
              <w:rPr>
                <w:rFonts w:ascii="Times New Roman" w:hAnsi="Times New Roman"/>
                <w:b/>
              </w:rPr>
              <w:t>olar</w:t>
            </w:r>
          </w:p>
        </w:tc>
        <w:tc>
          <w:tcPr>
            <w:tcW w:w="517" w:type="pct"/>
            <w:shd w:val="clear" w:color="auto" w:fill="auto"/>
            <w:hideMark/>
          </w:tcPr>
          <w:p w14:paraId="7D4A7E74"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shd w:val="clear" w:color="auto" w:fill="auto"/>
            <w:hideMark/>
          </w:tcPr>
          <w:p w14:paraId="7D4A7E75"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shd w:val="clear" w:color="auto" w:fill="auto"/>
            <w:hideMark/>
          </w:tcPr>
          <w:p w14:paraId="7D4A7E7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shd w:val="clear" w:color="auto" w:fill="auto"/>
            <w:hideMark/>
          </w:tcPr>
          <w:p w14:paraId="7D4A7E7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7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6" w:type="pct"/>
            <w:shd w:val="clear" w:color="auto" w:fill="auto"/>
            <w:hideMark/>
          </w:tcPr>
          <w:p w14:paraId="7D4A7E7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r>
      <w:tr w:rsidR="00F7609F" w:rsidRPr="009E1B38" w14:paraId="7D4A7E83" w14:textId="77777777" w:rsidTr="00483BD1">
        <w:trPr>
          <w:trHeight w:val="340"/>
        </w:trPr>
        <w:tc>
          <w:tcPr>
            <w:tcW w:w="634" w:type="pct"/>
            <w:vMerge/>
            <w:vAlign w:val="center"/>
            <w:hideMark/>
          </w:tcPr>
          <w:p w14:paraId="7D4A7E7B"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7C" w14:textId="07827639"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Hydraulic</w:t>
            </w:r>
          </w:p>
        </w:tc>
        <w:tc>
          <w:tcPr>
            <w:tcW w:w="517" w:type="pct"/>
            <w:shd w:val="clear" w:color="auto" w:fill="auto"/>
            <w:hideMark/>
          </w:tcPr>
          <w:p w14:paraId="7D4A7E7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91,39</w:t>
            </w:r>
          </w:p>
        </w:tc>
        <w:tc>
          <w:tcPr>
            <w:tcW w:w="489" w:type="pct"/>
            <w:shd w:val="clear" w:color="auto" w:fill="auto"/>
            <w:hideMark/>
          </w:tcPr>
          <w:p w14:paraId="7D4A7E7E"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189,56</w:t>
            </w:r>
          </w:p>
        </w:tc>
        <w:tc>
          <w:tcPr>
            <w:tcW w:w="989" w:type="pct"/>
            <w:shd w:val="clear" w:color="auto" w:fill="auto"/>
            <w:hideMark/>
          </w:tcPr>
          <w:p w14:paraId="7D4A7E7F"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1.088,97</w:t>
            </w:r>
          </w:p>
        </w:tc>
        <w:tc>
          <w:tcPr>
            <w:tcW w:w="497" w:type="pct"/>
            <w:shd w:val="clear" w:color="auto" w:fill="auto"/>
            <w:hideMark/>
          </w:tcPr>
          <w:p w14:paraId="7D4A7E80"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81"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3.246,29</w:t>
            </w:r>
          </w:p>
        </w:tc>
        <w:tc>
          <w:tcPr>
            <w:tcW w:w="496" w:type="pct"/>
            <w:shd w:val="clear" w:color="auto" w:fill="auto"/>
            <w:hideMark/>
          </w:tcPr>
          <w:p w14:paraId="7D4A7E82"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62</w:t>
            </w:r>
          </w:p>
        </w:tc>
      </w:tr>
      <w:tr w:rsidR="00F7609F" w:rsidRPr="009E1B38" w14:paraId="7D4A7E8C" w14:textId="77777777" w:rsidTr="00483BD1">
        <w:trPr>
          <w:trHeight w:val="340"/>
        </w:trPr>
        <w:tc>
          <w:tcPr>
            <w:tcW w:w="634" w:type="pct"/>
            <w:vMerge/>
            <w:vAlign w:val="center"/>
            <w:hideMark/>
          </w:tcPr>
          <w:p w14:paraId="7D4A7E84"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85" w14:textId="672467F6" w:rsidR="00FD3B66" w:rsidRPr="009E1B38" w:rsidRDefault="00C4788A"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I</w:t>
            </w:r>
            <w:r w:rsidR="00F0516D" w:rsidRPr="009E1B38">
              <w:rPr>
                <w:rFonts w:ascii="Times New Roman" w:hAnsi="Times New Roman"/>
                <w:b/>
              </w:rPr>
              <w:t>mported Coal</w:t>
            </w:r>
          </w:p>
        </w:tc>
        <w:tc>
          <w:tcPr>
            <w:tcW w:w="517" w:type="pct"/>
            <w:shd w:val="clear" w:color="auto" w:fill="auto"/>
            <w:hideMark/>
          </w:tcPr>
          <w:p w14:paraId="7D4A7E8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shd w:val="clear" w:color="auto" w:fill="auto"/>
            <w:hideMark/>
          </w:tcPr>
          <w:p w14:paraId="7D4A7E8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350,00</w:t>
            </w:r>
          </w:p>
        </w:tc>
        <w:tc>
          <w:tcPr>
            <w:tcW w:w="989" w:type="pct"/>
            <w:shd w:val="clear" w:color="auto" w:fill="auto"/>
            <w:hideMark/>
          </w:tcPr>
          <w:p w14:paraId="7D4A7E8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800,00</w:t>
            </w:r>
          </w:p>
        </w:tc>
        <w:tc>
          <w:tcPr>
            <w:tcW w:w="497" w:type="pct"/>
            <w:shd w:val="clear" w:color="auto" w:fill="auto"/>
            <w:hideMark/>
          </w:tcPr>
          <w:p w14:paraId="7D4A7E8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8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6" w:type="pct"/>
            <w:shd w:val="clear" w:color="auto" w:fill="auto"/>
            <w:hideMark/>
          </w:tcPr>
          <w:p w14:paraId="7D4A7E8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r>
      <w:tr w:rsidR="00F7609F" w:rsidRPr="009E1B38" w14:paraId="7D4A7E95" w14:textId="77777777" w:rsidTr="00483BD1">
        <w:trPr>
          <w:trHeight w:val="340"/>
        </w:trPr>
        <w:tc>
          <w:tcPr>
            <w:tcW w:w="634" w:type="pct"/>
            <w:vMerge/>
            <w:vAlign w:val="center"/>
            <w:hideMark/>
          </w:tcPr>
          <w:p w14:paraId="7D4A7E8D"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8E" w14:textId="16188CF3" w:rsidR="00FD3B66" w:rsidRPr="009E1B38" w:rsidRDefault="00C4788A"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G</w:t>
            </w:r>
            <w:r w:rsidR="00F0516D" w:rsidRPr="009E1B38">
              <w:rPr>
                <w:rFonts w:ascii="Times New Roman" w:hAnsi="Times New Roman"/>
                <w:b/>
              </w:rPr>
              <w:t>eothermal</w:t>
            </w:r>
          </w:p>
        </w:tc>
        <w:tc>
          <w:tcPr>
            <w:tcW w:w="517" w:type="pct"/>
            <w:shd w:val="clear" w:color="auto" w:fill="auto"/>
            <w:hideMark/>
          </w:tcPr>
          <w:p w14:paraId="7D4A7E8F"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95,38</w:t>
            </w:r>
          </w:p>
        </w:tc>
        <w:tc>
          <w:tcPr>
            <w:tcW w:w="489" w:type="pct"/>
            <w:shd w:val="clear" w:color="auto" w:fill="auto"/>
            <w:hideMark/>
          </w:tcPr>
          <w:p w14:paraId="7D4A7E90"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95,26</w:t>
            </w:r>
          </w:p>
        </w:tc>
        <w:tc>
          <w:tcPr>
            <w:tcW w:w="989" w:type="pct"/>
            <w:shd w:val="clear" w:color="auto" w:fill="auto"/>
            <w:hideMark/>
          </w:tcPr>
          <w:p w14:paraId="7D4A7E91"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115,80</w:t>
            </w:r>
          </w:p>
        </w:tc>
        <w:tc>
          <w:tcPr>
            <w:tcW w:w="497" w:type="pct"/>
            <w:shd w:val="clear" w:color="auto" w:fill="auto"/>
            <w:hideMark/>
          </w:tcPr>
          <w:p w14:paraId="7D4A7E92"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93"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313,76</w:t>
            </w:r>
          </w:p>
        </w:tc>
        <w:tc>
          <w:tcPr>
            <w:tcW w:w="496" w:type="pct"/>
            <w:shd w:val="clear" w:color="auto" w:fill="auto"/>
            <w:hideMark/>
          </w:tcPr>
          <w:p w14:paraId="7D4A7E94"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11</w:t>
            </w:r>
          </w:p>
        </w:tc>
      </w:tr>
      <w:tr w:rsidR="00F7609F" w:rsidRPr="009E1B38" w14:paraId="7D4A7E9E" w14:textId="77777777" w:rsidTr="00483BD1">
        <w:trPr>
          <w:trHeight w:val="340"/>
        </w:trPr>
        <w:tc>
          <w:tcPr>
            <w:tcW w:w="634" w:type="pct"/>
            <w:vMerge/>
            <w:vAlign w:val="center"/>
            <w:hideMark/>
          </w:tcPr>
          <w:p w14:paraId="7D4A7E96"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97" w14:textId="7289B5C6"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Coal</w:t>
            </w:r>
          </w:p>
        </w:tc>
        <w:tc>
          <w:tcPr>
            <w:tcW w:w="517" w:type="pct"/>
            <w:shd w:val="clear" w:color="auto" w:fill="auto"/>
            <w:hideMark/>
          </w:tcPr>
          <w:p w14:paraId="7D4A7E9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shd w:val="clear" w:color="auto" w:fill="auto"/>
            <w:hideMark/>
          </w:tcPr>
          <w:p w14:paraId="7D4A7E9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shd w:val="clear" w:color="auto" w:fill="auto"/>
            <w:hideMark/>
          </w:tcPr>
          <w:p w14:paraId="7D4A7E9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shd w:val="clear" w:color="auto" w:fill="auto"/>
            <w:hideMark/>
          </w:tcPr>
          <w:p w14:paraId="7D4A7E9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9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6" w:type="pct"/>
            <w:shd w:val="clear" w:color="auto" w:fill="auto"/>
            <w:hideMark/>
          </w:tcPr>
          <w:p w14:paraId="7D4A7E9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r>
      <w:tr w:rsidR="00F7609F" w:rsidRPr="009E1B38" w14:paraId="7D4A7EA7" w14:textId="77777777" w:rsidTr="00483BD1">
        <w:trPr>
          <w:trHeight w:val="340"/>
        </w:trPr>
        <w:tc>
          <w:tcPr>
            <w:tcW w:w="634" w:type="pct"/>
            <w:vMerge/>
            <w:vAlign w:val="center"/>
            <w:hideMark/>
          </w:tcPr>
          <w:p w14:paraId="7D4A7E9F"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A0" w14:textId="7358FD68"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Diesel</w:t>
            </w:r>
          </w:p>
        </w:tc>
        <w:tc>
          <w:tcPr>
            <w:tcW w:w="517" w:type="pct"/>
            <w:shd w:val="clear" w:color="auto" w:fill="auto"/>
            <w:hideMark/>
          </w:tcPr>
          <w:p w14:paraId="7D4A7EA1"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shd w:val="clear" w:color="auto" w:fill="auto"/>
            <w:hideMark/>
          </w:tcPr>
          <w:p w14:paraId="7D4A7EA2"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shd w:val="clear" w:color="auto" w:fill="auto"/>
            <w:hideMark/>
          </w:tcPr>
          <w:p w14:paraId="7D4A7EA3"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shd w:val="clear" w:color="auto" w:fill="auto"/>
            <w:hideMark/>
          </w:tcPr>
          <w:p w14:paraId="7D4A7EA4"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A5"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6" w:type="pct"/>
            <w:shd w:val="clear" w:color="auto" w:fill="auto"/>
            <w:hideMark/>
          </w:tcPr>
          <w:p w14:paraId="7D4A7EA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r>
      <w:tr w:rsidR="00F7609F" w:rsidRPr="009E1B38" w14:paraId="7D4A7EB0" w14:textId="77777777" w:rsidTr="00483BD1">
        <w:trPr>
          <w:trHeight w:val="340"/>
        </w:trPr>
        <w:tc>
          <w:tcPr>
            <w:tcW w:w="634" w:type="pct"/>
            <w:vMerge/>
            <w:vAlign w:val="center"/>
            <w:hideMark/>
          </w:tcPr>
          <w:p w14:paraId="7D4A7EA8"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A9" w14:textId="3627203A"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Process Waste Heat</w:t>
            </w:r>
          </w:p>
        </w:tc>
        <w:tc>
          <w:tcPr>
            <w:tcW w:w="517" w:type="pct"/>
            <w:shd w:val="clear" w:color="auto" w:fill="auto"/>
            <w:hideMark/>
          </w:tcPr>
          <w:p w14:paraId="7D4A7EA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shd w:val="clear" w:color="auto" w:fill="auto"/>
            <w:hideMark/>
          </w:tcPr>
          <w:p w14:paraId="7D4A7EA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5,30</w:t>
            </w:r>
          </w:p>
        </w:tc>
        <w:tc>
          <w:tcPr>
            <w:tcW w:w="989" w:type="pct"/>
            <w:shd w:val="clear" w:color="auto" w:fill="auto"/>
            <w:hideMark/>
          </w:tcPr>
          <w:p w14:paraId="7D4A7EA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shd w:val="clear" w:color="auto" w:fill="auto"/>
            <w:hideMark/>
          </w:tcPr>
          <w:p w14:paraId="7D4A7EA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AE"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5,30</w:t>
            </w:r>
          </w:p>
        </w:tc>
        <w:tc>
          <w:tcPr>
            <w:tcW w:w="496" w:type="pct"/>
            <w:shd w:val="clear" w:color="auto" w:fill="auto"/>
            <w:hideMark/>
          </w:tcPr>
          <w:p w14:paraId="7D4A7EAF"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w:t>
            </w:r>
          </w:p>
        </w:tc>
      </w:tr>
      <w:tr w:rsidR="00F7609F" w:rsidRPr="009E1B38" w14:paraId="7D4A7EB9" w14:textId="77777777" w:rsidTr="00483BD1">
        <w:trPr>
          <w:trHeight w:val="340"/>
        </w:trPr>
        <w:tc>
          <w:tcPr>
            <w:tcW w:w="634" w:type="pct"/>
            <w:vMerge/>
            <w:vAlign w:val="center"/>
            <w:hideMark/>
          </w:tcPr>
          <w:p w14:paraId="7D4A7EB1"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B2" w14:textId="6BA62083"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Wind</w:t>
            </w:r>
          </w:p>
        </w:tc>
        <w:tc>
          <w:tcPr>
            <w:tcW w:w="517" w:type="pct"/>
            <w:shd w:val="clear" w:color="auto" w:fill="auto"/>
            <w:hideMark/>
          </w:tcPr>
          <w:p w14:paraId="7D4A7EB3"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948,06</w:t>
            </w:r>
          </w:p>
        </w:tc>
        <w:tc>
          <w:tcPr>
            <w:tcW w:w="489" w:type="pct"/>
            <w:shd w:val="clear" w:color="auto" w:fill="auto"/>
            <w:hideMark/>
          </w:tcPr>
          <w:p w14:paraId="7D4A7EB4"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848,06</w:t>
            </w:r>
          </w:p>
        </w:tc>
        <w:tc>
          <w:tcPr>
            <w:tcW w:w="989" w:type="pct"/>
            <w:shd w:val="clear" w:color="auto" w:fill="auto"/>
            <w:hideMark/>
          </w:tcPr>
          <w:p w14:paraId="7D4A7EB5"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1.667,85</w:t>
            </w:r>
          </w:p>
        </w:tc>
        <w:tc>
          <w:tcPr>
            <w:tcW w:w="497" w:type="pct"/>
            <w:shd w:val="clear" w:color="auto" w:fill="auto"/>
            <w:hideMark/>
          </w:tcPr>
          <w:p w14:paraId="7D4A7EB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B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2.922,69</w:t>
            </w:r>
          </w:p>
        </w:tc>
        <w:tc>
          <w:tcPr>
            <w:tcW w:w="496" w:type="pct"/>
            <w:shd w:val="clear" w:color="auto" w:fill="auto"/>
            <w:hideMark/>
          </w:tcPr>
          <w:p w14:paraId="7D4A7EB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49</w:t>
            </w:r>
          </w:p>
        </w:tc>
      </w:tr>
      <w:tr w:rsidR="00F7609F" w:rsidRPr="009E1B38" w14:paraId="7D4A7EC2" w14:textId="77777777" w:rsidTr="00483BD1">
        <w:trPr>
          <w:trHeight w:val="340"/>
        </w:trPr>
        <w:tc>
          <w:tcPr>
            <w:tcW w:w="634" w:type="pct"/>
            <w:vMerge/>
            <w:vAlign w:val="center"/>
            <w:hideMark/>
          </w:tcPr>
          <w:p w14:paraId="7D4A7EBA"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BB" w14:textId="57E9C6B4"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Uranium</w:t>
            </w:r>
          </w:p>
        </w:tc>
        <w:tc>
          <w:tcPr>
            <w:tcW w:w="517" w:type="pct"/>
            <w:shd w:val="clear" w:color="auto" w:fill="auto"/>
            <w:hideMark/>
          </w:tcPr>
          <w:p w14:paraId="7D4A7EB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shd w:val="clear" w:color="auto" w:fill="auto"/>
            <w:hideMark/>
          </w:tcPr>
          <w:p w14:paraId="7D4A7EB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shd w:val="clear" w:color="auto" w:fill="auto"/>
            <w:hideMark/>
          </w:tcPr>
          <w:p w14:paraId="7D4A7EBE"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shd w:val="clear" w:color="auto" w:fill="auto"/>
            <w:hideMark/>
          </w:tcPr>
          <w:p w14:paraId="7D4A7EBF"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C0"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6" w:type="pct"/>
            <w:shd w:val="clear" w:color="auto" w:fill="auto"/>
            <w:hideMark/>
          </w:tcPr>
          <w:p w14:paraId="7D4A7EC1"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r>
      <w:tr w:rsidR="00F7609F" w:rsidRPr="009E1B38" w14:paraId="7D4A7ECB" w14:textId="77777777" w:rsidTr="00483BD1">
        <w:trPr>
          <w:trHeight w:val="340"/>
        </w:trPr>
        <w:tc>
          <w:tcPr>
            <w:tcW w:w="634" w:type="pct"/>
            <w:vMerge/>
            <w:vAlign w:val="center"/>
            <w:hideMark/>
          </w:tcPr>
          <w:p w14:paraId="7D4A7EC3"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hideMark/>
          </w:tcPr>
          <w:p w14:paraId="7D4A7EC4" w14:textId="3AB6594E"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Local Coal</w:t>
            </w:r>
          </w:p>
        </w:tc>
        <w:tc>
          <w:tcPr>
            <w:tcW w:w="517" w:type="pct"/>
            <w:shd w:val="clear" w:color="auto" w:fill="auto"/>
            <w:hideMark/>
          </w:tcPr>
          <w:p w14:paraId="7D4A7EC5"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shd w:val="clear" w:color="auto" w:fill="auto"/>
            <w:hideMark/>
          </w:tcPr>
          <w:p w14:paraId="7D4A7EC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shd w:val="clear" w:color="auto" w:fill="auto"/>
            <w:hideMark/>
          </w:tcPr>
          <w:p w14:paraId="7D4A7EC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245,00</w:t>
            </w:r>
          </w:p>
        </w:tc>
        <w:tc>
          <w:tcPr>
            <w:tcW w:w="497" w:type="pct"/>
            <w:shd w:val="clear" w:color="auto" w:fill="auto"/>
            <w:hideMark/>
          </w:tcPr>
          <w:p w14:paraId="7D4A7EC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shd w:val="clear" w:color="auto" w:fill="auto"/>
            <w:hideMark/>
          </w:tcPr>
          <w:p w14:paraId="7D4A7EC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274,83</w:t>
            </w:r>
          </w:p>
        </w:tc>
        <w:tc>
          <w:tcPr>
            <w:tcW w:w="496" w:type="pct"/>
            <w:shd w:val="clear" w:color="auto" w:fill="auto"/>
            <w:hideMark/>
          </w:tcPr>
          <w:p w14:paraId="7D4A7EC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w:t>
            </w:r>
          </w:p>
        </w:tc>
      </w:tr>
      <w:tr w:rsidR="00287772" w:rsidRPr="009E1B38" w14:paraId="7D4A7ED4" w14:textId="77777777" w:rsidTr="00483BD1">
        <w:trPr>
          <w:trHeight w:val="340"/>
        </w:trPr>
        <w:tc>
          <w:tcPr>
            <w:tcW w:w="634" w:type="pct"/>
            <w:vMerge/>
            <w:vAlign w:val="center"/>
            <w:hideMark/>
          </w:tcPr>
          <w:p w14:paraId="7D4A7ECC"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6E9ECA"/>
            <w:hideMark/>
          </w:tcPr>
          <w:p w14:paraId="7D4A7ECD" w14:textId="33A31DD4" w:rsidR="00FD3B66" w:rsidRPr="009E1B38" w:rsidRDefault="00F0516D" w:rsidP="00FD3B66">
            <w:pPr>
              <w:spacing w:after="0" w:line="240" w:lineRule="auto"/>
              <w:rPr>
                <w:rFonts w:ascii="Times New Roman" w:eastAsia="Times New Roman" w:hAnsi="Times New Roman"/>
                <w:b/>
                <w:bCs/>
                <w:lang w:eastAsia="tr-TR"/>
              </w:rPr>
            </w:pPr>
            <w:r w:rsidRPr="009E1B38">
              <w:rPr>
                <w:rFonts w:ascii="Times New Roman" w:hAnsi="Times New Roman"/>
                <w:b/>
              </w:rPr>
              <w:t>Total</w:t>
            </w:r>
          </w:p>
        </w:tc>
        <w:tc>
          <w:tcPr>
            <w:tcW w:w="517" w:type="pct"/>
            <w:shd w:val="clear" w:color="auto" w:fill="6E9ECA"/>
            <w:hideMark/>
          </w:tcPr>
          <w:p w14:paraId="7D4A7ECE" w14:textId="77777777" w:rsidR="00FD3B66" w:rsidRPr="009E1B38" w:rsidRDefault="00FD3B66" w:rsidP="00FD3B66">
            <w:pPr>
              <w:spacing w:after="0" w:line="240" w:lineRule="auto"/>
              <w:jc w:val="right"/>
              <w:rPr>
                <w:rFonts w:ascii="Times New Roman" w:eastAsia="Times New Roman" w:hAnsi="Times New Roman"/>
                <w:b/>
                <w:bCs/>
                <w:lang w:eastAsia="tr-TR"/>
              </w:rPr>
            </w:pPr>
            <w:r w:rsidRPr="009E1B38">
              <w:rPr>
                <w:rFonts w:ascii="Times New Roman" w:hAnsi="Times New Roman"/>
                <w:b/>
                <w:bCs/>
                <w:color w:val="000000"/>
              </w:rPr>
              <w:t>1.757,97</w:t>
            </w:r>
          </w:p>
        </w:tc>
        <w:tc>
          <w:tcPr>
            <w:tcW w:w="489" w:type="pct"/>
            <w:shd w:val="clear" w:color="auto" w:fill="6E9ECA"/>
            <w:hideMark/>
          </w:tcPr>
          <w:p w14:paraId="7D4A7ECF" w14:textId="77777777" w:rsidR="00FD3B66" w:rsidRPr="009E1B38" w:rsidRDefault="00FD3B66" w:rsidP="00FD3B66">
            <w:pPr>
              <w:spacing w:after="0" w:line="240" w:lineRule="auto"/>
              <w:jc w:val="right"/>
              <w:rPr>
                <w:rFonts w:ascii="Times New Roman" w:eastAsia="Times New Roman" w:hAnsi="Times New Roman"/>
                <w:b/>
                <w:bCs/>
                <w:lang w:eastAsia="tr-TR"/>
              </w:rPr>
            </w:pPr>
            <w:r w:rsidRPr="009E1B38">
              <w:rPr>
                <w:rFonts w:ascii="Times New Roman" w:hAnsi="Times New Roman"/>
                <w:b/>
                <w:bCs/>
                <w:color w:val="000000"/>
              </w:rPr>
              <w:t>2.403,44</w:t>
            </w:r>
          </w:p>
        </w:tc>
        <w:tc>
          <w:tcPr>
            <w:tcW w:w="989" w:type="pct"/>
            <w:shd w:val="clear" w:color="auto" w:fill="6E9ECA"/>
            <w:hideMark/>
          </w:tcPr>
          <w:p w14:paraId="7D4A7ED0" w14:textId="77777777" w:rsidR="00FD3B66" w:rsidRPr="009E1B38" w:rsidRDefault="00FD3B66" w:rsidP="00FD3B66">
            <w:pPr>
              <w:spacing w:after="0" w:line="240" w:lineRule="auto"/>
              <w:jc w:val="right"/>
              <w:rPr>
                <w:rFonts w:ascii="Times New Roman" w:eastAsia="Times New Roman" w:hAnsi="Times New Roman"/>
                <w:b/>
                <w:bCs/>
                <w:lang w:eastAsia="tr-TR"/>
              </w:rPr>
            </w:pPr>
            <w:r w:rsidRPr="009E1B38">
              <w:rPr>
                <w:rFonts w:ascii="Times New Roman" w:hAnsi="Times New Roman"/>
                <w:b/>
                <w:bCs/>
                <w:color w:val="000000"/>
              </w:rPr>
              <w:t>5.761,39</w:t>
            </w:r>
          </w:p>
        </w:tc>
        <w:tc>
          <w:tcPr>
            <w:tcW w:w="497" w:type="pct"/>
            <w:shd w:val="clear" w:color="auto" w:fill="6E9ECA"/>
            <w:hideMark/>
          </w:tcPr>
          <w:p w14:paraId="7D4A7ED1" w14:textId="77777777" w:rsidR="00FD3B66" w:rsidRPr="009E1B38" w:rsidRDefault="00FD3B66" w:rsidP="00FD3B66">
            <w:pPr>
              <w:spacing w:after="0" w:line="240" w:lineRule="auto"/>
              <w:jc w:val="right"/>
              <w:rPr>
                <w:rFonts w:ascii="Times New Roman" w:eastAsia="Times New Roman" w:hAnsi="Times New Roman"/>
                <w:b/>
                <w:bCs/>
                <w:lang w:eastAsia="tr-TR"/>
              </w:rPr>
            </w:pPr>
            <w:r w:rsidRPr="009E1B38">
              <w:rPr>
                <w:rFonts w:ascii="Times New Roman" w:hAnsi="Times New Roman"/>
                <w:b/>
                <w:bCs/>
                <w:color w:val="000000"/>
              </w:rPr>
              <w:t>0,00</w:t>
            </w:r>
          </w:p>
        </w:tc>
        <w:tc>
          <w:tcPr>
            <w:tcW w:w="727" w:type="pct"/>
            <w:shd w:val="clear" w:color="auto" w:fill="6E9ECA"/>
            <w:hideMark/>
          </w:tcPr>
          <w:p w14:paraId="7D4A7ED2" w14:textId="77777777" w:rsidR="00FD3B66" w:rsidRPr="009E1B38" w:rsidRDefault="00FD3B66" w:rsidP="00FD3B66">
            <w:pPr>
              <w:spacing w:after="0" w:line="240" w:lineRule="auto"/>
              <w:jc w:val="right"/>
              <w:rPr>
                <w:rFonts w:ascii="Times New Roman" w:eastAsia="Times New Roman" w:hAnsi="Times New Roman"/>
                <w:b/>
                <w:bCs/>
                <w:lang w:eastAsia="tr-TR"/>
              </w:rPr>
            </w:pPr>
            <w:r w:rsidRPr="009E1B38">
              <w:rPr>
                <w:rFonts w:ascii="Times New Roman" w:hAnsi="Times New Roman"/>
                <w:b/>
                <w:bCs/>
                <w:color w:val="000000"/>
              </w:rPr>
              <w:t>7.311,19</w:t>
            </w:r>
          </w:p>
        </w:tc>
        <w:tc>
          <w:tcPr>
            <w:tcW w:w="496" w:type="pct"/>
            <w:shd w:val="clear" w:color="auto" w:fill="6E9ECA"/>
            <w:hideMark/>
          </w:tcPr>
          <w:p w14:paraId="7D4A7ED3" w14:textId="77777777" w:rsidR="00FD3B66" w:rsidRPr="009E1B38" w:rsidRDefault="00FD3B66" w:rsidP="00FD3B66">
            <w:pPr>
              <w:spacing w:after="0" w:line="240" w:lineRule="auto"/>
              <w:jc w:val="right"/>
              <w:rPr>
                <w:rFonts w:ascii="Times New Roman" w:eastAsia="Times New Roman" w:hAnsi="Times New Roman"/>
                <w:b/>
                <w:bCs/>
                <w:lang w:eastAsia="tr-TR"/>
              </w:rPr>
            </w:pPr>
            <w:r w:rsidRPr="009E1B38">
              <w:rPr>
                <w:rFonts w:ascii="Times New Roman" w:hAnsi="Times New Roman"/>
                <w:b/>
                <w:bCs/>
                <w:color w:val="000000"/>
              </w:rPr>
              <w:t>228</w:t>
            </w:r>
          </w:p>
        </w:tc>
      </w:tr>
      <w:tr w:rsidR="00F7609F" w:rsidRPr="009E1B38" w14:paraId="7D4A7EDD" w14:textId="77777777" w:rsidTr="00483BD1">
        <w:trPr>
          <w:trHeight w:val="340"/>
        </w:trPr>
        <w:tc>
          <w:tcPr>
            <w:tcW w:w="634" w:type="pct"/>
            <w:vMerge w:val="restart"/>
            <w:shd w:val="clear" w:color="auto" w:fill="auto"/>
            <w:vAlign w:val="center"/>
            <w:hideMark/>
          </w:tcPr>
          <w:p w14:paraId="7D4A7ED5" w14:textId="5A2293B6" w:rsidR="00FD3B66" w:rsidRPr="009E1B38" w:rsidRDefault="00191873"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Production License</w:t>
            </w:r>
          </w:p>
        </w:tc>
        <w:tc>
          <w:tcPr>
            <w:tcW w:w="650" w:type="pct"/>
            <w:shd w:val="clear" w:color="auto" w:fill="auto"/>
            <w:hideMark/>
          </w:tcPr>
          <w:p w14:paraId="7D4A7ED6" w14:textId="3AA16B7B" w:rsidR="00FD3B66" w:rsidRPr="009E1B38" w:rsidRDefault="00F0516D" w:rsidP="00FD3B66">
            <w:pPr>
              <w:spacing w:after="0" w:line="240" w:lineRule="auto"/>
              <w:rPr>
                <w:rFonts w:ascii="Times New Roman" w:eastAsia="Times New Roman" w:hAnsi="Times New Roman"/>
                <w:b/>
                <w:bCs/>
                <w:color w:val="000000"/>
                <w:lang w:eastAsia="tr-TR"/>
              </w:rPr>
            </w:pPr>
            <w:r w:rsidRPr="009E1B38">
              <w:rPr>
                <w:rFonts w:ascii="Times New Roman" w:hAnsi="Times New Roman"/>
                <w:b/>
              </w:rPr>
              <w:t>Biomass</w:t>
            </w:r>
          </w:p>
        </w:tc>
        <w:tc>
          <w:tcPr>
            <w:tcW w:w="517" w:type="pct"/>
            <w:tcBorders>
              <w:top w:val="single" w:sz="7" w:space="0" w:color="D3D3D3"/>
              <w:left w:val="single" w:sz="7" w:space="0" w:color="D3D3D3"/>
              <w:bottom w:val="single" w:sz="7" w:space="0" w:color="D3D3D3"/>
              <w:right w:val="single" w:sz="7" w:space="0" w:color="D3D3D3"/>
            </w:tcBorders>
            <w:hideMark/>
          </w:tcPr>
          <w:p w14:paraId="7D4A7ED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805,11</w:t>
            </w:r>
          </w:p>
        </w:tc>
        <w:tc>
          <w:tcPr>
            <w:tcW w:w="489" w:type="pct"/>
            <w:tcBorders>
              <w:top w:val="single" w:sz="7" w:space="0" w:color="D3D3D3"/>
              <w:left w:val="single" w:sz="7" w:space="0" w:color="D3D3D3"/>
              <w:bottom w:val="single" w:sz="7" w:space="0" w:color="D3D3D3"/>
              <w:right w:val="single" w:sz="7" w:space="0" w:color="D3D3D3"/>
            </w:tcBorders>
            <w:hideMark/>
          </w:tcPr>
          <w:p w14:paraId="7D4A7ED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973,96</w:t>
            </w:r>
          </w:p>
        </w:tc>
        <w:tc>
          <w:tcPr>
            <w:tcW w:w="989" w:type="pct"/>
            <w:tcBorders>
              <w:top w:val="single" w:sz="7" w:space="0" w:color="D3D3D3"/>
              <w:left w:val="single" w:sz="7" w:space="0" w:color="D3D3D3"/>
              <w:bottom w:val="single" w:sz="7" w:space="0" w:color="D3D3D3"/>
              <w:right w:val="single" w:sz="7" w:space="0" w:color="D3D3D3"/>
            </w:tcBorders>
            <w:hideMark/>
          </w:tcPr>
          <w:p w14:paraId="7D4A7ED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38,82</w:t>
            </w:r>
          </w:p>
        </w:tc>
        <w:tc>
          <w:tcPr>
            <w:tcW w:w="497" w:type="pct"/>
            <w:tcBorders>
              <w:top w:val="single" w:sz="7" w:space="0" w:color="D3D3D3"/>
              <w:left w:val="single" w:sz="7" w:space="0" w:color="D3D3D3"/>
              <w:bottom w:val="single" w:sz="7" w:space="0" w:color="D3D3D3"/>
              <w:right w:val="single" w:sz="7" w:space="0" w:color="D3D3D3"/>
            </w:tcBorders>
            <w:hideMark/>
          </w:tcPr>
          <w:p w14:paraId="7D4A7ED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ED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2.625,35</w:t>
            </w:r>
          </w:p>
        </w:tc>
        <w:tc>
          <w:tcPr>
            <w:tcW w:w="496" w:type="pct"/>
            <w:tcBorders>
              <w:top w:val="single" w:sz="7" w:space="0" w:color="D3D3D3"/>
              <w:left w:val="single" w:sz="7" w:space="0" w:color="D3D3D3"/>
              <w:bottom w:val="single" w:sz="7" w:space="0" w:color="D3D3D3"/>
              <w:right w:val="single" w:sz="7" w:space="0" w:color="D3D3D3"/>
            </w:tcBorders>
            <w:hideMark/>
          </w:tcPr>
          <w:p w14:paraId="7D4A7ED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339</w:t>
            </w:r>
          </w:p>
        </w:tc>
      </w:tr>
      <w:tr w:rsidR="00F7609F" w:rsidRPr="009E1B38" w14:paraId="7D4A7EE6" w14:textId="77777777" w:rsidTr="00483BD1">
        <w:trPr>
          <w:trHeight w:val="340"/>
        </w:trPr>
        <w:tc>
          <w:tcPr>
            <w:tcW w:w="634" w:type="pct"/>
            <w:vMerge/>
            <w:vAlign w:val="center"/>
            <w:hideMark/>
          </w:tcPr>
          <w:p w14:paraId="7D4A7EDE"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EDF" w14:textId="2CC6455D" w:rsidR="00FD3B66" w:rsidRPr="009E1B38" w:rsidRDefault="00483BD1"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Ot</w:t>
            </w:r>
            <w:r w:rsidRPr="009E1B38">
              <w:rPr>
                <w:rFonts w:ascii="Times New Roman" w:eastAsia="Times New Roman" w:hAnsi="Times New Roman"/>
                <w:color w:val="000000"/>
                <w:lang w:eastAsia="tr-TR"/>
              </w:rPr>
              <w:t>her</w:t>
            </w:r>
          </w:p>
        </w:tc>
        <w:tc>
          <w:tcPr>
            <w:tcW w:w="517" w:type="pct"/>
            <w:tcBorders>
              <w:top w:val="single" w:sz="7" w:space="0" w:color="D3D3D3"/>
              <w:left w:val="single" w:sz="7" w:space="0" w:color="D3D3D3"/>
              <w:bottom w:val="single" w:sz="7" w:space="0" w:color="D3D3D3"/>
              <w:right w:val="single" w:sz="7" w:space="0" w:color="D3D3D3"/>
            </w:tcBorders>
            <w:hideMark/>
          </w:tcPr>
          <w:p w14:paraId="7D4A7EE0"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EE1"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tcBorders>
              <w:top w:val="single" w:sz="7" w:space="0" w:color="D3D3D3"/>
              <w:left w:val="single" w:sz="7" w:space="0" w:color="D3D3D3"/>
              <w:bottom w:val="single" w:sz="7" w:space="0" w:color="D3D3D3"/>
              <w:right w:val="single" w:sz="7" w:space="0" w:color="D3D3D3"/>
            </w:tcBorders>
            <w:hideMark/>
          </w:tcPr>
          <w:p w14:paraId="7D4A7EE2"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tcBorders>
              <w:top w:val="single" w:sz="7" w:space="0" w:color="D3D3D3"/>
              <w:left w:val="single" w:sz="7" w:space="0" w:color="D3D3D3"/>
              <w:bottom w:val="single" w:sz="7" w:space="0" w:color="D3D3D3"/>
              <w:right w:val="single" w:sz="7" w:space="0" w:color="D3D3D3"/>
            </w:tcBorders>
            <w:hideMark/>
          </w:tcPr>
          <w:p w14:paraId="7D4A7EE3"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EE4"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79,19</w:t>
            </w:r>
          </w:p>
        </w:tc>
        <w:tc>
          <w:tcPr>
            <w:tcW w:w="496" w:type="pct"/>
            <w:tcBorders>
              <w:top w:val="single" w:sz="7" w:space="0" w:color="D3D3D3"/>
              <w:left w:val="single" w:sz="7" w:space="0" w:color="D3D3D3"/>
              <w:bottom w:val="single" w:sz="7" w:space="0" w:color="D3D3D3"/>
              <w:right w:val="single" w:sz="7" w:space="0" w:color="D3D3D3"/>
            </w:tcBorders>
            <w:hideMark/>
          </w:tcPr>
          <w:p w14:paraId="7D4A7EE5"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9</w:t>
            </w:r>
          </w:p>
        </w:tc>
      </w:tr>
      <w:tr w:rsidR="00F7609F" w:rsidRPr="009E1B38" w14:paraId="7D4A7EEF" w14:textId="77777777" w:rsidTr="00483BD1">
        <w:trPr>
          <w:trHeight w:val="340"/>
        </w:trPr>
        <w:tc>
          <w:tcPr>
            <w:tcW w:w="634" w:type="pct"/>
            <w:vMerge/>
            <w:vAlign w:val="center"/>
            <w:hideMark/>
          </w:tcPr>
          <w:p w14:paraId="7D4A7EE7"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EE8" w14:textId="765251EA" w:rsidR="00FD3B66" w:rsidRPr="009E1B38" w:rsidRDefault="009F5508"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Natural Gas</w:t>
            </w:r>
          </w:p>
        </w:tc>
        <w:tc>
          <w:tcPr>
            <w:tcW w:w="517" w:type="pct"/>
            <w:tcBorders>
              <w:top w:val="single" w:sz="7" w:space="0" w:color="D3D3D3"/>
              <w:left w:val="single" w:sz="7" w:space="0" w:color="D3D3D3"/>
              <w:bottom w:val="single" w:sz="7" w:space="0" w:color="D3D3D3"/>
              <w:right w:val="single" w:sz="7" w:space="0" w:color="D3D3D3"/>
            </w:tcBorders>
            <w:hideMark/>
          </w:tcPr>
          <w:p w14:paraId="7D4A7EE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262,47</w:t>
            </w:r>
          </w:p>
        </w:tc>
        <w:tc>
          <w:tcPr>
            <w:tcW w:w="489" w:type="pct"/>
            <w:tcBorders>
              <w:top w:val="single" w:sz="7" w:space="0" w:color="D3D3D3"/>
              <w:left w:val="single" w:sz="7" w:space="0" w:color="D3D3D3"/>
              <w:bottom w:val="single" w:sz="7" w:space="0" w:color="D3D3D3"/>
              <w:right w:val="single" w:sz="7" w:space="0" w:color="D3D3D3"/>
            </w:tcBorders>
            <w:hideMark/>
          </w:tcPr>
          <w:p w14:paraId="7D4A7EE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399,96</w:t>
            </w:r>
          </w:p>
        </w:tc>
        <w:tc>
          <w:tcPr>
            <w:tcW w:w="989" w:type="pct"/>
            <w:tcBorders>
              <w:top w:val="single" w:sz="7" w:space="0" w:color="D3D3D3"/>
              <w:left w:val="single" w:sz="7" w:space="0" w:color="D3D3D3"/>
              <w:bottom w:val="single" w:sz="7" w:space="0" w:color="D3D3D3"/>
              <w:right w:val="single" w:sz="7" w:space="0" w:color="D3D3D3"/>
            </w:tcBorders>
            <w:hideMark/>
          </w:tcPr>
          <w:p w14:paraId="7D4A7EE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693,69</w:t>
            </w:r>
          </w:p>
        </w:tc>
        <w:tc>
          <w:tcPr>
            <w:tcW w:w="497" w:type="pct"/>
            <w:tcBorders>
              <w:top w:val="single" w:sz="7" w:space="0" w:color="D3D3D3"/>
              <w:left w:val="single" w:sz="7" w:space="0" w:color="D3D3D3"/>
              <w:bottom w:val="single" w:sz="7" w:space="0" w:color="D3D3D3"/>
              <w:right w:val="single" w:sz="7" w:space="0" w:color="D3D3D3"/>
            </w:tcBorders>
            <w:hideMark/>
          </w:tcPr>
          <w:p w14:paraId="7D4A7EE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EE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26.567,05</w:t>
            </w:r>
          </w:p>
        </w:tc>
        <w:tc>
          <w:tcPr>
            <w:tcW w:w="496" w:type="pct"/>
            <w:tcBorders>
              <w:top w:val="single" w:sz="7" w:space="0" w:color="D3D3D3"/>
              <w:left w:val="single" w:sz="7" w:space="0" w:color="D3D3D3"/>
              <w:bottom w:val="single" w:sz="7" w:space="0" w:color="D3D3D3"/>
              <w:right w:val="single" w:sz="7" w:space="0" w:color="D3D3D3"/>
            </w:tcBorders>
            <w:hideMark/>
          </w:tcPr>
          <w:p w14:paraId="7D4A7EEE"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275</w:t>
            </w:r>
          </w:p>
        </w:tc>
      </w:tr>
      <w:tr w:rsidR="00F7609F" w:rsidRPr="009E1B38" w14:paraId="7D4A7EF8" w14:textId="77777777" w:rsidTr="00483BD1">
        <w:trPr>
          <w:trHeight w:val="340"/>
        </w:trPr>
        <w:tc>
          <w:tcPr>
            <w:tcW w:w="634" w:type="pct"/>
            <w:vMerge/>
            <w:vAlign w:val="center"/>
            <w:hideMark/>
          </w:tcPr>
          <w:p w14:paraId="7D4A7EF0"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EF1" w14:textId="4A50E509" w:rsidR="00FD3B66" w:rsidRPr="009E1B38" w:rsidRDefault="00FD3B66"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Fuel-oil</w:t>
            </w:r>
          </w:p>
        </w:tc>
        <w:tc>
          <w:tcPr>
            <w:tcW w:w="517" w:type="pct"/>
            <w:tcBorders>
              <w:top w:val="single" w:sz="7" w:space="0" w:color="D3D3D3"/>
              <w:left w:val="single" w:sz="7" w:space="0" w:color="D3D3D3"/>
              <w:bottom w:val="single" w:sz="7" w:space="0" w:color="D3D3D3"/>
              <w:right w:val="single" w:sz="7" w:space="0" w:color="D3D3D3"/>
            </w:tcBorders>
            <w:hideMark/>
          </w:tcPr>
          <w:p w14:paraId="7D4A7EF2"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EF3"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tcBorders>
              <w:top w:val="single" w:sz="7" w:space="0" w:color="D3D3D3"/>
              <w:left w:val="single" w:sz="7" w:space="0" w:color="D3D3D3"/>
              <w:bottom w:val="single" w:sz="7" w:space="0" w:color="D3D3D3"/>
              <w:right w:val="single" w:sz="7" w:space="0" w:color="D3D3D3"/>
            </w:tcBorders>
            <w:hideMark/>
          </w:tcPr>
          <w:p w14:paraId="7D4A7EF4"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54,00</w:t>
            </w:r>
          </w:p>
        </w:tc>
        <w:tc>
          <w:tcPr>
            <w:tcW w:w="497" w:type="pct"/>
            <w:tcBorders>
              <w:top w:val="single" w:sz="7" w:space="0" w:color="D3D3D3"/>
              <w:left w:val="single" w:sz="7" w:space="0" w:color="D3D3D3"/>
              <w:bottom w:val="single" w:sz="7" w:space="0" w:color="D3D3D3"/>
              <w:right w:val="single" w:sz="7" w:space="0" w:color="D3D3D3"/>
            </w:tcBorders>
            <w:hideMark/>
          </w:tcPr>
          <w:p w14:paraId="7D4A7EF5"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EF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992,50</w:t>
            </w:r>
          </w:p>
        </w:tc>
        <w:tc>
          <w:tcPr>
            <w:tcW w:w="496" w:type="pct"/>
            <w:tcBorders>
              <w:top w:val="single" w:sz="7" w:space="0" w:color="D3D3D3"/>
              <w:left w:val="single" w:sz="7" w:space="0" w:color="D3D3D3"/>
              <w:bottom w:val="single" w:sz="7" w:space="0" w:color="D3D3D3"/>
              <w:right w:val="single" w:sz="7" w:space="0" w:color="D3D3D3"/>
            </w:tcBorders>
            <w:hideMark/>
          </w:tcPr>
          <w:p w14:paraId="7D4A7EF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21</w:t>
            </w:r>
          </w:p>
        </w:tc>
      </w:tr>
      <w:tr w:rsidR="00F7609F" w:rsidRPr="009E1B38" w14:paraId="7D4A7F01" w14:textId="77777777" w:rsidTr="00483BD1">
        <w:trPr>
          <w:trHeight w:val="340"/>
        </w:trPr>
        <w:tc>
          <w:tcPr>
            <w:tcW w:w="634" w:type="pct"/>
            <w:vMerge/>
            <w:vAlign w:val="center"/>
            <w:hideMark/>
          </w:tcPr>
          <w:p w14:paraId="7D4A7EF9"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EFA" w14:textId="28E58B8F" w:rsidR="00FD3B66" w:rsidRPr="009E1B38" w:rsidRDefault="009F5508"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 xml:space="preserve">Solar </w:t>
            </w:r>
          </w:p>
        </w:tc>
        <w:tc>
          <w:tcPr>
            <w:tcW w:w="517" w:type="pct"/>
            <w:tcBorders>
              <w:top w:val="single" w:sz="7" w:space="0" w:color="D3D3D3"/>
              <w:left w:val="single" w:sz="7" w:space="0" w:color="D3D3D3"/>
              <w:bottom w:val="single" w:sz="7" w:space="0" w:color="D3D3D3"/>
              <w:right w:val="single" w:sz="7" w:space="0" w:color="D3D3D3"/>
            </w:tcBorders>
            <w:hideMark/>
          </w:tcPr>
          <w:p w14:paraId="7D4A7EF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EF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7,00</w:t>
            </w:r>
          </w:p>
        </w:tc>
        <w:tc>
          <w:tcPr>
            <w:tcW w:w="989" w:type="pct"/>
            <w:tcBorders>
              <w:top w:val="single" w:sz="7" w:space="0" w:color="D3D3D3"/>
              <w:left w:val="single" w:sz="7" w:space="0" w:color="D3D3D3"/>
              <w:bottom w:val="single" w:sz="7" w:space="0" w:color="D3D3D3"/>
              <w:right w:val="single" w:sz="7" w:space="0" w:color="D3D3D3"/>
            </w:tcBorders>
            <w:hideMark/>
          </w:tcPr>
          <w:p w14:paraId="7D4A7EF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7,00</w:t>
            </w:r>
          </w:p>
        </w:tc>
        <w:tc>
          <w:tcPr>
            <w:tcW w:w="497" w:type="pct"/>
            <w:tcBorders>
              <w:top w:val="single" w:sz="7" w:space="0" w:color="D3D3D3"/>
              <w:left w:val="single" w:sz="7" w:space="0" w:color="D3D3D3"/>
              <w:bottom w:val="single" w:sz="7" w:space="0" w:color="D3D3D3"/>
              <w:right w:val="single" w:sz="7" w:space="0" w:color="D3D3D3"/>
            </w:tcBorders>
            <w:hideMark/>
          </w:tcPr>
          <w:p w14:paraId="7D4A7EFE"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EFF"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1.468,81</w:t>
            </w:r>
          </w:p>
        </w:tc>
        <w:tc>
          <w:tcPr>
            <w:tcW w:w="496" w:type="pct"/>
            <w:tcBorders>
              <w:top w:val="single" w:sz="7" w:space="0" w:color="D3D3D3"/>
              <w:left w:val="single" w:sz="7" w:space="0" w:color="D3D3D3"/>
              <w:bottom w:val="single" w:sz="7" w:space="0" w:color="D3D3D3"/>
              <w:right w:val="single" w:sz="7" w:space="0" w:color="D3D3D3"/>
            </w:tcBorders>
            <w:hideMark/>
          </w:tcPr>
          <w:p w14:paraId="7D4A7F00"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37</w:t>
            </w:r>
          </w:p>
        </w:tc>
      </w:tr>
      <w:tr w:rsidR="00F7609F" w:rsidRPr="009E1B38" w14:paraId="7D4A7F0A" w14:textId="77777777" w:rsidTr="00483BD1">
        <w:trPr>
          <w:trHeight w:val="340"/>
        </w:trPr>
        <w:tc>
          <w:tcPr>
            <w:tcW w:w="634" w:type="pct"/>
            <w:vMerge/>
            <w:vAlign w:val="center"/>
            <w:hideMark/>
          </w:tcPr>
          <w:p w14:paraId="7D4A7F02"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03" w14:textId="46DA5371" w:rsidR="00FD3B66" w:rsidRPr="009E1B38" w:rsidRDefault="00483BD1"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H</w:t>
            </w:r>
            <w:r w:rsidR="009F5508" w:rsidRPr="009E1B38">
              <w:rPr>
                <w:rFonts w:ascii="Times New Roman" w:eastAsia="Times New Roman" w:hAnsi="Times New Roman"/>
                <w:b/>
                <w:bCs/>
                <w:color w:val="000000"/>
                <w:lang w:eastAsia="tr-TR"/>
              </w:rPr>
              <w:t xml:space="preserve">ydraulic </w:t>
            </w:r>
          </w:p>
        </w:tc>
        <w:tc>
          <w:tcPr>
            <w:tcW w:w="517" w:type="pct"/>
            <w:tcBorders>
              <w:top w:val="single" w:sz="7" w:space="0" w:color="D3D3D3"/>
              <w:left w:val="single" w:sz="7" w:space="0" w:color="D3D3D3"/>
              <w:bottom w:val="single" w:sz="7" w:space="0" w:color="D3D3D3"/>
              <w:right w:val="single" w:sz="7" w:space="0" w:color="D3D3D3"/>
            </w:tcBorders>
            <w:hideMark/>
          </w:tcPr>
          <w:p w14:paraId="7D4A7F04"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301,80</w:t>
            </w:r>
          </w:p>
        </w:tc>
        <w:tc>
          <w:tcPr>
            <w:tcW w:w="489" w:type="pct"/>
            <w:tcBorders>
              <w:top w:val="single" w:sz="7" w:space="0" w:color="D3D3D3"/>
              <w:left w:val="single" w:sz="7" w:space="0" w:color="D3D3D3"/>
              <w:bottom w:val="single" w:sz="7" w:space="0" w:color="D3D3D3"/>
              <w:right w:val="single" w:sz="7" w:space="0" w:color="D3D3D3"/>
            </w:tcBorders>
            <w:hideMark/>
          </w:tcPr>
          <w:p w14:paraId="7D4A7F05"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448,51</w:t>
            </w:r>
          </w:p>
        </w:tc>
        <w:tc>
          <w:tcPr>
            <w:tcW w:w="989" w:type="pct"/>
            <w:tcBorders>
              <w:top w:val="single" w:sz="7" w:space="0" w:color="D3D3D3"/>
              <w:left w:val="single" w:sz="7" w:space="0" w:color="D3D3D3"/>
              <w:bottom w:val="single" w:sz="7" w:space="0" w:color="D3D3D3"/>
              <w:right w:val="single" w:sz="7" w:space="0" w:color="D3D3D3"/>
            </w:tcBorders>
            <w:hideMark/>
          </w:tcPr>
          <w:p w14:paraId="7D4A7F0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1.070,95</w:t>
            </w:r>
          </w:p>
        </w:tc>
        <w:tc>
          <w:tcPr>
            <w:tcW w:w="497" w:type="pct"/>
            <w:tcBorders>
              <w:top w:val="single" w:sz="7" w:space="0" w:color="D3D3D3"/>
              <w:left w:val="single" w:sz="7" w:space="0" w:color="D3D3D3"/>
              <w:bottom w:val="single" w:sz="7" w:space="0" w:color="D3D3D3"/>
              <w:right w:val="single" w:sz="7" w:space="0" w:color="D3D3D3"/>
            </w:tcBorders>
            <w:hideMark/>
          </w:tcPr>
          <w:p w14:paraId="7D4A7F0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74,74</w:t>
            </w:r>
          </w:p>
        </w:tc>
        <w:tc>
          <w:tcPr>
            <w:tcW w:w="727" w:type="pct"/>
            <w:tcBorders>
              <w:top w:val="single" w:sz="7" w:space="0" w:color="D3D3D3"/>
              <w:left w:val="single" w:sz="7" w:space="0" w:color="D3D3D3"/>
              <w:bottom w:val="single" w:sz="7" w:space="0" w:color="D3D3D3"/>
              <w:right w:val="single" w:sz="7" w:space="0" w:color="D3D3D3"/>
            </w:tcBorders>
            <w:hideMark/>
          </w:tcPr>
          <w:p w14:paraId="7D4A7F0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33.195,07</w:t>
            </w:r>
          </w:p>
        </w:tc>
        <w:tc>
          <w:tcPr>
            <w:tcW w:w="496" w:type="pct"/>
            <w:tcBorders>
              <w:top w:val="single" w:sz="7" w:space="0" w:color="D3D3D3"/>
              <w:left w:val="single" w:sz="7" w:space="0" w:color="D3D3D3"/>
              <w:bottom w:val="single" w:sz="7" w:space="0" w:color="D3D3D3"/>
              <w:right w:val="single" w:sz="7" w:space="0" w:color="D3D3D3"/>
            </w:tcBorders>
            <w:hideMark/>
          </w:tcPr>
          <w:p w14:paraId="7D4A7F0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781</w:t>
            </w:r>
          </w:p>
        </w:tc>
      </w:tr>
      <w:tr w:rsidR="00F7609F" w:rsidRPr="009E1B38" w14:paraId="7D4A7F13" w14:textId="77777777" w:rsidTr="00483BD1">
        <w:trPr>
          <w:trHeight w:val="340"/>
        </w:trPr>
        <w:tc>
          <w:tcPr>
            <w:tcW w:w="634" w:type="pct"/>
            <w:vMerge/>
            <w:vAlign w:val="center"/>
            <w:hideMark/>
          </w:tcPr>
          <w:p w14:paraId="7D4A7F0B"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0C" w14:textId="769F6211" w:rsidR="00FD3B66" w:rsidRPr="009E1B38" w:rsidRDefault="009F5508"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Imported Coal</w:t>
            </w:r>
          </w:p>
        </w:tc>
        <w:tc>
          <w:tcPr>
            <w:tcW w:w="517" w:type="pct"/>
            <w:tcBorders>
              <w:top w:val="single" w:sz="7" w:space="0" w:color="D3D3D3"/>
              <w:left w:val="single" w:sz="7" w:space="0" w:color="D3D3D3"/>
              <w:bottom w:val="single" w:sz="7" w:space="0" w:color="D3D3D3"/>
              <w:right w:val="single" w:sz="7" w:space="0" w:color="D3D3D3"/>
            </w:tcBorders>
            <w:hideMark/>
          </w:tcPr>
          <w:p w14:paraId="7D4A7F0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F0E"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tcBorders>
              <w:top w:val="single" w:sz="7" w:space="0" w:color="D3D3D3"/>
              <w:left w:val="single" w:sz="7" w:space="0" w:color="D3D3D3"/>
              <w:bottom w:val="single" w:sz="7" w:space="0" w:color="D3D3D3"/>
              <w:right w:val="single" w:sz="7" w:space="0" w:color="D3D3D3"/>
            </w:tcBorders>
            <w:hideMark/>
          </w:tcPr>
          <w:p w14:paraId="7D4A7F0F"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625,50</w:t>
            </w:r>
          </w:p>
        </w:tc>
        <w:tc>
          <w:tcPr>
            <w:tcW w:w="497" w:type="pct"/>
            <w:tcBorders>
              <w:top w:val="single" w:sz="7" w:space="0" w:color="D3D3D3"/>
              <w:left w:val="single" w:sz="7" w:space="0" w:color="D3D3D3"/>
              <w:bottom w:val="single" w:sz="7" w:space="0" w:color="D3D3D3"/>
              <w:right w:val="single" w:sz="7" w:space="0" w:color="D3D3D3"/>
            </w:tcBorders>
            <w:hideMark/>
          </w:tcPr>
          <w:p w14:paraId="7D4A7F10"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F11"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12.754,80</w:t>
            </w:r>
          </w:p>
        </w:tc>
        <w:tc>
          <w:tcPr>
            <w:tcW w:w="496" w:type="pct"/>
            <w:tcBorders>
              <w:top w:val="single" w:sz="7" w:space="0" w:color="D3D3D3"/>
              <w:left w:val="single" w:sz="7" w:space="0" w:color="D3D3D3"/>
              <w:bottom w:val="single" w:sz="7" w:space="0" w:color="D3D3D3"/>
              <w:right w:val="single" w:sz="7" w:space="0" w:color="D3D3D3"/>
            </w:tcBorders>
            <w:hideMark/>
          </w:tcPr>
          <w:p w14:paraId="7D4A7F12"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15</w:t>
            </w:r>
          </w:p>
        </w:tc>
      </w:tr>
      <w:tr w:rsidR="00F7609F" w:rsidRPr="009E1B38" w14:paraId="7D4A7F1C" w14:textId="77777777" w:rsidTr="00483BD1">
        <w:trPr>
          <w:trHeight w:val="340"/>
        </w:trPr>
        <w:tc>
          <w:tcPr>
            <w:tcW w:w="634" w:type="pct"/>
            <w:vMerge/>
            <w:vAlign w:val="center"/>
            <w:hideMark/>
          </w:tcPr>
          <w:p w14:paraId="7D4A7F14"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15" w14:textId="2CF4AC4F" w:rsidR="00FD3B66" w:rsidRPr="009E1B38" w:rsidRDefault="009F5508"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Geothermal</w:t>
            </w:r>
          </w:p>
        </w:tc>
        <w:tc>
          <w:tcPr>
            <w:tcW w:w="517" w:type="pct"/>
            <w:tcBorders>
              <w:top w:val="single" w:sz="7" w:space="0" w:color="D3D3D3"/>
              <w:left w:val="single" w:sz="7" w:space="0" w:color="D3D3D3"/>
              <w:bottom w:val="single" w:sz="7" w:space="0" w:color="D3D3D3"/>
              <w:right w:val="single" w:sz="7" w:space="0" w:color="D3D3D3"/>
            </w:tcBorders>
            <w:hideMark/>
          </w:tcPr>
          <w:p w14:paraId="7D4A7F1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32,00</w:t>
            </w:r>
          </w:p>
        </w:tc>
        <w:tc>
          <w:tcPr>
            <w:tcW w:w="489" w:type="pct"/>
            <w:tcBorders>
              <w:top w:val="single" w:sz="7" w:space="0" w:color="D3D3D3"/>
              <w:left w:val="single" w:sz="7" w:space="0" w:color="D3D3D3"/>
              <w:bottom w:val="single" w:sz="7" w:space="0" w:color="D3D3D3"/>
              <w:right w:val="single" w:sz="7" w:space="0" w:color="D3D3D3"/>
            </w:tcBorders>
            <w:hideMark/>
          </w:tcPr>
          <w:p w14:paraId="7D4A7F1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65,40</w:t>
            </w:r>
          </w:p>
        </w:tc>
        <w:tc>
          <w:tcPr>
            <w:tcW w:w="989" w:type="pct"/>
            <w:tcBorders>
              <w:top w:val="single" w:sz="7" w:space="0" w:color="D3D3D3"/>
              <w:left w:val="single" w:sz="7" w:space="0" w:color="D3D3D3"/>
              <w:bottom w:val="single" w:sz="7" w:space="0" w:color="D3D3D3"/>
              <w:right w:val="single" w:sz="7" w:space="0" w:color="D3D3D3"/>
            </w:tcBorders>
            <w:hideMark/>
          </w:tcPr>
          <w:p w14:paraId="7D4A7F1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33,40</w:t>
            </w:r>
          </w:p>
        </w:tc>
        <w:tc>
          <w:tcPr>
            <w:tcW w:w="497" w:type="pct"/>
            <w:tcBorders>
              <w:top w:val="single" w:sz="7" w:space="0" w:color="D3D3D3"/>
              <w:left w:val="single" w:sz="7" w:space="0" w:color="D3D3D3"/>
              <w:bottom w:val="single" w:sz="7" w:space="0" w:color="D3D3D3"/>
              <w:right w:val="single" w:sz="7" w:space="0" w:color="D3D3D3"/>
            </w:tcBorders>
            <w:hideMark/>
          </w:tcPr>
          <w:p w14:paraId="7D4A7F1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F1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1.827,63</w:t>
            </w:r>
          </w:p>
        </w:tc>
        <w:tc>
          <w:tcPr>
            <w:tcW w:w="496" w:type="pct"/>
            <w:tcBorders>
              <w:top w:val="single" w:sz="7" w:space="0" w:color="D3D3D3"/>
              <w:left w:val="single" w:sz="7" w:space="0" w:color="D3D3D3"/>
              <w:bottom w:val="single" w:sz="7" w:space="0" w:color="D3D3D3"/>
              <w:right w:val="single" w:sz="7" w:space="0" w:color="D3D3D3"/>
            </w:tcBorders>
            <w:hideMark/>
          </w:tcPr>
          <w:p w14:paraId="7D4A7F1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65</w:t>
            </w:r>
          </w:p>
        </w:tc>
      </w:tr>
      <w:tr w:rsidR="00F7609F" w:rsidRPr="009E1B38" w14:paraId="7D4A7F25" w14:textId="77777777" w:rsidTr="00483BD1">
        <w:trPr>
          <w:trHeight w:val="340"/>
        </w:trPr>
        <w:tc>
          <w:tcPr>
            <w:tcW w:w="634" w:type="pct"/>
            <w:vMerge/>
            <w:vAlign w:val="center"/>
            <w:hideMark/>
          </w:tcPr>
          <w:p w14:paraId="7D4A7F1D"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1E" w14:textId="4660E8A7" w:rsidR="00FD3B66" w:rsidRPr="009E1B38" w:rsidRDefault="009F5508"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Coal</w:t>
            </w:r>
          </w:p>
        </w:tc>
        <w:tc>
          <w:tcPr>
            <w:tcW w:w="517" w:type="pct"/>
            <w:tcBorders>
              <w:top w:val="single" w:sz="7" w:space="0" w:color="D3D3D3"/>
              <w:left w:val="single" w:sz="7" w:space="0" w:color="D3D3D3"/>
              <w:bottom w:val="single" w:sz="7" w:space="0" w:color="D3D3D3"/>
              <w:right w:val="single" w:sz="7" w:space="0" w:color="D3D3D3"/>
            </w:tcBorders>
            <w:hideMark/>
          </w:tcPr>
          <w:p w14:paraId="7D4A7F1F"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F20"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0,00</w:t>
            </w:r>
          </w:p>
        </w:tc>
        <w:tc>
          <w:tcPr>
            <w:tcW w:w="989" w:type="pct"/>
            <w:tcBorders>
              <w:top w:val="single" w:sz="7" w:space="0" w:color="D3D3D3"/>
              <w:left w:val="single" w:sz="7" w:space="0" w:color="D3D3D3"/>
              <w:bottom w:val="single" w:sz="7" w:space="0" w:color="D3D3D3"/>
              <w:right w:val="single" w:sz="7" w:space="0" w:color="D3D3D3"/>
            </w:tcBorders>
            <w:hideMark/>
          </w:tcPr>
          <w:p w14:paraId="7D4A7F21"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1,55</w:t>
            </w:r>
          </w:p>
        </w:tc>
        <w:tc>
          <w:tcPr>
            <w:tcW w:w="497" w:type="pct"/>
            <w:tcBorders>
              <w:top w:val="single" w:sz="7" w:space="0" w:color="D3D3D3"/>
              <w:left w:val="single" w:sz="7" w:space="0" w:color="D3D3D3"/>
              <w:bottom w:val="single" w:sz="7" w:space="0" w:color="D3D3D3"/>
              <w:right w:val="single" w:sz="7" w:space="0" w:color="D3D3D3"/>
            </w:tcBorders>
            <w:hideMark/>
          </w:tcPr>
          <w:p w14:paraId="7D4A7F22"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F23"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1.235,17</w:t>
            </w:r>
          </w:p>
        </w:tc>
        <w:tc>
          <w:tcPr>
            <w:tcW w:w="496" w:type="pct"/>
            <w:tcBorders>
              <w:top w:val="single" w:sz="7" w:space="0" w:color="D3D3D3"/>
              <w:left w:val="single" w:sz="7" w:space="0" w:color="D3D3D3"/>
              <w:bottom w:val="single" w:sz="7" w:space="0" w:color="D3D3D3"/>
              <w:right w:val="single" w:sz="7" w:space="0" w:color="D3D3D3"/>
            </w:tcBorders>
            <w:hideMark/>
          </w:tcPr>
          <w:p w14:paraId="7D4A7F24"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16</w:t>
            </w:r>
          </w:p>
        </w:tc>
      </w:tr>
      <w:tr w:rsidR="00F7609F" w:rsidRPr="009E1B38" w14:paraId="7D4A7F2E" w14:textId="77777777" w:rsidTr="00483BD1">
        <w:trPr>
          <w:trHeight w:val="340"/>
        </w:trPr>
        <w:tc>
          <w:tcPr>
            <w:tcW w:w="634" w:type="pct"/>
            <w:vMerge/>
            <w:vAlign w:val="center"/>
            <w:hideMark/>
          </w:tcPr>
          <w:p w14:paraId="7D4A7F26"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27" w14:textId="775DDD1B" w:rsidR="00FD3B66" w:rsidRPr="009E1B38" w:rsidRDefault="00FD3B66"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LPG</w:t>
            </w:r>
          </w:p>
        </w:tc>
        <w:tc>
          <w:tcPr>
            <w:tcW w:w="517" w:type="pct"/>
            <w:tcBorders>
              <w:top w:val="single" w:sz="7" w:space="0" w:color="D3D3D3"/>
              <w:left w:val="single" w:sz="7" w:space="0" w:color="D3D3D3"/>
              <w:bottom w:val="single" w:sz="7" w:space="0" w:color="D3D3D3"/>
              <w:right w:val="single" w:sz="7" w:space="0" w:color="D3D3D3"/>
            </w:tcBorders>
            <w:hideMark/>
          </w:tcPr>
          <w:p w14:paraId="7D4A7F2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F2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tcBorders>
              <w:top w:val="single" w:sz="7" w:space="0" w:color="D3D3D3"/>
              <w:left w:val="single" w:sz="7" w:space="0" w:color="D3D3D3"/>
              <w:bottom w:val="single" w:sz="7" w:space="0" w:color="D3D3D3"/>
              <w:right w:val="single" w:sz="7" w:space="0" w:color="D3D3D3"/>
            </w:tcBorders>
            <w:hideMark/>
          </w:tcPr>
          <w:p w14:paraId="7D4A7F2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tcBorders>
              <w:top w:val="single" w:sz="7" w:space="0" w:color="D3D3D3"/>
              <w:left w:val="single" w:sz="7" w:space="0" w:color="D3D3D3"/>
              <w:bottom w:val="single" w:sz="7" w:space="0" w:color="D3D3D3"/>
              <w:right w:val="single" w:sz="7" w:space="0" w:color="D3D3D3"/>
            </w:tcBorders>
            <w:hideMark/>
          </w:tcPr>
          <w:p w14:paraId="7D4A7F2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F2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11,00</w:t>
            </w:r>
          </w:p>
        </w:tc>
        <w:tc>
          <w:tcPr>
            <w:tcW w:w="496" w:type="pct"/>
            <w:tcBorders>
              <w:top w:val="single" w:sz="7" w:space="0" w:color="D3D3D3"/>
              <w:left w:val="single" w:sz="7" w:space="0" w:color="D3D3D3"/>
              <w:bottom w:val="single" w:sz="7" w:space="0" w:color="D3D3D3"/>
              <w:right w:val="single" w:sz="7" w:space="0" w:color="D3D3D3"/>
            </w:tcBorders>
            <w:hideMark/>
          </w:tcPr>
          <w:p w14:paraId="7D4A7F2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w:t>
            </w:r>
          </w:p>
        </w:tc>
      </w:tr>
      <w:tr w:rsidR="00F7609F" w:rsidRPr="009E1B38" w14:paraId="7D4A7F37" w14:textId="77777777" w:rsidTr="00483BD1">
        <w:trPr>
          <w:trHeight w:val="340"/>
        </w:trPr>
        <w:tc>
          <w:tcPr>
            <w:tcW w:w="634" w:type="pct"/>
            <w:vMerge/>
            <w:vAlign w:val="center"/>
            <w:hideMark/>
          </w:tcPr>
          <w:p w14:paraId="7D4A7F2F"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30" w14:textId="141A6E43" w:rsidR="00FD3B66" w:rsidRPr="009E1B38" w:rsidRDefault="00E5504F"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Diesel</w:t>
            </w:r>
          </w:p>
        </w:tc>
        <w:tc>
          <w:tcPr>
            <w:tcW w:w="517" w:type="pct"/>
            <w:tcBorders>
              <w:top w:val="single" w:sz="7" w:space="0" w:color="D3D3D3"/>
              <w:left w:val="single" w:sz="7" w:space="0" w:color="D3D3D3"/>
              <w:bottom w:val="single" w:sz="7" w:space="0" w:color="D3D3D3"/>
              <w:right w:val="single" w:sz="7" w:space="0" w:color="D3D3D3"/>
            </w:tcBorders>
            <w:hideMark/>
          </w:tcPr>
          <w:p w14:paraId="7D4A7F31"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F32"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tcBorders>
              <w:top w:val="single" w:sz="7" w:space="0" w:color="D3D3D3"/>
              <w:left w:val="single" w:sz="7" w:space="0" w:color="D3D3D3"/>
              <w:bottom w:val="single" w:sz="7" w:space="0" w:color="D3D3D3"/>
              <w:right w:val="single" w:sz="7" w:space="0" w:color="D3D3D3"/>
            </w:tcBorders>
            <w:hideMark/>
          </w:tcPr>
          <w:p w14:paraId="7D4A7F33"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tcBorders>
              <w:top w:val="single" w:sz="7" w:space="0" w:color="D3D3D3"/>
              <w:left w:val="single" w:sz="7" w:space="0" w:color="D3D3D3"/>
              <w:bottom w:val="single" w:sz="7" w:space="0" w:color="D3D3D3"/>
              <w:right w:val="single" w:sz="7" w:space="0" w:color="D3D3D3"/>
            </w:tcBorders>
            <w:hideMark/>
          </w:tcPr>
          <w:p w14:paraId="7D4A7F34"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F35"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209,86</w:t>
            </w:r>
          </w:p>
        </w:tc>
        <w:tc>
          <w:tcPr>
            <w:tcW w:w="496" w:type="pct"/>
            <w:tcBorders>
              <w:top w:val="single" w:sz="7" w:space="0" w:color="D3D3D3"/>
              <w:left w:val="single" w:sz="7" w:space="0" w:color="D3D3D3"/>
              <w:bottom w:val="single" w:sz="7" w:space="0" w:color="D3D3D3"/>
              <w:right w:val="single" w:sz="7" w:space="0" w:color="D3D3D3"/>
            </w:tcBorders>
            <w:hideMark/>
          </w:tcPr>
          <w:p w14:paraId="7D4A7F3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9</w:t>
            </w:r>
          </w:p>
        </w:tc>
      </w:tr>
      <w:tr w:rsidR="00F7609F" w:rsidRPr="009E1B38" w14:paraId="7D4A7F40" w14:textId="77777777" w:rsidTr="00483BD1">
        <w:trPr>
          <w:trHeight w:val="340"/>
        </w:trPr>
        <w:tc>
          <w:tcPr>
            <w:tcW w:w="634" w:type="pct"/>
            <w:vMerge/>
            <w:vAlign w:val="center"/>
            <w:hideMark/>
          </w:tcPr>
          <w:p w14:paraId="7D4A7F38"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39" w14:textId="07259CB0" w:rsidR="00FD3B66" w:rsidRPr="009E1B38" w:rsidRDefault="00483BD1"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Na</w:t>
            </w:r>
            <w:r w:rsidR="00E5504F" w:rsidRPr="009E1B38">
              <w:rPr>
                <w:rFonts w:ascii="Times New Roman" w:eastAsia="Times New Roman" w:hAnsi="Times New Roman"/>
                <w:b/>
                <w:bCs/>
                <w:color w:val="000000"/>
                <w:lang w:eastAsia="tr-TR"/>
              </w:rPr>
              <w:t xml:space="preserve">phtha </w:t>
            </w:r>
          </w:p>
        </w:tc>
        <w:tc>
          <w:tcPr>
            <w:tcW w:w="517" w:type="pct"/>
            <w:tcBorders>
              <w:top w:val="single" w:sz="7" w:space="0" w:color="D3D3D3"/>
              <w:left w:val="single" w:sz="7" w:space="0" w:color="D3D3D3"/>
              <w:bottom w:val="single" w:sz="7" w:space="0" w:color="D3D3D3"/>
              <w:right w:val="single" w:sz="7" w:space="0" w:color="D3D3D3"/>
            </w:tcBorders>
            <w:hideMark/>
          </w:tcPr>
          <w:p w14:paraId="7D4A7F3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F3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tcBorders>
              <w:top w:val="single" w:sz="7" w:space="0" w:color="D3D3D3"/>
              <w:left w:val="single" w:sz="7" w:space="0" w:color="D3D3D3"/>
              <w:bottom w:val="single" w:sz="7" w:space="0" w:color="D3D3D3"/>
              <w:right w:val="single" w:sz="7" w:space="0" w:color="D3D3D3"/>
            </w:tcBorders>
            <w:hideMark/>
          </w:tcPr>
          <w:p w14:paraId="7D4A7F3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tcBorders>
              <w:top w:val="single" w:sz="7" w:space="0" w:color="D3D3D3"/>
              <w:left w:val="single" w:sz="7" w:space="0" w:color="D3D3D3"/>
              <w:bottom w:val="single" w:sz="7" w:space="0" w:color="D3D3D3"/>
              <w:right w:val="single" w:sz="7" w:space="0" w:color="D3D3D3"/>
            </w:tcBorders>
            <w:hideMark/>
          </w:tcPr>
          <w:p w14:paraId="7D4A7F3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F3E"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16,87</w:t>
            </w:r>
          </w:p>
        </w:tc>
        <w:tc>
          <w:tcPr>
            <w:tcW w:w="496" w:type="pct"/>
            <w:tcBorders>
              <w:top w:val="single" w:sz="7" w:space="0" w:color="D3D3D3"/>
              <w:left w:val="single" w:sz="7" w:space="0" w:color="D3D3D3"/>
              <w:bottom w:val="single" w:sz="7" w:space="0" w:color="D3D3D3"/>
              <w:right w:val="single" w:sz="7" w:space="0" w:color="D3D3D3"/>
            </w:tcBorders>
            <w:hideMark/>
          </w:tcPr>
          <w:p w14:paraId="7D4A7F3F"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w:t>
            </w:r>
          </w:p>
        </w:tc>
      </w:tr>
      <w:tr w:rsidR="00F7609F" w:rsidRPr="009E1B38" w14:paraId="7D4A7F49" w14:textId="77777777" w:rsidTr="00483BD1">
        <w:trPr>
          <w:trHeight w:val="340"/>
        </w:trPr>
        <w:tc>
          <w:tcPr>
            <w:tcW w:w="634" w:type="pct"/>
            <w:vMerge/>
            <w:vAlign w:val="center"/>
            <w:hideMark/>
          </w:tcPr>
          <w:p w14:paraId="7D4A7F41"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42" w14:textId="2DCA97F7" w:rsidR="00FD3B66" w:rsidRPr="009E1B38" w:rsidRDefault="00483BD1"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Pro</w:t>
            </w:r>
            <w:r w:rsidR="0013262C" w:rsidRPr="009E1B38">
              <w:rPr>
                <w:rFonts w:ascii="Times New Roman" w:eastAsia="Times New Roman" w:hAnsi="Times New Roman"/>
                <w:b/>
                <w:bCs/>
                <w:color w:val="000000"/>
                <w:lang w:eastAsia="tr-TR"/>
              </w:rPr>
              <w:t>cess Waste Heat</w:t>
            </w:r>
          </w:p>
        </w:tc>
        <w:tc>
          <w:tcPr>
            <w:tcW w:w="517" w:type="pct"/>
            <w:tcBorders>
              <w:top w:val="single" w:sz="7" w:space="0" w:color="D3D3D3"/>
              <w:left w:val="single" w:sz="7" w:space="0" w:color="D3D3D3"/>
              <w:bottom w:val="single" w:sz="7" w:space="0" w:color="D3D3D3"/>
              <w:right w:val="single" w:sz="7" w:space="0" w:color="D3D3D3"/>
            </w:tcBorders>
            <w:hideMark/>
          </w:tcPr>
          <w:p w14:paraId="7D4A7F43"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F44"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0,00</w:t>
            </w:r>
          </w:p>
        </w:tc>
        <w:tc>
          <w:tcPr>
            <w:tcW w:w="989" w:type="pct"/>
            <w:tcBorders>
              <w:top w:val="single" w:sz="7" w:space="0" w:color="D3D3D3"/>
              <w:left w:val="single" w:sz="7" w:space="0" w:color="D3D3D3"/>
              <w:bottom w:val="single" w:sz="7" w:space="0" w:color="D3D3D3"/>
              <w:right w:val="single" w:sz="7" w:space="0" w:color="D3D3D3"/>
            </w:tcBorders>
            <w:hideMark/>
          </w:tcPr>
          <w:p w14:paraId="7D4A7F45"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0,00</w:t>
            </w:r>
          </w:p>
        </w:tc>
        <w:tc>
          <w:tcPr>
            <w:tcW w:w="497" w:type="pct"/>
            <w:tcBorders>
              <w:top w:val="single" w:sz="7" w:space="0" w:color="D3D3D3"/>
              <w:left w:val="single" w:sz="7" w:space="0" w:color="D3D3D3"/>
              <w:bottom w:val="single" w:sz="7" w:space="0" w:color="D3D3D3"/>
              <w:right w:val="single" w:sz="7" w:space="0" w:color="D3D3D3"/>
            </w:tcBorders>
            <w:hideMark/>
          </w:tcPr>
          <w:p w14:paraId="7D4A7F4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F4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150,13</w:t>
            </w:r>
          </w:p>
        </w:tc>
        <w:tc>
          <w:tcPr>
            <w:tcW w:w="496" w:type="pct"/>
            <w:tcBorders>
              <w:top w:val="single" w:sz="7" w:space="0" w:color="D3D3D3"/>
              <w:left w:val="single" w:sz="7" w:space="0" w:color="D3D3D3"/>
              <w:bottom w:val="single" w:sz="7" w:space="0" w:color="D3D3D3"/>
              <w:right w:val="single" w:sz="7" w:space="0" w:color="D3D3D3"/>
            </w:tcBorders>
            <w:hideMark/>
          </w:tcPr>
          <w:p w14:paraId="7D4A7F4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14</w:t>
            </w:r>
          </w:p>
        </w:tc>
      </w:tr>
      <w:tr w:rsidR="00F7609F" w:rsidRPr="009E1B38" w14:paraId="7D4A7F52" w14:textId="77777777" w:rsidTr="00483BD1">
        <w:trPr>
          <w:trHeight w:val="340"/>
        </w:trPr>
        <w:tc>
          <w:tcPr>
            <w:tcW w:w="634" w:type="pct"/>
            <w:vMerge/>
            <w:vAlign w:val="center"/>
            <w:hideMark/>
          </w:tcPr>
          <w:p w14:paraId="7D4A7F4A"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4B" w14:textId="5212C76A" w:rsidR="00FD3B66" w:rsidRPr="009E1B38" w:rsidRDefault="0013262C"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Wind</w:t>
            </w:r>
          </w:p>
        </w:tc>
        <w:tc>
          <w:tcPr>
            <w:tcW w:w="517" w:type="pct"/>
            <w:tcBorders>
              <w:top w:val="single" w:sz="7" w:space="0" w:color="D3D3D3"/>
              <w:left w:val="single" w:sz="7" w:space="0" w:color="D3D3D3"/>
              <w:bottom w:val="single" w:sz="7" w:space="0" w:color="D3D3D3"/>
              <w:right w:val="single" w:sz="7" w:space="0" w:color="D3D3D3"/>
            </w:tcBorders>
            <w:hideMark/>
          </w:tcPr>
          <w:p w14:paraId="7D4A7F4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626,55</w:t>
            </w:r>
          </w:p>
        </w:tc>
        <w:tc>
          <w:tcPr>
            <w:tcW w:w="489" w:type="pct"/>
            <w:tcBorders>
              <w:top w:val="single" w:sz="7" w:space="0" w:color="D3D3D3"/>
              <w:left w:val="single" w:sz="7" w:space="0" w:color="D3D3D3"/>
              <w:bottom w:val="single" w:sz="7" w:space="0" w:color="D3D3D3"/>
              <w:right w:val="single" w:sz="7" w:space="0" w:color="D3D3D3"/>
            </w:tcBorders>
            <w:hideMark/>
          </w:tcPr>
          <w:p w14:paraId="7D4A7F4D"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946,75</w:t>
            </w:r>
          </w:p>
        </w:tc>
        <w:tc>
          <w:tcPr>
            <w:tcW w:w="989" w:type="pct"/>
            <w:tcBorders>
              <w:top w:val="single" w:sz="7" w:space="0" w:color="D3D3D3"/>
              <w:left w:val="single" w:sz="7" w:space="0" w:color="D3D3D3"/>
              <w:bottom w:val="single" w:sz="7" w:space="0" w:color="D3D3D3"/>
              <w:right w:val="single" w:sz="7" w:space="0" w:color="D3D3D3"/>
            </w:tcBorders>
            <w:hideMark/>
          </w:tcPr>
          <w:p w14:paraId="7D4A7F4E"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320,20</w:t>
            </w:r>
          </w:p>
        </w:tc>
        <w:tc>
          <w:tcPr>
            <w:tcW w:w="497" w:type="pct"/>
            <w:tcBorders>
              <w:top w:val="single" w:sz="7" w:space="0" w:color="D3D3D3"/>
              <w:left w:val="single" w:sz="7" w:space="0" w:color="D3D3D3"/>
              <w:bottom w:val="single" w:sz="7" w:space="0" w:color="D3D3D3"/>
              <w:right w:val="single" w:sz="7" w:space="0" w:color="D3D3D3"/>
            </w:tcBorders>
            <w:hideMark/>
          </w:tcPr>
          <w:p w14:paraId="7D4A7F4F"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11,20</w:t>
            </w:r>
          </w:p>
        </w:tc>
        <w:tc>
          <w:tcPr>
            <w:tcW w:w="727" w:type="pct"/>
            <w:tcBorders>
              <w:top w:val="single" w:sz="7" w:space="0" w:color="D3D3D3"/>
              <w:left w:val="single" w:sz="7" w:space="0" w:color="D3D3D3"/>
              <w:bottom w:val="single" w:sz="7" w:space="0" w:color="D3D3D3"/>
              <w:right w:val="single" w:sz="7" w:space="0" w:color="D3D3D3"/>
            </w:tcBorders>
            <w:hideMark/>
          </w:tcPr>
          <w:p w14:paraId="7D4A7F50"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12.462,61</w:t>
            </w:r>
          </w:p>
        </w:tc>
        <w:tc>
          <w:tcPr>
            <w:tcW w:w="496" w:type="pct"/>
            <w:tcBorders>
              <w:top w:val="single" w:sz="7" w:space="0" w:color="D3D3D3"/>
              <w:left w:val="single" w:sz="7" w:space="0" w:color="D3D3D3"/>
              <w:bottom w:val="single" w:sz="7" w:space="0" w:color="D3D3D3"/>
              <w:right w:val="single" w:sz="7" w:space="0" w:color="D3D3D3"/>
            </w:tcBorders>
            <w:hideMark/>
          </w:tcPr>
          <w:p w14:paraId="7D4A7F51"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280</w:t>
            </w:r>
          </w:p>
        </w:tc>
      </w:tr>
      <w:tr w:rsidR="00F7609F" w:rsidRPr="009E1B38" w14:paraId="7D4A7F5B" w14:textId="77777777" w:rsidTr="00483BD1">
        <w:trPr>
          <w:trHeight w:val="340"/>
        </w:trPr>
        <w:tc>
          <w:tcPr>
            <w:tcW w:w="634" w:type="pct"/>
            <w:vMerge/>
            <w:vAlign w:val="center"/>
            <w:hideMark/>
          </w:tcPr>
          <w:p w14:paraId="7D4A7F53"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54" w14:textId="7BF2CC58" w:rsidR="00FD3B66" w:rsidRPr="009E1B38" w:rsidRDefault="00483BD1"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Uran</w:t>
            </w:r>
            <w:r w:rsidR="0013262C" w:rsidRPr="009E1B38">
              <w:rPr>
                <w:rFonts w:ascii="Times New Roman" w:eastAsia="Times New Roman" w:hAnsi="Times New Roman"/>
                <w:b/>
                <w:bCs/>
                <w:color w:val="000000"/>
                <w:lang w:eastAsia="tr-TR"/>
              </w:rPr>
              <w:t>i</w:t>
            </w:r>
            <w:r w:rsidRPr="009E1B38">
              <w:rPr>
                <w:rFonts w:ascii="Times New Roman" w:eastAsia="Times New Roman" w:hAnsi="Times New Roman"/>
                <w:b/>
                <w:bCs/>
                <w:color w:val="000000"/>
                <w:lang w:eastAsia="tr-TR"/>
              </w:rPr>
              <w:t>um</w:t>
            </w:r>
          </w:p>
        </w:tc>
        <w:tc>
          <w:tcPr>
            <w:tcW w:w="517" w:type="pct"/>
            <w:tcBorders>
              <w:top w:val="single" w:sz="7" w:space="0" w:color="D3D3D3"/>
              <w:left w:val="single" w:sz="7" w:space="0" w:color="D3D3D3"/>
              <w:bottom w:val="single" w:sz="7" w:space="0" w:color="D3D3D3"/>
              <w:right w:val="single" w:sz="7" w:space="0" w:color="D3D3D3"/>
            </w:tcBorders>
            <w:hideMark/>
          </w:tcPr>
          <w:p w14:paraId="7D4A7F55"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F56"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tcBorders>
              <w:top w:val="single" w:sz="7" w:space="0" w:color="D3D3D3"/>
              <w:left w:val="single" w:sz="7" w:space="0" w:color="D3D3D3"/>
              <w:bottom w:val="single" w:sz="7" w:space="0" w:color="D3D3D3"/>
              <w:right w:val="single" w:sz="7" w:space="0" w:color="D3D3D3"/>
            </w:tcBorders>
            <w:hideMark/>
          </w:tcPr>
          <w:p w14:paraId="7D4A7F5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97" w:type="pct"/>
            <w:tcBorders>
              <w:top w:val="single" w:sz="7" w:space="0" w:color="D3D3D3"/>
              <w:left w:val="single" w:sz="7" w:space="0" w:color="D3D3D3"/>
              <w:bottom w:val="single" w:sz="7" w:space="0" w:color="D3D3D3"/>
              <w:right w:val="single" w:sz="7" w:space="0" w:color="D3D3D3"/>
            </w:tcBorders>
            <w:hideMark/>
          </w:tcPr>
          <w:p w14:paraId="7D4A7F5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F5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4.800,00</w:t>
            </w:r>
          </w:p>
        </w:tc>
        <w:tc>
          <w:tcPr>
            <w:tcW w:w="496" w:type="pct"/>
            <w:tcBorders>
              <w:top w:val="single" w:sz="7" w:space="0" w:color="D3D3D3"/>
              <w:left w:val="single" w:sz="7" w:space="0" w:color="D3D3D3"/>
              <w:bottom w:val="single" w:sz="7" w:space="0" w:color="D3D3D3"/>
              <w:right w:val="single" w:sz="7" w:space="0" w:color="D3D3D3"/>
            </w:tcBorders>
            <w:hideMark/>
          </w:tcPr>
          <w:p w14:paraId="7D4A7F5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w:t>
            </w:r>
          </w:p>
        </w:tc>
      </w:tr>
      <w:tr w:rsidR="00F7609F" w:rsidRPr="009E1B38" w14:paraId="7D4A7F64" w14:textId="77777777" w:rsidTr="00483BD1">
        <w:trPr>
          <w:trHeight w:val="340"/>
        </w:trPr>
        <w:tc>
          <w:tcPr>
            <w:tcW w:w="634" w:type="pct"/>
            <w:vMerge/>
            <w:vAlign w:val="center"/>
            <w:hideMark/>
          </w:tcPr>
          <w:p w14:paraId="7D4A7F5C"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5D" w14:textId="40481A7F" w:rsidR="00FD3B66" w:rsidRPr="009E1B38" w:rsidRDefault="00A53FB4"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Local Asphaltite</w:t>
            </w:r>
          </w:p>
        </w:tc>
        <w:tc>
          <w:tcPr>
            <w:tcW w:w="517" w:type="pct"/>
            <w:tcBorders>
              <w:top w:val="single" w:sz="7" w:space="0" w:color="D3D3D3"/>
              <w:left w:val="single" w:sz="7" w:space="0" w:color="D3D3D3"/>
              <w:bottom w:val="single" w:sz="7" w:space="0" w:color="D3D3D3"/>
              <w:right w:val="single" w:sz="7" w:space="0" w:color="D3D3D3"/>
            </w:tcBorders>
            <w:hideMark/>
          </w:tcPr>
          <w:p w14:paraId="7D4A7F5E"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F5F"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989" w:type="pct"/>
            <w:tcBorders>
              <w:top w:val="single" w:sz="7" w:space="0" w:color="D3D3D3"/>
              <w:left w:val="single" w:sz="7" w:space="0" w:color="D3D3D3"/>
              <w:bottom w:val="single" w:sz="7" w:space="0" w:color="D3D3D3"/>
              <w:right w:val="single" w:sz="7" w:space="0" w:color="D3D3D3"/>
            </w:tcBorders>
            <w:hideMark/>
          </w:tcPr>
          <w:p w14:paraId="7D4A7F60"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0,00</w:t>
            </w:r>
          </w:p>
        </w:tc>
        <w:tc>
          <w:tcPr>
            <w:tcW w:w="497" w:type="pct"/>
            <w:tcBorders>
              <w:top w:val="single" w:sz="7" w:space="0" w:color="D3D3D3"/>
              <w:left w:val="single" w:sz="7" w:space="0" w:color="D3D3D3"/>
              <w:bottom w:val="single" w:sz="7" w:space="0" w:color="D3D3D3"/>
              <w:right w:val="single" w:sz="7" w:space="0" w:color="D3D3D3"/>
            </w:tcBorders>
            <w:hideMark/>
          </w:tcPr>
          <w:p w14:paraId="7D4A7F61"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F62"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405,00</w:t>
            </w:r>
          </w:p>
        </w:tc>
        <w:tc>
          <w:tcPr>
            <w:tcW w:w="496" w:type="pct"/>
            <w:tcBorders>
              <w:top w:val="single" w:sz="7" w:space="0" w:color="D3D3D3"/>
              <w:left w:val="single" w:sz="7" w:space="0" w:color="D3D3D3"/>
              <w:bottom w:val="single" w:sz="7" w:space="0" w:color="D3D3D3"/>
              <w:right w:val="single" w:sz="7" w:space="0" w:color="D3D3D3"/>
            </w:tcBorders>
            <w:hideMark/>
          </w:tcPr>
          <w:p w14:paraId="7D4A7F63"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w:t>
            </w:r>
          </w:p>
        </w:tc>
      </w:tr>
      <w:tr w:rsidR="00F7609F" w:rsidRPr="009E1B38" w14:paraId="7D4A7F6D" w14:textId="77777777" w:rsidTr="00483BD1">
        <w:trPr>
          <w:trHeight w:val="340"/>
        </w:trPr>
        <w:tc>
          <w:tcPr>
            <w:tcW w:w="634" w:type="pct"/>
            <w:vMerge/>
            <w:vAlign w:val="center"/>
            <w:hideMark/>
          </w:tcPr>
          <w:p w14:paraId="7D4A7F65"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auto" w:fill="auto"/>
            <w:vAlign w:val="center"/>
            <w:hideMark/>
          </w:tcPr>
          <w:p w14:paraId="7D4A7F66" w14:textId="039DA5A4" w:rsidR="00FD3B66" w:rsidRPr="009E1B38" w:rsidRDefault="00A53FB4" w:rsidP="00FD3B66">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Local Coal</w:t>
            </w:r>
          </w:p>
        </w:tc>
        <w:tc>
          <w:tcPr>
            <w:tcW w:w="517" w:type="pct"/>
            <w:tcBorders>
              <w:top w:val="single" w:sz="7" w:space="0" w:color="D3D3D3"/>
              <w:left w:val="single" w:sz="7" w:space="0" w:color="D3D3D3"/>
              <w:bottom w:val="single" w:sz="7" w:space="0" w:color="D3D3D3"/>
              <w:right w:val="single" w:sz="7" w:space="0" w:color="D3D3D3"/>
            </w:tcBorders>
            <w:hideMark/>
          </w:tcPr>
          <w:p w14:paraId="7D4A7F67"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0,00</w:t>
            </w:r>
          </w:p>
        </w:tc>
        <w:tc>
          <w:tcPr>
            <w:tcW w:w="489" w:type="pct"/>
            <w:tcBorders>
              <w:top w:val="single" w:sz="7" w:space="0" w:color="D3D3D3"/>
              <w:left w:val="single" w:sz="7" w:space="0" w:color="D3D3D3"/>
              <w:bottom w:val="single" w:sz="7" w:space="0" w:color="D3D3D3"/>
              <w:right w:val="single" w:sz="7" w:space="0" w:color="D3D3D3"/>
            </w:tcBorders>
            <w:hideMark/>
          </w:tcPr>
          <w:p w14:paraId="7D4A7F68"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0,00</w:t>
            </w:r>
          </w:p>
        </w:tc>
        <w:tc>
          <w:tcPr>
            <w:tcW w:w="989" w:type="pct"/>
            <w:tcBorders>
              <w:top w:val="single" w:sz="7" w:space="0" w:color="D3D3D3"/>
              <w:left w:val="single" w:sz="7" w:space="0" w:color="D3D3D3"/>
              <w:bottom w:val="single" w:sz="7" w:space="0" w:color="D3D3D3"/>
              <w:right w:val="single" w:sz="7" w:space="0" w:color="D3D3D3"/>
            </w:tcBorders>
            <w:hideMark/>
          </w:tcPr>
          <w:p w14:paraId="7D4A7F69"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800,00</w:t>
            </w:r>
          </w:p>
        </w:tc>
        <w:tc>
          <w:tcPr>
            <w:tcW w:w="497" w:type="pct"/>
            <w:tcBorders>
              <w:top w:val="single" w:sz="7" w:space="0" w:color="D3D3D3"/>
              <w:left w:val="single" w:sz="7" w:space="0" w:color="D3D3D3"/>
              <w:bottom w:val="single" w:sz="7" w:space="0" w:color="D3D3D3"/>
              <w:right w:val="single" w:sz="7" w:space="0" w:color="D3D3D3"/>
            </w:tcBorders>
            <w:hideMark/>
          </w:tcPr>
          <w:p w14:paraId="7D4A7F6A"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0,00</w:t>
            </w:r>
          </w:p>
        </w:tc>
        <w:tc>
          <w:tcPr>
            <w:tcW w:w="727" w:type="pct"/>
            <w:tcBorders>
              <w:top w:val="single" w:sz="7" w:space="0" w:color="D3D3D3"/>
              <w:left w:val="single" w:sz="7" w:space="0" w:color="D3D3D3"/>
              <w:bottom w:val="single" w:sz="7" w:space="0" w:color="D3D3D3"/>
              <w:right w:val="single" w:sz="7" w:space="0" w:color="D3D3D3"/>
            </w:tcBorders>
            <w:hideMark/>
          </w:tcPr>
          <w:p w14:paraId="7D4A7F6B"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11.784,49</w:t>
            </w:r>
          </w:p>
        </w:tc>
        <w:tc>
          <w:tcPr>
            <w:tcW w:w="496" w:type="pct"/>
            <w:tcBorders>
              <w:top w:val="single" w:sz="7" w:space="0" w:color="D3D3D3"/>
              <w:left w:val="single" w:sz="7" w:space="0" w:color="D3D3D3"/>
              <w:bottom w:val="single" w:sz="7" w:space="0" w:color="D3D3D3"/>
              <w:right w:val="single" w:sz="7" w:space="0" w:color="D3D3D3"/>
            </w:tcBorders>
            <w:hideMark/>
          </w:tcPr>
          <w:p w14:paraId="7D4A7F6C" w14:textId="77777777" w:rsidR="00FD3B66" w:rsidRPr="009E1B38" w:rsidRDefault="00FD3B66" w:rsidP="00FD3B66">
            <w:pPr>
              <w:spacing w:after="0" w:line="240" w:lineRule="auto"/>
              <w:jc w:val="right"/>
              <w:rPr>
                <w:rFonts w:ascii="Times New Roman" w:eastAsia="Times New Roman" w:hAnsi="Times New Roman"/>
                <w:color w:val="000000"/>
                <w:lang w:eastAsia="tr-TR"/>
              </w:rPr>
            </w:pPr>
            <w:r w:rsidRPr="009E1B38">
              <w:rPr>
                <w:rFonts w:ascii="Times New Roman" w:eastAsia="Arial" w:hAnsi="Times New Roman"/>
                <w:color w:val="000000"/>
              </w:rPr>
              <w:t>25</w:t>
            </w:r>
          </w:p>
        </w:tc>
      </w:tr>
      <w:tr w:rsidR="00287772" w:rsidRPr="009E1B38" w14:paraId="7D4A7F76" w14:textId="77777777" w:rsidTr="00483BD1">
        <w:trPr>
          <w:trHeight w:val="340"/>
        </w:trPr>
        <w:tc>
          <w:tcPr>
            <w:tcW w:w="634" w:type="pct"/>
            <w:vMerge/>
            <w:vAlign w:val="center"/>
            <w:hideMark/>
          </w:tcPr>
          <w:p w14:paraId="7D4A7F6E" w14:textId="77777777" w:rsidR="00FD3B66" w:rsidRPr="009E1B38" w:rsidRDefault="00FD3B66" w:rsidP="00FD3B66">
            <w:pPr>
              <w:spacing w:after="0" w:line="240" w:lineRule="auto"/>
              <w:jc w:val="left"/>
              <w:rPr>
                <w:rFonts w:ascii="Times New Roman" w:eastAsia="Times New Roman" w:hAnsi="Times New Roman"/>
                <w:b/>
                <w:bCs/>
                <w:color w:val="000000"/>
                <w:lang w:eastAsia="tr-TR"/>
              </w:rPr>
            </w:pPr>
          </w:p>
        </w:tc>
        <w:tc>
          <w:tcPr>
            <w:tcW w:w="650" w:type="pct"/>
            <w:shd w:val="clear" w:color="000000" w:fill="6E9ECA"/>
            <w:vAlign w:val="center"/>
            <w:hideMark/>
          </w:tcPr>
          <w:p w14:paraId="7D4A7F6F" w14:textId="0773388F" w:rsidR="00FD3B66" w:rsidRPr="009E1B38" w:rsidRDefault="00483BD1" w:rsidP="00FD3B66">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To</w:t>
            </w:r>
            <w:r w:rsidR="00A53FB4" w:rsidRPr="009E1B38">
              <w:rPr>
                <w:rFonts w:ascii="Times New Roman" w:eastAsia="Times New Roman" w:hAnsi="Times New Roman"/>
                <w:b/>
                <w:bCs/>
                <w:color w:val="000000"/>
                <w:lang w:eastAsia="tr-TR"/>
              </w:rPr>
              <w:t>tal</w:t>
            </w:r>
          </w:p>
        </w:tc>
        <w:tc>
          <w:tcPr>
            <w:tcW w:w="517" w:type="pct"/>
            <w:tcBorders>
              <w:top w:val="single" w:sz="7" w:space="0" w:color="D3D3D3"/>
              <w:left w:val="single" w:sz="7" w:space="0" w:color="D3D3D3"/>
              <w:bottom w:val="single" w:sz="7" w:space="0" w:color="D3D3D3"/>
              <w:right w:val="single" w:sz="7" w:space="0" w:color="D3D3D3"/>
            </w:tcBorders>
            <w:shd w:val="clear" w:color="auto" w:fill="6E9ECA"/>
            <w:hideMark/>
          </w:tcPr>
          <w:p w14:paraId="7D4A7F70"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2.027,94</w:t>
            </w:r>
          </w:p>
        </w:tc>
        <w:tc>
          <w:tcPr>
            <w:tcW w:w="489" w:type="pct"/>
            <w:tcBorders>
              <w:top w:val="single" w:sz="7" w:space="0" w:color="D3D3D3"/>
              <w:left w:val="single" w:sz="7" w:space="0" w:color="D3D3D3"/>
              <w:bottom w:val="single" w:sz="7" w:space="0" w:color="D3D3D3"/>
              <w:right w:val="single" w:sz="7" w:space="0" w:color="D3D3D3"/>
            </w:tcBorders>
            <w:shd w:val="clear" w:color="auto" w:fill="6E9ECA"/>
            <w:hideMark/>
          </w:tcPr>
          <w:p w14:paraId="7D4A7F71"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2.841,59</w:t>
            </w:r>
          </w:p>
        </w:tc>
        <w:tc>
          <w:tcPr>
            <w:tcW w:w="989" w:type="pct"/>
            <w:tcBorders>
              <w:top w:val="single" w:sz="7" w:space="0" w:color="D3D3D3"/>
              <w:left w:val="single" w:sz="7" w:space="0" w:color="D3D3D3"/>
              <w:bottom w:val="single" w:sz="7" w:space="0" w:color="D3D3D3"/>
              <w:right w:val="single" w:sz="7" w:space="0" w:color="D3D3D3"/>
            </w:tcBorders>
            <w:shd w:val="clear" w:color="auto" w:fill="6E9ECA"/>
            <w:hideMark/>
          </w:tcPr>
          <w:p w14:paraId="7D4A7F72"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3.645,12</w:t>
            </w:r>
          </w:p>
        </w:tc>
        <w:tc>
          <w:tcPr>
            <w:tcW w:w="497" w:type="pct"/>
            <w:tcBorders>
              <w:top w:val="single" w:sz="7" w:space="0" w:color="D3D3D3"/>
              <w:left w:val="single" w:sz="7" w:space="0" w:color="D3D3D3"/>
              <w:bottom w:val="single" w:sz="7" w:space="0" w:color="D3D3D3"/>
              <w:right w:val="single" w:sz="7" w:space="0" w:color="D3D3D3"/>
            </w:tcBorders>
            <w:shd w:val="clear" w:color="auto" w:fill="6E9ECA"/>
            <w:hideMark/>
          </w:tcPr>
          <w:p w14:paraId="7D4A7F73"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85,9</w:t>
            </w:r>
            <w:r w:rsidR="005030E7" w:rsidRPr="009E1B38">
              <w:rPr>
                <w:rFonts w:ascii="Times New Roman" w:eastAsia="Arial" w:hAnsi="Times New Roman"/>
                <w:b/>
                <w:color w:val="000000"/>
              </w:rPr>
              <w:t>4</w:t>
            </w:r>
          </w:p>
        </w:tc>
        <w:tc>
          <w:tcPr>
            <w:tcW w:w="727" w:type="pct"/>
            <w:tcBorders>
              <w:top w:val="single" w:sz="7" w:space="0" w:color="D3D3D3"/>
              <w:left w:val="single" w:sz="7" w:space="0" w:color="D3D3D3"/>
              <w:bottom w:val="single" w:sz="7" w:space="0" w:color="D3D3D3"/>
              <w:right w:val="single" w:sz="7" w:space="0" w:color="D3D3D3"/>
            </w:tcBorders>
            <w:shd w:val="clear" w:color="auto" w:fill="6E9ECA"/>
            <w:hideMark/>
          </w:tcPr>
          <w:p w14:paraId="7D4A7F74"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110.585,57</w:t>
            </w:r>
          </w:p>
        </w:tc>
        <w:tc>
          <w:tcPr>
            <w:tcW w:w="496" w:type="pct"/>
            <w:tcBorders>
              <w:top w:val="single" w:sz="7" w:space="0" w:color="D3D3D3"/>
              <w:left w:val="single" w:sz="7" w:space="0" w:color="D3D3D3"/>
              <w:bottom w:val="single" w:sz="7" w:space="0" w:color="D3D3D3"/>
              <w:right w:val="single" w:sz="7" w:space="0" w:color="D3D3D3"/>
            </w:tcBorders>
            <w:shd w:val="clear" w:color="auto" w:fill="6E9ECA"/>
            <w:hideMark/>
          </w:tcPr>
          <w:p w14:paraId="7D4A7F75"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1.891</w:t>
            </w:r>
          </w:p>
        </w:tc>
      </w:tr>
      <w:tr w:rsidR="00287772" w:rsidRPr="009E1B38" w14:paraId="7D4A7F7E" w14:textId="77777777" w:rsidTr="00483BD1">
        <w:trPr>
          <w:trHeight w:val="340"/>
        </w:trPr>
        <w:tc>
          <w:tcPr>
            <w:tcW w:w="1284" w:type="pct"/>
            <w:gridSpan w:val="2"/>
            <w:shd w:val="clear" w:color="auto" w:fill="6E9ECA"/>
            <w:vAlign w:val="center"/>
            <w:hideMark/>
          </w:tcPr>
          <w:p w14:paraId="7D4A7F77" w14:textId="48566087" w:rsidR="00FD3B66" w:rsidRPr="009E1B38" w:rsidRDefault="00483BD1" w:rsidP="00FD3B66">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G</w:t>
            </w:r>
            <w:r w:rsidR="00C4788A" w:rsidRPr="009E1B38">
              <w:rPr>
                <w:rFonts w:ascii="Times New Roman" w:eastAsia="Times New Roman" w:hAnsi="Times New Roman"/>
                <w:b/>
                <w:bCs/>
                <w:color w:val="000000"/>
                <w:lang w:eastAsia="tr-TR"/>
              </w:rPr>
              <w:t>eneral</w:t>
            </w:r>
            <w:r w:rsidR="00FD3B66" w:rsidRPr="009E1B38">
              <w:rPr>
                <w:rFonts w:ascii="Times New Roman" w:eastAsia="Times New Roman" w:hAnsi="Times New Roman"/>
                <w:b/>
                <w:bCs/>
                <w:color w:val="000000"/>
                <w:lang w:eastAsia="tr-TR"/>
              </w:rPr>
              <w:t xml:space="preserve"> To</w:t>
            </w:r>
            <w:r w:rsidR="00C4788A" w:rsidRPr="009E1B38">
              <w:rPr>
                <w:rFonts w:ascii="Times New Roman" w:eastAsia="Times New Roman" w:hAnsi="Times New Roman"/>
                <w:b/>
                <w:bCs/>
                <w:color w:val="000000"/>
                <w:lang w:eastAsia="tr-TR"/>
              </w:rPr>
              <w:t>tal</w:t>
            </w:r>
          </w:p>
        </w:tc>
        <w:tc>
          <w:tcPr>
            <w:tcW w:w="517" w:type="pct"/>
            <w:tcBorders>
              <w:top w:val="single" w:sz="7" w:space="0" w:color="D3D3D3"/>
              <w:left w:val="single" w:sz="7" w:space="0" w:color="D3D3D3"/>
              <w:bottom w:val="single" w:sz="7" w:space="0" w:color="D3D3D3"/>
              <w:right w:val="single" w:sz="7" w:space="0" w:color="D3D3D3"/>
            </w:tcBorders>
            <w:shd w:val="clear" w:color="auto" w:fill="6E9ECA"/>
            <w:hideMark/>
          </w:tcPr>
          <w:p w14:paraId="7D4A7F78"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3.785,91</w:t>
            </w:r>
          </w:p>
        </w:tc>
        <w:tc>
          <w:tcPr>
            <w:tcW w:w="489" w:type="pct"/>
            <w:tcBorders>
              <w:top w:val="single" w:sz="7" w:space="0" w:color="D3D3D3"/>
              <w:left w:val="single" w:sz="7" w:space="0" w:color="D3D3D3"/>
              <w:bottom w:val="single" w:sz="7" w:space="0" w:color="D3D3D3"/>
              <w:right w:val="single" w:sz="7" w:space="0" w:color="D3D3D3"/>
            </w:tcBorders>
            <w:shd w:val="clear" w:color="auto" w:fill="6E9ECA"/>
            <w:hideMark/>
          </w:tcPr>
          <w:p w14:paraId="7D4A7F79"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5.245,04</w:t>
            </w:r>
          </w:p>
        </w:tc>
        <w:tc>
          <w:tcPr>
            <w:tcW w:w="989" w:type="pct"/>
            <w:tcBorders>
              <w:top w:val="single" w:sz="7" w:space="0" w:color="D3D3D3"/>
              <w:left w:val="single" w:sz="7" w:space="0" w:color="D3D3D3"/>
              <w:bottom w:val="single" w:sz="7" w:space="0" w:color="D3D3D3"/>
              <w:right w:val="single" w:sz="7" w:space="0" w:color="D3D3D3"/>
            </w:tcBorders>
            <w:shd w:val="clear" w:color="auto" w:fill="6E9ECA"/>
            <w:hideMark/>
          </w:tcPr>
          <w:p w14:paraId="7D4A7F7A"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9.406,51</w:t>
            </w:r>
          </w:p>
        </w:tc>
        <w:tc>
          <w:tcPr>
            <w:tcW w:w="497" w:type="pct"/>
            <w:tcBorders>
              <w:top w:val="single" w:sz="7" w:space="0" w:color="D3D3D3"/>
              <w:left w:val="single" w:sz="7" w:space="0" w:color="D3D3D3"/>
              <w:bottom w:val="single" w:sz="7" w:space="0" w:color="D3D3D3"/>
              <w:right w:val="single" w:sz="7" w:space="0" w:color="D3D3D3"/>
            </w:tcBorders>
            <w:shd w:val="clear" w:color="auto" w:fill="6E9ECA"/>
            <w:hideMark/>
          </w:tcPr>
          <w:p w14:paraId="7D4A7F7B"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85,94</w:t>
            </w:r>
          </w:p>
        </w:tc>
        <w:tc>
          <w:tcPr>
            <w:tcW w:w="727" w:type="pct"/>
            <w:tcBorders>
              <w:top w:val="single" w:sz="7" w:space="0" w:color="D3D3D3"/>
              <w:left w:val="single" w:sz="7" w:space="0" w:color="D3D3D3"/>
              <w:bottom w:val="single" w:sz="7" w:space="0" w:color="D3D3D3"/>
              <w:right w:val="single" w:sz="7" w:space="0" w:color="D3D3D3"/>
            </w:tcBorders>
            <w:shd w:val="clear" w:color="auto" w:fill="6E9ECA"/>
            <w:hideMark/>
          </w:tcPr>
          <w:p w14:paraId="7D4A7F7C"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118.053,44</w:t>
            </w:r>
          </w:p>
        </w:tc>
        <w:tc>
          <w:tcPr>
            <w:tcW w:w="496" w:type="pct"/>
            <w:tcBorders>
              <w:top w:val="single" w:sz="7" w:space="0" w:color="D3D3D3"/>
              <w:left w:val="single" w:sz="7" w:space="0" w:color="D3D3D3"/>
              <w:bottom w:val="single" w:sz="7" w:space="0" w:color="D3D3D3"/>
              <w:right w:val="single" w:sz="7" w:space="0" w:color="D3D3D3"/>
            </w:tcBorders>
            <w:shd w:val="clear" w:color="auto" w:fill="6E9ECA"/>
            <w:hideMark/>
          </w:tcPr>
          <w:p w14:paraId="7D4A7F7D" w14:textId="77777777" w:rsidR="00FD3B66" w:rsidRPr="009E1B38" w:rsidRDefault="00FD3B66" w:rsidP="00FD3B66">
            <w:pPr>
              <w:spacing w:after="0" w:line="240" w:lineRule="auto"/>
              <w:jc w:val="right"/>
              <w:rPr>
                <w:rFonts w:ascii="Times New Roman" w:eastAsia="Times New Roman" w:hAnsi="Times New Roman"/>
                <w:b/>
                <w:bCs/>
                <w:color w:val="000000"/>
                <w:lang w:eastAsia="tr-TR"/>
              </w:rPr>
            </w:pPr>
            <w:r w:rsidRPr="009E1B38">
              <w:rPr>
                <w:rFonts w:ascii="Times New Roman" w:eastAsia="Arial" w:hAnsi="Times New Roman"/>
                <w:b/>
                <w:color w:val="000000"/>
              </w:rPr>
              <w:t>2.122</w:t>
            </w:r>
          </w:p>
        </w:tc>
      </w:tr>
    </w:tbl>
    <w:p w14:paraId="7D4A7F7F" w14:textId="77777777" w:rsidR="003E6FB0" w:rsidRPr="009E1B38" w:rsidRDefault="003E6FB0" w:rsidP="003E6FB0">
      <w:pPr>
        <w:rPr>
          <w:rFonts w:ascii="Times New Roman" w:hAnsi="Times New Roman"/>
        </w:rPr>
      </w:pPr>
    </w:p>
    <w:p w14:paraId="7D4A7F80" w14:textId="22C9649F" w:rsidR="00CB5826" w:rsidRPr="009E1B38" w:rsidRDefault="00807E60" w:rsidP="003C5E4D">
      <w:pPr>
        <w:pStyle w:val="Balk3"/>
        <w:numPr>
          <w:ilvl w:val="2"/>
          <w:numId w:val="7"/>
        </w:numPr>
        <w:spacing w:after="240"/>
        <w:rPr>
          <w:rFonts w:ascii="Times New Roman" w:hAnsi="Times New Roman" w:cs="Times New Roman"/>
          <w:color w:val="auto"/>
          <w:sz w:val="24"/>
          <w:szCs w:val="24"/>
        </w:rPr>
      </w:pPr>
      <w:bookmarkStart w:id="110" w:name="_Toc113615335"/>
      <w:r w:rsidRPr="009E1B38">
        <w:rPr>
          <w:rFonts w:ascii="Times New Roman" w:hAnsi="Times New Roman" w:cs="Times New Roman"/>
          <w:color w:val="auto"/>
          <w:sz w:val="24"/>
          <w:szCs w:val="24"/>
        </w:rPr>
        <w:t>Import and Export Permits</w:t>
      </w:r>
      <w:bookmarkEnd w:id="110"/>
    </w:p>
    <w:p w14:paraId="7AC84749" w14:textId="6F18D649" w:rsidR="00E72A38" w:rsidRPr="009E1B38" w:rsidRDefault="00E72A38" w:rsidP="00B606BE">
      <w:pPr>
        <w:tabs>
          <w:tab w:val="left" w:pos="284"/>
          <w:tab w:val="left" w:pos="567"/>
          <w:tab w:val="left" w:pos="709"/>
          <w:tab w:val="left" w:pos="851"/>
        </w:tabs>
        <w:spacing w:after="0"/>
        <w:jc w:val="left"/>
        <w:rPr>
          <w:rFonts w:ascii="Times New Roman" w:hAnsi="Times New Roman"/>
          <w:sz w:val="24"/>
          <w:szCs w:val="24"/>
        </w:rPr>
      </w:pPr>
      <w:r w:rsidRPr="009E1B38">
        <w:rPr>
          <w:rFonts w:ascii="Times New Roman" w:eastAsia="Times New Roman" w:hAnsi="Times New Roman"/>
          <w:sz w:val="24"/>
          <w:szCs w:val="24"/>
          <w:lang w:eastAsia="tr-TR"/>
        </w:rPr>
        <w:t xml:space="preserve">Import and/or export of legal entities holding a supply license; Legal entities holding a production license can also engage in export activities. </w:t>
      </w:r>
      <w:r w:rsidR="00E46E71" w:rsidRPr="009E1B38">
        <w:rPr>
          <w:rFonts w:ascii="Times New Roman" w:eastAsia="Times New Roman" w:hAnsi="Times New Roman"/>
          <w:sz w:val="24"/>
          <w:szCs w:val="24"/>
          <w:lang w:eastAsia="tr-TR"/>
        </w:rPr>
        <w:t>I</w:t>
      </w:r>
      <w:r w:rsidRPr="009E1B38">
        <w:rPr>
          <w:rFonts w:ascii="Times New Roman" w:eastAsia="Times New Roman" w:hAnsi="Times New Roman"/>
          <w:sz w:val="24"/>
          <w:szCs w:val="24"/>
          <w:lang w:eastAsia="tr-TR"/>
        </w:rPr>
        <w:t>n this context;</w:t>
      </w:r>
      <w:r w:rsidRPr="009E1B38">
        <w:rPr>
          <w:rFonts w:ascii="Times New Roman" w:eastAsia="Times New Roman" w:hAnsi="Times New Roman"/>
          <w:sz w:val="24"/>
          <w:szCs w:val="24"/>
          <w:lang w:eastAsia="tr-TR"/>
        </w:rPr>
        <w:br/>
      </w:r>
    </w:p>
    <w:p w14:paraId="7D4A7F83" w14:textId="5C79DD09" w:rsidR="00CB5826" w:rsidRPr="009E1B38" w:rsidRDefault="000A1FA3" w:rsidP="003C5E4D">
      <w:pPr>
        <w:pStyle w:val="ListeParagraf"/>
        <w:numPr>
          <w:ilvl w:val="0"/>
          <w:numId w:val="6"/>
        </w:numPr>
        <w:tabs>
          <w:tab w:val="left" w:pos="284"/>
          <w:tab w:val="left" w:pos="567"/>
          <w:tab w:val="left" w:pos="709"/>
          <w:tab w:val="left" w:pos="851"/>
        </w:tabs>
        <w:spacing w:after="0"/>
        <w:rPr>
          <w:rFonts w:ascii="Times New Roman" w:hAnsi="Times New Roman"/>
          <w:sz w:val="24"/>
          <w:szCs w:val="24"/>
        </w:rPr>
      </w:pPr>
      <w:r w:rsidRPr="009E1B38">
        <w:rPr>
          <w:rFonts w:ascii="Times New Roman" w:hAnsi="Times New Roman"/>
          <w:sz w:val="24"/>
          <w:szCs w:val="24"/>
        </w:rPr>
        <w:t xml:space="preserve">   </w:t>
      </w:r>
      <w:r w:rsidR="004158EF" w:rsidRPr="009E1B38">
        <w:rPr>
          <w:rFonts w:ascii="Times New Roman" w:hAnsi="Times New Roman"/>
          <w:sz w:val="24"/>
          <w:szCs w:val="24"/>
        </w:rPr>
        <w:t xml:space="preserve">   “Law No. 6490 on Approval of the Agreement on Cross-Border Electricity Trade between the Republic of </w:t>
      </w:r>
      <w:r w:rsidR="0082470D" w:rsidRPr="009E1B38">
        <w:rPr>
          <w:rFonts w:ascii="Times New Roman" w:hAnsi="Times New Roman"/>
          <w:sz w:val="24"/>
          <w:szCs w:val="24"/>
        </w:rPr>
        <w:t>Türkiye</w:t>
      </w:r>
      <w:r w:rsidR="004158EF" w:rsidRPr="009E1B38">
        <w:rPr>
          <w:rFonts w:ascii="Times New Roman" w:hAnsi="Times New Roman"/>
          <w:sz w:val="24"/>
          <w:szCs w:val="24"/>
        </w:rPr>
        <w:t xml:space="preserve"> and Georgia through the Meskhetian-Borçka Interconnection Line”, which was published in the Official Gazette dated 11.06.2013 and numbered 28674, and signed between the Ministries of Energy of </w:t>
      </w:r>
      <w:r w:rsidR="0082470D" w:rsidRPr="009E1B38">
        <w:rPr>
          <w:rFonts w:ascii="Times New Roman" w:hAnsi="Times New Roman"/>
          <w:sz w:val="24"/>
          <w:szCs w:val="24"/>
        </w:rPr>
        <w:t>Türkiye</w:t>
      </w:r>
      <w:r w:rsidR="004158EF" w:rsidRPr="009E1B38">
        <w:rPr>
          <w:rFonts w:ascii="Times New Roman" w:hAnsi="Times New Roman"/>
          <w:sz w:val="24"/>
          <w:szCs w:val="24"/>
        </w:rPr>
        <w:t xml:space="preserve"> and Georgia on 20.01.2012 İn any case, the company to which the PPP will be allocated will be determined by the exporting country. Article 4, titled “Capacity Allocation”, of the Interconnection Operation Agreement dated </w:t>
      </w:r>
      <w:r w:rsidR="004158EF" w:rsidRPr="009E1B38">
        <w:rPr>
          <w:rFonts w:ascii="Times New Roman" w:hAnsi="Times New Roman"/>
          <w:sz w:val="24"/>
          <w:szCs w:val="24"/>
        </w:rPr>
        <w:lastRenderedPageBreak/>
        <w:t xml:space="preserve">19.09.2013 signed between TEİAŞ General Directorate and Georgia Electricity Company (GSE), which entered into force with the decision of the TEİAŞ Board of Directors dated 11.09.2013 and numbered 31-429. Pursuant to the provision "the electricity exporting Party shall make the capacity allocation" in the clause. License amendment transactions to be made by the Authority regarding the importation of electrical energy by asynchronous parallel operation method over the existing Borcka-Akhaltsikhe energy transmission line between </w:t>
      </w:r>
      <w:r w:rsidR="0082470D" w:rsidRPr="009E1B38">
        <w:rPr>
          <w:rFonts w:ascii="Times New Roman" w:hAnsi="Times New Roman"/>
          <w:sz w:val="24"/>
          <w:szCs w:val="24"/>
        </w:rPr>
        <w:t>Türkiye</w:t>
      </w:r>
      <w:r w:rsidR="004158EF" w:rsidRPr="009E1B38">
        <w:rPr>
          <w:rFonts w:ascii="Times New Roman" w:hAnsi="Times New Roman"/>
          <w:sz w:val="24"/>
          <w:szCs w:val="24"/>
        </w:rPr>
        <w:t xml:space="preserve"> and Georgia are established within this scope.</w:t>
      </w:r>
    </w:p>
    <w:p w14:paraId="7D4A7F84" w14:textId="77777777" w:rsidR="008E498A" w:rsidRPr="009E1B38" w:rsidRDefault="008E498A" w:rsidP="008E498A">
      <w:pPr>
        <w:pStyle w:val="ListeParagraf"/>
        <w:tabs>
          <w:tab w:val="left" w:pos="284"/>
          <w:tab w:val="left" w:pos="567"/>
          <w:tab w:val="left" w:pos="709"/>
          <w:tab w:val="left" w:pos="851"/>
        </w:tabs>
        <w:spacing w:after="0"/>
        <w:rPr>
          <w:rFonts w:ascii="Times New Roman" w:hAnsi="Times New Roman"/>
          <w:sz w:val="24"/>
          <w:szCs w:val="24"/>
        </w:rPr>
      </w:pPr>
    </w:p>
    <w:p w14:paraId="7D4A7F85" w14:textId="0C3B6406" w:rsidR="00CB5826" w:rsidRPr="009E1B38" w:rsidRDefault="00B606BE" w:rsidP="003C5E4D">
      <w:pPr>
        <w:pStyle w:val="ListeParagraf"/>
        <w:numPr>
          <w:ilvl w:val="0"/>
          <w:numId w:val="6"/>
        </w:numPr>
        <w:rPr>
          <w:rFonts w:ascii="Times New Roman" w:hAnsi="Times New Roman"/>
        </w:rPr>
      </w:pPr>
      <w:r w:rsidRPr="009E1B38">
        <w:rPr>
          <w:rFonts w:ascii="Times New Roman" w:hAnsi="Times New Roman"/>
          <w:sz w:val="24"/>
          <w:szCs w:val="24"/>
        </w:rPr>
        <w:t xml:space="preserve">   In addition, as a result of the synchronous parallel connection of the Turkish electricity system with the ENTSO-E European Continent Synchronous Zone system initiated on 18.09.2010, in line with the EU rules and ENTSO-E practices between Bulgaria, Greece and </w:t>
      </w:r>
      <w:r w:rsidR="0082470D" w:rsidRPr="009E1B38">
        <w:rPr>
          <w:rFonts w:ascii="Times New Roman" w:hAnsi="Times New Roman"/>
          <w:sz w:val="24"/>
          <w:szCs w:val="24"/>
        </w:rPr>
        <w:t>Türkiye</w:t>
      </w:r>
      <w:r w:rsidRPr="009E1B38">
        <w:rPr>
          <w:rFonts w:ascii="Times New Roman" w:hAnsi="Times New Roman"/>
          <w:sz w:val="24"/>
          <w:szCs w:val="24"/>
        </w:rPr>
        <w:t xml:space="preserve">, Turkish electricity system and ENTSO-E European Continent Synchronous A limited amount of capacity allocation is allowed for commercial electrical energy exchange between the regions. In this framework, capacity allocations, which will form the basis of trade with the ENTSO-E region, are realized in two ways. First, a tender is held for the </w:t>
      </w:r>
      <w:r w:rsidR="0082470D" w:rsidRPr="009E1B38">
        <w:rPr>
          <w:rFonts w:ascii="Times New Roman" w:hAnsi="Times New Roman"/>
          <w:sz w:val="24"/>
          <w:szCs w:val="24"/>
        </w:rPr>
        <w:t>Türkiye</w:t>
      </w:r>
      <w:r w:rsidRPr="009E1B38">
        <w:rPr>
          <w:rFonts w:ascii="Times New Roman" w:hAnsi="Times New Roman"/>
          <w:sz w:val="24"/>
          <w:szCs w:val="24"/>
        </w:rPr>
        <w:t xml:space="preserve">-Greece line within the scope of the Southeastern Europe Coordinated Tender Office (SEE CAO), and the participants with a capacity demand participate in this tender. The related regulation amendment was made on 28.12.2014 and the tender rules to be applied by SEE CAO were accepted and approved with the Board Decision dated 08.01.2015. The capacity allocation of </w:t>
      </w:r>
      <w:r w:rsidR="0082470D" w:rsidRPr="009E1B38">
        <w:rPr>
          <w:rFonts w:ascii="Times New Roman" w:hAnsi="Times New Roman"/>
          <w:sz w:val="24"/>
          <w:szCs w:val="24"/>
        </w:rPr>
        <w:t>Türkiye</w:t>
      </w:r>
      <w:r w:rsidRPr="009E1B38">
        <w:rPr>
          <w:rFonts w:ascii="Times New Roman" w:hAnsi="Times New Roman"/>
          <w:sz w:val="24"/>
          <w:szCs w:val="24"/>
        </w:rPr>
        <w:t xml:space="preserve">-Bulgaria interconnection line, which is the other synchronous parallel line with the ENTSO-E region, continues to be made by the transmission system operators of </w:t>
      </w:r>
      <w:r w:rsidR="0082470D" w:rsidRPr="009E1B38">
        <w:rPr>
          <w:rFonts w:ascii="Times New Roman" w:hAnsi="Times New Roman"/>
          <w:sz w:val="24"/>
          <w:szCs w:val="24"/>
        </w:rPr>
        <w:t>Türkiye</w:t>
      </w:r>
      <w:r w:rsidRPr="009E1B38">
        <w:rPr>
          <w:rFonts w:ascii="Times New Roman" w:hAnsi="Times New Roman"/>
          <w:sz w:val="24"/>
          <w:szCs w:val="24"/>
        </w:rPr>
        <w:t xml:space="preserve"> and Bulgaria in line with the Regulation and approved procedures and principles. Up-to-date information on the said Line capacity allocation is published at https://tcat.teias.gov.tr/. As of 202</w:t>
      </w:r>
      <w:r w:rsidR="003B2EAE" w:rsidRPr="009E1B38">
        <w:rPr>
          <w:rFonts w:ascii="Times New Roman" w:hAnsi="Times New Roman"/>
          <w:sz w:val="24"/>
          <w:szCs w:val="24"/>
        </w:rPr>
        <w:t>1</w:t>
      </w:r>
      <w:r w:rsidRPr="009E1B38">
        <w:rPr>
          <w:rFonts w:ascii="Times New Roman" w:hAnsi="Times New Roman"/>
          <w:sz w:val="24"/>
          <w:szCs w:val="24"/>
        </w:rPr>
        <w:t>, the application of permits continues.</w:t>
      </w:r>
      <w:r w:rsidR="00175DF4" w:rsidRPr="009E1B38">
        <w:rPr>
          <w:rFonts w:ascii="Times New Roman" w:hAnsi="Times New Roman"/>
        </w:rPr>
        <w:br w:type="page"/>
      </w:r>
    </w:p>
    <w:p w14:paraId="7D4A7F86" w14:textId="5F70AC70" w:rsidR="00CB5826" w:rsidRPr="009E1B38" w:rsidRDefault="00DF39FF" w:rsidP="003C5E4D">
      <w:pPr>
        <w:pStyle w:val="Balk2"/>
        <w:numPr>
          <w:ilvl w:val="1"/>
          <w:numId w:val="53"/>
        </w:numPr>
        <w:rPr>
          <w:rFonts w:cs="Times New Roman"/>
          <w:szCs w:val="24"/>
        </w:rPr>
      </w:pPr>
      <w:bookmarkStart w:id="111" w:name="_Toc113615336"/>
      <w:r w:rsidRPr="009E1B38">
        <w:rPr>
          <w:rFonts w:cs="Times New Roman"/>
          <w:szCs w:val="24"/>
        </w:rPr>
        <w:lastRenderedPageBreak/>
        <w:t>Natural Gas Market Licensing and Certification Activities</w:t>
      </w:r>
      <w:bookmarkEnd w:id="111"/>
    </w:p>
    <w:p w14:paraId="7D4A7F87" w14:textId="1D95DABB" w:rsidR="00CB5826" w:rsidRPr="009E1B38" w:rsidRDefault="00C221F2" w:rsidP="00DA77FD">
      <w:pPr>
        <w:pStyle w:val="Balk3"/>
        <w:spacing w:after="240"/>
        <w:rPr>
          <w:rFonts w:ascii="Times New Roman" w:hAnsi="Times New Roman" w:cs="Times New Roman"/>
          <w:color w:val="auto"/>
          <w:sz w:val="24"/>
          <w:szCs w:val="24"/>
        </w:rPr>
      </w:pPr>
      <w:bookmarkStart w:id="112" w:name="_Toc442431259"/>
      <w:bookmarkStart w:id="113" w:name="_Toc113615337"/>
      <w:r w:rsidRPr="009E1B38">
        <w:rPr>
          <w:rFonts w:ascii="Times New Roman" w:hAnsi="Times New Roman" w:cs="Times New Roman"/>
          <w:color w:val="auto"/>
          <w:sz w:val="24"/>
          <w:szCs w:val="24"/>
        </w:rPr>
        <w:t>3</w:t>
      </w:r>
      <w:r w:rsidR="00DA77FD" w:rsidRPr="009E1B38">
        <w:rPr>
          <w:rFonts w:ascii="Times New Roman" w:hAnsi="Times New Roman" w:cs="Times New Roman"/>
          <w:color w:val="auto"/>
          <w:sz w:val="24"/>
          <w:szCs w:val="24"/>
        </w:rPr>
        <w:t>.2.</w:t>
      </w:r>
      <w:r w:rsidR="00861F98" w:rsidRPr="009E1B38">
        <w:rPr>
          <w:rFonts w:ascii="Times New Roman" w:hAnsi="Times New Roman" w:cs="Times New Roman"/>
          <w:color w:val="auto"/>
          <w:sz w:val="24"/>
          <w:szCs w:val="24"/>
        </w:rPr>
        <w:t xml:space="preserve">1  </w:t>
      </w:r>
      <w:r w:rsidR="00CB5826" w:rsidRPr="009E1B38">
        <w:rPr>
          <w:rFonts w:ascii="Times New Roman" w:hAnsi="Times New Roman" w:cs="Times New Roman"/>
          <w:color w:val="auto"/>
          <w:sz w:val="24"/>
          <w:szCs w:val="24"/>
        </w:rPr>
        <w:t>Li</w:t>
      </w:r>
      <w:bookmarkEnd w:id="112"/>
      <w:r w:rsidR="000844C2" w:rsidRPr="009E1B38">
        <w:rPr>
          <w:rFonts w:ascii="Times New Roman" w:hAnsi="Times New Roman" w:cs="Times New Roman"/>
          <w:color w:val="auto"/>
          <w:sz w:val="24"/>
          <w:szCs w:val="24"/>
        </w:rPr>
        <w:t>cense Transactions</w:t>
      </w:r>
      <w:bookmarkEnd w:id="113"/>
    </w:p>
    <w:p w14:paraId="2AB0F916" w14:textId="77777777" w:rsidR="006B49E9" w:rsidRPr="009E1B38" w:rsidRDefault="006B49E9" w:rsidP="006B49E9">
      <w:pPr>
        <w:rPr>
          <w:rFonts w:ascii="Times New Roman" w:hAnsi="Times New Roman"/>
        </w:rPr>
      </w:pPr>
      <w:r w:rsidRPr="009E1B38">
        <w:rPr>
          <w:rFonts w:ascii="Times New Roman" w:hAnsi="Times New Roman"/>
        </w:rPr>
        <w:t>Market activities are defined in Article 4 of the Natural Gas Market Law No. 4646 and it is stipulated that the legal entities that will engage in market activities must obtain the necessary licenses. The production of natural gas is not foreseen as a market activity and is carried out within the framework of the licenses obtained under the Turkish Petroleum Law No. 6491. However, companies producing natural gas must obtain a wholesale and/or export license within the framework of Law No. 4646 in order to sell the natural gas they produce.</w:t>
      </w:r>
    </w:p>
    <w:p w14:paraId="62507C2F" w14:textId="77777777" w:rsidR="006B49E9" w:rsidRPr="009E1B38" w:rsidRDefault="006B49E9" w:rsidP="006B49E9">
      <w:pPr>
        <w:rPr>
          <w:rFonts w:ascii="Times New Roman" w:hAnsi="Times New Roman"/>
        </w:rPr>
      </w:pPr>
      <w:r w:rsidRPr="009E1B38">
        <w:rPr>
          <w:rFonts w:ascii="Times New Roman" w:hAnsi="Times New Roman"/>
        </w:rPr>
        <w:t>The procedures and principles regarding the licenses to be granted for natural gas market activities are regulated in the Natural Gas Market License Regulation. Licenses are issued for a period of at least ten and at most thirty years at a time.</w:t>
      </w:r>
    </w:p>
    <w:p w14:paraId="7D4A7F8D" w14:textId="0C5C3B1E" w:rsidR="00774D75" w:rsidRPr="009E1B38" w:rsidRDefault="006B49E9" w:rsidP="006B49E9">
      <w:pPr>
        <w:rPr>
          <w:rFonts w:ascii="Times New Roman" w:hAnsi="Times New Roman"/>
        </w:rPr>
      </w:pPr>
      <w:r w:rsidRPr="009E1B38">
        <w:rPr>
          <w:rFonts w:ascii="Times New Roman" w:hAnsi="Times New Roman"/>
        </w:rPr>
        <w:t>Licenses granted by the Authority according to their fields of activity; İmport License, Export License, Wholesale License, Storage License, Transmission License, Compressed Natural Gas (CNG) License and Distribution License.</w:t>
      </w:r>
    </w:p>
    <w:p w14:paraId="311AA622" w14:textId="77777777" w:rsidR="00834FEA" w:rsidRPr="009E1B38" w:rsidRDefault="00834FEA" w:rsidP="003F0CCE">
      <w:pPr>
        <w:rPr>
          <w:rFonts w:ascii="Times New Roman" w:hAnsi="Times New Roman"/>
        </w:rPr>
      </w:pPr>
      <w:bookmarkStart w:id="114" w:name="_Toc416447580"/>
      <w:bookmarkStart w:id="115" w:name="_Toc442441732"/>
      <w:r w:rsidRPr="009E1B38">
        <w:rPr>
          <w:rFonts w:ascii="Times New Roman" w:hAnsi="Times New Roman"/>
        </w:rPr>
        <w:t>There are eight storage licenses, four of which are underground and four of which are LNG terminals, issued by the Authority. As of the end of 2021, the actual underground storage capacity has reached 3,991 billion m3 within the scope of the given underground storage licenses.</w:t>
      </w:r>
    </w:p>
    <w:p w14:paraId="7D4A7F8F" w14:textId="3736AFA9" w:rsidR="00CB5826" w:rsidRPr="009E1B38" w:rsidRDefault="00CB5826" w:rsidP="003F0CCE">
      <w:pPr>
        <w:pStyle w:val="Balk5"/>
        <w:jc w:val="center"/>
        <w:rPr>
          <w:rStyle w:val="Gl"/>
          <w:rFonts w:ascii="Times New Roman" w:hAnsi="Times New Roman" w:cs="Times New Roman"/>
          <w:b/>
          <w:bCs w:val="0"/>
        </w:rPr>
      </w:pPr>
      <w:bookmarkStart w:id="116" w:name="_Toc107499501"/>
      <w:bookmarkEnd w:id="114"/>
      <w:bookmarkEnd w:id="115"/>
      <w:r w:rsidRPr="009E1B38">
        <w:rPr>
          <w:rStyle w:val="Gl"/>
          <w:rFonts w:ascii="Times New Roman" w:hAnsi="Times New Roman" w:cs="Times New Roman"/>
          <w:b/>
          <w:bCs w:val="0"/>
        </w:rPr>
        <w:t>Tabl</w:t>
      </w:r>
      <w:r w:rsidR="005E7E2C" w:rsidRPr="009E1B38">
        <w:rPr>
          <w:rStyle w:val="Gl"/>
          <w:rFonts w:ascii="Times New Roman" w:hAnsi="Times New Roman" w:cs="Times New Roman"/>
          <w:b/>
          <w:bCs w:val="0"/>
        </w:rPr>
        <w:t>e</w:t>
      </w:r>
      <w:r w:rsidRPr="009E1B38">
        <w:rPr>
          <w:rStyle w:val="Gl"/>
          <w:rFonts w:ascii="Times New Roman" w:hAnsi="Times New Roman" w:cs="Times New Roman"/>
          <w:b/>
          <w:bCs w:val="0"/>
        </w:rPr>
        <w:t xml:space="preserve"> </w:t>
      </w:r>
      <w:r w:rsidR="000A02ED" w:rsidRPr="009E1B38">
        <w:rPr>
          <w:rFonts w:ascii="Times New Roman" w:hAnsi="Times New Roman" w:cs="Times New Roman"/>
        </w:rPr>
        <w:t>3</w:t>
      </w:r>
      <w:r w:rsidR="000A02ED" w:rsidRPr="009E1B38">
        <w:rPr>
          <w:rStyle w:val="Gl"/>
          <w:rFonts w:ascii="Times New Roman" w:hAnsi="Times New Roman" w:cs="Times New Roman"/>
          <w:b/>
          <w:bCs w:val="0"/>
        </w:rPr>
        <w:t>.3</w:t>
      </w:r>
      <w:r w:rsidR="008E498A" w:rsidRPr="009E1B38">
        <w:rPr>
          <w:rStyle w:val="Gl"/>
          <w:rFonts w:ascii="Times New Roman" w:hAnsi="Times New Roman" w:cs="Times New Roman"/>
          <w:b/>
          <w:bCs w:val="0"/>
        </w:rPr>
        <w:t xml:space="preserve">: </w:t>
      </w:r>
      <w:r w:rsidR="00941C2E" w:rsidRPr="009E1B38">
        <w:rPr>
          <w:rStyle w:val="Gl"/>
          <w:rFonts w:ascii="Times New Roman" w:hAnsi="Times New Roman" w:cs="Times New Roman"/>
          <w:b/>
          <w:bCs w:val="0"/>
        </w:rPr>
        <w:t>License Transactions in the Natural Gas Market in 2020 (Number)</w:t>
      </w:r>
      <w:bookmarkEnd w:id="116"/>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42"/>
        <w:gridCol w:w="1043"/>
        <w:gridCol w:w="1036"/>
        <w:gridCol w:w="1992"/>
        <w:gridCol w:w="1040"/>
        <w:gridCol w:w="1160"/>
        <w:gridCol w:w="1040"/>
        <w:gridCol w:w="1209"/>
      </w:tblGrid>
      <w:tr w:rsidR="00263DC6" w:rsidRPr="009E1B38" w14:paraId="7D4A7F98" w14:textId="77777777" w:rsidTr="00F34EDA">
        <w:trPr>
          <w:trHeight w:val="340"/>
          <w:jc w:val="center"/>
        </w:trPr>
        <w:tc>
          <w:tcPr>
            <w:tcW w:w="766" w:type="pct"/>
            <w:shd w:val="clear" w:color="000000" w:fill="6E9ECA"/>
            <w:vAlign w:val="center"/>
            <w:hideMark/>
          </w:tcPr>
          <w:p w14:paraId="7D4A7F90" w14:textId="738C2A12" w:rsidR="00263DC6" w:rsidRPr="009E1B38" w:rsidRDefault="00345F13"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 Type</w:t>
            </w:r>
          </w:p>
        </w:tc>
        <w:tc>
          <w:tcPr>
            <w:tcW w:w="518" w:type="pct"/>
            <w:shd w:val="clear" w:color="000000" w:fill="6E9ECA"/>
            <w:vAlign w:val="center"/>
            <w:hideMark/>
          </w:tcPr>
          <w:p w14:paraId="7D4A7F91" w14:textId="4C9D42B0" w:rsidR="00263DC6" w:rsidRPr="009E1B38" w:rsidRDefault="00345F13"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 Application</w:t>
            </w:r>
          </w:p>
        </w:tc>
        <w:tc>
          <w:tcPr>
            <w:tcW w:w="515" w:type="pct"/>
            <w:shd w:val="clear" w:color="000000" w:fill="6E9ECA"/>
            <w:vAlign w:val="center"/>
            <w:hideMark/>
          </w:tcPr>
          <w:p w14:paraId="7D4A7F92" w14:textId="486C9DFA" w:rsidR="00263DC6" w:rsidRPr="009E1B38" w:rsidRDefault="00345F13"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Granting the License</w:t>
            </w:r>
          </w:p>
        </w:tc>
        <w:tc>
          <w:tcPr>
            <w:tcW w:w="990" w:type="pct"/>
            <w:shd w:val="clear" w:color="000000" w:fill="6E9ECA"/>
            <w:vAlign w:val="center"/>
            <w:hideMark/>
          </w:tcPr>
          <w:p w14:paraId="7D4A7F93" w14:textId="2338A8AF" w:rsidR="00263DC6" w:rsidRPr="009E1B38" w:rsidRDefault="00345F13"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 Expiration/Termination</w:t>
            </w:r>
          </w:p>
        </w:tc>
        <w:tc>
          <w:tcPr>
            <w:tcW w:w="517" w:type="pct"/>
            <w:shd w:val="clear" w:color="000000" w:fill="6E9ECA"/>
            <w:vAlign w:val="center"/>
            <w:hideMark/>
          </w:tcPr>
          <w:p w14:paraId="139F9CFE" w14:textId="77777777" w:rsidR="00345F13" w:rsidRPr="009E1B38" w:rsidRDefault="00345F13" w:rsidP="00345F13">
            <w:pPr>
              <w:spacing w:after="0" w:line="240" w:lineRule="auto"/>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w:t>
            </w:r>
          </w:p>
          <w:p w14:paraId="7D4A7F94" w14:textId="6D566FF9" w:rsidR="00263DC6" w:rsidRPr="009E1B38" w:rsidRDefault="00345F13"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Revocation</w:t>
            </w:r>
          </w:p>
        </w:tc>
        <w:tc>
          <w:tcPr>
            <w:tcW w:w="576" w:type="pct"/>
            <w:shd w:val="clear" w:color="000000" w:fill="6E9ECA"/>
            <w:vAlign w:val="center"/>
            <w:hideMark/>
          </w:tcPr>
          <w:p w14:paraId="7D4A7F95" w14:textId="6A46485E" w:rsidR="00263DC6" w:rsidRPr="009E1B38" w:rsidRDefault="00345F13"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Number of Amendments</w:t>
            </w:r>
          </w:p>
        </w:tc>
        <w:tc>
          <w:tcPr>
            <w:tcW w:w="517" w:type="pct"/>
            <w:shd w:val="clear" w:color="000000" w:fill="6E9ECA"/>
            <w:vAlign w:val="center"/>
            <w:hideMark/>
          </w:tcPr>
          <w:p w14:paraId="7D4A7F96" w14:textId="0504BA73" w:rsidR="00263DC6" w:rsidRPr="009E1B38" w:rsidRDefault="00345F13"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Gr</w:t>
            </w:r>
            <w:r w:rsidRPr="009E1B38">
              <w:rPr>
                <w:rFonts w:ascii="Times New Roman" w:eastAsia="Times New Roman" w:hAnsi="Times New Roman"/>
                <w:color w:val="FFFFFF"/>
                <w:sz w:val="18"/>
                <w:szCs w:val="18"/>
                <w:lang w:eastAsia="tr-TR"/>
              </w:rPr>
              <w:t>and Total</w:t>
            </w:r>
          </w:p>
        </w:tc>
        <w:tc>
          <w:tcPr>
            <w:tcW w:w="601" w:type="pct"/>
            <w:shd w:val="clear" w:color="000000" w:fill="6E9ECA"/>
            <w:vAlign w:val="center"/>
            <w:hideMark/>
          </w:tcPr>
          <w:p w14:paraId="7D4A7F97" w14:textId="1AAF09D5" w:rsidR="00263DC6" w:rsidRPr="009E1B38" w:rsidRDefault="00345F13" w:rsidP="00263DC6">
            <w:pPr>
              <w:spacing w:after="0" w:line="240" w:lineRule="auto"/>
              <w:jc w:val="center"/>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Number of Licenses in Effect at the End of the Term</w:t>
            </w:r>
          </w:p>
        </w:tc>
      </w:tr>
      <w:tr w:rsidR="00F34E9C" w:rsidRPr="009E1B38" w14:paraId="7D4A7FA1" w14:textId="77777777" w:rsidTr="00F34EDA">
        <w:trPr>
          <w:trHeight w:val="340"/>
          <w:jc w:val="center"/>
        </w:trPr>
        <w:tc>
          <w:tcPr>
            <w:tcW w:w="766" w:type="pct"/>
            <w:shd w:val="clear" w:color="auto" w:fill="auto"/>
            <w:hideMark/>
          </w:tcPr>
          <w:p w14:paraId="7D4A7F99" w14:textId="0DFF44B6" w:rsidR="00F34E9C" w:rsidRPr="009E1B38" w:rsidRDefault="000E6185" w:rsidP="00F34E9C">
            <w:pPr>
              <w:spacing w:after="0" w:line="240" w:lineRule="auto"/>
              <w:rPr>
                <w:rFonts w:ascii="Times New Roman" w:eastAsia="Times New Roman" w:hAnsi="Times New Roman"/>
                <w:color w:val="000000"/>
                <w:lang w:eastAsia="tr-TR"/>
              </w:rPr>
            </w:pPr>
            <w:r w:rsidRPr="009E1B38">
              <w:rPr>
                <w:rFonts w:ascii="Times New Roman" w:hAnsi="Times New Roman"/>
              </w:rPr>
              <w:t>Distribution License</w:t>
            </w:r>
          </w:p>
        </w:tc>
        <w:tc>
          <w:tcPr>
            <w:tcW w:w="518" w:type="pct"/>
            <w:shd w:val="clear" w:color="auto" w:fill="auto"/>
            <w:vAlign w:val="center"/>
            <w:hideMark/>
          </w:tcPr>
          <w:p w14:paraId="7D4A7F9A"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15" w:type="pct"/>
            <w:shd w:val="clear" w:color="auto" w:fill="auto"/>
            <w:vAlign w:val="center"/>
            <w:hideMark/>
          </w:tcPr>
          <w:p w14:paraId="7D4A7F9B"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990" w:type="pct"/>
            <w:shd w:val="clear" w:color="auto" w:fill="auto"/>
            <w:vAlign w:val="center"/>
            <w:hideMark/>
          </w:tcPr>
          <w:p w14:paraId="7D4A7F9C"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17" w:type="pct"/>
            <w:shd w:val="clear" w:color="auto" w:fill="auto"/>
            <w:vAlign w:val="center"/>
            <w:hideMark/>
          </w:tcPr>
          <w:p w14:paraId="7D4A7F9D"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76" w:type="pct"/>
            <w:shd w:val="clear" w:color="auto" w:fill="auto"/>
            <w:vAlign w:val="center"/>
            <w:hideMark/>
          </w:tcPr>
          <w:p w14:paraId="7D4A7F9E"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31</w:t>
            </w:r>
          </w:p>
        </w:tc>
        <w:tc>
          <w:tcPr>
            <w:tcW w:w="517" w:type="pct"/>
            <w:shd w:val="clear" w:color="auto" w:fill="auto"/>
            <w:vAlign w:val="center"/>
            <w:hideMark/>
          </w:tcPr>
          <w:p w14:paraId="7D4A7F9F"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31</w:t>
            </w:r>
          </w:p>
        </w:tc>
        <w:tc>
          <w:tcPr>
            <w:tcW w:w="601" w:type="pct"/>
            <w:shd w:val="clear" w:color="auto" w:fill="auto"/>
            <w:vAlign w:val="center"/>
            <w:hideMark/>
          </w:tcPr>
          <w:p w14:paraId="7D4A7FA0" w14:textId="77777777" w:rsidR="00F34E9C" w:rsidRPr="009E1B38" w:rsidRDefault="00F34E9C"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72</w:t>
            </w:r>
          </w:p>
        </w:tc>
      </w:tr>
      <w:tr w:rsidR="00F34E9C" w:rsidRPr="009E1B38" w14:paraId="7D4A7FAA" w14:textId="77777777" w:rsidTr="00F34EDA">
        <w:trPr>
          <w:trHeight w:val="340"/>
          <w:jc w:val="center"/>
        </w:trPr>
        <w:tc>
          <w:tcPr>
            <w:tcW w:w="766" w:type="pct"/>
            <w:shd w:val="clear" w:color="auto" w:fill="auto"/>
            <w:hideMark/>
          </w:tcPr>
          <w:p w14:paraId="7D4A7FA2" w14:textId="15621BDA" w:rsidR="00F34E9C" w:rsidRPr="009E1B38" w:rsidRDefault="000E6185" w:rsidP="00F34E9C">
            <w:pPr>
              <w:spacing w:after="0" w:line="240" w:lineRule="auto"/>
              <w:rPr>
                <w:rFonts w:ascii="Times New Roman" w:eastAsia="Times New Roman" w:hAnsi="Times New Roman"/>
                <w:color w:val="000000"/>
                <w:lang w:eastAsia="tr-TR"/>
              </w:rPr>
            </w:pPr>
            <w:r w:rsidRPr="009E1B38">
              <w:rPr>
                <w:rFonts w:ascii="Times New Roman" w:hAnsi="Times New Roman"/>
              </w:rPr>
              <w:t>Storage License</w:t>
            </w:r>
          </w:p>
        </w:tc>
        <w:tc>
          <w:tcPr>
            <w:tcW w:w="518" w:type="pct"/>
            <w:shd w:val="clear" w:color="auto" w:fill="auto"/>
            <w:vAlign w:val="center"/>
            <w:hideMark/>
          </w:tcPr>
          <w:p w14:paraId="7D4A7FA3"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15" w:type="pct"/>
            <w:shd w:val="clear" w:color="auto" w:fill="auto"/>
            <w:vAlign w:val="center"/>
            <w:hideMark/>
          </w:tcPr>
          <w:p w14:paraId="7D4A7FA4"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990" w:type="pct"/>
            <w:shd w:val="clear" w:color="auto" w:fill="auto"/>
            <w:vAlign w:val="center"/>
            <w:hideMark/>
          </w:tcPr>
          <w:p w14:paraId="7D4A7FA5"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17" w:type="pct"/>
            <w:shd w:val="clear" w:color="auto" w:fill="auto"/>
            <w:vAlign w:val="center"/>
            <w:hideMark/>
          </w:tcPr>
          <w:p w14:paraId="7D4A7FA6"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76" w:type="pct"/>
            <w:shd w:val="clear" w:color="auto" w:fill="auto"/>
            <w:vAlign w:val="center"/>
            <w:hideMark/>
          </w:tcPr>
          <w:p w14:paraId="7D4A7FA7" w14:textId="77777777" w:rsidR="00F34E9C" w:rsidRPr="009E1B38" w:rsidRDefault="005030E7"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r w:rsidR="00F34E9C" w:rsidRPr="009E1B38">
              <w:rPr>
                <w:rFonts w:ascii="Times New Roman" w:hAnsi="Times New Roman"/>
                <w:color w:val="000000"/>
              </w:rPr>
              <w:t> </w:t>
            </w:r>
          </w:p>
        </w:tc>
        <w:tc>
          <w:tcPr>
            <w:tcW w:w="517" w:type="pct"/>
            <w:shd w:val="clear" w:color="auto" w:fill="auto"/>
            <w:vAlign w:val="center"/>
            <w:hideMark/>
          </w:tcPr>
          <w:p w14:paraId="7D4A7FA8"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601" w:type="pct"/>
            <w:shd w:val="clear" w:color="auto" w:fill="auto"/>
            <w:vAlign w:val="center"/>
            <w:hideMark/>
          </w:tcPr>
          <w:p w14:paraId="7D4A7FA9" w14:textId="77777777" w:rsidR="00F34E9C" w:rsidRPr="009E1B38" w:rsidRDefault="00F34E9C"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8</w:t>
            </w:r>
          </w:p>
        </w:tc>
      </w:tr>
      <w:tr w:rsidR="00F34E9C" w:rsidRPr="009E1B38" w14:paraId="7D4A7FB3" w14:textId="77777777" w:rsidTr="00F34EDA">
        <w:trPr>
          <w:trHeight w:val="340"/>
          <w:jc w:val="center"/>
        </w:trPr>
        <w:tc>
          <w:tcPr>
            <w:tcW w:w="766" w:type="pct"/>
            <w:shd w:val="clear" w:color="auto" w:fill="auto"/>
            <w:hideMark/>
          </w:tcPr>
          <w:p w14:paraId="7D4A7FAB" w14:textId="150A3FF5" w:rsidR="00F34E9C" w:rsidRPr="009E1B38" w:rsidRDefault="000E6185" w:rsidP="00F34E9C">
            <w:pPr>
              <w:spacing w:after="0" w:line="240" w:lineRule="auto"/>
              <w:rPr>
                <w:rFonts w:ascii="Times New Roman" w:eastAsia="Times New Roman" w:hAnsi="Times New Roman"/>
                <w:color w:val="000000"/>
                <w:lang w:eastAsia="tr-TR"/>
              </w:rPr>
            </w:pPr>
            <w:r w:rsidRPr="009E1B38">
              <w:rPr>
                <w:rFonts w:ascii="Times New Roman" w:hAnsi="Times New Roman"/>
              </w:rPr>
              <w:t>Export License</w:t>
            </w:r>
          </w:p>
        </w:tc>
        <w:tc>
          <w:tcPr>
            <w:tcW w:w="518" w:type="pct"/>
            <w:shd w:val="clear" w:color="auto" w:fill="auto"/>
            <w:vAlign w:val="center"/>
            <w:hideMark/>
          </w:tcPr>
          <w:p w14:paraId="7D4A7FAC"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9</w:t>
            </w:r>
          </w:p>
        </w:tc>
        <w:tc>
          <w:tcPr>
            <w:tcW w:w="515" w:type="pct"/>
            <w:shd w:val="clear" w:color="auto" w:fill="auto"/>
            <w:vAlign w:val="center"/>
            <w:hideMark/>
          </w:tcPr>
          <w:p w14:paraId="7D4A7FAD"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8</w:t>
            </w:r>
          </w:p>
        </w:tc>
        <w:tc>
          <w:tcPr>
            <w:tcW w:w="990" w:type="pct"/>
            <w:shd w:val="clear" w:color="auto" w:fill="auto"/>
            <w:vAlign w:val="center"/>
            <w:hideMark/>
          </w:tcPr>
          <w:p w14:paraId="7D4A7FAE"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3</w:t>
            </w:r>
          </w:p>
        </w:tc>
        <w:tc>
          <w:tcPr>
            <w:tcW w:w="517" w:type="pct"/>
            <w:shd w:val="clear" w:color="auto" w:fill="auto"/>
            <w:vAlign w:val="center"/>
            <w:hideMark/>
          </w:tcPr>
          <w:p w14:paraId="7D4A7FAF"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76" w:type="pct"/>
            <w:shd w:val="clear" w:color="auto" w:fill="auto"/>
            <w:vAlign w:val="center"/>
            <w:hideMark/>
          </w:tcPr>
          <w:p w14:paraId="7D4A7FB0" w14:textId="77777777" w:rsidR="00F34E9C" w:rsidRPr="009E1B38" w:rsidRDefault="005030E7"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r w:rsidR="00F34E9C" w:rsidRPr="009E1B38">
              <w:rPr>
                <w:rFonts w:ascii="Times New Roman" w:hAnsi="Times New Roman"/>
                <w:color w:val="000000"/>
              </w:rPr>
              <w:t> </w:t>
            </w:r>
          </w:p>
        </w:tc>
        <w:tc>
          <w:tcPr>
            <w:tcW w:w="517" w:type="pct"/>
            <w:shd w:val="clear" w:color="auto" w:fill="auto"/>
            <w:vAlign w:val="center"/>
            <w:hideMark/>
          </w:tcPr>
          <w:p w14:paraId="7D4A7FB1"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20</w:t>
            </w:r>
          </w:p>
        </w:tc>
        <w:tc>
          <w:tcPr>
            <w:tcW w:w="601" w:type="pct"/>
            <w:shd w:val="clear" w:color="auto" w:fill="auto"/>
            <w:vAlign w:val="center"/>
            <w:hideMark/>
          </w:tcPr>
          <w:p w14:paraId="7D4A7FB2" w14:textId="77777777" w:rsidR="00F34E9C" w:rsidRPr="009E1B38" w:rsidRDefault="00F34E9C"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2</w:t>
            </w:r>
            <w:r w:rsidR="00975929" w:rsidRPr="009E1B38">
              <w:rPr>
                <w:rFonts w:ascii="Times New Roman" w:hAnsi="Times New Roman"/>
                <w:b/>
                <w:color w:val="000000"/>
              </w:rPr>
              <w:t>6</w:t>
            </w:r>
          </w:p>
        </w:tc>
      </w:tr>
      <w:tr w:rsidR="00F34E9C" w:rsidRPr="009E1B38" w14:paraId="7D4A7FBC" w14:textId="77777777" w:rsidTr="00F34EDA">
        <w:trPr>
          <w:trHeight w:val="340"/>
          <w:jc w:val="center"/>
        </w:trPr>
        <w:tc>
          <w:tcPr>
            <w:tcW w:w="766" w:type="pct"/>
            <w:shd w:val="clear" w:color="auto" w:fill="auto"/>
            <w:hideMark/>
          </w:tcPr>
          <w:p w14:paraId="7D4A7FB4" w14:textId="6C680ACC" w:rsidR="00F34E9C" w:rsidRPr="009E1B38" w:rsidRDefault="000E6185" w:rsidP="00F34E9C">
            <w:pPr>
              <w:spacing w:after="0" w:line="240" w:lineRule="auto"/>
              <w:rPr>
                <w:rFonts w:ascii="Times New Roman" w:eastAsia="Times New Roman" w:hAnsi="Times New Roman"/>
                <w:color w:val="000000"/>
                <w:lang w:eastAsia="tr-TR"/>
              </w:rPr>
            </w:pPr>
            <w:r w:rsidRPr="009E1B38">
              <w:rPr>
                <w:rFonts w:ascii="Times New Roman" w:hAnsi="Times New Roman"/>
              </w:rPr>
              <w:t>Transmission License</w:t>
            </w:r>
          </w:p>
        </w:tc>
        <w:tc>
          <w:tcPr>
            <w:tcW w:w="518" w:type="pct"/>
            <w:shd w:val="clear" w:color="auto" w:fill="auto"/>
            <w:vAlign w:val="center"/>
            <w:hideMark/>
          </w:tcPr>
          <w:p w14:paraId="7D4A7FB5"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15" w:type="pct"/>
            <w:shd w:val="clear" w:color="auto" w:fill="auto"/>
            <w:vAlign w:val="center"/>
            <w:hideMark/>
          </w:tcPr>
          <w:p w14:paraId="7D4A7FB6"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990" w:type="pct"/>
            <w:shd w:val="clear" w:color="auto" w:fill="auto"/>
            <w:vAlign w:val="center"/>
            <w:hideMark/>
          </w:tcPr>
          <w:p w14:paraId="7D4A7FB7"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0</w:t>
            </w:r>
          </w:p>
        </w:tc>
        <w:tc>
          <w:tcPr>
            <w:tcW w:w="517" w:type="pct"/>
            <w:shd w:val="clear" w:color="auto" w:fill="auto"/>
            <w:vAlign w:val="center"/>
            <w:hideMark/>
          </w:tcPr>
          <w:p w14:paraId="7D4A7FB8"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76" w:type="pct"/>
            <w:shd w:val="clear" w:color="auto" w:fill="auto"/>
            <w:vAlign w:val="center"/>
            <w:hideMark/>
          </w:tcPr>
          <w:p w14:paraId="7D4A7FB9"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2</w:t>
            </w:r>
          </w:p>
        </w:tc>
        <w:tc>
          <w:tcPr>
            <w:tcW w:w="517" w:type="pct"/>
            <w:shd w:val="clear" w:color="auto" w:fill="auto"/>
            <w:vAlign w:val="center"/>
            <w:hideMark/>
          </w:tcPr>
          <w:p w14:paraId="7D4A7FBA"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w:t>
            </w:r>
          </w:p>
        </w:tc>
        <w:tc>
          <w:tcPr>
            <w:tcW w:w="601" w:type="pct"/>
            <w:shd w:val="clear" w:color="auto" w:fill="auto"/>
            <w:vAlign w:val="center"/>
            <w:hideMark/>
          </w:tcPr>
          <w:p w14:paraId="7D4A7FBB" w14:textId="77777777" w:rsidR="00F34E9C" w:rsidRPr="009E1B38" w:rsidRDefault="00F34E9C"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15</w:t>
            </w:r>
          </w:p>
        </w:tc>
      </w:tr>
      <w:tr w:rsidR="00F34E9C" w:rsidRPr="009E1B38" w14:paraId="7D4A7FC5" w14:textId="77777777" w:rsidTr="00F34EDA">
        <w:trPr>
          <w:trHeight w:val="340"/>
          <w:jc w:val="center"/>
        </w:trPr>
        <w:tc>
          <w:tcPr>
            <w:tcW w:w="766" w:type="pct"/>
            <w:shd w:val="clear" w:color="auto" w:fill="auto"/>
            <w:hideMark/>
          </w:tcPr>
          <w:p w14:paraId="7D4A7FBD" w14:textId="50BCA013" w:rsidR="00F34E9C" w:rsidRPr="009E1B38" w:rsidRDefault="000E6185" w:rsidP="00F34E9C">
            <w:pPr>
              <w:spacing w:after="0" w:line="240" w:lineRule="auto"/>
              <w:rPr>
                <w:rFonts w:ascii="Times New Roman" w:eastAsia="Times New Roman" w:hAnsi="Times New Roman"/>
                <w:color w:val="000000"/>
                <w:lang w:eastAsia="tr-TR"/>
              </w:rPr>
            </w:pPr>
            <w:r w:rsidRPr="009E1B38">
              <w:rPr>
                <w:rFonts w:ascii="Times New Roman" w:hAnsi="Times New Roman"/>
              </w:rPr>
              <w:t>İmport License</w:t>
            </w:r>
          </w:p>
        </w:tc>
        <w:tc>
          <w:tcPr>
            <w:tcW w:w="518" w:type="pct"/>
            <w:shd w:val="clear" w:color="auto" w:fill="auto"/>
            <w:vAlign w:val="center"/>
            <w:hideMark/>
          </w:tcPr>
          <w:p w14:paraId="7D4A7FBE"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8</w:t>
            </w:r>
          </w:p>
        </w:tc>
        <w:tc>
          <w:tcPr>
            <w:tcW w:w="515" w:type="pct"/>
            <w:shd w:val="clear" w:color="auto" w:fill="auto"/>
            <w:vAlign w:val="center"/>
            <w:hideMark/>
          </w:tcPr>
          <w:p w14:paraId="7D4A7FBF"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w:t>
            </w:r>
            <w:r w:rsidR="00975929" w:rsidRPr="009E1B38">
              <w:rPr>
                <w:rFonts w:ascii="Times New Roman" w:hAnsi="Times New Roman"/>
                <w:color w:val="000000"/>
              </w:rPr>
              <w:t>0</w:t>
            </w:r>
          </w:p>
        </w:tc>
        <w:tc>
          <w:tcPr>
            <w:tcW w:w="990" w:type="pct"/>
            <w:shd w:val="clear" w:color="auto" w:fill="auto"/>
            <w:vAlign w:val="center"/>
            <w:hideMark/>
          </w:tcPr>
          <w:p w14:paraId="7D4A7FC0"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4</w:t>
            </w:r>
          </w:p>
        </w:tc>
        <w:tc>
          <w:tcPr>
            <w:tcW w:w="517" w:type="pct"/>
            <w:shd w:val="clear" w:color="auto" w:fill="auto"/>
            <w:vAlign w:val="center"/>
            <w:hideMark/>
          </w:tcPr>
          <w:p w14:paraId="7D4A7FC1"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76" w:type="pct"/>
            <w:shd w:val="clear" w:color="auto" w:fill="auto"/>
            <w:vAlign w:val="center"/>
            <w:hideMark/>
          </w:tcPr>
          <w:p w14:paraId="7D4A7FC2"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5</w:t>
            </w:r>
          </w:p>
        </w:tc>
        <w:tc>
          <w:tcPr>
            <w:tcW w:w="517" w:type="pct"/>
            <w:shd w:val="clear" w:color="auto" w:fill="auto"/>
            <w:vAlign w:val="center"/>
            <w:hideMark/>
          </w:tcPr>
          <w:p w14:paraId="7D4A7FC3"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27</w:t>
            </w:r>
          </w:p>
        </w:tc>
        <w:tc>
          <w:tcPr>
            <w:tcW w:w="601" w:type="pct"/>
            <w:shd w:val="clear" w:color="auto" w:fill="auto"/>
            <w:vAlign w:val="center"/>
            <w:hideMark/>
          </w:tcPr>
          <w:p w14:paraId="7D4A7FC4" w14:textId="77777777" w:rsidR="00F34E9C" w:rsidRPr="009E1B38" w:rsidRDefault="00F34E9C"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7</w:t>
            </w:r>
            <w:r w:rsidR="00975929" w:rsidRPr="009E1B38">
              <w:rPr>
                <w:rFonts w:ascii="Times New Roman" w:hAnsi="Times New Roman"/>
                <w:b/>
                <w:color w:val="000000"/>
              </w:rPr>
              <w:t>4</w:t>
            </w:r>
          </w:p>
        </w:tc>
      </w:tr>
      <w:tr w:rsidR="00F34E9C" w:rsidRPr="009E1B38" w14:paraId="7D4A7FCE" w14:textId="77777777" w:rsidTr="00F34EDA">
        <w:trPr>
          <w:trHeight w:val="340"/>
          <w:jc w:val="center"/>
        </w:trPr>
        <w:tc>
          <w:tcPr>
            <w:tcW w:w="766" w:type="pct"/>
            <w:shd w:val="clear" w:color="auto" w:fill="auto"/>
            <w:hideMark/>
          </w:tcPr>
          <w:p w14:paraId="7D4A7FC6" w14:textId="492F63F5" w:rsidR="00F34E9C" w:rsidRPr="009E1B38" w:rsidRDefault="000E6185" w:rsidP="004A53A0">
            <w:pPr>
              <w:spacing w:after="0" w:line="240" w:lineRule="auto"/>
              <w:jc w:val="left"/>
              <w:rPr>
                <w:rFonts w:ascii="Times New Roman" w:eastAsia="Times New Roman" w:hAnsi="Times New Roman"/>
                <w:color w:val="000000"/>
                <w:lang w:eastAsia="tr-TR"/>
              </w:rPr>
            </w:pPr>
            <w:r w:rsidRPr="009E1B38">
              <w:rPr>
                <w:rFonts w:ascii="Times New Roman" w:hAnsi="Times New Roman"/>
              </w:rPr>
              <w:t>Compressed Natural Gas License*</w:t>
            </w:r>
          </w:p>
        </w:tc>
        <w:tc>
          <w:tcPr>
            <w:tcW w:w="518" w:type="pct"/>
            <w:shd w:val="clear" w:color="auto" w:fill="auto"/>
            <w:vAlign w:val="center"/>
            <w:hideMark/>
          </w:tcPr>
          <w:p w14:paraId="7D4A7FC7"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7</w:t>
            </w:r>
          </w:p>
        </w:tc>
        <w:tc>
          <w:tcPr>
            <w:tcW w:w="515" w:type="pct"/>
            <w:shd w:val="clear" w:color="auto" w:fill="auto"/>
            <w:vAlign w:val="center"/>
            <w:hideMark/>
          </w:tcPr>
          <w:p w14:paraId="7D4A7FC8"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7</w:t>
            </w:r>
          </w:p>
        </w:tc>
        <w:tc>
          <w:tcPr>
            <w:tcW w:w="990" w:type="pct"/>
            <w:shd w:val="clear" w:color="auto" w:fill="auto"/>
            <w:vAlign w:val="center"/>
            <w:hideMark/>
          </w:tcPr>
          <w:p w14:paraId="7D4A7FC9"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6</w:t>
            </w:r>
          </w:p>
        </w:tc>
        <w:tc>
          <w:tcPr>
            <w:tcW w:w="517" w:type="pct"/>
            <w:shd w:val="clear" w:color="auto" w:fill="auto"/>
            <w:vAlign w:val="center"/>
            <w:hideMark/>
          </w:tcPr>
          <w:p w14:paraId="7D4A7FCA"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0</w:t>
            </w:r>
          </w:p>
        </w:tc>
        <w:tc>
          <w:tcPr>
            <w:tcW w:w="576" w:type="pct"/>
            <w:shd w:val="clear" w:color="auto" w:fill="auto"/>
            <w:vAlign w:val="center"/>
            <w:hideMark/>
          </w:tcPr>
          <w:p w14:paraId="7D4A7FCB"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2</w:t>
            </w:r>
          </w:p>
        </w:tc>
        <w:tc>
          <w:tcPr>
            <w:tcW w:w="517" w:type="pct"/>
            <w:shd w:val="clear" w:color="auto" w:fill="auto"/>
            <w:vAlign w:val="center"/>
            <w:hideMark/>
          </w:tcPr>
          <w:p w14:paraId="7D4A7FCC"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22</w:t>
            </w:r>
          </w:p>
        </w:tc>
        <w:tc>
          <w:tcPr>
            <w:tcW w:w="601" w:type="pct"/>
            <w:shd w:val="clear" w:color="auto" w:fill="auto"/>
            <w:vAlign w:val="center"/>
            <w:hideMark/>
          </w:tcPr>
          <w:p w14:paraId="7D4A7FCD" w14:textId="77777777" w:rsidR="00F34E9C" w:rsidRPr="009E1B38" w:rsidRDefault="00F34E9C"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9</w:t>
            </w:r>
            <w:r w:rsidR="00975929" w:rsidRPr="009E1B38">
              <w:rPr>
                <w:rFonts w:ascii="Times New Roman" w:hAnsi="Times New Roman"/>
                <w:b/>
                <w:color w:val="000000"/>
              </w:rPr>
              <w:t>5</w:t>
            </w:r>
          </w:p>
        </w:tc>
      </w:tr>
      <w:tr w:rsidR="00F34E9C" w:rsidRPr="009E1B38" w14:paraId="7D4A7FD7" w14:textId="77777777" w:rsidTr="00F34EDA">
        <w:trPr>
          <w:trHeight w:val="340"/>
          <w:jc w:val="center"/>
        </w:trPr>
        <w:tc>
          <w:tcPr>
            <w:tcW w:w="766" w:type="pct"/>
            <w:shd w:val="clear" w:color="auto" w:fill="auto"/>
            <w:hideMark/>
          </w:tcPr>
          <w:p w14:paraId="7D4A7FCF" w14:textId="24EBD163" w:rsidR="00F34E9C" w:rsidRPr="009E1B38" w:rsidRDefault="000E6185" w:rsidP="00F34E9C">
            <w:pPr>
              <w:spacing w:after="0" w:line="240" w:lineRule="auto"/>
              <w:rPr>
                <w:rFonts w:ascii="Times New Roman" w:eastAsia="Times New Roman" w:hAnsi="Times New Roman"/>
                <w:color w:val="000000"/>
                <w:lang w:eastAsia="tr-TR"/>
              </w:rPr>
            </w:pPr>
            <w:r w:rsidRPr="009E1B38">
              <w:rPr>
                <w:rFonts w:ascii="Times New Roman" w:hAnsi="Times New Roman"/>
              </w:rPr>
              <w:t>Wholesale License</w:t>
            </w:r>
          </w:p>
        </w:tc>
        <w:tc>
          <w:tcPr>
            <w:tcW w:w="518" w:type="pct"/>
            <w:shd w:val="clear" w:color="auto" w:fill="auto"/>
            <w:vAlign w:val="center"/>
            <w:hideMark/>
          </w:tcPr>
          <w:p w14:paraId="7D4A7FD0"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2</w:t>
            </w:r>
          </w:p>
        </w:tc>
        <w:tc>
          <w:tcPr>
            <w:tcW w:w="515" w:type="pct"/>
            <w:shd w:val="clear" w:color="auto" w:fill="auto"/>
            <w:vAlign w:val="center"/>
            <w:hideMark/>
          </w:tcPr>
          <w:p w14:paraId="7D4A7FD1"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4</w:t>
            </w:r>
          </w:p>
        </w:tc>
        <w:tc>
          <w:tcPr>
            <w:tcW w:w="990" w:type="pct"/>
            <w:shd w:val="clear" w:color="auto" w:fill="auto"/>
            <w:vAlign w:val="center"/>
            <w:hideMark/>
          </w:tcPr>
          <w:p w14:paraId="7D4A7FD2"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4</w:t>
            </w:r>
          </w:p>
        </w:tc>
        <w:tc>
          <w:tcPr>
            <w:tcW w:w="517" w:type="pct"/>
            <w:shd w:val="clear" w:color="auto" w:fill="auto"/>
            <w:vAlign w:val="center"/>
            <w:hideMark/>
          </w:tcPr>
          <w:p w14:paraId="7D4A7FD3"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0</w:t>
            </w:r>
          </w:p>
        </w:tc>
        <w:tc>
          <w:tcPr>
            <w:tcW w:w="576" w:type="pct"/>
            <w:shd w:val="clear" w:color="auto" w:fill="auto"/>
            <w:vAlign w:val="center"/>
            <w:hideMark/>
          </w:tcPr>
          <w:p w14:paraId="7D4A7FD4" w14:textId="77777777" w:rsidR="00F34E9C" w:rsidRPr="009E1B38" w:rsidRDefault="00975929"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w:t>
            </w:r>
          </w:p>
        </w:tc>
        <w:tc>
          <w:tcPr>
            <w:tcW w:w="517" w:type="pct"/>
            <w:shd w:val="clear" w:color="auto" w:fill="auto"/>
            <w:vAlign w:val="center"/>
            <w:hideMark/>
          </w:tcPr>
          <w:p w14:paraId="7D4A7FD5" w14:textId="77777777" w:rsidR="00F34E9C" w:rsidRPr="009E1B38" w:rsidRDefault="00F34E9C" w:rsidP="00F34E9C">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w:t>
            </w:r>
            <w:r w:rsidR="00975929" w:rsidRPr="009E1B38">
              <w:rPr>
                <w:rFonts w:ascii="Times New Roman" w:hAnsi="Times New Roman"/>
                <w:color w:val="000000"/>
              </w:rPr>
              <w:t>1</w:t>
            </w:r>
          </w:p>
        </w:tc>
        <w:tc>
          <w:tcPr>
            <w:tcW w:w="601" w:type="pct"/>
            <w:shd w:val="clear" w:color="auto" w:fill="auto"/>
            <w:vAlign w:val="center"/>
            <w:hideMark/>
          </w:tcPr>
          <w:p w14:paraId="7D4A7FD6" w14:textId="77777777" w:rsidR="00F34E9C" w:rsidRPr="009E1B38" w:rsidRDefault="00975929"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lang w:eastAsia="tr-TR"/>
              </w:rPr>
              <w:t>50</w:t>
            </w:r>
          </w:p>
        </w:tc>
      </w:tr>
      <w:tr w:rsidR="00F34E9C" w:rsidRPr="009E1B38" w14:paraId="7D4A7FE0" w14:textId="77777777" w:rsidTr="00F34EDA">
        <w:trPr>
          <w:trHeight w:val="340"/>
          <w:jc w:val="center"/>
        </w:trPr>
        <w:tc>
          <w:tcPr>
            <w:tcW w:w="766" w:type="pct"/>
            <w:shd w:val="clear" w:color="auto" w:fill="auto"/>
            <w:hideMark/>
          </w:tcPr>
          <w:p w14:paraId="7D4A7FD8" w14:textId="1294BFF2" w:rsidR="00F34E9C" w:rsidRPr="009E1B38" w:rsidRDefault="000E6185" w:rsidP="00F34E9C">
            <w:pPr>
              <w:spacing w:after="0" w:line="240" w:lineRule="auto"/>
              <w:rPr>
                <w:rFonts w:ascii="Times New Roman" w:eastAsia="Times New Roman" w:hAnsi="Times New Roman"/>
                <w:b/>
                <w:bCs/>
                <w:color w:val="000000"/>
                <w:lang w:eastAsia="tr-TR"/>
              </w:rPr>
            </w:pPr>
            <w:r w:rsidRPr="009E1B38">
              <w:rPr>
                <w:rFonts w:ascii="Times New Roman" w:hAnsi="Times New Roman"/>
                <w:b/>
              </w:rPr>
              <w:t>Total</w:t>
            </w:r>
          </w:p>
        </w:tc>
        <w:tc>
          <w:tcPr>
            <w:tcW w:w="518" w:type="pct"/>
            <w:shd w:val="clear" w:color="auto" w:fill="auto"/>
            <w:vAlign w:val="center"/>
            <w:hideMark/>
          </w:tcPr>
          <w:p w14:paraId="7D4A7FD9" w14:textId="77777777" w:rsidR="00F34E9C" w:rsidRPr="009E1B38" w:rsidRDefault="00975929"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lang w:eastAsia="tr-TR"/>
              </w:rPr>
              <w:t>26</w:t>
            </w:r>
          </w:p>
        </w:tc>
        <w:tc>
          <w:tcPr>
            <w:tcW w:w="515" w:type="pct"/>
            <w:shd w:val="clear" w:color="auto" w:fill="auto"/>
            <w:vAlign w:val="center"/>
            <w:hideMark/>
          </w:tcPr>
          <w:p w14:paraId="7D4A7FDA" w14:textId="77777777" w:rsidR="00F34E9C" w:rsidRPr="009E1B38" w:rsidRDefault="00975929"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lang w:eastAsia="tr-TR"/>
              </w:rPr>
              <w:t>29</w:t>
            </w:r>
          </w:p>
        </w:tc>
        <w:tc>
          <w:tcPr>
            <w:tcW w:w="990" w:type="pct"/>
            <w:shd w:val="clear" w:color="auto" w:fill="auto"/>
            <w:vAlign w:val="center"/>
            <w:hideMark/>
          </w:tcPr>
          <w:p w14:paraId="7D4A7FDB" w14:textId="77777777" w:rsidR="00F34E9C" w:rsidRPr="009E1B38" w:rsidRDefault="00F34E9C"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1</w:t>
            </w:r>
            <w:r w:rsidR="00975929" w:rsidRPr="009E1B38">
              <w:rPr>
                <w:rFonts w:ascii="Times New Roman" w:hAnsi="Times New Roman"/>
                <w:b/>
                <w:color w:val="000000"/>
              </w:rPr>
              <w:t>7</w:t>
            </w:r>
          </w:p>
        </w:tc>
        <w:tc>
          <w:tcPr>
            <w:tcW w:w="517" w:type="pct"/>
            <w:shd w:val="clear" w:color="auto" w:fill="auto"/>
            <w:vAlign w:val="center"/>
            <w:hideMark/>
          </w:tcPr>
          <w:p w14:paraId="7D4A7FDC" w14:textId="77777777" w:rsidR="00F34E9C" w:rsidRPr="009E1B38" w:rsidRDefault="00975929"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lang w:eastAsia="tr-TR"/>
              </w:rPr>
              <w:t>0</w:t>
            </w:r>
          </w:p>
        </w:tc>
        <w:tc>
          <w:tcPr>
            <w:tcW w:w="576" w:type="pct"/>
            <w:shd w:val="clear" w:color="auto" w:fill="auto"/>
            <w:vAlign w:val="center"/>
            <w:hideMark/>
          </w:tcPr>
          <w:p w14:paraId="7D4A7FDD" w14:textId="77777777" w:rsidR="00F34E9C" w:rsidRPr="009E1B38" w:rsidRDefault="00975929"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lang w:eastAsia="tr-TR"/>
              </w:rPr>
              <w:t>41</w:t>
            </w:r>
          </w:p>
        </w:tc>
        <w:tc>
          <w:tcPr>
            <w:tcW w:w="517" w:type="pct"/>
            <w:shd w:val="clear" w:color="auto" w:fill="auto"/>
            <w:vAlign w:val="center"/>
            <w:hideMark/>
          </w:tcPr>
          <w:p w14:paraId="7D4A7FDE" w14:textId="77777777" w:rsidR="00F34E9C" w:rsidRPr="009E1B38" w:rsidRDefault="00F34E9C"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11</w:t>
            </w:r>
            <w:r w:rsidR="00975929" w:rsidRPr="009E1B38">
              <w:rPr>
                <w:rFonts w:ascii="Times New Roman" w:hAnsi="Times New Roman"/>
                <w:b/>
                <w:color w:val="000000"/>
              </w:rPr>
              <w:t>3</w:t>
            </w:r>
          </w:p>
        </w:tc>
        <w:tc>
          <w:tcPr>
            <w:tcW w:w="601" w:type="pct"/>
            <w:shd w:val="clear" w:color="auto" w:fill="auto"/>
            <w:vAlign w:val="center"/>
            <w:hideMark/>
          </w:tcPr>
          <w:p w14:paraId="7D4A7FDF" w14:textId="77777777" w:rsidR="00F34E9C" w:rsidRPr="009E1B38" w:rsidRDefault="00F34E9C" w:rsidP="00F34E9C">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3</w:t>
            </w:r>
            <w:r w:rsidR="00975929" w:rsidRPr="009E1B38">
              <w:rPr>
                <w:rFonts w:ascii="Times New Roman" w:hAnsi="Times New Roman"/>
                <w:b/>
                <w:color w:val="000000"/>
              </w:rPr>
              <w:t>40</w:t>
            </w:r>
          </w:p>
        </w:tc>
      </w:tr>
    </w:tbl>
    <w:p w14:paraId="7E68DC2B" w14:textId="77777777" w:rsidR="00F34EDA" w:rsidRPr="009E1B38" w:rsidRDefault="00F34EDA" w:rsidP="00F34EDA">
      <w:pPr>
        <w:spacing w:after="0"/>
        <w:rPr>
          <w:rFonts w:ascii="Times New Roman" w:hAnsi="Times New Roman"/>
        </w:rPr>
      </w:pPr>
      <w:bookmarkStart w:id="117" w:name="_Toc416447583"/>
      <w:bookmarkStart w:id="118" w:name="_Toc442441734"/>
      <w:r w:rsidRPr="009E1B38">
        <w:rPr>
          <w:rFonts w:ascii="Times New Roman" w:hAnsi="Times New Roman"/>
        </w:rPr>
        <w:t>* There are three CNG sub-license types under the scope of the CNG license: CNG Sales, CNG Transmission-distribution and AutoCNG. The number of CNG licenses in Table 3.3 is the sum of the three CNG license subtypes available in the market as of year-end.</w:t>
      </w:r>
    </w:p>
    <w:p w14:paraId="17D36039" w14:textId="34E2C44D" w:rsidR="00F34EDA" w:rsidRPr="009E1B38" w:rsidRDefault="00F34EDA" w:rsidP="00F34EDA">
      <w:pPr>
        <w:spacing w:after="0"/>
        <w:rPr>
          <w:rFonts w:ascii="Times New Roman" w:hAnsi="Times New Roman"/>
        </w:rPr>
      </w:pPr>
      <w:r w:rsidRPr="009E1B38">
        <w:rPr>
          <w:rFonts w:ascii="Times New Roman" w:hAnsi="Times New Roman"/>
        </w:rPr>
        <w:t>** The number of companies holding a wholesale license is 10, and there is one Wholesale (Auto LNG) License as of the end of 202</w:t>
      </w:r>
      <w:r w:rsidR="003B2EAE" w:rsidRPr="009E1B38">
        <w:rPr>
          <w:rFonts w:ascii="Times New Roman" w:hAnsi="Times New Roman"/>
        </w:rPr>
        <w:t>1</w:t>
      </w:r>
      <w:r w:rsidRPr="009E1B38">
        <w:rPr>
          <w:rFonts w:ascii="Times New Roman" w:hAnsi="Times New Roman"/>
        </w:rPr>
        <w:t>.</w:t>
      </w:r>
    </w:p>
    <w:p w14:paraId="7D4A7FE4" w14:textId="38A69E67" w:rsidR="00CB5826" w:rsidRPr="009E1B38" w:rsidRDefault="00F34EDA" w:rsidP="00DD09DB">
      <w:pPr>
        <w:spacing w:after="0" w:line="240" w:lineRule="auto"/>
        <w:jc w:val="center"/>
        <w:rPr>
          <w:rStyle w:val="Gl"/>
          <w:rFonts w:ascii="Times New Roman" w:hAnsi="Times New Roman"/>
          <w:color w:val="000000" w:themeColor="text1"/>
        </w:rPr>
      </w:pPr>
      <w:r w:rsidRPr="009E1B38">
        <w:rPr>
          <w:rStyle w:val="Gl"/>
          <w:rFonts w:ascii="Times New Roman" w:hAnsi="Times New Roman"/>
          <w:b w:val="0"/>
          <w:color w:val="FF0000"/>
        </w:rPr>
        <w:br w:type="page"/>
      </w:r>
      <w:r w:rsidR="000A02ED" w:rsidRPr="009E1B38">
        <w:rPr>
          <w:rStyle w:val="Gl"/>
          <w:rFonts w:ascii="Times New Roman" w:hAnsi="Times New Roman"/>
          <w:color w:val="000000" w:themeColor="text1"/>
        </w:rPr>
        <w:lastRenderedPageBreak/>
        <w:t>Tabl</w:t>
      </w:r>
      <w:r w:rsidR="005E7E2C" w:rsidRPr="009E1B38">
        <w:rPr>
          <w:rStyle w:val="Gl"/>
          <w:rFonts w:ascii="Times New Roman" w:hAnsi="Times New Roman"/>
          <w:color w:val="000000" w:themeColor="text1"/>
        </w:rPr>
        <w:t>e</w:t>
      </w:r>
      <w:r w:rsidR="000A02ED" w:rsidRPr="009E1B38">
        <w:rPr>
          <w:rStyle w:val="Gl"/>
          <w:rFonts w:ascii="Times New Roman" w:hAnsi="Times New Roman"/>
          <w:color w:val="000000" w:themeColor="text1"/>
        </w:rPr>
        <w:t xml:space="preserve"> 3.4</w:t>
      </w:r>
      <w:r w:rsidR="00CB5826" w:rsidRPr="009E1B38">
        <w:rPr>
          <w:rStyle w:val="Gl"/>
          <w:rFonts w:ascii="Times New Roman" w:hAnsi="Times New Roman"/>
          <w:color w:val="000000" w:themeColor="text1"/>
        </w:rPr>
        <w:t xml:space="preserve">: </w:t>
      </w:r>
      <w:bookmarkEnd w:id="117"/>
      <w:bookmarkEnd w:id="118"/>
      <w:r w:rsidR="00DD46F7" w:rsidRPr="009E1B38">
        <w:rPr>
          <w:rStyle w:val="Gl"/>
          <w:rFonts w:ascii="Times New Roman" w:hAnsi="Times New Roman"/>
          <w:color w:val="000000" w:themeColor="text1"/>
        </w:rPr>
        <w:t>Licensed Natural Gas Storage Facility Information</w:t>
      </w:r>
    </w:p>
    <w:tbl>
      <w:tblPr>
        <w:tblW w:w="5000" w:type="pct"/>
        <w:jc w:val="center"/>
        <w:tblCellMar>
          <w:left w:w="70" w:type="dxa"/>
          <w:right w:w="70" w:type="dxa"/>
        </w:tblCellMar>
        <w:tblLook w:val="04A0" w:firstRow="1" w:lastRow="0" w:firstColumn="1" w:lastColumn="0" w:noHBand="0" w:noVBand="1"/>
      </w:tblPr>
      <w:tblGrid>
        <w:gridCol w:w="5464"/>
        <w:gridCol w:w="1298"/>
        <w:gridCol w:w="1441"/>
        <w:gridCol w:w="1859"/>
      </w:tblGrid>
      <w:tr w:rsidR="00D429A1" w:rsidRPr="009E1B38" w14:paraId="7D4A7FE9" w14:textId="77777777" w:rsidTr="00CC2A23">
        <w:trPr>
          <w:trHeight w:val="283"/>
          <w:tblHeader/>
          <w:jc w:val="center"/>
        </w:trPr>
        <w:tc>
          <w:tcPr>
            <w:tcW w:w="2715" w:type="pct"/>
            <w:tcBorders>
              <w:top w:val="single" w:sz="8" w:space="0" w:color="D3D3D3"/>
              <w:left w:val="single" w:sz="8" w:space="0" w:color="D3D3D3"/>
              <w:bottom w:val="nil"/>
              <w:right w:val="single" w:sz="8" w:space="0" w:color="D3D3D3"/>
            </w:tcBorders>
            <w:shd w:val="clear" w:color="000000" w:fill="6E9ECA"/>
            <w:vAlign w:val="center"/>
            <w:hideMark/>
          </w:tcPr>
          <w:p w14:paraId="7D4A7FE5" w14:textId="3DEF630E" w:rsidR="00D429A1" w:rsidRPr="009E1B38" w:rsidRDefault="00CC48EF" w:rsidP="00263DC6">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lang w:eastAsia="tr-TR"/>
              </w:rPr>
              <w:t>Licensee</w:t>
            </w:r>
          </w:p>
        </w:tc>
        <w:tc>
          <w:tcPr>
            <w:tcW w:w="645" w:type="pct"/>
            <w:tcBorders>
              <w:top w:val="single" w:sz="8" w:space="0" w:color="D3D3D3"/>
              <w:left w:val="nil"/>
              <w:bottom w:val="nil"/>
              <w:right w:val="single" w:sz="8" w:space="0" w:color="D3D3D3"/>
            </w:tcBorders>
            <w:shd w:val="clear" w:color="000000" w:fill="6E9ECA"/>
            <w:vAlign w:val="center"/>
            <w:hideMark/>
          </w:tcPr>
          <w:p w14:paraId="7D4A7FE6" w14:textId="5E4600EB" w:rsidR="00D429A1" w:rsidRPr="009E1B38" w:rsidRDefault="00CC48EF" w:rsidP="00263DC6">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lang w:eastAsia="tr-TR"/>
              </w:rPr>
              <w:t>Facility Province</w:t>
            </w:r>
          </w:p>
        </w:tc>
        <w:tc>
          <w:tcPr>
            <w:tcW w:w="716" w:type="pct"/>
            <w:tcBorders>
              <w:top w:val="single" w:sz="8" w:space="0" w:color="D3D3D3"/>
              <w:left w:val="nil"/>
              <w:bottom w:val="nil"/>
              <w:right w:val="single" w:sz="8" w:space="0" w:color="D3D3D3"/>
            </w:tcBorders>
            <w:shd w:val="clear" w:color="000000" w:fill="6E9ECA"/>
            <w:vAlign w:val="center"/>
            <w:hideMark/>
          </w:tcPr>
          <w:p w14:paraId="7D4A7FE7" w14:textId="54EC8969" w:rsidR="00D429A1" w:rsidRPr="009E1B38" w:rsidRDefault="00CC48EF" w:rsidP="00263DC6">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lang w:eastAsia="tr-TR"/>
              </w:rPr>
              <w:t>Storage Type</w:t>
            </w:r>
          </w:p>
        </w:tc>
        <w:tc>
          <w:tcPr>
            <w:tcW w:w="924" w:type="pct"/>
            <w:tcBorders>
              <w:top w:val="single" w:sz="8" w:space="0" w:color="D3D3D3"/>
              <w:left w:val="nil"/>
              <w:bottom w:val="nil"/>
              <w:right w:val="single" w:sz="8" w:space="0" w:color="D3D3D3"/>
            </w:tcBorders>
            <w:shd w:val="clear" w:color="000000" w:fill="6E9ECA"/>
            <w:vAlign w:val="center"/>
            <w:hideMark/>
          </w:tcPr>
          <w:p w14:paraId="7D4A7FE8" w14:textId="3CA87804" w:rsidR="00D429A1" w:rsidRPr="009E1B38" w:rsidRDefault="00CC48EF" w:rsidP="00263DC6">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lang w:eastAsia="tr-TR"/>
              </w:rPr>
              <w:t>Storage Total Capacity Registered to Licenses *** (m3)</w:t>
            </w:r>
          </w:p>
        </w:tc>
      </w:tr>
      <w:tr w:rsidR="00D429A1" w:rsidRPr="009E1B38" w14:paraId="7D4A7FEE"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7D4A7FEA" w14:textId="77777777" w:rsidR="00D429A1" w:rsidRPr="009E1B38" w:rsidRDefault="00D429A1" w:rsidP="00D429A1">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TOREN DOĞALGAZ DEPOLAMA VE MADENCİLİK ANONİM ŞİRKETİ*</w:t>
            </w:r>
          </w:p>
        </w:tc>
        <w:tc>
          <w:tcPr>
            <w:tcW w:w="645" w:type="pct"/>
            <w:tcBorders>
              <w:top w:val="nil"/>
              <w:left w:val="nil"/>
              <w:bottom w:val="single" w:sz="8" w:space="0" w:color="D3D3D3"/>
              <w:right w:val="single" w:sz="8" w:space="0" w:color="D3D3D3"/>
            </w:tcBorders>
            <w:shd w:val="clear" w:color="auto" w:fill="auto"/>
            <w:vAlign w:val="center"/>
            <w:hideMark/>
          </w:tcPr>
          <w:p w14:paraId="7D4A7FEB"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MERSİN</w:t>
            </w:r>
          </w:p>
        </w:tc>
        <w:tc>
          <w:tcPr>
            <w:tcW w:w="716" w:type="pct"/>
            <w:tcBorders>
              <w:top w:val="nil"/>
              <w:left w:val="nil"/>
              <w:bottom w:val="single" w:sz="8" w:space="0" w:color="D3D3D3"/>
              <w:right w:val="single" w:sz="8" w:space="0" w:color="D3D3D3"/>
            </w:tcBorders>
            <w:shd w:val="clear" w:color="auto" w:fill="auto"/>
            <w:vAlign w:val="center"/>
            <w:hideMark/>
          </w:tcPr>
          <w:p w14:paraId="7D4A7FEC" w14:textId="3520C96D" w:rsidR="00D429A1" w:rsidRPr="009E1B38" w:rsidRDefault="00D93F4A"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Underground</w:t>
            </w:r>
          </w:p>
        </w:tc>
        <w:tc>
          <w:tcPr>
            <w:tcW w:w="924" w:type="pct"/>
            <w:tcBorders>
              <w:top w:val="nil"/>
              <w:left w:val="nil"/>
              <w:bottom w:val="single" w:sz="8" w:space="0" w:color="D3D3D3"/>
              <w:right w:val="single" w:sz="8" w:space="0" w:color="D3D3D3"/>
            </w:tcBorders>
            <w:shd w:val="clear" w:color="auto" w:fill="auto"/>
            <w:vAlign w:val="center"/>
            <w:hideMark/>
          </w:tcPr>
          <w:p w14:paraId="7D4A7FED" w14:textId="77777777" w:rsidR="00D429A1" w:rsidRPr="009E1B38" w:rsidRDefault="00D429A1" w:rsidP="00D429A1">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3.000.000.000</w:t>
            </w:r>
          </w:p>
        </w:tc>
      </w:tr>
      <w:tr w:rsidR="00D429A1" w:rsidRPr="009E1B38" w14:paraId="7D4A7FF3"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7D4A7FEF" w14:textId="77777777" w:rsidR="00D429A1" w:rsidRPr="009E1B38" w:rsidRDefault="00D429A1" w:rsidP="00D429A1">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BOTAŞ (BORU HATLARI İLE PETROL TAŞIMA ANONİM ŞİRKETİ)</w:t>
            </w:r>
          </w:p>
        </w:tc>
        <w:tc>
          <w:tcPr>
            <w:tcW w:w="645" w:type="pct"/>
            <w:tcBorders>
              <w:top w:val="nil"/>
              <w:left w:val="nil"/>
              <w:bottom w:val="single" w:sz="8" w:space="0" w:color="D3D3D3"/>
              <w:right w:val="single" w:sz="8" w:space="0" w:color="D3D3D3"/>
            </w:tcBorders>
            <w:shd w:val="clear" w:color="auto" w:fill="auto"/>
            <w:vAlign w:val="center"/>
            <w:hideMark/>
          </w:tcPr>
          <w:p w14:paraId="7D4A7FF0"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İSTANBUL</w:t>
            </w:r>
          </w:p>
        </w:tc>
        <w:tc>
          <w:tcPr>
            <w:tcW w:w="716" w:type="pct"/>
            <w:tcBorders>
              <w:top w:val="nil"/>
              <w:left w:val="nil"/>
              <w:bottom w:val="single" w:sz="8" w:space="0" w:color="D3D3D3"/>
              <w:right w:val="single" w:sz="8" w:space="0" w:color="D3D3D3"/>
            </w:tcBorders>
            <w:shd w:val="clear" w:color="auto" w:fill="auto"/>
            <w:vAlign w:val="center"/>
            <w:hideMark/>
          </w:tcPr>
          <w:p w14:paraId="7D4A7FF1" w14:textId="28620610" w:rsidR="00D429A1" w:rsidRPr="009E1B38" w:rsidRDefault="00D93F4A"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Underground</w:t>
            </w:r>
          </w:p>
        </w:tc>
        <w:tc>
          <w:tcPr>
            <w:tcW w:w="924" w:type="pct"/>
            <w:tcBorders>
              <w:top w:val="nil"/>
              <w:left w:val="nil"/>
              <w:bottom w:val="single" w:sz="8" w:space="0" w:color="D3D3D3"/>
              <w:right w:val="single" w:sz="8" w:space="0" w:color="D3D3D3"/>
            </w:tcBorders>
            <w:shd w:val="clear" w:color="auto" w:fill="auto"/>
            <w:vAlign w:val="center"/>
            <w:hideMark/>
          </w:tcPr>
          <w:p w14:paraId="7D4A7FF2" w14:textId="77777777" w:rsidR="00D429A1" w:rsidRPr="009E1B38" w:rsidRDefault="004A4FC7" w:rsidP="00D429A1">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3</w:t>
            </w:r>
            <w:r w:rsidR="00D429A1" w:rsidRPr="009E1B38">
              <w:rPr>
                <w:rFonts w:ascii="Times New Roman" w:eastAsia="Times New Roman" w:hAnsi="Times New Roman"/>
                <w:color w:val="000000"/>
                <w:lang w:eastAsia="tr-TR"/>
              </w:rPr>
              <w:t>.</w:t>
            </w:r>
            <w:r w:rsidRPr="009E1B38">
              <w:rPr>
                <w:rFonts w:ascii="Times New Roman" w:eastAsia="Times New Roman" w:hAnsi="Times New Roman"/>
                <w:color w:val="000000"/>
                <w:lang w:eastAsia="tr-TR"/>
              </w:rPr>
              <w:t>1</w:t>
            </w:r>
            <w:r w:rsidR="00D429A1" w:rsidRPr="009E1B38">
              <w:rPr>
                <w:rFonts w:ascii="Times New Roman" w:eastAsia="Times New Roman" w:hAnsi="Times New Roman"/>
                <w:color w:val="000000"/>
                <w:lang w:eastAsia="tr-TR"/>
              </w:rPr>
              <w:t>41.000.000</w:t>
            </w:r>
          </w:p>
        </w:tc>
      </w:tr>
      <w:tr w:rsidR="00D429A1" w:rsidRPr="009E1B38" w14:paraId="7D4A7FF8"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7D4A7FF4" w14:textId="77777777" w:rsidR="00D429A1" w:rsidRPr="009E1B38" w:rsidRDefault="000A3A5E" w:rsidP="00D429A1">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BOTAŞ (</w:t>
            </w:r>
            <w:r w:rsidR="00D429A1" w:rsidRPr="009E1B38">
              <w:rPr>
                <w:rFonts w:ascii="Times New Roman" w:eastAsia="Times New Roman" w:hAnsi="Times New Roman"/>
                <w:color w:val="000000"/>
                <w:lang w:eastAsia="tr-TR"/>
              </w:rPr>
              <w:t>BORU HATLARI İLE PETROL TAŞIMA ANONİM ŞİRKETİ</w:t>
            </w:r>
            <w:r w:rsidRPr="009E1B38">
              <w:rPr>
                <w:rFonts w:ascii="Times New Roman" w:eastAsia="Times New Roman" w:hAnsi="Times New Roman"/>
                <w:color w:val="00000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7D4A7FF5"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AKSARAY</w:t>
            </w:r>
          </w:p>
        </w:tc>
        <w:tc>
          <w:tcPr>
            <w:tcW w:w="716" w:type="pct"/>
            <w:tcBorders>
              <w:top w:val="nil"/>
              <w:left w:val="nil"/>
              <w:bottom w:val="single" w:sz="8" w:space="0" w:color="D3D3D3"/>
              <w:right w:val="single" w:sz="8" w:space="0" w:color="D3D3D3"/>
            </w:tcBorders>
            <w:shd w:val="clear" w:color="auto" w:fill="auto"/>
            <w:vAlign w:val="center"/>
            <w:hideMark/>
          </w:tcPr>
          <w:p w14:paraId="7D4A7FF6" w14:textId="403D938A" w:rsidR="00D429A1" w:rsidRPr="009E1B38" w:rsidRDefault="00D93F4A"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Underground</w:t>
            </w:r>
          </w:p>
        </w:tc>
        <w:tc>
          <w:tcPr>
            <w:tcW w:w="924" w:type="pct"/>
            <w:tcBorders>
              <w:top w:val="nil"/>
              <w:left w:val="nil"/>
              <w:bottom w:val="single" w:sz="8" w:space="0" w:color="D3D3D3"/>
              <w:right w:val="single" w:sz="8" w:space="0" w:color="D3D3D3"/>
            </w:tcBorders>
            <w:shd w:val="clear" w:color="auto" w:fill="auto"/>
            <w:vAlign w:val="center"/>
            <w:hideMark/>
          </w:tcPr>
          <w:p w14:paraId="7D4A7FF7" w14:textId="77777777" w:rsidR="00D429A1" w:rsidRPr="009E1B38" w:rsidRDefault="000A3A5E" w:rsidP="00D429A1">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8</w:t>
            </w:r>
            <w:r w:rsidR="00D429A1" w:rsidRPr="009E1B38">
              <w:rPr>
                <w:rFonts w:ascii="Times New Roman" w:eastAsia="Times New Roman" w:hAnsi="Times New Roman"/>
                <w:color w:val="000000"/>
                <w:lang w:eastAsia="tr-TR"/>
              </w:rPr>
              <w:t>50.000.000</w:t>
            </w:r>
          </w:p>
        </w:tc>
      </w:tr>
      <w:tr w:rsidR="00D429A1" w:rsidRPr="009E1B38" w14:paraId="7D4A7FFD"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7D4A7FF9" w14:textId="77777777" w:rsidR="00D429A1" w:rsidRPr="009E1B38" w:rsidRDefault="00D429A1" w:rsidP="00D429A1">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GAZ DEPO VE MADENCİLİK ANONİM ŞİRKETİ*</w:t>
            </w:r>
          </w:p>
        </w:tc>
        <w:tc>
          <w:tcPr>
            <w:tcW w:w="645" w:type="pct"/>
            <w:tcBorders>
              <w:top w:val="nil"/>
              <w:left w:val="nil"/>
              <w:bottom w:val="single" w:sz="8" w:space="0" w:color="D3D3D3"/>
              <w:right w:val="single" w:sz="8" w:space="0" w:color="D3D3D3"/>
            </w:tcBorders>
            <w:shd w:val="clear" w:color="auto" w:fill="auto"/>
            <w:vAlign w:val="center"/>
            <w:hideMark/>
          </w:tcPr>
          <w:p w14:paraId="7D4A7FFA"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MERSİN</w:t>
            </w:r>
          </w:p>
        </w:tc>
        <w:tc>
          <w:tcPr>
            <w:tcW w:w="716" w:type="pct"/>
            <w:tcBorders>
              <w:top w:val="nil"/>
              <w:left w:val="nil"/>
              <w:bottom w:val="single" w:sz="8" w:space="0" w:color="D3D3D3"/>
              <w:right w:val="single" w:sz="8" w:space="0" w:color="D3D3D3"/>
            </w:tcBorders>
            <w:shd w:val="clear" w:color="auto" w:fill="auto"/>
            <w:vAlign w:val="center"/>
            <w:hideMark/>
          </w:tcPr>
          <w:p w14:paraId="7D4A7FFB" w14:textId="0238846B" w:rsidR="00D429A1" w:rsidRPr="009E1B38" w:rsidRDefault="00D93F4A"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Underground</w:t>
            </w:r>
          </w:p>
        </w:tc>
        <w:tc>
          <w:tcPr>
            <w:tcW w:w="924" w:type="pct"/>
            <w:tcBorders>
              <w:top w:val="nil"/>
              <w:left w:val="nil"/>
              <w:bottom w:val="single" w:sz="8" w:space="0" w:color="D3D3D3"/>
              <w:right w:val="single" w:sz="8" w:space="0" w:color="D3D3D3"/>
            </w:tcBorders>
            <w:shd w:val="clear" w:color="auto" w:fill="auto"/>
            <w:vAlign w:val="center"/>
            <w:hideMark/>
          </w:tcPr>
          <w:p w14:paraId="7D4A7FFC" w14:textId="77777777" w:rsidR="00D429A1" w:rsidRPr="009E1B38" w:rsidRDefault="00D429A1" w:rsidP="00D429A1">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1.000.000.000</w:t>
            </w:r>
          </w:p>
        </w:tc>
      </w:tr>
      <w:tr w:rsidR="00D429A1" w:rsidRPr="009E1B38" w14:paraId="7D4A8002"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7D4A7FFE" w14:textId="77777777" w:rsidR="00D429A1" w:rsidRPr="009E1B38" w:rsidRDefault="00D429A1" w:rsidP="00D429A1">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ETKİ LİMAN İŞLETMELERİ DOĞALGAZ İTHALAT VE TİCARET ANONİM ŞİRKETİ</w:t>
            </w:r>
            <w:r w:rsidR="00E85199" w:rsidRPr="009E1B38">
              <w:rPr>
                <w:rFonts w:ascii="Times New Roman" w:eastAsia="Times New Roman" w:hAnsi="Times New Roman"/>
                <w:color w:val="00000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7D4A7FFF"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İZMİR</w:t>
            </w:r>
          </w:p>
        </w:tc>
        <w:tc>
          <w:tcPr>
            <w:tcW w:w="716" w:type="pct"/>
            <w:tcBorders>
              <w:top w:val="nil"/>
              <w:left w:val="nil"/>
              <w:bottom w:val="single" w:sz="8" w:space="0" w:color="D3D3D3"/>
              <w:right w:val="single" w:sz="8" w:space="0" w:color="D3D3D3"/>
            </w:tcBorders>
            <w:shd w:val="clear" w:color="auto" w:fill="auto"/>
            <w:vAlign w:val="center"/>
            <w:hideMark/>
          </w:tcPr>
          <w:p w14:paraId="7D4A8000"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7D4A8001" w14:textId="77777777" w:rsidR="00D429A1" w:rsidRPr="009E1B38" w:rsidRDefault="00D429A1" w:rsidP="00D429A1">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166.631</w:t>
            </w:r>
          </w:p>
        </w:tc>
      </w:tr>
      <w:tr w:rsidR="00D429A1" w:rsidRPr="009E1B38" w14:paraId="7D4A8007"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7D4A8003" w14:textId="77777777" w:rsidR="00D429A1" w:rsidRPr="009E1B38" w:rsidRDefault="00D429A1" w:rsidP="00D429A1">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EGE GAZ ANONİM ŞİRKETİ</w:t>
            </w:r>
            <w:r w:rsidR="00E85199" w:rsidRPr="009E1B38">
              <w:rPr>
                <w:rFonts w:ascii="Times New Roman" w:eastAsia="Times New Roman" w:hAnsi="Times New Roman"/>
                <w:color w:val="00000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7D4A8004"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İZMİR</w:t>
            </w:r>
          </w:p>
        </w:tc>
        <w:tc>
          <w:tcPr>
            <w:tcW w:w="716" w:type="pct"/>
            <w:tcBorders>
              <w:top w:val="nil"/>
              <w:left w:val="nil"/>
              <w:bottom w:val="single" w:sz="8" w:space="0" w:color="D3D3D3"/>
              <w:right w:val="single" w:sz="8" w:space="0" w:color="D3D3D3"/>
            </w:tcBorders>
            <w:shd w:val="clear" w:color="auto" w:fill="auto"/>
            <w:vAlign w:val="center"/>
            <w:hideMark/>
          </w:tcPr>
          <w:p w14:paraId="7D4A8005"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7D4A8006" w14:textId="77777777" w:rsidR="00D429A1" w:rsidRPr="009E1B38" w:rsidRDefault="00D429A1" w:rsidP="00D429A1">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280.000</w:t>
            </w:r>
          </w:p>
        </w:tc>
      </w:tr>
      <w:tr w:rsidR="00D429A1" w:rsidRPr="009E1B38" w14:paraId="7D4A800C"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7D4A8008" w14:textId="77777777" w:rsidR="00D429A1" w:rsidRPr="009E1B38" w:rsidRDefault="00D429A1" w:rsidP="00D429A1">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BOTAŞ (BORU HATLARI İLE PETROL TAŞIMA ANONİM ŞİRKETİ)</w:t>
            </w:r>
            <w:r w:rsidR="00E85199" w:rsidRPr="009E1B38">
              <w:rPr>
                <w:rFonts w:ascii="Times New Roman" w:eastAsia="Times New Roman" w:hAnsi="Times New Roman"/>
                <w:color w:val="00000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7D4A8009"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HATAY</w:t>
            </w:r>
          </w:p>
        </w:tc>
        <w:tc>
          <w:tcPr>
            <w:tcW w:w="716" w:type="pct"/>
            <w:tcBorders>
              <w:top w:val="nil"/>
              <w:left w:val="nil"/>
              <w:bottom w:val="single" w:sz="8" w:space="0" w:color="D3D3D3"/>
              <w:right w:val="single" w:sz="8" w:space="0" w:color="D3D3D3"/>
            </w:tcBorders>
            <w:shd w:val="clear" w:color="auto" w:fill="auto"/>
            <w:vAlign w:val="center"/>
            <w:hideMark/>
          </w:tcPr>
          <w:p w14:paraId="7D4A800A"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7D4A800B" w14:textId="77777777" w:rsidR="00D429A1" w:rsidRPr="009E1B38" w:rsidRDefault="00D429A1" w:rsidP="00D429A1">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263.000</w:t>
            </w:r>
          </w:p>
        </w:tc>
      </w:tr>
      <w:tr w:rsidR="00D429A1" w:rsidRPr="009E1B38" w14:paraId="7D4A8011"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7D4A800D" w14:textId="77777777" w:rsidR="00D429A1" w:rsidRPr="009E1B38" w:rsidRDefault="000A3A5E" w:rsidP="00D429A1">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BOTAŞ (</w:t>
            </w:r>
            <w:r w:rsidR="00D429A1" w:rsidRPr="009E1B38">
              <w:rPr>
                <w:rFonts w:ascii="Times New Roman" w:eastAsia="Times New Roman" w:hAnsi="Times New Roman"/>
                <w:color w:val="000000"/>
                <w:lang w:eastAsia="tr-TR"/>
              </w:rPr>
              <w:t>BORU HATLARI İLE PETROL TAŞIMA ANONİM ŞİRKETİ</w:t>
            </w:r>
            <w:r w:rsidRPr="009E1B38">
              <w:rPr>
                <w:rFonts w:ascii="Times New Roman" w:eastAsia="Times New Roman" w:hAnsi="Times New Roman"/>
                <w:color w:val="000000"/>
                <w:lang w:eastAsia="tr-TR"/>
              </w:rPr>
              <w:t>)</w:t>
            </w:r>
            <w:r w:rsidR="00E85199" w:rsidRPr="009E1B38">
              <w:rPr>
                <w:rFonts w:ascii="Times New Roman" w:eastAsia="Times New Roman" w:hAnsi="Times New Roman"/>
                <w:color w:val="00000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7D4A800E"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TEKİRDAĞ</w:t>
            </w:r>
          </w:p>
        </w:tc>
        <w:tc>
          <w:tcPr>
            <w:tcW w:w="716" w:type="pct"/>
            <w:tcBorders>
              <w:top w:val="nil"/>
              <w:left w:val="nil"/>
              <w:bottom w:val="single" w:sz="8" w:space="0" w:color="D3D3D3"/>
              <w:right w:val="single" w:sz="8" w:space="0" w:color="D3D3D3"/>
            </w:tcBorders>
            <w:shd w:val="clear" w:color="auto" w:fill="auto"/>
            <w:vAlign w:val="center"/>
            <w:hideMark/>
          </w:tcPr>
          <w:p w14:paraId="7D4A800F" w14:textId="77777777" w:rsidR="00D429A1" w:rsidRPr="009E1B38" w:rsidRDefault="00D429A1" w:rsidP="00D4132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7D4A8010" w14:textId="77777777" w:rsidR="00D429A1" w:rsidRPr="009E1B38" w:rsidRDefault="004A4FC7" w:rsidP="00D429A1">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225</w:t>
            </w:r>
            <w:r w:rsidR="00F34E9C" w:rsidRPr="009E1B38">
              <w:rPr>
                <w:rFonts w:ascii="Times New Roman" w:eastAsia="Times New Roman" w:hAnsi="Times New Roman"/>
                <w:color w:val="000000"/>
                <w:lang w:eastAsia="tr-TR"/>
              </w:rPr>
              <w:t>.000</w:t>
            </w:r>
          </w:p>
        </w:tc>
      </w:tr>
    </w:tbl>
    <w:p w14:paraId="290FDA7D" w14:textId="77777777" w:rsidR="000A581E" w:rsidRPr="009E1B38" w:rsidRDefault="000A581E" w:rsidP="000A581E">
      <w:pPr>
        <w:spacing w:after="0"/>
        <w:rPr>
          <w:rFonts w:ascii="Times New Roman" w:hAnsi="Times New Roman"/>
          <w:sz w:val="20"/>
          <w:szCs w:val="20"/>
        </w:rPr>
      </w:pPr>
      <w:r w:rsidRPr="009E1B38">
        <w:rPr>
          <w:rFonts w:ascii="Times New Roman" w:hAnsi="Times New Roman"/>
          <w:sz w:val="20"/>
          <w:szCs w:val="20"/>
        </w:rPr>
        <w:t>* The facility is not yet operational.</w:t>
      </w:r>
    </w:p>
    <w:p w14:paraId="603DC539" w14:textId="77777777" w:rsidR="000A581E" w:rsidRPr="009E1B38" w:rsidRDefault="000A581E" w:rsidP="000A581E">
      <w:pPr>
        <w:spacing w:after="0"/>
        <w:rPr>
          <w:rFonts w:ascii="Times New Roman" w:hAnsi="Times New Roman"/>
          <w:sz w:val="20"/>
          <w:szCs w:val="20"/>
        </w:rPr>
      </w:pPr>
      <w:r w:rsidRPr="009E1B38">
        <w:rPr>
          <w:rFonts w:ascii="Times New Roman" w:hAnsi="Times New Roman"/>
          <w:sz w:val="20"/>
          <w:szCs w:val="20"/>
        </w:rPr>
        <w:t>** Liquefied natural gas (LNG)</w:t>
      </w:r>
    </w:p>
    <w:p w14:paraId="7D4A8014" w14:textId="3AD8E508" w:rsidR="00F34E9C" w:rsidRPr="009E1B38" w:rsidRDefault="000A581E" w:rsidP="00F34E9C">
      <w:pPr>
        <w:rPr>
          <w:rFonts w:ascii="Times New Roman" w:eastAsiaTheme="minorHAnsi" w:hAnsi="Times New Roman"/>
          <w:sz w:val="20"/>
          <w:szCs w:val="20"/>
        </w:rPr>
      </w:pPr>
      <w:r w:rsidRPr="009E1B38">
        <w:rPr>
          <w:rFonts w:ascii="Times New Roman" w:hAnsi="Times New Roman"/>
          <w:sz w:val="20"/>
          <w:szCs w:val="20"/>
        </w:rPr>
        <w:t>*** Amounts, capacity for the year 202</w:t>
      </w:r>
      <w:r w:rsidR="00D85A28" w:rsidRPr="009E1B38">
        <w:rPr>
          <w:rFonts w:ascii="Times New Roman" w:hAnsi="Times New Roman"/>
          <w:sz w:val="20"/>
          <w:szCs w:val="20"/>
        </w:rPr>
        <w:t>1</w:t>
      </w:r>
      <w:r w:rsidRPr="009E1B38">
        <w:rPr>
          <w:rFonts w:ascii="Times New Roman" w:hAnsi="Times New Roman"/>
          <w:sz w:val="20"/>
          <w:szCs w:val="20"/>
        </w:rPr>
        <w:t xml:space="preserve"> registered in their licenses for operating facilities; for facilities that are not in operation, they are the amount of storage capacity they will have in the period when they will start operating. </w:t>
      </w:r>
    </w:p>
    <w:p w14:paraId="7D4A8015" w14:textId="4E7D0FB1" w:rsidR="00CB5826" w:rsidRPr="009E1B38" w:rsidRDefault="00FF68C6" w:rsidP="003C5E4D">
      <w:pPr>
        <w:pStyle w:val="Balk3"/>
        <w:numPr>
          <w:ilvl w:val="2"/>
          <w:numId w:val="54"/>
        </w:numPr>
        <w:spacing w:after="240"/>
        <w:rPr>
          <w:rFonts w:ascii="Times New Roman" w:hAnsi="Times New Roman" w:cs="Times New Roman"/>
          <w:color w:val="auto"/>
        </w:rPr>
      </w:pPr>
      <w:bookmarkStart w:id="119" w:name="_Toc113615338"/>
      <w:r w:rsidRPr="009E1B38">
        <w:rPr>
          <w:rFonts w:ascii="Times New Roman" w:hAnsi="Times New Roman" w:cs="Times New Roman"/>
          <w:color w:val="auto"/>
        </w:rPr>
        <w:t>Certificate Transactions</w:t>
      </w:r>
      <w:bookmarkEnd w:id="119"/>
    </w:p>
    <w:p w14:paraId="6CF33F47" w14:textId="389C658C" w:rsidR="00754875" w:rsidRPr="009E1B38" w:rsidRDefault="00754875" w:rsidP="00754875">
      <w:pPr>
        <w:rPr>
          <w:rFonts w:ascii="Times New Roman" w:hAnsi="Times New Roman"/>
        </w:rPr>
      </w:pPr>
      <w:bookmarkStart w:id="120" w:name="_Toc416447584"/>
      <w:bookmarkStart w:id="121" w:name="_Toc442441735"/>
      <w:r w:rsidRPr="009E1B38">
        <w:rPr>
          <w:rFonts w:ascii="Times New Roman" w:hAnsi="Times New Roman"/>
        </w:rPr>
        <w:t xml:space="preserve">The procedures and principles regarding the certificates to be given to real or </w:t>
      </w:r>
      <w:r w:rsidR="00135D72" w:rsidRPr="009E1B38">
        <w:rPr>
          <w:rFonts w:ascii="Times New Roman" w:hAnsi="Times New Roman"/>
        </w:rPr>
        <w:t>legal entities</w:t>
      </w:r>
      <w:r w:rsidRPr="009E1B38">
        <w:rPr>
          <w:rFonts w:ascii="Times New Roman" w:hAnsi="Times New Roman"/>
        </w:rPr>
        <w:t xml:space="preserve"> carrying out internal installation and service lines and construction and service activities in the natural gas market are determined in the Natural Gas Market Certificate Regulation.</w:t>
      </w:r>
    </w:p>
    <w:p w14:paraId="4ACF69FF" w14:textId="77777777" w:rsidR="00754875" w:rsidRPr="009E1B38" w:rsidRDefault="00754875" w:rsidP="00754875">
      <w:pPr>
        <w:rPr>
          <w:rFonts w:ascii="Times New Roman" w:hAnsi="Times New Roman"/>
        </w:rPr>
      </w:pPr>
      <w:r w:rsidRPr="009E1B38">
        <w:rPr>
          <w:rFonts w:ascii="Times New Roman" w:hAnsi="Times New Roman"/>
        </w:rPr>
        <w:t>Any construction and service activities related to natural gas cannot be carried out by persons who do not have a certificate. About the system; Those who will perform services such as feasibility, survey, project, consultancy, control and inspection, construction, service, maintenance and repair must also obtain a certificate from the Authority for their activities.</w:t>
      </w:r>
    </w:p>
    <w:p w14:paraId="1222485C" w14:textId="77777777" w:rsidR="00754875" w:rsidRPr="009E1B38" w:rsidRDefault="00754875" w:rsidP="00754875">
      <w:pPr>
        <w:rPr>
          <w:rFonts w:ascii="Times New Roman" w:hAnsi="Times New Roman"/>
        </w:rPr>
      </w:pPr>
      <w:r w:rsidRPr="009E1B38">
        <w:rPr>
          <w:rFonts w:ascii="Times New Roman" w:hAnsi="Times New Roman"/>
        </w:rPr>
        <w:t>Certificates are issued for a period of at least ten and at most thirty years at a time. Certificates are also subject to visa processing. The certificate holder cannot continue his activity without a visa. The duration of the visa is two years for the construction and service certificate, and one year for the internal installation and service lines certificate, from the date of the validity of the certificate and the start date of each new visa.</w:t>
      </w:r>
    </w:p>
    <w:p w14:paraId="7D4A801C" w14:textId="65780A08" w:rsidR="00872D69" w:rsidRPr="009E1B38" w:rsidRDefault="00754875" w:rsidP="004F32D4">
      <w:pPr>
        <w:rPr>
          <w:rFonts w:ascii="Times New Roman" w:hAnsi="Times New Roman"/>
        </w:rPr>
      </w:pPr>
      <w:r w:rsidRPr="009E1B38">
        <w:rPr>
          <w:rFonts w:ascii="Times New Roman" w:hAnsi="Times New Roman"/>
        </w:rPr>
        <w:t xml:space="preserve">Following the issuance of the certificate, a separate registry file is opened for each certificate owner and registry records are kept in accordance with the provisions of the relevant legislation. Real and </w:t>
      </w:r>
      <w:r w:rsidR="00135D72" w:rsidRPr="009E1B38">
        <w:rPr>
          <w:rFonts w:ascii="Times New Roman" w:hAnsi="Times New Roman"/>
        </w:rPr>
        <w:t>legal entities</w:t>
      </w:r>
      <w:r w:rsidRPr="009E1B38">
        <w:rPr>
          <w:rFonts w:ascii="Times New Roman" w:hAnsi="Times New Roman"/>
        </w:rPr>
        <w:t xml:space="preserve"> who have obtained construction and service certificates are announced on the website of the Authority, and natural and </w:t>
      </w:r>
      <w:r w:rsidR="00135D72" w:rsidRPr="009E1B38">
        <w:rPr>
          <w:rFonts w:ascii="Times New Roman" w:hAnsi="Times New Roman"/>
        </w:rPr>
        <w:t>legal entities</w:t>
      </w:r>
      <w:r w:rsidRPr="009E1B38">
        <w:rPr>
          <w:rFonts w:ascii="Times New Roman" w:hAnsi="Times New Roman"/>
        </w:rPr>
        <w:t xml:space="preserve"> who have received internal installation and service lines certificates are announced on the website of the distribution company from which they have obtained the certificate.</w:t>
      </w:r>
    </w:p>
    <w:p w14:paraId="723695CB" w14:textId="77777777" w:rsidR="0008108D" w:rsidRPr="009E1B38" w:rsidRDefault="0008108D" w:rsidP="004F32D4">
      <w:pPr>
        <w:rPr>
          <w:rStyle w:val="Gl"/>
          <w:rFonts w:ascii="Times New Roman" w:hAnsi="Times New Roman"/>
          <w:b w:val="0"/>
          <w:bCs w:val="0"/>
        </w:rPr>
      </w:pPr>
    </w:p>
    <w:p w14:paraId="7D4A801D" w14:textId="1267F0B3" w:rsidR="00CB5826" w:rsidRPr="009E1B38" w:rsidRDefault="00CB5826" w:rsidP="0008108D">
      <w:pPr>
        <w:pStyle w:val="Balk5"/>
        <w:jc w:val="center"/>
        <w:rPr>
          <w:rStyle w:val="Gl"/>
          <w:rFonts w:ascii="Times New Roman" w:hAnsi="Times New Roman" w:cs="Times New Roman"/>
          <w:b/>
          <w:bCs w:val="0"/>
        </w:rPr>
      </w:pPr>
      <w:bookmarkStart w:id="122" w:name="_Toc107499502"/>
      <w:bookmarkEnd w:id="120"/>
      <w:bookmarkEnd w:id="121"/>
      <w:r w:rsidRPr="009E1B38">
        <w:rPr>
          <w:rStyle w:val="Gl"/>
          <w:rFonts w:ascii="Times New Roman" w:hAnsi="Times New Roman" w:cs="Times New Roman"/>
          <w:b/>
          <w:bCs w:val="0"/>
        </w:rPr>
        <w:t>Tabl</w:t>
      </w:r>
      <w:r w:rsidR="005E7E2C" w:rsidRPr="009E1B38">
        <w:rPr>
          <w:rStyle w:val="Gl"/>
          <w:rFonts w:ascii="Times New Roman" w:hAnsi="Times New Roman" w:cs="Times New Roman"/>
          <w:b/>
          <w:bCs w:val="0"/>
        </w:rPr>
        <w:t>e</w:t>
      </w:r>
      <w:r w:rsidR="00711603" w:rsidRPr="009E1B38">
        <w:rPr>
          <w:rStyle w:val="Gl"/>
          <w:rFonts w:ascii="Times New Roman" w:hAnsi="Times New Roman" w:cs="Times New Roman"/>
          <w:b/>
          <w:bCs w:val="0"/>
        </w:rPr>
        <w:t xml:space="preserve"> </w:t>
      </w:r>
      <w:r w:rsidRPr="009E1B38">
        <w:rPr>
          <w:rStyle w:val="Gl"/>
          <w:rFonts w:ascii="Times New Roman" w:hAnsi="Times New Roman" w:cs="Times New Roman"/>
          <w:b/>
          <w:bCs w:val="0"/>
        </w:rPr>
        <w:t>3</w:t>
      </w:r>
      <w:r w:rsidR="000A02ED" w:rsidRPr="009E1B38">
        <w:rPr>
          <w:rStyle w:val="Gl"/>
          <w:rFonts w:ascii="Times New Roman" w:hAnsi="Times New Roman" w:cs="Times New Roman"/>
          <w:b/>
          <w:bCs w:val="0"/>
        </w:rPr>
        <w:t>.5</w:t>
      </w:r>
      <w:r w:rsidR="000A3A5E" w:rsidRPr="009E1B38">
        <w:rPr>
          <w:rStyle w:val="Gl"/>
          <w:rFonts w:ascii="Times New Roman" w:hAnsi="Times New Roman" w:cs="Times New Roman"/>
          <w:b/>
          <w:bCs w:val="0"/>
        </w:rPr>
        <w:t xml:space="preserve">: </w:t>
      </w:r>
      <w:r w:rsidR="005F23A5" w:rsidRPr="009E1B38">
        <w:rPr>
          <w:rStyle w:val="Gl"/>
          <w:rFonts w:ascii="Times New Roman" w:hAnsi="Times New Roman" w:cs="Times New Roman"/>
          <w:b/>
          <w:bCs w:val="0"/>
        </w:rPr>
        <w:t>Certificate Transactions in the Natural Gas Market in 2021 (Number)</w:t>
      </w:r>
      <w:bookmarkEnd w:id="122"/>
    </w:p>
    <w:tbl>
      <w:tblPr>
        <w:tblW w:w="5036" w:type="pct"/>
        <w:tblInd w:w="-72" w:type="dxa"/>
        <w:tblCellMar>
          <w:left w:w="70" w:type="dxa"/>
          <w:right w:w="70" w:type="dxa"/>
        </w:tblCellMar>
        <w:tblLook w:val="04A0" w:firstRow="1" w:lastRow="0" w:firstColumn="1" w:lastColumn="0" w:noHBand="0" w:noVBand="1"/>
      </w:tblPr>
      <w:tblGrid>
        <w:gridCol w:w="1196"/>
        <w:gridCol w:w="1084"/>
        <w:gridCol w:w="990"/>
        <w:gridCol w:w="1961"/>
        <w:gridCol w:w="869"/>
        <w:gridCol w:w="1085"/>
        <w:gridCol w:w="990"/>
        <w:gridCol w:w="1959"/>
      </w:tblGrid>
      <w:tr w:rsidR="00547BB3" w:rsidRPr="009E1B38" w14:paraId="7D4A8022" w14:textId="77777777" w:rsidTr="00981764">
        <w:trPr>
          <w:trHeight w:val="20"/>
        </w:trPr>
        <w:tc>
          <w:tcPr>
            <w:tcW w:w="592"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7D4A801E" w14:textId="23012C5F" w:rsidR="00547BB3" w:rsidRPr="009E1B38" w:rsidRDefault="00707D5B" w:rsidP="00547BB3">
            <w:pPr>
              <w:spacing w:after="0" w:line="240" w:lineRule="auto"/>
              <w:jc w:val="center"/>
              <w:rPr>
                <w:rFonts w:ascii="Times New Roman" w:eastAsia="Times New Roman" w:hAnsi="Times New Roman"/>
                <w:b/>
                <w:color w:val="FFFFFF"/>
                <w:sz w:val="16"/>
                <w:szCs w:val="16"/>
                <w:lang w:eastAsia="tr-TR"/>
              </w:rPr>
            </w:pPr>
            <w:bookmarkStart w:id="123" w:name="_Toc442431261"/>
            <w:r w:rsidRPr="009E1B38">
              <w:rPr>
                <w:rFonts w:ascii="Times New Roman" w:eastAsia="Times New Roman" w:hAnsi="Times New Roman"/>
                <w:b/>
                <w:color w:val="FFFFFF"/>
                <w:sz w:val="16"/>
                <w:szCs w:val="16"/>
                <w:lang w:eastAsia="tr-TR"/>
              </w:rPr>
              <w:t>Certificate Type</w:t>
            </w:r>
          </w:p>
        </w:tc>
        <w:tc>
          <w:tcPr>
            <w:tcW w:w="2950" w:type="pct"/>
            <w:gridSpan w:val="5"/>
            <w:tcBorders>
              <w:top w:val="single" w:sz="8" w:space="0" w:color="BFBFBF"/>
              <w:left w:val="nil"/>
              <w:bottom w:val="single" w:sz="8" w:space="0" w:color="BFBFBF"/>
              <w:right w:val="single" w:sz="8" w:space="0" w:color="BFBFBF"/>
            </w:tcBorders>
            <w:shd w:val="clear" w:color="000000" w:fill="6E9ECA"/>
            <w:vAlign w:val="center"/>
            <w:hideMark/>
          </w:tcPr>
          <w:p w14:paraId="7D4A801F" w14:textId="24F08BA4" w:rsidR="00547BB3" w:rsidRPr="009E1B38" w:rsidRDefault="00707D5B" w:rsidP="00547BB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Certificate Transaction Type</w:t>
            </w:r>
          </w:p>
        </w:tc>
        <w:tc>
          <w:tcPr>
            <w:tcW w:w="49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5D8998E4" w14:textId="77777777" w:rsidR="00707D5B" w:rsidRPr="009E1B38" w:rsidRDefault="00707D5B" w:rsidP="00707D5B">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Grand Total</w:t>
            </w:r>
          </w:p>
          <w:p w14:paraId="7D4A8020" w14:textId="02BB3D6C" w:rsidR="00547BB3" w:rsidRPr="009E1B38" w:rsidRDefault="00707D5B" w:rsidP="00547BB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 xml:space="preserve">İssuance of the </w:t>
            </w:r>
            <w:r w:rsidRPr="009E1B38">
              <w:rPr>
                <w:rFonts w:ascii="Times New Roman" w:eastAsia="Times New Roman" w:hAnsi="Times New Roman"/>
                <w:b/>
                <w:color w:val="FFFFFF"/>
                <w:sz w:val="16"/>
                <w:szCs w:val="16"/>
                <w:lang w:eastAsia="tr-TR"/>
              </w:rPr>
              <w:lastRenderedPageBreak/>
              <w:t>Certificate</w:t>
            </w:r>
          </w:p>
        </w:tc>
        <w:tc>
          <w:tcPr>
            <w:tcW w:w="969"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1FF6910C" w14:textId="77777777" w:rsidR="00707D5B" w:rsidRPr="009E1B38" w:rsidRDefault="00707D5B" w:rsidP="00707D5B">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lastRenderedPageBreak/>
              <w:t>Number of Certificates in Force at the End of the Term</w:t>
            </w:r>
          </w:p>
          <w:p w14:paraId="7D4A8021" w14:textId="51273BF8" w:rsidR="00547BB3" w:rsidRPr="009E1B38" w:rsidRDefault="00707D5B" w:rsidP="00547BB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 xml:space="preserve">Certificate </w:t>
            </w:r>
            <w:r w:rsidRPr="009E1B38">
              <w:rPr>
                <w:rFonts w:ascii="Times New Roman" w:eastAsia="Times New Roman" w:hAnsi="Times New Roman"/>
                <w:b/>
                <w:color w:val="FFFFFF"/>
                <w:sz w:val="16"/>
                <w:szCs w:val="16"/>
                <w:lang w:eastAsia="tr-TR"/>
              </w:rPr>
              <w:lastRenderedPageBreak/>
              <w:t>Expiration/Expiration</w:t>
            </w:r>
          </w:p>
        </w:tc>
      </w:tr>
      <w:tr w:rsidR="002A7E33" w:rsidRPr="009E1B38" w14:paraId="7D4A802C" w14:textId="77777777" w:rsidTr="00981764">
        <w:trPr>
          <w:trHeight w:val="20"/>
        </w:trPr>
        <w:tc>
          <w:tcPr>
            <w:tcW w:w="592" w:type="pct"/>
            <w:vMerge/>
            <w:tcBorders>
              <w:top w:val="single" w:sz="8" w:space="0" w:color="BFBFBF"/>
              <w:left w:val="single" w:sz="8" w:space="0" w:color="BFBFBF"/>
              <w:bottom w:val="single" w:sz="8" w:space="0" w:color="BFBFBF"/>
              <w:right w:val="single" w:sz="8" w:space="0" w:color="BFBFBF"/>
            </w:tcBorders>
            <w:vAlign w:val="center"/>
            <w:hideMark/>
          </w:tcPr>
          <w:p w14:paraId="7D4A8023" w14:textId="77777777" w:rsidR="002A7E33" w:rsidRPr="009E1B38" w:rsidRDefault="002A7E33" w:rsidP="002A7E33">
            <w:pPr>
              <w:spacing w:after="0" w:line="240" w:lineRule="auto"/>
              <w:rPr>
                <w:rFonts w:ascii="Times New Roman" w:eastAsia="Times New Roman" w:hAnsi="Times New Roman"/>
                <w:b/>
                <w:color w:val="FFFFFF"/>
                <w:sz w:val="16"/>
                <w:szCs w:val="16"/>
                <w:lang w:eastAsia="tr-TR"/>
              </w:rPr>
            </w:pPr>
          </w:p>
        </w:tc>
        <w:tc>
          <w:tcPr>
            <w:tcW w:w="537" w:type="pct"/>
            <w:tcBorders>
              <w:top w:val="nil"/>
              <w:left w:val="nil"/>
              <w:bottom w:val="single" w:sz="8" w:space="0" w:color="BFBFBF"/>
              <w:right w:val="single" w:sz="8" w:space="0" w:color="BFBFBF"/>
            </w:tcBorders>
            <w:shd w:val="clear" w:color="000000" w:fill="6E9ECA"/>
            <w:vAlign w:val="center"/>
            <w:hideMark/>
          </w:tcPr>
          <w:p w14:paraId="7D4A8025" w14:textId="6B32123A" w:rsidR="002A7E33" w:rsidRPr="009E1B38" w:rsidRDefault="00707D5B"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Certificate Application</w:t>
            </w:r>
          </w:p>
        </w:tc>
        <w:tc>
          <w:tcPr>
            <w:tcW w:w="490" w:type="pct"/>
            <w:tcBorders>
              <w:top w:val="nil"/>
              <w:left w:val="nil"/>
              <w:bottom w:val="single" w:sz="8" w:space="0" w:color="BFBFBF"/>
              <w:right w:val="single" w:sz="8" w:space="0" w:color="BFBFBF"/>
            </w:tcBorders>
            <w:shd w:val="clear" w:color="000000" w:fill="6E9ECA"/>
            <w:vAlign w:val="center"/>
            <w:hideMark/>
          </w:tcPr>
          <w:p w14:paraId="7D4A8026" w14:textId="35A2CE9A" w:rsidR="002A7E33" w:rsidRPr="009E1B38" w:rsidRDefault="00707D5B"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İssuance of the Certificate</w:t>
            </w:r>
          </w:p>
        </w:tc>
        <w:tc>
          <w:tcPr>
            <w:tcW w:w="969" w:type="pct"/>
            <w:tcBorders>
              <w:top w:val="nil"/>
              <w:left w:val="nil"/>
              <w:bottom w:val="single" w:sz="8" w:space="0" w:color="BFBFBF"/>
              <w:right w:val="single" w:sz="8" w:space="0" w:color="BFBFBF"/>
            </w:tcBorders>
            <w:shd w:val="clear" w:color="000000" w:fill="6E9ECA"/>
            <w:vAlign w:val="center"/>
            <w:hideMark/>
          </w:tcPr>
          <w:p w14:paraId="7D4A8027" w14:textId="492277CD" w:rsidR="002A7E33" w:rsidRPr="009E1B38" w:rsidRDefault="00707D5B"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Certificate Expiration/Expiration</w:t>
            </w:r>
          </w:p>
        </w:tc>
        <w:tc>
          <w:tcPr>
            <w:tcW w:w="417" w:type="pct"/>
            <w:tcBorders>
              <w:top w:val="nil"/>
              <w:left w:val="nil"/>
              <w:bottom w:val="single" w:sz="8" w:space="0" w:color="BFBFBF"/>
              <w:right w:val="single" w:sz="8" w:space="0" w:color="BFBFBF"/>
            </w:tcBorders>
            <w:shd w:val="clear" w:color="000000" w:fill="6E9ECA"/>
            <w:vAlign w:val="center"/>
            <w:hideMark/>
          </w:tcPr>
          <w:p w14:paraId="7D4A8028" w14:textId="51651DF4" w:rsidR="002A7E33" w:rsidRPr="009E1B38" w:rsidRDefault="00285E4E"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Certificate Visa</w:t>
            </w:r>
          </w:p>
        </w:tc>
        <w:tc>
          <w:tcPr>
            <w:tcW w:w="537" w:type="pct"/>
            <w:tcBorders>
              <w:top w:val="nil"/>
              <w:left w:val="nil"/>
              <w:bottom w:val="single" w:sz="8" w:space="0" w:color="BFBFBF"/>
              <w:right w:val="single" w:sz="8" w:space="0" w:color="BFBFBF"/>
            </w:tcBorders>
            <w:shd w:val="clear" w:color="000000" w:fill="6E9ECA"/>
            <w:vAlign w:val="center"/>
            <w:hideMark/>
          </w:tcPr>
          <w:p w14:paraId="7D4A8029" w14:textId="18388B19" w:rsidR="002A7E33" w:rsidRPr="009E1B38" w:rsidRDefault="00707D5B"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Certificate Application</w:t>
            </w:r>
          </w:p>
        </w:tc>
        <w:tc>
          <w:tcPr>
            <w:tcW w:w="490" w:type="pct"/>
            <w:vMerge/>
            <w:tcBorders>
              <w:top w:val="single" w:sz="8" w:space="0" w:color="BFBFBF"/>
              <w:left w:val="single" w:sz="8" w:space="0" w:color="BFBFBF"/>
              <w:bottom w:val="single" w:sz="8" w:space="0" w:color="BFBFBF"/>
              <w:right w:val="single" w:sz="8" w:space="0" w:color="BFBFBF"/>
            </w:tcBorders>
            <w:vAlign w:val="center"/>
            <w:hideMark/>
          </w:tcPr>
          <w:p w14:paraId="7D4A802A" w14:textId="77777777" w:rsidR="002A7E33" w:rsidRPr="009E1B38" w:rsidRDefault="002A7E33" w:rsidP="002A7E33">
            <w:pPr>
              <w:spacing w:after="0" w:line="240" w:lineRule="auto"/>
              <w:rPr>
                <w:rFonts w:ascii="Times New Roman" w:eastAsia="Times New Roman" w:hAnsi="Times New Roman"/>
                <w:b/>
                <w:color w:val="FFFFFF"/>
                <w:sz w:val="16"/>
                <w:szCs w:val="16"/>
                <w:lang w:eastAsia="tr-TR"/>
              </w:rPr>
            </w:pPr>
          </w:p>
        </w:tc>
        <w:tc>
          <w:tcPr>
            <w:tcW w:w="969" w:type="pct"/>
            <w:vMerge/>
            <w:tcBorders>
              <w:top w:val="single" w:sz="8" w:space="0" w:color="BFBFBF"/>
              <w:left w:val="single" w:sz="8" w:space="0" w:color="BFBFBF"/>
              <w:bottom w:val="single" w:sz="8" w:space="0" w:color="BFBFBF"/>
              <w:right w:val="single" w:sz="8" w:space="0" w:color="BFBFBF"/>
            </w:tcBorders>
            <w:vAlign w:val="center"/>
            <w:hideMark/>
          </w:tcPr>
          <w:p w14:paraId="7D4A802B" w14:textId="77777777" w:rsidR="002A7E33" w:rsidRPr="009E1B38" w:rsidRDefault="002A7E33" w:rsidP="002A7E33">
            <w:pPr>
              <w:spacing w:after="0" w:line="240" w:lineRule="auto"/>
              <w:rPr>
                <w:rFonts w:ascii="Times New Roman" w:eastAsia="Times New Roman" w:hAnsi="Times New Roman"/>
                <w:b/>
                <w:color w:val="FFFFFF"/>
                <w:sz w:val="16"/>
                <w:szCs w:val="16"/>
                <w:lang w:eastAsia="tr-TR"/>
              </w:rPr>
            </w:pPr>
          </w:p>
        </w:tc>
      </w:tr>
      <w:tr w:rsidR="00547BB3" w:rsidRPr="009E1B38" w14:paraId="7D4A8035" w14:textId="77777777" w:rsidTr="00981764">
        <w:trPr>
          <w:trHeight w:val="20"/>
        </w:trPr>
        <w:tc>
          <w:tcPr>
            <w:tcW w:w="592" w:type="pct"/>
            <w:tcBorders>
              <w:top w:val="nil"/>
              <w:left w:val="single" w:sz="8" w:space="0" w:color="BFBFBF"/>
              <w:bottom w:val="single" w:sz="8" w:space="0" w:color="BFBFBF"/>
              <w:right w:val="single" w:sz="8" w:space="0" w:color="BFBFBF"/>
            </w:tcBorders>
            <w:shd w:val="clear" w:color="auto" w:fill="auto"/>
            <w:vAlign w:val="center"/>
            <w:hideMark/>
          </w:tcPr>
          <w:p w14:paraId="7D4A802D" w14:textId="77C3A822" w:rsidR="00547BB3" w:rsidRPr="009E1B38" w:rsidRDefault="00DA77FD" w:rsidP="00547BB3">
            <w:pPr>
              <w:spacing w:after="0" w:line="240" w:lineRule="auto"/>
              <w:jc w:val="center"/>
              <w:rPr>
                <w:rFonts w:ascii="Times New Roman" w:eastAsia="Times New Roman" w:hAnsi="Times New Roman"/>
                <w:color w:val="000000"/>
                <w:sz w:val="16"/>
                <w:szCs w:val="16"/>
                <w:lang w:eastAsia="tr-TR"/>
              </w:rPr>
            </w:pPr>
            <w:r w:rsidRPr="009E1B38">
              <w:rPr>
                <w:rFonts w:ascii="Times New Roman" w:eastAsia="Times New Roman" w:hAnsi="Times New Roman"/>
                <w:color w:val="000000"/>
                <w:sz w:val="16"/>
                <w:szCs w:val="16"/>
                <w:lang w:eastAsia="tr-TR"/>
              </w:rPr>
              <w:t>Construction and Service Certificate</w:t>
            </w:r>
          </w:p>
        </w:tc>
        <w:tc>
          <w:tcPr>
            <w:tcW w:w="537" w:type="pct"/>
            <w:tcBorders>
              <w:top w:val="nil"/>
              <w:left w:val="nil"/>
              <w:bottom w:val="single" w:sz="8" w:space="0" w:color="BFBFBF"/>
              <w:right w:val="single" w:sz="8" w:space="0" w:color="BFBFBF"/>
            </w:tcBorders>
            <w:shd w:val="clear" w:color="auto" w:fill="auto"/>
            <w:vAlign w:val="center"/>
            <w:hideMark/>
          </w:tcPr>
          <w:p w14:paraId="7D4A802E" w14:textId="77777777" w:rsidR="00547BB3" w:rsidRPr="009E1B38" w:rsidRDefault="00975929"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87</w:t>
            </w:r>
          </w:p>
        </w:tc>
        <w:tc>
          <w:tcPr>
            <w:tcW w:w="490" w:type="pct"/>
            <w:tcBorders>
              <w:top w:val="nil"/>
              <w:left w:val="nil"/>
              <w:bottom w:val="single" w:sz="8" w:space="0" w:color="BFBFBF"/>
              <w:right w:val="single" w:sz="8" w:space="0" w:color="BFBFBF"/>
            </w:tcBorders>
            <w:shd w:val="clear" w:color="auto" w:fill="auto"/>
            <w:vAlign w:val="center"/>
            <w:hideMark/>
          </w:tcPr>
          <w:p w14:paraId="7D4A802F" w14:textId="77777777" w:rsidR="00547BB3" w:rsidRPr="009E1B38" w:rsidRDefault="00975929"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85</w:t>
            </w:r>
          </w:p>
        </w:tc>
        <w:tc>
          <w:tcPr>
            <w:tcW w:w="969" w:type="pct"/>
            <w:tcBorders>
              <w:top w:val="nil"/>
              <w:left w:val="nil"/>
              <w:bottom w:val="single" w:sz="8" w:space="0" w:color="BFBFBF"/>
              <w:right w:val="single" w:sz="8" w:space="0" w:color="BFBFBF"/>
            </w:tcBorders>
            <w:shd w:val="clear" w:color="auto" w:fill="auto"/>
            <w:vAlign w:val="center"/>
            <w:hideMark/>
          </w:tcPr>
          <w:p w14:paraId="7D4A8030" w14:textId="77777777" w:rsidR="00547BB3" w:rsidRPr="009E1B38" w:rsidRDefault="00975929"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57</w:t>
            </w:r>
          </w:p>
        </w:tc>
        <w:tc>
          <w:tcPr>
            <w:tcW w:w="417" w:type="pct"/>
            <w:tcBorders>
              <w:top w:val="nil"/>
              <w:left w:val="nil"/>
              <w:bottom w:val="single" w:sz="8" w:space="0" w:color="BFBFBF"/>
              <w:right w:val="single" w:sz="8" w:space="0" w:color="BFBFBF"/>
            </w:tcBorders>
            <w:shd w:val="clear" w:color="auto" w:fill="auto"/>
            <w:vAlign w:val="center"/>
            <w:hideMark/>
          </w:tcPr>
          <w:p w14:paraId="7D4A8031" w14:textId="77777777" w:rsidR="00547BB3" w:rsidRPr="009E1B38" w:rsidRDefault="00975929"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159</w:t>
            </w:r>
          </w:p>
        </w:tc>
        <w:tc>
          <w:tcPr>
            <w:tcW w:w="537" w:type="pct"/>
            <w:tcBorders>
              <w:top w:val="nil"/>
              <w:left w:val="nil"/>
              <w:bottom w:val="single" w:sz="8" w:space="0" w:color="BFBFBF"/>
              <w:right w:val="single" w:sz="8" w:space="0" w:color="BFBFBF"/>
            </w:tcBorders>
            <w:shd w:val="clear" w:color="auto" w:fill="auto"/>
            <w:vAlign w:val="center"/>
            <w:hideMark/>
          </w:tcPr>
          <w:p w14:paraId="7D4A8032" w14:textId="77777777" w:rsidR="00547BB3" w:rsidRPr="009E1B38" w:rsidRDefault="00975929"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22</w:t>
            </w:r>
          </w:p>
        </w:tc>
        <w:tc>
          <w:tcPr>
            <w:tcW w:w="490" w:type="pct"/>
            <w:tcBorders>
              <w:top w:val="nil"/>
              <w:left w:val="nil"/>
              <w:bottom w:val="single" w:sz="8" w:space="0" w:color="BFBFBF"/>
              <w:right w:val="single" w:sz="8" w:space="0" w:color="BFBFBF"/>
            </w:tcBorders>
            <w:shd w:val="clear" w:color="auto" w:fill="auto"/>
            <w:vAlign w:val="center"/>
            <w:hideMark/>
          </w:tcPr>
          <w:p w14:paraId="7D4A8033" w14:textId="77777777" w:rsidR="00547BB3" w:rsidRPr="009E1B38" w:rsidRDefault="00975929"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410</w:t>
            </w:r>
          </w:p>
        </w:tc>
        <w:tc>
          <w:tcPr>
            <w:tcW w:w="969" w:type="pct"/>
            <w:tcBorders>
              <w:top w:val="nil"/>
              <w:left w:val="nil"/>
              <w:bottom w:val="single" w:sz="8" w:space="0" w:color="BFBFBF"/>
              <w:right w:val="single" w:sz="8" w:space="0" w:color="BFBFBF"/>
            </w:tcBorders>
            <w:shd w:val="clear" w:color="auto" w:fill="auto"/>
            <w:vAlign w:val="center"/>
            <w:hideMark/>
          </w:tcPr>
          <w:p w14:paraId="7D4A8034" w14:textId="77777777" w:rsidR="00547BB3" w:rsidRPr="009E1B38" w:rsidRDefault="000A3A5E" w:rsidP="00547BB3">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1.0</w:t>
            </w:r>
            <w:r w:rsidR="00975929" w:rsidRPr="009E1B38">
              <w:rPr>
                <w:rFonts w:ascii="Times New Roman" w:eastAsia="Times New Roman" w:hAnsi="Times New Roman"/>
                <w:b/>
                <w:bCs/>
                <w:color w:val="000000"/>
                <w:lang w:eastAsia="tr-TR"/>
              </w:rPr>
              <w:t>34</w:t>
            </w:r>
          </w:p>
        </w:tc>
      </w:tr>
    </w:tbl>
    <w:p w14:paraId="7D4A8036" w14:textId="77777777" w:rsidR="00AA292A" w:rsidRPr="009E1B38" w:rsidRDefault="00AA292A">
      <w:pPr>
        <w:jc w:val="left"/>
        <w:rPr>
          <w:rFonts w:ascii="Times New Roman" w:eastAsiaTheme="majorEastAsia" w:hAnsi="Times New Roman"/>
          <w:b/>
          <w:bCs/>
        </w:rPr>
      </w:pPr>
      <w:r w:rsidRPr="009E1B38">
        <w:rPr>
          <w:rFonts w:ascii="Times New Roman" w:eastAsiaTheme="majorEastAsia" w:hAnsi="Times New Roman"/>
          <w:b/>
          <w:bCs/>
        </w:rPr>
        <w:br w:type="page"/>
      </w:r>
    </w:p>
    <w:p w14:paraId="7D4A8037" w14:textId="2DC30406" w:rsidR="00CB5826" w:rsidRPr="009E1B38" w:rsidRDefault="00C221F2" w:rsidP="00861F98">
      <w:pPr>
        <w:pStyle w:val="Balk2"/>
        <w:rPr>
          <w:rFonts w:cs="Times New Roman"/>
        </w:rPr>
      </w:pPr>
      <w:bookmarkStart w:id="124" w:name="_Toc113615339"/>
      <w:bookmarkEnd w:id="123"/>
      <w:r w:rsidRPr="009E1B38">
        <w:rPr>
          <w:rFonts w:cs="Times New Roman"/>
        </w:rPr>
        <w:lastRenderedPageBreak/>
        <w:t>3</w:t>
      </w:r>
      <w:r w:rsidR="00861F98" w:rsidRPr="009E1B38">
        <w:rPr>
          <w:rFonts w:cs="Times New Roman"/>
        </w:rPr>
        <w:t>.3</w:t>
      </w:r>
      <w:r w:rsidR="008C40F5" w:rsidRPr="009E1B38">
        <w:rPr>
          <w:rFonts w:cs="Times New Roman"/>
        </w:rPr>
        <w:t xml:space="preserve"> </w:t>
      </w:r>
      <w:r w:rsidR="00D63AF1" w:rsidRPr="009E1B38">
        <w:rPr>
          <w:rFonts w:cs="Times New Roman"/>
          <w:color w:val="000000" w:themeColor="text1"/>
        </w:rPr>
        <w:t>Petroleum Market Licensing Activities</w:t>
      </w:r>
      <w:bookmarkEnd w:id="124"/>
    </w:p>
    <w:p w14:paraId="7C4DD516" w14:textId="77777777" w:rsidR="005D780B" w:rsidRPr="009E1B38" w:rsidRDefault="005D780B" w:rsidP="005D780B">
      <w:pPr>
        <w:rPr>
          <w:rFonts w:ascii="Times New Roman" w:hAnsi="Times New Roman"/>
        </w:rPr>
      </w:pPr>
      <w:r w:rsidRPr="009E1B38">
        <w:rPr>
          <w:rFonts w:ascii="Times New Roman" w:hAnsi="Times New Roman"/>
        </w:rPr>
        <w:t>Regarding petroleum; refining, processing, mineral oil production, storage, transmission, free user and bunker activities and establishment and/or operation of facilities for this purpose; İt is obligatory to obtain a license for fuel distribution, transportation and dealership activities. The procedures and principles regarding licenses in this regard are regulated in the Petroleum Market License Regulation. Licenses granted by the Authority according to their fields of activity; Refiner License, Business License, Mineral Oil License, Storage License, Transmission License, Free User License, Bunker Delivery License, Distributor License, Transport License, Dealership License.</w:t>
      </w:r>
    </w:p>
    <w:p w14:paraId="7D4A8039" w14:textId="0EBC44B0" w:rsidR="00CB5826" w:rsidRPr="009E1B38" w:rsidRDefault="00CB5826" w:rsidP="0008108D">
      <w:pPr>
        <w:pStyle w:val="Balk5"/>
        <w:jc w:val="center"/>
        <w:rPr>
          <w:rStyle w:val="Gl"/>
          <w:rFonts w:ascii="Times New Roman" w:hAnsi="Times New Roman" w:cs="Times New Roman"/>
          <w:b/>
          <w:bCs w:val="0"/>
        </w:rPr>
      </w:pPr>
      <w:bookmarkStart w:id="125" w:name="_Toc107499503"/>
      <w:r w:rsidRPr="009E1B38">
        <w:rPr>
          <w:rStyle w:val="Gl"/>
          <w:rFonts w:ascii="Times New Roman" w:hAnsi="Times New Roman" w:cs="Times New Roman"/>
          <w:b/>
          <w:bCs w:val="0"/>
        </w:rPr>
        <w:t>Ta</w:t>
      </w:r>
      <w:r w:rsidR="000A02ED" w:rsidRPr="009E1B38">
        <w:rPr>
          <w:rStyle w:val="Gl"/>
          <w:rFonts w:ascii="Times New Roman" w:hAnsi="Times New Roman" w:cs="Times New Roman"/>
          <w:b/>
          <w:bCs w:val="0"/>
        </w:rPr>
        <w:t>bl</w:t>
      </w:r>
      <w:r w:rsidR="005E7E2C" w:rsidRPr="009E1B38">
        <w:rPr>
          <w:rStyle w:val="Gl"/>
          <w:rFonts w:ascii="Times New Roman" w:hAnsi="Times New Roman" w:cs="Times New Roman"/>
          <w:b/>
          <w:bCs w:val="0"/>
        </w:rPr>
        <w:t>e</w:t>
      </w:r>
      <w:r w:rsidR="000A02ED" w:rsidRPr="009E1B38">
        <w:rPr>
          <w:rStyle w:val="Gl"/>
          <w:rFonts w:ascii="Times New Roman" w:hAnsi="Times New Roman" w:cs="Times New Roman"/>
          <w:b/>
          <w:bCs w:val="0"/>
        </w:rPr>
        <w:t xml:space="preserve"> 3.6</w:t>
      </w:r>
      <w:r w:rsidR="00547BB3" w:rsidRPr="009E1B38">
        <w:rPr>
          <w:rStyle w:val="Gl"/>
          <w:rFonts w:ascii="Times New Roman" w:hAnsi="Times New Roman" w:cs="Times New Roman"/>
          <w:b/>
          <w:bCs w:val="0"/>
        </w:rPr>
        <w:t xml:space="preserve">: </w:t>
      </w:r>
      <w:r w:rsidR="00E63C9B" w:rsidRPr="009E1B38">
        <w:rPr>
          <w:rStyle w:val="Gl"/>
          <w:rFonts w:ascii="Times New Roman" w:hAnsi="Times New Roman" w:cs="Times New Roman"/>
          <w:b/>
          <w:bCs w:val="0"/>
        </w:rPr>
        <w:t>License Transactions in the Petroleum Market in 2020 (Number)</w:t>
      </w:r>
      <w:bookmarkEnd w:id="125"/>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58"/>
        <w:gridCol w:w="1054"/>
        <w:gridCol w:w="1057"/>
        <w:gridCol w:w="1932"/>
        <w:gridCol w:w="1057"/>
        <w:gridCol w:w="1121"/>
        <w:gridCol w:w="1057"/>
        <w:gridCol w:w="1226"/>
      </w:tblGrid>
      <w:tr w:rsidR="002A7E33" w:rsidRPr="009E1B38" w14:paraId="7D4A8042" w14:textId="77777777" w:rsidTr="00272E9A">
        <w:trPr>
          <w:trHeight w:val="283"/>
        </w:trPr>
        <w:tc>
          <w:tcPr>
            <w:tcW w:w="774" w:type="pct"/>
            <w:shd w:val="clear" w:color="000000" w:fill="6E9ECA"/>
            <w:vAlign w:val="center"/>
            <w:hideMark/>
          </w:tcPr>
          <w:p w14:paraId="7D4A803A" w14:textId="505C51A6" w:rsidR="002A7E33" w:rsidRPr="009E1B38" w:rsidRDefault="00F90255"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License Type</w:t>
            </w:r>
          </w:p>
        </w:tc>
        <w:tc>
          <w:tcPr>
            <w:tcW w:w="524" w:type="pct"/>
            <w:shd w:val="clear" w:color="000000" w:fill="6E9ECA"/>
            <w:vAlign w:val="center"/>
            <w:hideMark/>
          </w:tcPr>
          <w:p w14:paraId="7D4A803B" w14:textId="3FEAF0C7" w:rsidR="002A7E33" w:rsidRPr="009E1B38" w:rsidRDefault="00F90255"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License Application</w:t>
            </w:r>
          </w:p>
        </w:tc>
        <w:tc>
          <w:tcPr>
            <w:tcW w:w="525" w:type="pct"/>
            <w:shd w:val="clear" w:color="000000" w:fill="6E9ECA"/>
            <w:vAlign w:val="center"/>
            <w:hideMark/>
          </w:tcPr>
          <w:p w14:paraId="7D4A803C" w14:textId="02D1F535" w:rsidR="002A7E33" w:rsidRPr="009E1B38" w:rsidRDefault="00F90255"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Granting the License</w:t>
            </w:r>
          </w:p>
        </w:tc>
        <w:tc>
          <w:tcPr>
            <w:tcW w:w="960" w:type="pct"/>
            <w:shd w:val="clear" w:color="000000" w:fill="6E9ECA"/>
            <w:vAlign w:val="center"/>
            <w:hideMark/>
          </w:tcPr>
          <w:p w14:paraId="7D4A803D" w14:textId="034824CE" w:rsidR="002A7E33" w:rsidRPr="009E1B38" w:rsidRDefault="00F90255"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License Expiration/Termination</w:t>
            </w:r>
          </w:p>
        </w:tc>
        <w:tc>
          <w:tcPr>
            <w:tcW w:w="525" w:type="pct"/>
            <w:shd w:val="clear" w:color="000000" w:fill="6E9ECA"/>
            <w:vAlign w:val="center"/>
            <w:hideMark/>
          </w:tcPr>
          <w:p w14:paraId="23D9BC5A" w14:textId="77777777" w:rsidR="00F90255" w:rsidRPr="009E1B38" w:rsidRDefault="00F90255" w:rsidP="00F90255">
            <w:pPr>
              <w:spacing w:after="0" w:line="240" w:lineRule="auto"/>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License</w:t>
            </w:r>
          </w:p>
          <w:p w14:paraId="7D4A803E" w14:textId="731B865B" w:rsidR="002A7E33" w:rsidRPr="009E1B38" w:rsidRDefault="00F90255"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Revocation</w:t>
            </w:r>
          </w:p>
        </w:tc>
        <w:tc>
          <w:tcPr>
            <w:tcW w:w="557" w:type="pct"/>
            <w:shd w:val="clear" w:color="000000" w:fill="6E9ECA"/>
            <w:vAlign w:val="center"/>
            <w:hideMark/>
          </w:tcPr>
          <w:p w14:paraId="7D4A803F" w14:textId="106CD7F6" w:rsidR="002A7E33" w:rsidRPr="009E1B38" w:rsidRDefault="00F90255"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Number of Amendments</w:t>
            </w:r>
          </w:p>
        </w:tc>
        <w:tc>
          <w:tcPr>
            <w:tcW w:w="525" w:type="pct"/>
            <w:shd w:val="clear" w:color="000000" w:fill="6E9ECA"/>
            <w:vAlign w:val="center"/>
            <w:hideMark/>
          </w:tcPr>
          <w:p w14:paraId="7D4A8040" w14:textId="20549914" w:rsidR="002A7E33" w:rsidRPr="009E1B38" w:rsidRDefault="00F90255"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G</w:t>
            </w:r>
            <w:r w:rsidR="005E7E2C" w:rsidRPr="009E1B38">
              <w:rPr>
                <w:rFonts w:ascii="Times New Roman" w:eastAsia="Times New Roman" w:hAnsi="Times New Roman"/>
                <w:b/>
                <w:color w:val="FFFFFF"/>
                <w:sz w:val="16"/>
                <w:szCs w:val="16"/>
                <w:lang w:eastAsia="tr-TR"/>
              </w:rPr>
              <w:t>eneral</w:t>
            </w:r>
            <w:r w:rsidRPr="009E1B38">
              <w:rPr>
                <w:rFonts w:ascii="Times New Roman" w:eastAsia="Times New Roman" w:hAnsi="Times New Roman"/>
                <w:color w:val="FFFFFF"/>
                <w:sz w:val="16"/>
                <w:szCs w:val="16"/>
                <w:lang w:eastAsia="tr-TR"/>
              </w:rPr>
              <w:t xml:space="preserve"> Total</w:t>
            </w:r>
          </w:p>
        </w:tc>
        <w:tc>
          <w:tcPr>
            <w:tcW w:w="609" w:type="pct"/>
            <w:shd w:val="clear" w:color="000000" w:fill="6E9ECA"/>
            <w:vAlign w:val="center"/>
            <w:hideMark/>
          </w:tcPr>
          <w:p w14:paraId="7D4A8041" w14:textId="4D74816E" w:rsidR="002A7E33" w:rsidRPr="009E1B38" w:rsidRDefault="00F90255" w:rsidP="002A7E33">
            <w:pPr>
              <w:spacing w:after="0" w:line="240" w:lineRule="auto"/>
              <w:jc w:val="center"/>
              <w:rPr>
                <w:rFonts w:ascii="Times New Roman" w:eastAsia="Times New Roman" w:hAnsi="Times New Roman"/>
                <w:b/>
                <w:color w:val="FFFFFF"/>
                <w:sz w:val="16"/>
                <w:szCs w:val="16"/>
                <w:lang w:eastAsia="tr-TR"/>
              </w:rPr>
            </w:pPr>
            <w:r w:rsidRPr="009E1B38">
              <w:rPr>
                <w:rFonts w:ascii="Times New Roman" w:eastAsia="Times New Roman" w:hAnsi="Times New Roman"/>
                <w:b/>
                <w:color w:val="FFFFFF"/>
                <w:sz w:val="16"/>
                <w:szCs w:val="16"/>
                <w:lang w:eastAsia="tr-TR"/>
              </w:rPr>
              <w:t>Number of Licenses in Effect at the End of the Term</w:t>
            </w:r>
          </w:p>
        </w:tc>
      </w:tr>
      <w:tr w:rsidR="002A7E33" w:rsidRPr="009E1B38" w14:paraId="7D4A804B" w14:textId="77777777" w:rsidTr="00272E9A">
        <w:trPr>
          <w:trHeight w:val="283"/>
        </w:trPr>
        <w:tc>
          <w:tcPr>
            <w:tcW w:w="774" w:type="pct"/>
            <w:shd w:val="clear" w:color="auto" w:fill="auto"/>
            <w:hideMark/>
          </w:tcPr>
          <w:p w14:paraId="7D4A8043" w14:textId="3C70F590" w:rsidR="002A7E33" w:rsidRPr="009E1B38" w:rsidRDefault="00272E9A" w:rsidP="002A7E33">
            <w:pPr>
              <w:spacing w:after="0" w:line="240" w:lineRule="auto"/>
              <w:jc w:val="left"/>
              <w:rPr>
                <w:rFonts w:ascii="Times New Roman" w:eastAsia="Times New Roman" w:hAnsi="Times New Roman"/>
                <w:color w:val="000000"/>
                <w:lang w:eastAsia="tr-TR"/>
              </w:rPr>
            </w:pPr>
            <w:r w:rsidRPr="009E1B38">
              <w:rPr>
                <w:rFonts w:ascii="Times New Roman" w:hAnsi="Times New Roman"/>
              </w:rPr>
              <w:t>Dealer License</w:t>
            </w:r>
          </w:p>
        </w:tc>
        <w:tc>
          <w:tcPr>
            <w:tcW w:w="524" w:type="pct"/>
            <w:shd w:val="clear" w:color="auto" w:fill="auto"/>
            <w:vAlign w:val="center"/>
            <w:hideMark/>
          </w:tcPr>
          <w:p w14:paraId="7D4A8044"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1.497</w:t>
            </w:r>
          </w:p>
        </w:tc>
        <w:tc>
          <w:tcPr>
            <w:tcW w:w="525" w:type="pct"/>
            <w:shd w:val="clear" w:color="auto" w:fill="auto"/>
            <w:vAlign w:val="center"/>
            <w:hideMark/>
          </w:tcPr>
          <w:p w14:paraId="7D4A8045"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1.439</w:t>
            </w:r>
          </w:p>
        </w:tc>
        <w:tc>
          <w:tcPr>
            <w:tcW w:w="960" w:type="pct"/>
            <w:shd w:val="clear" w:color="auto" w:fill="auto"/>
            <w:vAlign w:val="center"/>
            <w:hideMark/>
          </w:tcPr>
          <w:p w14:paraId="7D4A8046"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1.451</w:t>
            </w:r>
          </w:p>
        </w:tc>
        <w:tc>
          <w:tcPr>
            <w:tcW w:w="525" w:type="pct"/>
            <w:shd w:val="clear" w:color="auto" w:fill="auto"/>
            <w:vAlign w:val="center"/>
            <w:hideMark/>
          </w:tcPr>
          <w:p w14:paraId="7D4A8047"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w:t>
            </w:r>
          </w:p>
        </w:tc>
        <w:tc>
          <w:tcPr>
            <w:tcW w:w="557" w:type="pct"/>
            <w:shd w:val="clear" w:color="auto" w:fill="auto"/>
            <w:vAlign w:val="center"/>
            <w:hideMark/>
          </w:tcPr>
          <w:p w14:paraId="7D4A8048"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3.143</w:t>
            </w:r>
          </w:p>
        </w:tc>
        <w:tc>
          <w:tcPr>
            <w:tcW w:w="525" w:type="pct"/>
            <w:shd w:val="clear" w:color="auto" w:fill="auto"/>
            <w:vAlign w:val="center"/>
            <w:hideMark/>
          </w:tcPr>
          <w:p w14:paraId="7D4A8049"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7.351</w:t>
            </w:r>
          </w:p>
        </w:tc>
        <w:tc>
          <w:tcPr>
            <w:tcW w:w="609" w:type="pct"/>
            <w:shd w:val="clear" w:color="auto" w:fill="auto"/>
            <w:vAlign w:val="center"/>
            <w:hideMark/>
          </w:tcPr>
          <w:p w14:paraId="7D4A804A"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13.053</w:t>
            </w:r>
          </w:p>
        </w:tc>
      </w:tr>
      <w:tr w:rsidR="002A7E33" w:rsidRPr="009E1B38" w14:paraId="7D4A8054" w14:textId="77777777" w:rsidTr="00272E9A">
        <w:trPr>
          <w:trHeight w:val="283"/>
        </w:trPr>
        <w:tc>
          <w:tcPr>
            <w:tcW w:w="774" w:type="pct"/>
            <w:shd w:val="clear" w:color="auto" w:fill="auto"/>
            <w:hideMark/>
          </w:tcPr>
          <w:p w14:paraId="7D4A804C" w14:textId="33FEE4EF" w:rsidR="002A7E33" w:rsidRPr="009E1B38" w:rsidRDefault="00272E9A" w:rsidP="002A7E33">
            <w:pPr>
              <w:spacing w:after="0" w:line="240" w:lineRule="auto"/>
              <w:jc w:val="left"/>
              <w:rPr>
                <w:rFonts w:ascii="Times New Roman" w:eastAsia="Times New Roman" w:hAnsi="Times New Roman"/>
                <w:color w:val="000000"/>
                <w:lang w:eastAsia="tr-TR"/>
              </w:rPr>
            </w:pPr>
            <w:r w:rsidRPr="009E1B38">
              <w:rPr>
                <w:rFonts w:ascii="Times New Roman" w:hAnsi="Times New Roman"/>
              </w:rPr>
              <w:t>Distributor License</w:t>
            </w:r>
          </w:p>
        </w:tc>
        <w:tc>
          <w:tcPr>
            <w:tcW w:w="524" w:type="pct"/>
            <w:shd w:val="clear" w:color="auto" w:fill="auto"/>
            <w:vAlign w:val="center"/>
            <w:hideMark/>
          </w:tcPr>
          <w:p w14:paraId="7D4A804D"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17</w:t>
            </w:r>
          </w:p>
        </w:tc>
        <w:tc>
          <w:tcPr>
            <w:tcW w:w="525" w:type="pct"/>
            <w:shd w:val="clear" w:color="auto" w:fill="auto"/>
            <w:vAlign w:val="center"/>
            <w:hideMark/>
          </w:tcPr>
          <w:p w14:paraId="7D4A804E"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w:t>
            </w:r>
          </w:p>
        </w:tc>
        <w:tc>
          <w:tcPr>
            <w:tcW w:w="960" w:type="pct"/>
            <w:shd w:val="clear" w:color="auto" w:fill="auto"/>
            <w:vAlign w:val="center"/>
            <w:hideMark/>
          </w:tcPr>
          <w:p w14:paraId="7D4A804F"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3</w:t>
            </w:r>
          </w:p>
        </w:tc>
        <w:tc>
          <w:tcPr>
            <w:tcW w:w="525" w:type="pct"/>
            <w:shd w:val="clear" w:color="auto" w:fill="auto"/>
            <w:vAlign w:val="center"/>
            <w:hideMark/>
          </w:tcPr>
          <w:p w14:paraId="7D4A8050"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13</w:t>
            </w:r>
          </w:p>
        </w:tc>
        <w:tc>
          <w:tcPr>
            <w:tcW w:w="557" w:type="pct"/>
            <w:shd w:val="clear" w:color="auto" w:fill="auto"/>
            <w:vAlign w:val="center"/>
            <w:hideMark/>
          </w:tcPr>
          <w:p w14:paraId="7D4A8051"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15</w:t>
            </w:r>
          </w:p>
        </w:tc>
        <w:tc>
          <w:tcPr>
            <w:tcW w:w="525" w:type="pct"/>
            <w:shd w:val="clear" w:color="auto" w:fill="auto"/>
            <w:vAlign w:val="center"/>
            <w:hideMark/>
          </w:tcPr>
          <w:p w14:paraId="7D4A8052"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50</w:t>
            </w:r>
          </w:p>
        </w:tc>
        <w:tc>
          <w:tcPr>
            <w:tcW w:w="609" w:type="pct"/>
            <w:shd w:val="clear" w:color="auto" w:fill="auto"/>
            <w:vAlign w:val="center"/>
            <w:hideMark/>
          </w:tcPr>
          <w:p w14:paraId="7D4A8053"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lang w:eastAsia="tr-TR"/>
              </w:rPr>
              <w:t>36</w:t>
            </w:r>
          </w:p>
        </w:tc>
      </w:tr>
      <w:tr w:rsidR="002A7E33" w:rsidRPr="009E1B38" w14:paraId="7D4A805D" w14:textId="77777777" w:rsidTr="00272E9A">
        <w:trPr>
          <w:trHeight w:val="283"/>
        </w:trPr>
        <w:tc>
          <w:tcPr>
            <w:tcW w:w="774" w:type="pct"/>
            <w:shd w:val="clear" w:color="auto" w:fill="auto"/>
            <w:hideMark/>
          </w:tcPr>
          <w:p w14:paraId="7D4A8055" w14:textId="4E6EC081" w:rsidR="002A7E33" w:rsidRPr="009E1B38" w:rsidRDefault="00272E9A" w:rsidP="002A7E33">
            <w:pPr>
              <w:spacing w:after="0" w:line="240" w:lineRule="auto"/>
              <w:jc w:val="left"/>
              <w:rPr>
                <w:rFonts w:ascii="Times New Roman" w:eastAsia="Times New Roman" w:hAnsi="Times New Roman"/>
                <w:color w:val="000000"/>
                <w:lang w:eastAsia="tr-TR"/>
              </w:rPr>
            </w:pPr>
            <w:r w:rsidRPr="009E1B38">
              <w:rPr>
                <w:rFonts w:ascii="Times New Roman" w:hAnsi="Times New Roman"/>
              </w:rPr>
              <w:t>Storage License</w:t>
            </w:r>
          </w:p>
        </w:tc>
        <w:tc>
          <w:tcPr>
            <w:tcW w:w="524" w:type="pct"/>
            <w:shd w:val="clear" w:color="auto" w:fill="auto"/>
            <w:vAlign w:val="center"/>
            <w:hideMark/>
          </w:tcPr>
          <w:p w14:paraId="7D4A8056"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11</w:t>
            </w:r>
          </w:p>
        </w:tc>
        <w:tc>
          <w:tcPr>
            <w:tcW w:w="525" w:type="pct"/>
            <w:shd w:val="clear" w:color="auto" w:fill="auto"/>
            <w:vAlign w:val="center"/>
            <w:hideMark/>
          </w:tcPr>
          <w:p w14:paraId="7D4A8057"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5</w:t>
            </w:r>
          </w:p>
        </w:tc>
        <w:tc>
          <w:tcPr>
            <w:tcW w:w="960" w:type="pct"/>
            <w:shd w:val="clear" w:color="auto" w:fill="auto"/>
            <w:vAlign w:val="center"/>
            <w:hideMark/>
          </w:tcPr>
          <w:p w14:paraId="7D4A8058"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3</w:t>
            </w:r>
          </w:p>
        </w:tc>
        <w:tc>
          <w:tcPr>
            <w:tcW w:w="525" w:type="pct"/>
            <w:shd w:val="clear" w:color="auto" w:fill="auto"/>
            <w:vAlign w:val="center"/>
            <w:hideMark/>
          </w:tcPr>
          <w:p w14:paraId="7D4A8059"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0</w:t>
            </w:r>
          </w:p>
        </w:tc>
        <w:tc>
          <w:tcPr>
            <w:tcW w:w="557" w:type="pct"/>
            <w:shd w:val="clear" w:color="auto" w:fill="auto"/>
            <w:vAlign w:val="center"/>
            <w:hideMark/>
          </w:tcPr>
          <w:p w14:paraId="7D4A805A"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48</w:t>
            </w:r>
          </w:p>
        </w:tc>
        <w:tc>
          <w:tcPr>
            <w:tcW w:w="525" w:type="pct"/>
            <w:shd w:val="clear" w:color="auto" w:fill="auto"/>
            <w:vAlign w:val="center"/>
            <w:hideMark/>
          </w:tcPr>
          <w:p w14:paraId="7D4A805B"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67</w:t>
            </w:r>
          </w:p>
        </w:tc>
        <w:tc>
          <w:tcPr>
            <w:tcW w:w="609" w:type="pct"/>
            <w:shd w:val="clear" w:color="auto" w:fill="auto"/>
            <w:vAlign w:val="center"/>
            <w:hideMark/>
          </w:tcPr>
          <w:p w14:paraId="7D4A805C"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96</w:t>
            </w:r>
          </w:p>
        </w:tc>
      </w:tr>
      <w:tr w:rsidR="002A7E33" w:rsidRPr="009E1B38" w14:paraId="7D4A8066" w14:textId="77777777" w:rsidTr="00272E9A">
        <w:trPr>
          <w:trHeight w:val="283"/>
        </w:trPr>
        <w:tc>
          <w:tcPr>
            <w:tcW w:w="774" w:type="pct"/>
            <w:shd w:val="clear" w:color="auto" w:fill="auto"/>
            <w:hideMark/>
          </w:tcPr>
          <w:p w14:paraId="7D4A805E" w14:textId="55E57B1D" w:rsidR="002A7E33" w:rsidRPr="009E1B38" w:rsidRDefault="00272E9A" w:rsidP="002A7E33">
            <w:pPr>
              <w:spacing w:after="0" w:line="240" w:lineRule="auto"/>
              <w:jc w:val="left"/>
              <w:rPr>
                <w:rFonts w:ascii="Times New Roman" w:eastAsia="Times New Roman" w:hAnsi="Times New Roman"/>
                <w:color w:val="000000"/>
                <w:lang w:eastAsia="tr-TR"/>
              </w:rPr>
            </w:pPr>
            <w:r w:rsidRPr="009E1B38">
              <w:rPr>
                <w:rFonts w:ascii="Times New Roman" w:hAnsi="Times New Roman"/>
              </w:rPr>
              <w:t>Bunker Delivery License</w:t>
            </w:r>
          </w:p>
        </w:tc>
        <w:tc>
          <w:tcPr>
            <w:tcW w:w="524" w:type="pct"/>
            <w:shd w:val="clear" w:color="auto" w:fill="auto"/>
            <w:vAlign w:val="center"/>
            <w:hideMark/>
          </w:tcPr>
          <w:p w14:paraId="7D4A805F"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15</w:t>
            </w:r>
          </w:p>
        </w:tc>
        <w:tc>
          <w:tcPr>
            <w:tcW w:w="525" w:type="pct"/>
            <w:shd w:val="clear" w:color="auto" w:fill="auto"/>
            <w:vAlign w:val="center"/>
            <w:hideMark/>
          </w:tcPr>
          <w:p w14:paraId="7D4A8060"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7</w:t>
            </w:r>
          </w:p>
        </w:tc>
        <w:tc>
          <w:tcPr>
            <w:tcW w:w="960" w:type="pct"/>
            <w:shd w:val="clear" w:color="auto" w:fill="auto"/>
            <w:vAlign w:val="center"/>
            <w:hideMark/>
          </w:tcPr>
          <w:p w14:paraId="7D4A8061"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0</w:t>
            </w:r>
          </w:p>
        </w:tc>
        <w:tc>
          <w:tcPr>
            <w:tcW w:w="525" w:type="pct"/>
            <w:shd w:val="clear" w:color="auto" w:fill="auto"/>
            <w:vAlign w:val="center"/>
            <w:hideMark/>
          </w:tcPr>
          <w:p w14:paraId="7D4A8062"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0</w:t>
            </w:r>
          </w:p>
        </w:tc>
        <w:tc>
          <w:tcPr>
            <w:tcW w:w="557" w:type="pct"/>
            <w:shd w:val="clear" w:color="auto" w:fill="auto"/>
            <w:vAlign w:val="center"/>
            <w:hideMark/>
          </w:tcPr>
          <w:p w14:paraId="7D4A8063"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12</w:t>
            </w:r>
          </w:p>
        </w:tc>
        <w:tc>
          <w:tcPr>
            <w:tcW w:w="525" w:type="pct"/>
            <w:shd w:val="clear" w:color="auto" w:fill="auto"/>
            <w:vAlign w:val="center"/>
            <w:hideMark/>
          </w:tcPr>
          <w:p w14:paraId="7D4A8064"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34</w:t>
            </w:r>
          </w:p>
        </w:tc>
        <w:tc>
          <w:tcPr>
            <w:tcW w:w="609" w:type="pct"/>
            <w:shd w:val="clear" w:color="auto" w:fill="auto"/>
            <w:vAlign w:val="center"/>
            <w:hideMark/>
          </w:tcPr>
          <w:p w14:paraId="7D4A8065"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lang w:eastAsia="tr-TR"/>
              </w:rPr>
              <w:t>69</w:t>
            </w:r>
          </w:p>
        </w:tc>
      </w:tr>
      <w:tr w:rsidR="002A7E33" w:rsidRPr="009E1B38" w14:paraId="7D4A806F" w14:textId="77777777" w:rsidTr="00272E9A">
        <w:trPr>
          <w:trHeight w:val="283"/>
        </w:trPr>
        <w:tc>
          <w:tcPr>
            <w:tcW w:w="774" w:type="pct"/>
            <w:shd w:val="clear" w:color="auto" w:fill="auto"/>
            <w:hideMark/>
          </w:tcPr>
          <w:p w14:paraId="7D4A8067" w14:textId="2007EE72" w:rsidR="002A7E33" w:rsidRPr="009E1B38" w:rsidRDefault="00272E9A" w:rsidP="002A7E33">
            <w:pPr>
              <w:spacing w:after="0" w:line="240" w:lineRule="auto"/>
              <w:jc w:val="left"/>
              <w:rPr>
                <w:rFonts w:ascii="Times New Roman" w:eastAsia="Times New Roman" w:hAnsi="Times New Roman"/>
                <w:color w:val="000000"/>
                <w:lang w:eastAsia="tr-TR"/>
              </w:rPr>
            </w:pPr>
            <w:r w:rsidRPr="009E1B38">
              <w:rPr>
                <w:rFonts w:ascii="Times New Roman" w:hAnsi="Times New Roman"/>
              </w:rPr>
              <w:t>Transmission License</w:t>
            </w:r>
          </w:p>
        </w:tc>
        <w:tc>
          <w:tcPr>
            <w:tcW w:w="524" w:type="pct"/>
            <w:shd w:val="clear" w:color="auto" w:fill="auto"/>
            <w:vAlign w:val="center"/>
            <w:hideMark/>
          </w:tcPr>
          <w:p w14:paraId="7D4A8068"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0</w:t>
            </w:r>
          </w:p>
        </w:tc>
        <w:tc>
          <w:tcPr>
            <w:tcW w:w="525" w:type="pct"/>
            <w:shd w:val="clear" w:color="auto" w:fill="auto"/>
            <w:vAlign w:val="center"/>
            <w:hideMark/>
          </w:tcPr>
          <w:p w14:paraId="7D4A8069"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0</w:t>
            </w:r>
          </w:p>
        </w:tc>
        <w:tc>
          <w:tcPr>
            <w:tcW w:w="960" w:type="pct"/>
            <w:shd w:val="clear" w:color="auto" w:fill="auto"/>
            <w:vAlign w:val="center"/>
            <w:hideMark/>
          </w:tcPr>
          <w:p w14:paraId="7D4A806A"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w:t>
            </w:r>
          </w:p>
        </w:tc>
        <w:tc>
          <w:tcPr>
            <w:tcW w:w="525" w:type="pct"/>
            <w:shd w:val="clear" w:color="auto" w:fill="auto"/>
            <w:vAlign w:val="center"/>
            <w:hideMark/>
          </w:tcPr>
          <w:p w14:paraId="7D4A806B"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57" w:type="pct"/>
            <w:shd w:val="clear" w:color="auto" w:fill="auto"/>
            <w:vAlign w:val="center"/>
            <w:hideMark/>
          </w:tcPr>
          <w:p w14:paraId="7D4A806C"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8</w:t>
            </w:r>
          </w:p>
        </w:tc>
        <w:tc>
          <w:tcPr>
            <w:tcW w:w="525" w:type="pct"/>
            <w:shd w:val="clear" w:color="auto" w:fill="auto"/>
            <w:vAlign w:val="center"/>
            <w:hideMark/>
          </w:tcPr>
          <w:p w14:paraId="7D4A806D"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9</w:t>
            </w:r>
          </w:p>
        </w:tc>
        <w:tc>
          <w:tcPr>
            <w:tcW w:w="609" w:type="pct"/>
            <w:shd w:val="clear" w:color="auto" w:fill="auto"/>
            <w:vAlign w:val="center"/>
            <w:hideMark/>
          </w:tcPr>
          <w:p w14:paraId="7D4A806E"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33</w:t>
            </w:r>
          </w:p>
        </w:tc>
      </w:tr>
      <w:tr w:rsidR="002A7E33" w:rsidRPr="009E1B38" w14:paraId="7D4A8078" w14:textId="77777777" w:rsidTr="00272E9A">
        <w:trPr>
          <w:trHeight w:val="283"/>
        </w:trPr>
        <w:tc>
          <w:tcPr>
            <w:tcW w:w="774" w:type="pct"/>
            <w:shd w:val="clear" w:color="auto" w:fill="auto"/>
            <w:hideMark/>
          </w:tcPr>
          <w:p w14:paraId="7D4A8070" w14:textId="75FC2757" w:rsidR="002A7E33" w:rsidRPr="009E1B38" w:rsidRDefault="00272E9A" w:rsidP="002A7E33">
            <w:pPr>
              <w:spacing w:after="0" w:line="240" w:lineRule="auto"/>
              <w:jc w:val="left"/>
              <w:rPr>
                <w:rFonts w:ascii="Times New Roman" w:eastAsia="Times New Roman" w:hAnsi="Times New Roman"/>
                <w:color w:val="000000"/>
                <w:lang w:eastAsia="tr-TR"/>
              </w:rPr>
            </w:pPr>
            <w:r w:rsidRPr="009E1B38">
              <w:rPr>
                <w:rFonts w:ascii="Times New Roman" w:hAnsi="Times New Roman"/>
              </w:rPr>
              <w:t>Processing License</w:t>
            </w:r>
          </w:p>
        </w:tc>
        <w:tc>
          <w:tcPr>
            <w:tcW w:w="524" w:type="pct"/>
            <w:shd w:val="clear" w:color="auto" w:fill="auto"/>
            <w:vAlign w:val="center"/>
            <w:hideMark/>
          </w:tcPr>
          <w:p w14:paraId="7D4A8071"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w:t>
            </w:r>
          </w:p>
        </w:tc>
        <w:tc>
          <w:tcPr>
            <w:tcW w:w="525" w:type="pct"/>
            <w:shd w:val="clear" w:color="auto" w:fill="auto"/>
            <w:vAlign w:val="center"/>
            <w:hideMark/>
          </w:tcPr>
          <w:p w14:paraId="7D4A8072"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w:t>
            </w:r>
          </w:p>
        </w:tc>
        <w:tc>
          <w:tcPr>
            <w:tcW w:w="960" w:type="pct"/>
            <w:shd w:val="clear" w:color="auto" w:fill="auto"/>
            <w:vAlign w:val="center"/>
            <w:hideMark/>
          </w:tcPr>
          <w:p w14:paraId="7D4A8073"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w:t>
            </w:r>
          </w:p>
        </w:tc>
        <w:tc>
          <w:tcPr>
            <w:tcW w:w="525" w:type="pct"/>
            <w:shd w:val="clear" w:color="auto" w:fill="auto"/>
            <w:vAlign w:val="center"/>
            <w:hideMark/>
          </w:tcPr>
          <w:p w14:paraId="7D4A8074"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57" w:type="pct"/>
            <w:shd w:val="clear" w:color="auto" w:fill="auto"/>
            <w:vAlign w:val="center"/>
            <w:hideMark/>
          </w:tcPr>
          <w:p w14:paraId="7D4A8075"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w:t>
            </w:r>
          </w:p>
        </w:tc>
        <w:tc>
          <w:tcPr>
            <w:tcW w:w="525" w:type="pct"/>
            <w:shd w:val="clear" w:color="auto" w:fill="auto"/>
            <w:vAlign w:val="center"/>
            <w:hideMark/>
          </w:tcPr>
          <w:p w14:paraId="7D4A8076"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4</w:t>
            </w:r>
          </w:p>
        </w:tc>
        <w:tc>
          <w:tcPr>
            <w:tcW w:w="609" w:type="pct"/>
            <w:shd w:val="clear" w:color="auto" w:fill="auto"/>
            <w:vAlign w:val="center"/>
            <w:hideMark/>
          </w:tcPr>
          <w:p w14:paraId="7D4A8077"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13</w:t>
            </w:r>
          </w:p>
        </w:tc>
      </w:tr>
      <w:tr w:rsidR="002A7E33" w:rsidRPr="009E1B38" w14:paraId="7D4A8081" w14:textId="77777777" w:rsidTr="00272E9A">
        <w:trPr>
          <w:trHeight w:val="283"/>
        </w:trPr>
        <w:tc>
          <w:tcPr>
            <w:tcW w:w="774" w:type="pct"/>
            <w:shd w:val="clear" w:color="auto" w:fill="auto"/>
            <w:hideMark/>
          </w:tcPr>
          <w:p w14:paraId="7D4A8079" w14:textId="327560B6" w:rsidR="002A7E33" w:rsidRPr="009E1B38" w:rsidRDefault="00272E9A" w:rsidP="002A7E33">
            <w:pPr>
              <w:spacing w:after="0" w:line="240" w:lineRule="auto"/>
              <w:jc w:val="left"/>
              <w:rPr>
                <w:rFonts w:ascii="Times New Roman" w:eastAsia="Times New Roman" w:hAnsi="Times New Roman"/>
                <w:color w:val="000000"/>
                <w:lang w:eastAsia="tr-TR"/>
              </w:rPr>
            </w:pPr>
            <w:r w:rsidRPr="009E1B38">
              <w:rPr>
                <w:rFonts w:ascii="Times New Roman" w:hAnsi="Times New Roman"/>
              </w:rPr>
              <w:t>Mineral Oil License</w:t>
            </w:r>
          </w:p>
        </w:tc>
        <w:tc>
          <w:tcPr>
            <w:tcW w:w="524" w:type="pct"/>
            <w:shd w:val="clear" w:color="auto" w:fill="auto"/>
            <w:vAlign w:val="center"/>
            <w:hideMark/>
          </w:tcPr>
          <w:p w14:paraId="7D4A807A"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11</w:t>
            </w:r>
          </w:p>
        </w:tc>
        <w:tc>
          <w:tcPr>
            <w:tcW w:w="525" w:type="pct"/>
            <w:shd w:val="clear" w:color="auto" w:fill="auto"/>
            <w:vAlign w:val="center"/>
            <w:hideMark/>
          </w:tcPr>
          <w:p w14:paraId="7D4A807B"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10</w:t>
            </w:r>
          </w:p>
        </w:tc>
        <w:tc>
          <w:tcPr>
            <w:tcW w:w="960" w:type="pct"/>
            <w:shd w:val="clear" w:color="auto" w:fill="auto"/>
            <w:vAlign w:val="center"/>
            <w:hideMark/>
          </w:tcPr>
          <w:p w14:paraId="7D4A807C"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4</w:t>
            </w:r>
          </w:p>
        </w:tc>
        <w:tc>
          <w:tcPr>
            <w:tcW w:w="525" w:type="pct"/>
            <w:shd w:val="clear" w:color="auto" w:fill="auto"/>
            <w:vAlign w:val="center"/>
            <w:hideMark/>
          </w:tcPr>
          <w:p w14:paraId="7D4A807D"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57" w:type="pct"/>
            <w:shd w:val="clear" w:color="auto" w:fill="auto"/>
            <w:vAlign w:val="center"/>
            <w:hideMark/>
          </w:tcPr>
          <w:p w14:paraId="7D4A807E"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152</w:t>
            </w:r>
          </w:p>
        </w:tc>
        <w:tc>
          <w:tcPr>
            <w:tcW w:w="525" w:type="pct"/>
            <w:shd w:val="clear" w:color="auto" w:fill="auto"/>
            <w:vAlign w:val="center"/>
            <w:hideMark/>
          </w:tcPr>
          <w:p w14:paraId="7D4A807F"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177</w:t>
            </w:r>
          </w:p>
        </w:tc>
        <w:tc>
          <w:tcPr>
            <w:tcW w:w="609" w:type="pct"/>
            <w:shd w:val="clear" w:color="auto" w:fill="auto"/>
            <w:vAlign w:val="center"/>
            <w:hideMark/>
          </w:tcPr>
          <w:p w14:paraId="7D4A8080"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129</w:t>
            </w:r>
          </w:p>
        </w:tc>
      </w:tr>
      <w:tr w:rsidR="002A7E33" w:rsidRPr="009E1B38" w14:paraId="7D4A808A" w14:textId="77777777" w:rsidTr="00272E9A">
        <w:trPr>
          <w:trHeight w:val="283"/>
        </w:trPr>
        <w:tc>
          <w:tcPr>
            <w:tcW w:w="774" w:type="pct"/>
            <w:shd w:val="clear" w:color="auto" w:fill="auto"/>
            <w:hideMark/>
          </w:tcPr>
          <w:p w14:paraId="7D4A8082" w14:textId="50BDEA53" w:rsidR="002A7E33" w:rsidRPr="009E1B38" w:rsidRDefault="00272E9A" w:rsidP="002A7E33">
            <w:pPr>
              <w:spacing w:after="0" w:line="240" w:lineRule="auto"/>
              <w:jc w:val="left"/>
              <w:rPr>
                <w:rFonts w:ascii="Times New Roman" w:eastAsia="Times New Roman" w:hAnsi="Times New Roman"/>
                <w:color w:val="000000"/>
                <w:lang w:eastAsia="tr-TR"/>
              </w:rPr>
            </w:pPr>
            <w:r w:rsidRPr="009E1B38">
              <w:rPr>
                <w:rFonts w:ascii="Times New Roman" w:hAnsi="Times New Roman"/>
              </w:rPr>
              <w:t>Refiner License</w:t>
            </w:r>
          </w:p>
        </w:tc>
        <w:tc>
          <w:tcPr>
            <w:tcW w:w="524" w:type="pct"/>
            <w:shd w:val="clear" w:color="auto" w:fill="auto"/>
            <w:vAlign w:val="center"/>
            <w:hideMark/>
          </w:tcPr>
          <w:p w14:paraId="7D4A8083"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25" w:type="pct"/>
            <w:shd w:val="clear" w:color="auto" w:fill="auto"/>
            <w:vAlign w:val="center"/>
            <w:hideMark/>
          </w:tcPr>
          <w:p w14:paraId="7D4A8084"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960" w:type="pct"/>
            <w:shd w:val="clear" w:color="auto" w:fill="auto"/>
            <w:vAlign w:val="center"/>
            <w:hideMark/>
          </w:tcPr>
          <w:p w14:paraId="7D4A8085"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25" w:type="pct"/>
            <w:shd w:val="clear" w:color="auto" w:fill="auto"/>
            <w:vAlign w:val="center"/>
            <w:hideMark/>
          </w:tcPr>
          <w:p w14:paraId="7D4A8086"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57" w:type="pct"/>
            <w:shd w:val="clear" w:color="auto" w:fill="auto"/>
            <w:vAlign w:val="center"/>
            <w:hideMark/>
          </w:tcPr>
          <w:p w14:paraId="7D4A8087"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7</w:t>
            </w:r>
          </w:p>
        </w:tc>
        <w:tc>
          <w:tcPr>
            <w:tcW w:w="525" w:type="pct"/>
            <w:shd w:val="clear" w:color="auto" w:fill="auto"/>
            <w:vAlign w:val="center"/>
            <w:hideMark/>
          </w:tcPr>
          <w:p w14:paraId="7D4A8088"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7</w:t>
            </w:r>
          </w:p>
        </w:tc>
        <w:tc>
          <w:tcPr>
            <w:tcW w:w="609" w:type="pct"/>
            <w:shd w:val="clear" w:color="auto" w:fill="auto"/>
            <w:vAlign w:val="center"/>
            <w:hideMark/>
          </w:tcPr>
          <w:p w14:paraId="7D4A8089"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6</w:t>
            </w:r>
          </w:p>
        </w:tc>
      </w:tr>
      <w:tr w:rsidR="002A7E33" w:rsidRPr="009E1B38" w14:paraId="7D4A8093" w14:textId="77777777" w:rsidTr="00272E9A">
        <w:trPr>
          <w:trHeight w:val="283"/>
        </w:trPr>
        <w:tc>
          <w:tcPr>
            <w:tcW w:w="774" w:type="pct"/>
            <w:shd w:val="clear" w:color="auto" w:fill="auto"/>
            <w:hideMark/>
          </w:tcPr>
          <w:p w14:paraId="7D4A808B" w14:textId="67A96354" w:rsidR="002A7E33" w:rsidRPr="009E1B38" w:rsidRDefault="00272E9A" w:rsidP="002A7E33">
            <w:pPr>
              <w:spacing w:after="0" w:line="240" w:lineRule="auto"/>
              <w:jc w:val="left"/>
              <w:rPr>
                <w:rFonts w:ascii="Times New Roman" w:eastAsia="Times New Roman" w:hAnsi="Times New Roman"/>
                <w:color w:val="000000"/>
                <w:lang w:eastAsia="tr-TR"/>
              </w:rPr>
            </w:pPr>
            <w:r w:rsidRPr="009E1B38">
              <w:rPr>
                <w:rFonts w:ascii="Times New Roman" w:hAnsi="Times New Roman"/>
              </w:rPr>
              <w:t>Free User License</w:t>
            </w:r>
          </w:p>
        </w:tc>
        <w:tc>
          <w:tcPr>
            <w:tcW w:w="524" w:type="pct"/>
            <w:shd w:val="clear" w:color="auto" w:fill="auto"/>
            <w:vAlign w:val="center"/>
            <w:hideMark/>
          </w:tcPr>
          <w:p w14:paraId="7D4A808C"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 xml:space="preserve">            10</w:t>
            </w:r>
          </w:p>
        </w:tc>
        <w:tc>
          <w:tcPr>
            <w:tcW w:w="525" w:type="pct"/>
            <w:shd w:val="clear" w:color="auto" w:fill="auto"/>
            <w:vAlign w:val="center"/>
            <w:hideMark/>
          </w:tcPr>
          <w:p w14:paraId="7D4A808D"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8</w:t>
            </w:r>
          </w:p>
        </w:tc>
        <w:tc>
          <w:tcPr>
            <w:tcW w:w="960" w:type="pct"/>
            <w:shd w:val="clear" w:color="auto" w:fill="auto"/>
            <w:vAlign w:val="center"/>
            <w:hideMark/>
          </w:tcPr>
          <w:p w14:paraId="7D4A808E"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w:t>
            </w:r>
          </w:p>
        </w:tc>
        <w:tc>
          <w:tcPr>
            <w:tcW w:w="525" w:type="pct"/>
            <w:shd w:val="clear" w:color="auto" w:fill="auto"/>
            <w:vAlign w:val="center"/>
            <w:hideMark/>
          </w:tcPr>
          <w:p w14:paraId="7D4A808F"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57" w:type="pct"/>
            <w:shd w:val="clear" w:color="auto" w:fill="auto"/>
            <w:vAlign w:val="center"/>
            <w:hideMark/>
          </w:tcPr>
          <w:p w14:paraId="7D4A8090"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w:t>
            </w:r>
          </w:p>
        </w:tc>
        <w:tc>
          <w:tcPr>
            <w:tcW w:w="525" w:type="pct"/>
            <w:shd w:val="clear" w:color="auto" w:fill="auto"/>
            <w:vAlign w:val="center"/>
            <w:hideMark/>
          </w:tcPr>
          <w:p w14:paraId="7D4A8091"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21</w:t>
            </w:r>
          </w:p>
        </w:tc>
        <w:tc>
          <w:tcPr>
            <w:tcW w:w="609" w:type="pct"/>
            <w:shd w:val="clear" w:color="auto" w:fill="auto"/>
            <w:vAlign w:val="center"/>
            <w:hideMark/>
          </w:tcPr>
          <w:p w14:paraId="7D4A8092"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lang w:eastAsia="tr-TR"/>
              </w:rPr>
              <w:t>30</w:t>
            </w:r>
          </w:p>
        </w:tc>
      </w:tr>
      <w:tr w:rsidR="002A7E33" w:rsidRPr="009E1B38" w14:paraId="7D4A809C" w14:textId="77777777" w:rsidTr="00272E9A">
        <w:trPr>
          <w:trHeight w:val="283"/>
        </w:trPr>
        <w:tc>
          <w:tcPr>
            <w:tcW w:w="774" w:type="pct"/>
            <w:shd w:val="clear" w:color="auto" w:fill="auto"/>
            <w:hideMark/>
          </w:tcPr>
          <w:p w14:paraId="7D4A8094" w14:textId="0B49E600" w:rsidR="002A7E33" w:rsidRPr="009E1B38" w:rsidRDefault="00272E9A" w:rsidP="002A7E33">
            <w:pPr>
              <w:spacing w:after="0" w:line="240" w:lineRule="auto"/>
              <w:jc w:val="left"/>
              <w:rPr>
                <w:rFonts w:ascii="Times New Roman" w:eastAsia="Times New Roman" w:hAnsi="Times New Roman"/>
                <w:color w:val="000000"/>
                <w:lang w:eastAsia="tr-TR"/>
              </w:rPr>
            </w:pPr>
            <w:r w:rsidRPr="009E1B38">
              <w:rPr>
                <w:rFonts w:ascii="Times New Roman" w:hAnsi="Times New Roman"/>
              </w:rPr>
              <w:t>Transport License</w:t>
            </w:r>
          </w:p>
        </w:tc>
        <w:tc>
          <w:tcPr>
            <w:tcW w:w="524" w:type="pct"/>
            <w:shd w:val="clear" w:color="auto" w:fill="auto"/>
            <w:vAlign w:val="center"/>
            <w:hideMark/>
          </w:tcPr>
          <w:p w14:paraId="7D4A8095"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18</w:t>
            </w:r>
          </w:p>
        </w:tc>
        <w:tc>
          <w:tcPr>
            <w:tcW w:w="525" w:type="pct"/>
            <w:shd w:val="clear" w:color="auto" w:fill="auto"/>
            <w:vAlign w:val="center"/>
            <w:hideMark/>
          </w:tcPr>
          <w:p w14:paraId="7D4A8096"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16</w:t>
            </w:r>
          </w:p>
        </w:tc>
        <w:tc>
          <w:tcPr>
            <w:tcW w:w="960" w:type="pct"/>
            <w:shd w:val="clear" w:color="auto" w:fill="auto"/>
            <w:vAlign w:val="center"/>
            <w:hideMark/>
          </w:tcPr>
          <w:p w14:paraId="7D4A8097"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w:t>
            </w:r>
          </w:p>
        </w:tc>
        <w:tc>
          <w:tcPr>
            <w:tcW w:w="525" w:type="pct"/>
            <w:shd w:val="clear" w:color="auto" w:fill="auto"/>
            <w:vAlign w:val="center"/>
            <w:hideMark/>
          </w:tcPr>
          <w:p w14:paraId="7D4A8098"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557" w:type="pct"/>
            <w:shd w:val="clear" w:color="auto" w:fill="auto"/>
            <w:vAlign w:val="center"/>
            <w:hideMark/>
          </w:tcPr>
          <w:p w14:paraId="7D4A8099"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21</w:t>
            </w:r>
          </w:p>
        </w:tc>
        <w:tc>
          <w:tcPr>
            <w:tcW w:w="525" w:type="pct"/>
            <w:shd w:val="clear" w:color="auto" w:fill="auto"/>
            <w:vAlign w:val="center"/>
            <w:hideMark/>
          </w:tcPr>
          <w:p w14:paraId="7D4A809A" w14:textId="77777777" w:rsidR="002A7E33" w:rsidRPr="009E1B38" w:rsidRDefault="002A7E33" w:rsidP="002A7E33">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57</w:t>
            </w:r>
          </w:p>
        </w:tc>
        <w:tc>
          <w:tcPr>
            <w:tcW w:w="609" w:type="pct"/>
            <w:shd w:val="clear" w:color="auto" w:fill="auto"/>
            <w:vAlign w:val="center"/>
            <w:hideMark/>
          </w:tcPr>
          <w:p w14:paraId="7D4A809B"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76</w:t>
            </w:r>
          </w:p>
        </w:tc>
      </w:tr>
      <w:tr w:rsidR="002A7E33" w:rsidRPr="009E1B38" w14:paraId="7D4A80A5" w14:textId="77777777" w:rsidTr="00272E9A">
        <w:trPr>
          <w:trHeight w:val="283"/>
        </w:trPr>
        <w:tc>
          <w:tcPr>
            <w:tcW w:w="774" w:type="pct"/>
            <w:shd w:val="clear" w:color="auto" w:fill="auto"/>
            <w:hideMark/>
          </w:tcPr>
          <w:p w14:paraId="7D4A809D" w14:textId="54E5B0BA" w:rsidR="002A7E33" w:rsidRPr="009E1B38" w:rsidRDefault="00272E9A" w:rsidP="002A7E33">
            <w:pPr>
              <w:spacing w:after="0" w:line="240" w:lineRule="auto"/>
              <w:rPr>
                <w:rFonts w:ascii="Times New Roman" w:eastAsia="Times New Roman" w:hAnsi="Times New Roman"/>
                <w:b/>
                <w:bCs/>
                <w:color w:val="000000"/>
                <w:lang w:eastAsia="tr-TR"/>
              </w:rPr>
            </w:pPr>
            <w:r w:rsidRPr="009E1B38">
              <w:rPr>
                <w:rFonts w:ascii="Times New Roman" w:hAnsi="Times New Roman"/>
                <w:b/>
              </w:rPr>
              <w:t>Total</w:t>
            </w:r>
          </w:p>
        </w:tc>
        <w:tc>
          <w:tcPr>
            <w:tcW w:w="524" w:type="pct"/>
            <w:shd w:val="clear" w:color="auto" w:fill="auto"/>
            <w:vAlign w:val="center"/>
            <w:hideMark/>
          </w:tcPr>
          <w:p w14:paraId="7D4A809E"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1.580</w:t>
            </w:r>
          </w:p>
        </w:tc>
        <w:tc>
          <w:tcPr>
            <w:tcW w:w="525" w:type="pct"/>
            <w:shd w:val="clear" w:color="auto" w:fill="auto"/>
            <w:vAlign w:val="center"/>
            <w:hideMark/>
          </w:tcPr>
          <w:p w14:paraId="7D4A809F"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1.488</w:t>
            </w:r>
          </w:p>
        </w:tc>
        <w:tc>
          <w:tcPr>
            <w:tcW w:w="960" w:type="pct"/>
            <w:shd w:val="clear" w:color="auto" w:fill="auto"/>
            <w:vAlign w:val="center"/>
            <w:hideMark/>
          </w:tcPr>
          <w:p w14:paraId="7D4A80A0"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1.466</w:t>
            </w:r>
          </w:p>
        </w:tc>
        <w:tc>
          <w:tcPr>
            <w:tcW w:w="525" w:type="pct"/>
            <w:shd w:val="clear" w:color="auto" w:fill="auto"/>
            <w:vAlign w:val="center"/>
            <w:hideMark/>
          </w:tcPr>
          <w:p w14:paraId="7D4A80A1"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lang w:eastAsia="tr-TR"/>
              </w:rPr>
              <w:t>14</w:t>
            </w:r>
          </w:p>
        </w:tc>
        <w:tc>
          <w:tcPr>
            <w:tcW w:w="557" w:type="pct"/>
            <w:shd w:val="clear" w:color="auto" w:fill="auto"/>
            <w:vAlign w:val="center"/>
            <w:hideMark/>
          </w:tcPr>
          <w:p w14:paraId="7D4A80A2"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3.409</w:t>
            </w:r>
          </w:p>
        </w:tc>
        <w:tc>
          <w:tcPr>
            <w:tcW w:w="525" w:type="pct"/>
            <w:shd w:val="clear" w:color="auto" w:fill="auto"/>
            <w:vAlign w:val="center"/>
            <w:hideMark/>
          </w:tcPr>
          <w:p w14:paraId="7D4A80A3"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7.777</w:t>
            </w:r>
          </w:p>
        </w:tc>
        <w:tc>
          <w:tcPr>
            <w:tcW w:w="609" w:type="pct"/>
            <w:shd w:val="clear" w:color="auto" w:fill="auto"/>
            <w:vAlign w:val="center"/>
            <w:hideMark/>
          </w:tcPr>
          <w:p w14:paraId="7D4A80A4" w14:textId="77777777" w:rsidR="002A7E33" w:rsidRPr="009E1B38" w:rsidRDefault="002A7E33" w:rsidP="002A7E33">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rPr>
              <w:t>13.541</w:t>
            </w:r>
          </w:p>
        </w:tc>
      </w:tr>
    </w:tbl>
    <w:p w14:paraId="7D4A80A6" w14:textId="77777777" w:rsidR="001A2F40" w:rsidRPr="009E1B38" w:rsidRDefault="001A2F40" w:rsidP="00CB5826">
      <w:pPr>
        <w:spacing w:after="0"/>
        <w:rPr>
          <w:rFonts w:ascii="Times New Roman" w:hAnsi="Times New Roman"/>
        </w:rPr>
      </w:pPr>
    </w:p>
    <w:p w14:paraId="45397836" w14:textId="77777777" w:rsidR="005E7E2C" w:rsidRPr="009E1B38" w:rsidRDefault="005E7E2C" w:rsidP="00CB5826">
      <w:pPr>
        <w:spacing w:after="0"/>
        <w:rPr>
          <w:rFonts w:ascii="Times New Roman" w:hAnsi="Times New Roman"/>
        </w:rPr>
      </w:pPr>
    </w:p>
    <w:p w14:paraId="5A51808A" w14:textId="77777777" w:rsidR="005E7E2C" w:rsidRPr="009E1B38" w:rsidRDefault="005E7E2C" w:rsidP="00CB5826">
      <w:pPr>
        <w:spacing w:after="0"/>
        <w:rPr>
          <w:rFonts w:ascii="Times New Roman" w:hAnsi="Times New Roman"/>
        </w:rPr>
      </w:pPr>
    </w:p>
    <w:p w14:paraId="78A4B475" w14:textId="77777777" w:rsidR="005E7E2C" w:rsidRPr="009E1B38" w:rsidRDefault="005E7E2C" w:rsidP="00CB5826">
      <w:pPr>
        <w:spacing w:after="0"/>
        <w:rPr>
          <w:rFonts w:ascii="Times New Roman" w:hAnsi="Times New Roman"/>
        </w:rPr>
      </w:pPr>
    </w:p>
    <w:p w14:paraId="57B9420A" w14:textId="77777777" w:rsidR="005E7E2C" w:rsidRPr="009E1B38" w:rsidRDefault="005E7E2C" w:rsidP="00CB5826">
      <w:pPr>
        <w:spacing w:after="0"/>
        <w:rPr>
          <w:rFonts w:ascii="Times New Roman" w:hAnsi="Times New Roman"/>
        </w:rPr>
      </w:pPr>
    </w:p>
    <w:p w14:paraId="14B2DFA9" w14:textId="77777777" w:rsidR="005E7E2C" w:rsidRPr="009E1B38" w:rsidRDefault="005E7E2C" w:rsidP="00CB5826">
      <w:pPr>
        <w:spacing w:after="0"/>
        <w:rPr>
          <w:rFonts w:ascii="Times New Roman" w:hAnsi="Times New Roman"/>
        </w:rPr>
      </w:pPr>
    </w:p>
    <w:p w14:paraId="66FE94BB" w14:textId="77777777" w:rsidR="005E7E2C" w:rsidRPr="009E1B38" w:rsidRDefault="005E7E2C" w:rsidP="00CB5826">
      <w:pPr>
        <w:spacing w:after="0"/>
        <w:rPr>
          <w:rFonts w:ascii="Times New Roman" w:hAnsi="Times New Roman"/>
        </w:rPr>
      </w:pPr>
    </w:p>
    <w:p w14:paraId="796DC3D9" w14:textId="77777777" w:rsidR="005E7E2C" w:rsidRPr="009E1B38" w:rsidRDefault="005E7E2C" w:rsidP="00CB5826">
      <w:pPr>
        <w:spacing w:after="0"/>
        <w:rPr>
          <w:rFonts w:ascii="Times New Roman" w:hAnsi="Times New Roman"/>
        </w:rPr>
      </w:pPr>
    </w:p>
    <w:p w14:paraId="5A37F518" w14:textId="77777777" w:rsidR="005E7E2C" w:rsidRPr="009E1B38" w:rsidRDefault="005E7E2C" w:rsidP="00CB5826">
      <w:pPr>
        <w:spacing w:after="0"/>
        <w:rPr>
          <w:rFonts w:ascii="Times New Roman" w:hAnsi="Times New Roman"/>
        </w:rPr>
      </w:pPr>
    </w:p>
    <w:p w14:paraId="696CAA09" w14:textId="77777777" w:rsidR="005E7E2C" w:rsidRPr="009E1B38" w:rsidRDefault="005E7E2C" w:rsidP="00CB5826">
      <w:pPr>
        <w:spacing w:after="0"/>
        <w:rPr>
          <w:rFonts w:ascii="Times New Roman" w:hAnsi="Times New Roman"/>
        </w:rPr>
      </w:pPr>
    </w:p>
    <w:p w14:paraId="099EF572" w14:textId="77777777" w:rsidR="005E7E2C" w:rsidRPr="009E1B38" w:rsidRDefault="005E7E2C" w:rsidP="00CB5826">
      <w:pPr>
        <w:spacing w:after="0"/>
        <w:rPr>
          <w:rFonts w:ascii="Times New Roman" w:hAnsi="Times New Roman"/>
        </w:rPr>
      </w:pPr>
    </w:p>
    <w:p w14:paraId="30E66A41" w14:textId="77777777" w:rsidR="005E7E2C" w:rsidRPr="009E1B38" w:rsidRDefault="005E7E2C" w:rsidP="00CB5826">
      <w:pPr>
        <w:spacing w:after="0"/>
        <w:rPr>
          <w:rFonts w:ascii="Times New Roman" w:hAnsi="Times New Roman"/>
        </w:rPr>
      </w:pPr>
    </w:p>
    <w:p w14:paraId="4BE15E09" w14:textId="77777777" w:rsidR="005E7E2C" w:rsidRPr="009E1B38" w:rsidRDefault="005E7E2C" w:rsidP="00CB5826">
      <w:pPr>
        <w:spacing w:after="0"/>
        <w:rPr>
          <w:rFonts w:ascii="Times New Roman" w:hAnsi="Times New Roman"/>
        </w:rPr>
      </w:pPr>
    </w:p>
    <w:p w14:paraId="595551C0" w14:textId="77777777" w:rsidR="005E7E2C" w:rsidRPr="009E1B38" w:rsidRDefault="005E7E2C" w:rsidP="00CB5826">
      <w:pPr>
        <w:spacing w:after="0"/>
        <w:rPr>
          <w:rFonts w:ascii="Times New Roman" w:hAnsi="Times New Roman"/>
        </w:rPr>
      </w:pPr>
    </w:p>
    <w:p w14:paraId="281F5472" w14:textId="77777777" w:rsidR="005E7E2C" w:rsidRPr="009E1B38" w:rsidRDefault="005E7E2C" w:rsidP="00CB5826">
      <w:pPr>
        <w:spacing w:after="0"/>
        <w:rPr>
          <w:rFonts w:ascii="Times New Roman" w:hAnsi="Times New Roman"/>
        </w:rPr>
      </w:pPr>
    </w:p>
    <w:p w14:paraId="7D4A80A7" w14:textId="06D33F29" w:rsidR="00CB5826" w:rsidRPr="009E1B38" w:rsidRDefault="000A02ED" w:rsidP="005E7E2C">
      <w:pPr>
        <w:jc w:val="center"/>
        <w:rPr>
          <w:rStyle w:val="Gl"/>
          <w:rFonts w:ascii="Times New Roman" w:hAnsi="Times New Roman"/>
          <w:color w:val="000000" w:themeColor="text1"/>
        </w:rPr>
      </w:pPr>
      <w:bookmarkStart w:id="126" w:name="_Toc416447588"/>
      <w:bookmarkStart w:id="127" w:name="_Toc442441738"/>
      <w:r w:rsidRPr="009E1B38">
        <w:rPr>
          <w:rStyle w:val="Gl"/>
          <w:rFonts w:ascii="Times New Roman" w:hAnsi="Times New Roman"/>
          <w:color w:val="000000" w:themeColor="text1"/>
        </w:rPr>
        <w:t>Tabl</w:t>
      </w:r>
      <w:r w:rsidR="005E7E2C" w:rsidRPr="009E1B38">
        <w:rPr>
          <w:rStyle w:val="Gl"/>
          <w:rFonts w:ascii="Times New Roman" w:hAnsi="Times New Roman"/>
          <w:color w:val="000000" w:themeColor="text1"/>
        </w:rPr>
        <w:t>e</w:t>
      </w:r>
      <w:r w:rsidRPr="009E1B38">
        <w:rPr>
          <w:rStyle w:val="Gl"/>
          <w:rFonts w:ascii="Times New Roman" w:hAnsi="Times New Roman"/>
          <w:color w:val="000000" w:themeColor="text1"/>
        </w:rPr>
        <w:t xml:space="preserve"> 3.7</w:t>
      </w:r>
      <w:r w:rsidR="00D74BC9" w:rsidRPr="009E1B38">
        <w:rPr>
          <w:rStyle w:val="Gl"/>
          <w:rFonts w:ascii="Times New Roman" w:hAnsi="Times New Roman"/>
          <w:color w:val="000000" w:themeColor="text1"/>
        </w:rPr>
        <w:t xml:space="preserve">: </w:t>
      </w:r>
      <w:bookmarkEnd w:id="126"/>
      <w:bookmarkEnd w:id="127"/>
      <w:r w:rsidR="0055715C" w:rsidRPr="009E1B38">
        <w:rPr>
          <w:rStyle w:val="Gl"/>
          <w:rFonts w:ascii="Times New Roman" w:hAnsi="Times New Roman"/>
          <w:color w:val="000000" w:themeColor="text1"/>
        </w:rPr>
        <w:t>Licensed Refinery Facility Information as of the End of 2021</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270"/>
        <w:gridCol w:w="2219"/>
        <w:gridCol w:w="1902"/>
        <w:gridCol w:w="1671"/>
      </w:tblGrid>
      <w:tr w:rsidR="00547BB3" w:rsidRPr="009E1B38" w14:paraId="7D4A80AC" w14:textId="77777777" w:rsidTr="00BF0414">
        <w:trPr>
          <w:trHeight w:val="567"/>
        </w:trPr>
        <w:tc>
          <w:tcPr>
            <w:tcW w:w="2177" w:type="pct"/>
            <w:shd w:val="clear" w:color="000000" w:fill="6E9ECA"/>
            <w:vAlign w:val="center"/>
            <w:hideMark/>
          </w:tcPr>
          <w:p w14:paraId="7D4A80A8" w14:textId="0307BF85" w:rsidR="00547BB3" w:rsidRPr="009E1B38" w:rsidRDefault="00BF0414" w:rsidP="00547BB3">
            <w:pPr>
              <w:spacing w:after="0" w:line="240" w:lineRule="auto"/>
              <w:jc w:val="center"/>
              <w:rPr>
                <w:rFonts w:ascii="Times New Roman" w:eastAsia="Times New Roman" w:hAnsi="Times New Roman"/>
                <w:b/>
                <w:color w:val="FFFFFF"/>
                <w:sz w:val="20"/>
                <w:szCs w:val="20"/>
                <w:lang w:eastAsia="tr-TR"/>
              </w:rPr>
            </w:pPr>
            <w:r w:rsidRPr="009E1B38">
              <w:rPr>
                <w:rFonts w:ascii="Times New Roman" w:eastAsia="Times New Roman" w:hAnsi="Times New Roman"/>
                <w:b/>
                <w:color w:val="FFFFFF"/>
                <w:sz w:val="20"/>
                <w:szCs w:val="20"/>
                <w:lang w:eastAsia="tr-TR"/>
              </w:rPr>
              <w:lastRenderedPageBreak/>
              <w:t>Licensee</w:t>
            </w:r>
          </w:p>
        </w:tc>
        <w:tc>
          <w:tcPr>
            <w:tcW w:w="938" w:type="pct"/>
            <w:shd w:val="clear" w:color="000000" w:fill="6E9ECA"/>
            <w:vAlign w:val="center"/>
            <w:hideMark/>
          </w:tcPr>
          <w:p w14:paraId="7D4A80A9" w14:textId="6A1D393C" w:rsidR="00547BB3" w:rsidRPr="009E1B38" w:rsidRDefault="00BF0414" w:rsidP="00547BB3">
            <w:pPr>
              <w:spacing w:after="0" w:line="240" w:lineRule="auto"/>
              <w:jc w:val="center"/>
              <w:rPr>
                <w:rFonts w:ascii="Times New Roman" w:eastAsia="Times New Roman" w:hAnsi="Times New Roman"/>
                <w:b/>
                <w:color w:val="FFFFFF"/>
                <w:sz w:val="20"/>
                <w:szCs w:val="20"/>
                <w:lang w:eastAsia="tr-TR"/>
              </w:rPr>
            </w:pPr>
            <w:r w:rsidRPr="009E1B38">
              <w:rPr>
                <w:rFonts w:ascii="Times New Roman" w:eastAsia="Times New Roman" w:hAnsi="Times New Roman"/>
                <w:b/>
                <w:color w:val="FFFFFF"/>
                <w:sz w:val="20"/>
                <w:szCs w:val="20"/>
                <w:lang w:eastAsia="tr-TR"/>
              </w:rPr>
              <w:t>Facility Province</w:t>
            </w:r>
          </w:p>
        </w:tc>
        <w:tc>
          <w:tcPr>
            <w:tcW w:w="1000" w:type="pct"/>
            <w:shd w:val="clear" w:color="000000" w:fill="6E9ECA"/>
            <w:vAlign w:val="center"/>
            <w:hideMark/>
          </w:tcPr>
          <w:p w14:paraId="7D4A80AA" w14:textId="1DE4F9C8" w:rsidR="00547BB3" w:rsidRPr="009E1B38" w:rsidRDefault="00BF0414" w:rsidP="00547BB3">
            <w:pPr>
              <w:spacing w:after="0" w:line="240" w:lineRule="auto"/>
              <w:jc w:val="center"/>
              <w:rPr>
                <w:rFonts w:ascii="Times New Roman" w:eastAsia="Times New Roman" w:hAnsi="Times New Roman"/>
                <w:b/>
                <w:color w:val="FFFFFF"/>
                <w:sz w:val="20"/>
                <w:szCs w:val="20"/>
                <w:lang w:eastAsia="tr-TR"/>
              </w:rPr>
            </w:pPr>
            <w:r w:rsidRPr="009E1B38">
              <w:rPr>
                <w:rFonts w:ascii="Times New Roman" w:eastAsia="Times New Roman" w:hAnsi="Times New Roman"/>
                <w:b/>
                <w:color w:val="FFFFFF"/>
                <w:sz w:val="20"/>
                <w:szCs w:val="20"/>
                <w:lang w:eastAsia="tr-TR"/>
              </w:rPr>
              <w:t>Crude Oil Processing Capacity (Ton/Year)</w:t>
            </w:r>
          </w:p>
        </w:tc>
        <w:tc>
          <w:tcPr>
            <w:tcW w:w="885" w:type="pct"/>
            <w:shd w:val="clear" w:color="000000" w:fill="6E9ECA"/>
            <w:vAlign w:val="center"/>
            <w:hideMark/>
          </w:tcPr>
          <w:p w14:paraId="7D4A80AB" w14:textId="1D8B4670" w:rsidR="00547BB3" w:rsidRPr="009E1B38" w:rsidRDefault="00BF0414" w:rsidP="00547BB3">
            <w:pPr>
              <w:spacing w:after="0" w:line="240" w:lineRule="auto"/>
              <w:jc w:val="center"/>
              <w:rPr>
                <w:rFonts w:ascii="Times New Roman" w:eastAsia="Times New Roman" w:hAnsi="Times New Roman"/>
                <w:b/>
                <w:color w:val="FFFFFF"/>
                <w:sz w:val="20"/>
                <w:szCs w:val="20"/>
                <w:lang w:eastAsia="tr-TR"/>
              </w:rPr>
            </w:pPr>
            <w:r w:rsidRPr="009E1B38">
              <w:rPr>
                <w:rFonts w:ascii="Times New Roman" w:eastAsia="Times New Roman" w:hAnsi="Times New Roman"/>
                <w:b/>
                <w:color w:val="FFFFFF"/>
                <w:sz w:val="20"/>
                <w:szCs w:val="20"/>
                <w:lang w:eastAsia="tr-TR"/>
              </w:rPr>
              <w:t>Storage Capacity(tons)</w:t>
            </w:r>
          </w:p>
        </w:tc>
      </w:tr>
      <w:tr w:rsidR="00061190" w:rsidRPr="009E1B38" w14:paraId="7D4A80B1" w14:textId="77777777" w:rsidTr="00BF0414">
        <w:trPr>
          <w:trHeight w:val="567"/>
        </w:trPr>
        <w:tc>
          <w:tcPr>
            <w:tcW w:w="2177" w:type="pct"/>
            <w:shd w:val="clear" w:color="auto" w:fill="auto"/>
            <w:vAlign w:val="center"/>
            <w:hideMark/>
          </w:tcPr>
          <w:p w14:paraId="7D4A80AD" w14:textId="77777777" w:rsidR="00061190" w:rsidRPr="009E1B38" w:rsidRDefault="00061190" w:rsidP="00547BB3">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ERSAN PETROL SANAYİ ANONİM ŞİRKETİ</w:t>
            </w:r>
            <w:r w:rsidR="00D71C1C" w:rsidRPr="009E1B38">
              <w:rPr>
                <w:rFonts w:ascii="Times New Roman" w:eastAsia="Times New Roman" w:hAnsi="Times New Roman"/>
                <w:color w:val="000000"/>
                <w:lang w:eastAsia="tr-TR"/>
              </w:rPr>
              <w:t>*</w:t>
            </w:r>
          </w:p>
        </w:tc>
        <w:tc>
          <w:tcPr>
            <w:tcW w:w="938" w:type="pct"/>
            <w:shd w:val="clear" w:color="auto" w:fill="auto"/>
            <w:vAlign w:val="center"/>
            <w:hideMark/>
          </w:tcPr>
          <w:p w14:paraId="7D4A80AE" w14:textId="77777777" w:rsidR="00061190" w:rsidRPr="009E1B38" w:rsidRDefault="00061190"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KAHRAMANMARAŞ</w:t>
            </w:r>
          </w:p>
        </w:tc>
        <w:tc>
          <w:tcPr>
            <w:tcW w:w="1000" w:type="pct"/>
            <w:shd w:val="clear" w:color="auto" w:fill="auto"/>
            <w:vAlign w:val="center"/>
            <w:hideMark/>
          </w:tcPr>
          <w:p w14:paraId="7D4A80AF" w14:textId="77777777" w:rsidR="00061190" w:rsidRPr="009E1B38" w:rsidRDefault="00061190" w:rsidP="00547BB3">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1.400.000</w:t>
            </w:r>
          </w:p>
        </w:tc>
        <w:tc>
          <w:tcPr>
            <w:tcW w:w="885" w:type="pct"/>
            <w:shd w:val="clear" w:color="auto" w:fill="auto"/>
            <w:vAlign w:val="center"/>
            <w:hideMark/>
          </w:tcPr>
          <w:p w14:paraId="7D4A80B0" w14:textId="77777777" w:rsidR="00061190" w:rsidRPr="009E1B38" w:rsidRDefault="00061190" w:rsidP="00547BB3">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w:t>
            </w:r>
          </w:p>
        </w:tc>
      </w:tr>
      <w:tr w:rsidR="00061190" w:rsidRPr="009E1B38" w14:paraId="7D4A80B6" w14:textId="77777777" w:rsidTr="00BF0414">
        <w:trPr>
          <w:trHeight w:val="567"/>
        </w:trPr>
        <w:tc>
          <w:tcPr>
            <w:tcW w:w="2177" w:type="pct"/>
            <w:shd w:val="clear" w:color="auto" w:fill="auto"/>
            <w:vAlign w:val="center"/>
            <w:hideMark/>
          </w:tcPr>
          <w:p w14:paraId="7D4A80B2" w14:textId="77777777" w:rsidR="00061190" w:rsidRPr="009E1B38" w:rsidRDefault="00061190" w:rsidP="00547BB3">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STAR RAFİNERİ ANONİM ŞİRKETİ</w:t>
            </w:r>
          </w:p>
        </w:tc>
        <w:tc>
          <w:tcPr>
            <w:tcW w:w="938" w:type="pct"/>
            <w:shd w:val="clear" w:color="auto" w:fill="auto"/>
            <w:vAlign w:val="center"/>
            <w:hideMark/>
          </w:tcPr>
          <w:p w14:paraId="7D4A80B3" w14:textId="77777777" w:rsidR="00061190" w:rsidRPr="009E1B38" w:rsidRDefault="00061190"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İZMİR</w:t>
            </w:r>
          </w:p>
        </w:tc>
        <w:tc>
          <w:tcPr>
            <w:tcW w:w="1000" w:type="pct"/>
            <w:shd w:val="clear" w:color="auto" w:fill="auto"/>
            <w:vAlign w:val="center"/>
            <w:hideMark/>
          </w:tcPr>
          <w:p w14:paraId="7D4A80B4" w14:textId="77777777" w:rsidR="00061190" w:rsidRPr="009E1B38" w:rsidRDefault="00061190" w:rsidP="00547BB3">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w:t>
            </w:r>
            <w:r w:rsidR="00B91B70" w:rsidRPr="009E1B38">
              <w:rPr>
                <w:rFonts w:ascii="Times New Roman" w:eastAsia="Times New Roman" w:hAnsi="Times New Roman"/>
                <w:color w:val="000000"/>
                <w:lang w:eastAsia="tr-TR"/>
              </w:rPr>
              <w:t>1</w:t>
            </w:r>
            <w:r w:rsidRPr="009E1B38">
              <w:rPr>
                <w:rFonts w:ascii="Times New Roman" w:eastAsia="Times New Roman" w:hAnsi="Times New Roman"/>
                <w:color w:val="000000"/>
                <w:lang w:eastAsia="tr-TR"/>
              </w:rPr>
              <w:t>.000.000</w:t>
            </w:r>
          </w:p>
        </w:tc>
        <w:tc>
          <w:tcPr>
            <w:tcW w:w="885" w:type="pct"/>
            <w:shd w:val="clear" w:color="auto" w:fill="auto"/>
            <w:vAlign w:val="center"/>
            <w:hideMark/>
          </w:tcPr>
          <w:p w14:paraId="7D4A80B5" w14:textId="77777777" w:rsidR="00061190" w:rsidRPr="009E1B38" w:rsidRDefault="00061190" w:rsidP="00547BB3">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2.036.051</w:t>
            </w:r>
          </w:p>
        </w:tc>
      </w:tr>
      <w:tr w:rsidR="00061190" w:rsidRPr="009E1B38" w14:paraId="7D4A80BB" w14:textId="77777777" w:rsidTr="00BF0414">
        <w:trPr>
          <w:trHeight w:val="567"/>
        </w:trPr>
        <w:tc>
          <w:tcPr>
            <w:tcW w:w="2177" w:type="pct"/>
            <w:shd w:val="clear" w:color="auto" w:fill="auto"/>
            <w:vAlign w:val="center"/>
            <w:hideMark/>
          </w:tcPr>
          <w:p w14:paraId="7D4A80B7" w14:textId="77777777" w:rsidR="00061190" w:rsidRPr="009E1B38" w:rsidRDefault="00061190" w:rsidP="00547BB3">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TÜPRAŞ, TÜRKİYE PETROL RAFİNERİLERİ ANONİM ŞİRKETİ</w:t>
            </w:r>
          </w:p>
        </w:tc>
        <w:tc>
          <w:tcPr>
            <w:tcW w:w="938" w:type="pct"/>
            <w:shd w:val="clear" w:color="auto" w:fill="auto"/>
            <w:vAlign w:val="center"/>
            <w:hideMark/>
          </w:tcPr>
          <w:p w14:paraId="7D4A80B8" w14:textId="77777777" w:rsidR="00061190" w:rsidRPr="009E1B38" w:rsidRDefault="00061190"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İZMİR</w:t>
            </w:r>
          </w:p>
        </w:tc>
        <w:tc>
          <w:tcPr>
            <w:tcW w:w="1000" w:type="pct"/>
            <w:shd w:val="clear" w:color="auto" w:fill="auto"/>
            <w:vAlign w:val="center"/>
            <w:hideMark/>
          </w:tcPr>
          <w:p w14:paraId="7D4A80B9" w14:textId="77777777" w:rsidR="00061190" w:rsidRPr="009E1B38" w:rsidRDefault="00D74BC9" w:rsidP="00547BB3">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11.</w:t>
            </w:r>
            <w:r w:rsidR="00061190" w:rsidRPr="009E1B38">
              <w:rPr>
                <w:rFonts w:ascii="Times New Roman" w:eastAsia="Times New Roman" w:hAnsi="Times New Roman"/>
                <w:color w:val="000000"/>
                <w:lang w:eastAsia="tr-TR"/>
              </w:rPr>
              <w:t>9</w:t>
            </w:r>
            <w:r w:rsidRPr="009E1B38">
              <w:rPr>
                <w:rFonts w:ascii="Times New Roman" w:eastAsia="Times New Roman" w:hAnsi="Times New Roman"/>
                <w:color w:val="000000"/>
                <w:lang w:eastAsia="tr-TR"/>
              </w:rPr>
              <w:t>0</w:t>
            </w:r>
            <w:r w:rsidR="00061190" w:rsidRPr="009E1B38">
              <w:rPr>
                <w:rFonts w:ascii="Times New Roman" w:eastAsia="Times New Roman" w:hAnsi="Times New Roman"/>
                <w:color w:val="000000"/>
                <w:lang w:eastAsia="tr-TR"/>
              </w:rPr>
              <w:t>0.000</w:t>
            </w:r>
          </w:p>
        </w:tc>
        <w:tc>
          <w:tcPr>
            <w:tcW w:w="885" w:type="pct"/>
            <w:shd w:val="clear" w:color="auto" w:fill="auto"/>
            <w:vAlign w:val="center"/>
            <w:hideMark/>
          </w:tcPr>
          <w:p w14:paraId="7D4A80BA" w14:textId="77777777" w:rsidR="00061190" w:rsidRPr="009E1B38" w:rsidRDefault="00061190" w:rsidP="00547BB3">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2.508.219</w:t>
            </w:r>
          </w:p>
        </w:tc>
      </w:tr>
      <w:tr w:rsidR="00061190" w:rsidRPr="009E1B38" w14:paraId="7D4A80C0" w14:textId="77777777" w:rsidTr="00BF0414">
        <w:trPr>
          <w:trHeight w:val="567"/>
        </w:trPr>
        <w:tc>
          <w:tcPr>
            <w:tcW w:w="2177" w:type="pct"/>
            <w:shd w:val="clear" w:color="auto" w:fill="auto"/>
            <w:vAlign w:val="center"/>
            <w:hideMark/>
          </w:tcPr>
          <w:p w14:paraId="7D4A80BC" w14:textId="77777777" w:rsidR="00061190" w:rsidRPr="009E1B38" w:rsidRDefault="00061190" w:rsidP="00547BB3">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TÜPRAŞ, TÜRKİYE PETROL RAFİNERİLERİ ANONİM ŞİRKETİ</w:t>
            </w:r>
          </w:p>
        </w:tc>
        <w:tc>
          <w:tcPr>
            <w:tcW w:w="938" w:type="pct"/>
            <w:shd w:val="clear" w:color="auto" w:fill="auto"/>
            <w:vAlign w:val="center"/>
            <w:hideMark/>
          </w:tcPr>
          <w:p w14:paraId="7D4A80BD" w14:textId="77777777" w:rsidR="00061190" w:rsidRPr="009E1B38" w:rsidRDefault="00061190"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KOCAELİ</w:t>
            </w:r>
          </w:p>
        </w:tc>
        <w:tc>
          <w:tcPr>
            <w:tcW w:w="1000" w:type="pct"/>
            <w:shd w:val="clear" w:color="auto" w:fill="auto"/>
            <w:vAlign w:val="center"/>
            <w:hideMark/>
          </w:tcPr>
          <w:p w14:paraId="7D4A80BE" w14:textId="77777777" w:rsidR="00061190" w:rsidRPr="009E1B38" w:rsidRDefault="00061190" w:rsidP="00547BB3">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11.300.000</w:t>
            </w:r>
          </w:p>
        </w:tc>
        <w:tc>
          <w:tcPr>
            <w:tcW w:w="885" w:type="pct"/>
            <w:shd w:val="clear" w:color="auto" w:fill="auto"/>
            <w:vAlign w:val="center"/>
            <w:hideMark/>
          </w:tcPr>
          <w:p w14:paraId="7D4A80BF" w14:textId="77777777" w:rsidR="00061190" w:rsidRPr="009E1B38" w:rsidRDefault="00061190" w:rsidP="00D74B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2.99</w:t>
            </w:r>
            <w:r w:rsidR="00D74BC9" w:rsidRPr="009E1B38">
              <w:rPr>
                <w:rFonts w:ascii="Times New Roman" w:eastAsia="Times New Roman" w:hAnsi="Times New Roman"/>
                <w:color w:val="000000"/>
                <w:lang w:eastAsia="tr-TR"/>
              </w:rPr>
              <w:t>8.552</w:t>
            </w:r>
          </w:p>
        </w:tc>
      </w:tr>
      <w:tr w:rsidR="00061190" w:rsidRPr="009E1B38" w14:paraId="7D4A80C5" w14:textId="77777777" w:rsidTr="00BF0414">
        <w:trPr>
          <w:trHeight w:val="567"/>
        </w:trPr>
        <w:tc>
          <w:tcPr>
            <w:tcW w:w="2177" w:type="pct"/>
            <w:shd w:val="clear" w:color="auto" w:fill="auto"/>
            <w:vAlign w:val="center"/>
            <w:hideMark/>
          </w:tcPr>
          <w:p w14:paraId="7D4A80C1" w14:textId="77777777" w:rsidR="00061190" w:rsidRPr="009E1B38" w:rsidRDefault="00061190" w:rsidP="00547BB3">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TÜPRAŞ, TÜRKİYE PETROL RAFİNERİLERİ ANONİM ŞİRKETİ</w:t>
            </w:r>
          </w:p>
        </w:tc>
        <w:tc>
          <w:tcPr>
            <w:tcW w:w="938" w:type="pct"/>
            <w:shd w:val="clear" w:color="auto" w:fill="auto"/>
            <w:vAlign w:val="center"/>
            <w:hideMark/>
          </w:tcPr>
          <w:p w14:paraId="7D4A80C2" w14:textId="77777777" w:rsidR="00061190" w:rsidRPr="009E1B38" w:rsidRDefault="00061190"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KIRIKKALE</w:t>
            </w:r>
          </w:p>
        </w:tc>
        <w:tc>
          <w:tcPr>
            <w:tcW w:w="1000" w:type="pct"/>
            <w:shd w:val="clear" w:color="auto" w:fill="auto"/>
            <w:vAlign w:val="center"/>
            <w:hideMark/>
          </w:tcPr>
          <w:p w14:paraId="7D4A80C3" w14:textId="77777777" w:rsidR="00061190" w:rsidRPr="009E1B38" w:rsidRDefault="00061190" w:rsidP="00547BB3">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5.400.000</w:t>
            </w:r>
          </w:p>
        </w:tc>
        <w:tc>
          <w:tcPr>
            <w:tcW w:w="885" w:type="pct"/>
            <w:shd w:val="clear" w:color="auto" w:fill="auto"/>
            <w:vAlign w:val="center"/>
            <w:hideMark/>
          </w:tcPr>
          <w:p w14:paraId="7D4A80C4" w14:textId="77777777" w:rsidR="00061190" w:rsidRPr="009E1B38" w:rsidRDefault="00061190" w:rsidP="00D74B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1.265.</w:t>
            </w:r>
            <w:r w:rsidR="00D74BC9" w:rsidRPr="009E1B38">
              <w:rPr>
                <w:rFonts w:ascii="Times New Roman" w:eastAsia="Times New Roman" w:hAnsi="Times New Roman"/>
                <w:color w:val="000000"/>
                <w:lang w:eastAsia="tr-TR"/>
              </w:rPr>
              <w:t>563</w:t>
            </w:r>
          </w:p>
        </w:tc>
      </w:tr>
      <w:tr w:rsidR="00061190" w:rsidRPr="009E1B38" w14:paraId="7D4A80CA" w14:textId="77777777" w:rsidTr="00BF0414">
        <w:trPr>
          <w:trHeight w:val="567"/>
        </w:trPr>
        <w:tc>
          <w:tcPr>
            <w:tcW w:w="2177" w:type="pct"/>
            <w:shd w:val="clear" w:color="auto" w:fill="auto"/>
            <w:vAlign w:val="center"/>
            <w:hideMark/>
          </w:tcPr>
          <w:p w14:paraId="7D4A80C6" w14:textId="77777777" w:rsidR="00061190" w:rsidRPr="009E1B38" w:rsidRDefault="00061190" w:rsidP="00547BB3">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TÜPRAŞ, TÜRKİYE PETROL RAFİNERİLERİ ANONİM ŞİRKETİ</w:t>
            </w:r>
          </w:p>
        </w:tc>
        <w:tc>
          <w:tcPr>
            <w:tcW w:w="938" w:type="pct"/>
            <w:shd w:val="clear" w:color="auto" w:fill="auto"/>
            <w:vAlign w:val="center"/>
            <w:hideMark/>
          </w:tcPr>
          <w:p w14:paraId="7D4A80C7" w14:textId="77777777" w:rsidR="00061190" w:rsidRPr="009E1B38" w:rsidRDefault="00061190" w:rsidP="00547BB3">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BATMAN</w:t>
            </w:r>
          </w:p>
        </w:tc>
        <w:tc>
          <w:tcPr>
            <w:tcW w:w="1000" w:type="pct"/>
            <w:shd w:val="clear" w:color="auto" w:fill="auto"/>
            <w:vAlign w:val="center"/>
            <w:hideMark/>
          </w:tcPr>
          <w:p w14:paraId="7D4A80C8" w14:textId="77777777" w:rsidR="00061190" w:rsidRPr="009E1B38" w:rsidRDefault="00061190" w:rsidP="00547BB3">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1.400.000</w:t>
            </w:r>
          </w:p>
        </w:tc>
        <w:tc>
          <w:tcPr>
            <w:tcW w:w="885" w:type="pct"/>
            <w:shd w:val="clear" w:color="auto" w:fill="auto"/>
            <w:vAlign w:val="center"/>
            <w:hideMark/>
          </w:tcPr>
          <w:p w14:paraId="7D4A80C9" w14:textId="77777777" w:rsidR="00061190" w:rsidRPr="009E1B38" w:rsidRDefault="00061190" w:rsidP="00547BB3">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lang w:eastAsia="tr-TR"/>
              </w:rPr>
              <w:t>268.265</w:t>
            </w:r>
          </w:p>
        </w:tc>
      </w:tr>
    </w:tbl>
    <w:p w14:paraId="533F572E" w14:textId="77777777" w:rsidR="00753D34" w:rsidRPr="009E1B38" w:rsidRDefault="00753D34" w:rsidP="00753D34">
      <w:pPr>
        <w:spacing w:after="0"/>
        <w:rPr>
          <w:rFonts w:ascii="Times New Roman" w:hAnsi="Times New Roman"/>
          <w:color w:val="000000" w:themeColor="text1"/>
        </w:rPr>
      </w:pPr>
      <w:r w:rsidRPr="009E1B38">
        <w:rPr>
          <w:rFonts w:ascii="Times New Roman" w:hAnsi="Times New Roman"/>
          <w:color w:val="000000" w:themeColor="text1"/>
        </w:rPr>
        <w:t>*</w:t>
      </w:r>
      <w:r w:rsidRPr="009E1B38">
        <w:rPr>
          <w:rFonts w:ascii="Times New Roman" w:hAnsi="Times New Roman"/>
        </w:rPr>
        <w:t xml:space="preserve"> </w:t>
      </w:r>
      <w:r w:rsidRPr="009E1B38">
        <w:rPr>
          <w:rFonts w:ascii="Times New Roman" w:hAnsi="Times New Roman"/>
          <w:color w:val="000000" w:themeColor="text1"/>
        </w:rPr>
        <w:t>The facility is not yet operational.</w:t>
      </w:r>
    </w:p>
    <w:p w14:paraId="7D4A80CC" w14:textId="77777777" w:rsidR="00D74BC9" w:rsidRPr="009E1B38" w:rsidRDefault="002D1BFD">
      <w:pPr>
        <w:jc w:val="left"/>
        <w:rPr>
          <w:rFonts w:ascii="Times New Roman" w:hAnsi="Times New Roman"/>
          <w:color w:val="000000" w:themeColor="text1"/>
          <w:sz w:val="20"/>
          <w:szCs w:val="20"/>
        </w:rPr>
      </w:pPr>
      <w:r w:rsidRPr="009E1B38">
        <w:rPr>
          <w:rFonts w:ascii="Times New Roman" w:hAnsi="Times New Roman"/>
          <w:color w:val="000000" w:themeColor="text1"/>
          <w:sz w:val="20"/>
          <w:szCs w:val="20"/>
        </w:rPr>
        <w:br w:type="page"/>
      </w:r>
    </w:p>
    <w:p w14:paraId="7D4A80CD" w14:textId="017E973F" w:rsidR="00CB5826" w:rsidRPr="009E1B38" w:rsidRDefault="000A02ED" w:rsidP="0008108D">
      <w:pPr>
        <w:pStyle w:val="Balk5"/>
        <w:jc w:val="center"/>
        <w:rPr>
          <w:rStyle w:val="Gl"/>
          <w:rFonts w:ascii="Times New Roman" w:hAnsi="Times New Roman" w:cs="Times New Roman"/>
          <w:b/>
          <w:bCs w:val="0"/>
        </w:rPr>
      </w:pPr>
      <w:bookmarkStart w:id="128" w:name="_Toc416447589"/>
      <w:bookmarkStart w:id="129" w:name="_Toc442441739"/>
      <w:bookmarkStart w:id="130" w:name="_Toc107499504"/>
      <w:r w:rsidRPr="009E1B38">
        <w:rPr>
          <w:rStyle w:val="Gl"/>
          <w:rFonts w:ascii="Times New Roman" w:hAnsi="Times New Roman" w:cs="Times New Roman"/>
          <w:b/>
          <w:bCs w:val="0"/>
        </w:rPr>
        <w:lastRenderedPageBreak/>
        <w:t>Tabl</w:t>
      </w:r>
      <w:r w:rsidR="005E7E2C" w:rsidRPr="009E1B38">
        <w:rPr>
          <w:rStyle w:val="Gl"/>
          <w:rFonts w:ascii="Times New Roman" w:hAnsi="Times New Roman" w:cs="Times New Roman"/>
          <w:b/>
          <w:bCs w:val="0"/>
        </w:rPr>
        <w:t>e</w:t>
      </w:r>
      <w:r w:rsidRPr="009E1B38">
        <w:rPr>
          <w:rStyle w:val="Gl"/>
          <w:rFonts w:ascii="Times New Roman" w:hAnsi="Times New Roman" w:cs="Times New Roman"/>
          <w:b/>
          <w:bCs w:val="0"/>
        </w:rPr>
        <w:t xml:space="preserve"> 3.8</w:t>
      </w:r>
      <w:r w:rsidR="00C0286D" w:rsidRPr="009E1B38">
        <w:rPr>
          <w:rStyle w:val="Gl"/>
          <w:rFonts w:ascii="Times New Roman" w:hAnsi="Times New Roman" w:cs="Times New Roman"/>
          <w:b/>
          <w:bCs w:val="0"/>
        </w:rPr>
        <w:t xml:space="preserve">: </w:t>
      </w:r>
      <w:bookmarkEnd w:id="128"/>
      <w:bookmarkEnd w:id="129"/>
      <w:r w:rsidR="000C4F68" w:rsidRPr="009E1B38">
        <w:rPr>
          <w:rStyle w:val="Gl"/>
          <w:rFonts w:ascii="Times New Roman" w:hAnsi="Times New Roman" w:cs="Times New Roman"/>
          <w:b/>
          <w:bCs w:val="0"/>
        </w:rPr>
        <w:t>Petroleum Market Storage License Information as of the End of 2021</w:t>
      </w:r>
      <w:bookmarkEnd w:id="130"/>
    </w:p>
    <w:tbl>
      <w:tblPr>
        <w:tblW w:w="3716"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22"/>
        <w:gridCol w:w="1995"/>
        <w:gridCol w:w="3961"/>
      </w:tblGrid>
      <w:tr w:rsidR="00547BB3" w:rsidRPr="009E1B38" w14:paraId="7D4A80D1" w14:textId="77777777" w:rsidTr="00E1505A">
        <w:trPr>
          <w:trHeight w:val="20"/>
          <w:tblHeader/>
          <w:jc w:val="center"/>
        </w:trPr>
        <w:tc>
          <w:tcPr>
            <w:tcW w:w="928" w:type="pct"/>
            <w:shd w:val="clear" w:color="000000" w:fill="6E9ECA"/>
            <w:vAlign w:val="center"/>
            <w:hideMark/>
          </w:tcPr>
          <w:p w14:paraId="7D4A80CE" w14:textId="4B9CB970" w:rsidR="00547BB3" w:rsidRPr="009E1B38" w:rsidRDefault="00CD4462" w:rsidP="00547BB3">
            <w:pPr>
              <w:spacing w:after="0" w:line="240" w:lineRule="auto"/>
              <w:jc w:val="center"/>
              <w:rPr>
                <w:rFonts w:ascii="Times New Roman" w:eastAsia="Times New Roman" w:hAnsi="Times New Roman"/>
                <w:b/>
                <w:color w:val="FFFFFF"/>
                <w:sz w:val="20"/>
                <w:szCs w:val="20"/>
                <w:lang w:eastAsia="tr-TR"/>
              </w:rPr>
            </w:pPr>
            <w:r w:rsidRPr="009E1B38">
              <w:rPr>
                <w:rFonts w:ascii="Times New Roman" w:eastAsia="Times New Roman" w:hAnsi="Times New Roman"/>
                <w:b/>
                <w:color w:val="FFFFFF"/>
                <w:sz w:val="20"/>
                <w:szCs w:val="20"/>
                <w:lang w:eastAsia="tr-TR"/>
              </w:rPr>
              <w:t>Facility Province</w:t>
            </w:r>
          </w:p>
        </w:tc>
        <w:tc>
          <w:tcPr>
            <w:tcW w:w="1379" w:type="pct"/>
            <w:shd w:val="clear" w:color="000000" w:fill="6E9ECA"/>
            <w:vAlign w:val="center"/>
            <w:hideMark/>
          </w:tcPr>
          <w:p w14:paraId="7D4A80CF" w14:textId="749047D7" w:rsidR="00547BB3" w:rsidRPr="009E1B38" w:rsidRDefault="00CD4462" w:rsidP="00547BB3">
            <w:pPr>
              <w:spacing w:after="0" w:line="240" w:lineRule="auto"/>
              <w:jc w:val="center"/>
              <w:rPr>
                <w:rFonts w:ascii="Times New Roman" w:eastAsia="Times New Roman" w:hAnsi="Times New Roman"/>
                <w:b/>
                <w:color w:val="FFFFFF"/>
                <w:sz w:val="20"/>
                <w:szCs w:val="20"/>
                <w:lang w:eastAsia="tr-TR"/>
              </w:rPr>
            </w:pPr>
            <w:r w:rsidRPr="009E1B38">
              <w:rPr>
                <w:rFonts w:ascii="Times New Roman" w:eastAsia="Times New Roman" w:hAnsi="Times New Roman"/>
                <w:b/>
                <w:color w:val="FFFFFF"/>
                <w:sz w:val="20"/>
                <w:szCs w:val="20"/>
                <w:lang w:eastAsia="tr-TR"/>
              </w:rPr>
              <w:t>Total Capacity (m</w:t>
            </w:r>
            <w:r w:rsidRPr="009E1B38">
              <w:rPr>
                <w:rFonts w:ascii="Times New Roman" w:eastAsia="Times New Roman" w:hAnsi="Times New Roman"/>
                <w:b/>
                <w:color w:val="FFFFFF"/>
                <w:sz w:val="20"/>
                <w:szCs w:val="20"/>
                <w:vertAlign w:val="superscript"/>
                <w:lang w:eastAsia="tr-TR"/>
              </w:rPr>
              <w:t>3</w:t>
            </w:r>
            <w:r w:rsidRPr="009E1B38">
              <w:rPr>
                <w:rFonts w:ascii="Times New Roman" w:eastAsia="Times New Roman" w:hAnsi="Times New Roman"/>
                <w:b/>
                <w:color w:val="FFFFFF"/>
                <w:sz w:val="20"/>
                <w:szCs w:val="20"/>
                <w:lang w:eastAsia="tr-TR"/>
              </w:rPr>
              <w:t>)</w:t>
            </w:r>
          </w:p>
        </w:tc>
        <w:tc>
          <w:tcPr>
            <w:tcW w:w="2693" w:type="pct"/>
            <w:shd w:val="clear" w:color="000000" w:fill="6E9ECA"/>
            <w:vAlign w:val="center"/>
            <w:hideMark/>
          </w:tcPr>
          <w:p w14:paraId="7D4A80D0" w14:textId="34159909" w:rsidR="00547BB3" w:rsidRPr="009E1B38" w:rsidRDefault="00CD4462" w:rsidP="00547BB3">
            <w:pPr>
              <w:spacing w:after="0" w:line="240" w:lineRule="auto"/>
              <w:jc w:val="center"/>
              <w:rPr>
                <w:rFonts w:ascii="Times New Roman" w:eastAsia="Times New Roman" w:hAnsi="Times New Roman"/>
                <w:b/>
                <w:color w:val="FFFFFF"/>
                <w:sz w:val="20"/>
                <w:szCs w:val="20"/>
                <w:lang w:eastAsia="tr-TR"/>
              </w:rPr>
            </w:pPr>
            <w:r w:rsidRPr="009E1B38">
              <w:rPr>
                <w:rFonts w:ascii="Times New Roman" w:eastAsia="Times New Roman" w:hAnsi="Times New Roman"/>
                <w:b/>
                <w:color w:val="FFFFFF"/>
                <w:sz w:val="20"/>
                <w:szCs w:val="20"/>
                <w:lang w:eastAsia="tr-TR"/>
              </w:rPr>
              <w:t>Share of Total Storage Capacity (%)</w:t>
            </w:r>
          </w:p>
        </w:tc>
      </w:tr>
      <w:tr w:rsidR="005D0429" w:rsidRPr="009E1B38" w14:paraId="7D4A80D5" w14:textId="77777777" w:rsidTr="0080637B">
        <w:trPr>
          <w:trHeight w:val="20"/>
          <w:jc w:val="center"/>
        </w:trPr>
        <w:tc>
          <w:tcPr>
            <w:tcW w:w="928" w:type="pct"/>
            <w:tcBorders>
              <w:top w:val="single" w:sz="4" w:space="0" w:color="D3D3D3"/>
              <w:left w:val="single" w:sz="4" w:space="0" w:color="D3D3D3"/>
              <w:bottom w:val="single" w:sz="4" w:space="0" w:color="D3D3D3"/>
              <w:right w:val="single" w:sz="4" w:space="0" w:color="D3D3D3"/>
            </w:tcBorders>
            <w:shd w:val="clear" w:color="auto" w:fill="auto"/>
            <w:noWrap/>
          </w:tcPr>
          <w:p w14:paraId="7D4A80D2"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ADANA</w:t>
            </w:r>
          </w:p>
        </w:tc>
        <w:tc>
          <w:tcPr>
            <w:tcW w:w="1379" w:type="pct"/>
            <w:tcBorders>
              <w:top w:val="single" w:sz="4" w:space="0" w:color="D3D3D3"/>
              <w:left w:val="nil"/>
              <w:bottom w:val="single" w:sz="4" w:space="0" w:color="D3D3D3"/>
              <w:right w:val="single" w:sz="4" w:space="0" w:color="D3D3D3"/>
            </w:tcBorders>
            <w:shd w:val="clear" w:color="auto" w:fill="auto"/>
            <w:noWrap/>
          </w:tcPr>
          <w:p w14:paraId="7D4A80D3"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2.568</w:t>
            </w:r>
          </w:p>
        </w:tc>
        <w:tc>
          <w:tcPr>
            <w:tcW w:w="2693" w:type="pct"/>
            <w:tcBorders>
              <w:top w:val="single" w:sz="4" w:space="0" w:color="D3D3D3"/>
              <w:left w:val="nil"/>
              <w:bottom w:val="single" w:sz="4" w:space="0" w:color="D3D3D3"/>
              <w:right w:val="single" w:sz="4" w:space="0" w:color="D3D3D3"/>
            </w:tcBorders>
            <w:shd w:val="clear" w:color="auto" w:fill="auto"/>
            <w:noWrap/>
          </w:tcPr>
          <w:p w14:paraId="7D4A80D4"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0,05</w:t>
            </w:r>
          </w:p>
        </w:tc>
      </w:tr>
      <w:tr w:rsidR="005D0429" w:rsidRPr="009E1B38" w14:paraId="7D4A80D9"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0D6"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ANKARA</w:t>
            </w:r>
          </w:p>
        </w:tc>
        <w:tc>
          <w:tcPr>
            <w:tcW w:w="1379" w:type="pct"/>
            <w:tcBorders>
              <w:top w:val="nil"/>
              <w:left w:val="nil"/>
              <w:bottom w:val="single" w:sz="4" w:space="0" w:color="D3D3D3"/>
              <w:right w:val="single" w:sz="4" w:space="0" w:color="D3D3D3"/>
            </w:tcBorders>
            <w:shd w:val="clear" w:color="auto" w:fill="auto"/>
            <w:noWrap/>
          </w:tcPr>
          <w:p w14:paraId="7D4A80D7"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47.207</w:t>
            </w:r>
          </w:p>
        </w:tc>
        <w:tc>
          <w:tcPr>
            <w:tcW w:w="2693" w:type="pct"/>
            <w:tcBorders>
              <w:top w:val="nil"/>
              <w:left w:val="nil"/>
              <w:bottom w:val="single" w:sz="4" w:space="0" w:color="D3D3D3"/>
              <w:right w:val="single" w:sz="4" w:space="0" w:color="D3D3D3"/>
            </w:tcBorders>
            <w:shd w:val="clear" w:color="auto" w:fill="auto"/>
            <w:noWrap/>
          </w:tcPr>
          <w:p w14:paraId="7D4A80D8"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0,88</w:t>
            </w:r>
          </w:p>
        </w:tc>
      </w:tr>
      <w:tr w:rsidR="005D0429" w:rsidRPr="009E1B38" w14:paraId="7D4A80DD"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0DA"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ANTALYA</w:t>
            </w:r>
          </w:p>
        </w:tc>
        <w:tc>
          <w:tcPr>
            <w:tcW w:w="1379" w:type="pct"/>
            <w:tcBorders>
              <w:top w:val="nil"/>
              <w:left w:val="nil"/>
              <w:bottom w:val="single" w:sz="4" w:space="0" w:color="D3D3D3"/>
              <w:right w:val="single" w:sz="4" w:space="0" w:color="D3D3D3"/>
            </w:tcBorders>
            <w:shd w:val="clear" w:color="auto" w:fill="auto"/>
            <w:noWrap/>
          </w:tcPr>
          <w:p w14:paraId="7D4A80DB"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388.945</w:t>
            </w:r>
          </w:p>
        </w:tc>
        <w:tc>
          <w:tcPr>
            <w:tcW w:w="2693" w:type="pct"/>
            <w:tcBorders>
              <w:top w:val="nil"/>
              <w:left w:val="nil"/>
              <w:bottom w:val="single" w:sz="4" w:space="0" w:color="D3D3D3"/>
              <w:right w:val="single" w:sz="4" w:space="0" w:color="D3D3D3"/>
            </w:tcBorders>
            <w:shd w:val="clear" w:color="auto" w:fill="auto"/>
            <w:noWrap/>
          </w:tcPr>
          <w:p w14:paraId="7D4A80DC"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7,28</w:t>
            </w:r>
          </w:p>
        </w:tc>
      </w:tr>
      <w:tr w:rsidR="005D0429" w:rsidRPr="009E1B38" w14:paraId="7D4A80E1"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0DE"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ARTVİN</w:t>
            </w:r>
          </w:p>
        </w:tc>
        <w:tc>
          <w:tcPr>
            <w:tcW w:w="1379" w:type="pct"/>
            <w:tcBorders>
              <w:top w:val="nil"/>
              <w:left w:val="nil"/>
              <w:bottom w:val="single" w:sz="4" w:space="0" w:color="D3D3D3"/>
              <w:right w:val="single" w:sz="4" w:space="0" w:color="D3D3D3"/>
            </w:tcBorders>
            <w:shd w:val="clear" w:color="auto" w:fill="auto"/>
            <w:noWrap/>
          </w:tcPr>
          <w:p w14:paraId="7D4A80DF"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30.000</w:t>
            </w:r>
          </w:p>
        </w:tc>
        <w:tc>
          <w:tcPr>
            <w:tcW w:w="2693" w:type="pct"/>
            <w:tcBorders>
              <w:top w:val="nil"/>
              <w:left w:val="nil"/>
              <w:bottom w:val="single" w:sz="4" w:space="0" w:color="D3D3D3"/>
              <w:right w:val="single" w:sz="4" w:space="0" w:color="D3D3D3"/>
            </w:tcBorders>
            <w:shd w:val="clear" w:color="auto" w:fill="auto"/>
            <w:noWrap/>
          </w:tcPr>
          <w:p w14:paraId="7D4A80E0"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0,56</w:t>
            </w:r>
          </w:p>
        </w:tc>
      </w:tr>
      <w:tr w:rsidR="005D0429" w:rsidRPr="009E1B38" w14:paraId="7D4A80E5"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0E2"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ÇANAKKALE</w:t>
            </w:r>
          </w:p>
        </w:tc>
        <w:tc>
          <w:tcPr>
            <w:tcW w:w="1379" w:type="pct"/>
            <w:tcBorders>
              <w:top w:val="nil"/>
              <w:left w:val="nil"/>
              <w:bottom w:val="single" w:sz="4" w:space="0" w:color="D3D3D3"/>
              <w:right w:val="single" w:sz="4" w:space="0" w:color="D3D3D3"/>
            </w:tcBorders>
            <w:shd w:val="clear" w:color="auto" w:fill="auto"/>
            <w:noWrap/>
          </w:tcPr>
          <w:p w14:paraId="7D4A80E3"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13.621</w:t>
            </w:r>
          </w:p>
        </w:tc>
        <w:tc>
          <w:tcPr>
            <w:tcW w:w="2693" w:type="pct"/>
            <w:tcBorders>
              <w:top w:val="nil"/>
              <w:left w:val="nil"/>
              <w:bottom w:val="single" w:sz="4" w:space="0" w:color="D3D3D3"/>
              <w:right w:val="single" w:sz="4" w:space="0" w:color="D3D3D3"/>
            </w:tcBorders>
            <w:shd w:val="clear" w:color="auto" w:fill="auto"/>
            <w:noWrap/>
          </w:tcPr>
          <w:p w14:paraId="7D4A80E4"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0,25</w:t>
            </w:r>
          </w:p>
        </w:tc>
      </w:tr>
      <w:tr w:rsidR="005D0429" w:rsidRPr="009E1B38" w14:paraId="7D4A80E9"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0E6"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DİYARBAKIR</w:t>
            </w:r>
          </w:p>
        </w:tc>
        <w:tc>
          <w:tcPr>
            <w:tcW w:w="1379" w:type="pct"/>
            <w:tcBorders>
              <w:top w:val="nil"/>
              <w:left w:val="nil"/>
              <w:bottom w:val="single" w:sz="4" w:space="0" w:color="D3D3D3"/>
              <w:right w:val="single" w:sz="4" w:space="0" w:color="D3D3D3"/>
            </w:tcBorders>
            <w:shd w:val="clear" w:color="auto" w:fill="auto"/>
            <w:noWrap/>
          </w:tcPr>
          <w:p w14:paraId="7D4A80E7"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9.256</w:t>
            </w:r>
          </w:p>
        </w:tc>
        <w:tc>
          <w:tcPr>
            <w:tcW w:w="2693" w:type="pct"/>
            <w:tcBorders>
              <w:top w:val="nil"/>
              <w:left w:val="nil"/>
              <w:bottom w:val="single" w:sz="4" w:space="0" w:color="D3D3D3"/>
              <w:right w:val="single" w:sz="4" w:space="0" w:color="D3D3D3"/>
            </w:tcBorders>
            <w:shd w:val="clear" w:color="auto" w:fill="auto"/>
            <w:noWrap/>
          </w:tcPr>
          <w:p w14:paraId="7D4A80E8"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0,17</w:t>
            </w:r>
          </w:p>
        </w:tc>
      </w:tr>
      <w:tr w:rsidR="005D0429" w:rsidRPr="009E1B38" w14:paraId="7D4A80ED"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0EA"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ERZURUM</w:t>
            </w:r>
          </w:p>
        </w:tc>
        <w:tc>
          <w:tcPr>
            <w:tcW w:w="1379" w:type="pct"/>
            <w:tcBorders>
              <w:top w:val="nil"/>
              <w:left w:val="nil"/>
              <w:bottom w:val="single" w:sz="4" w:space="0" w:color="D3D3D3"/>
              <w:right w:val="single" w:sz="4" w:space="0" w:color="D3D3D3"/>
            </w:tcBorders>
            <w:shd w:val="clear" w:color="auto" w:fill="auto"/>
            <w:noWrap/>
          </w:tcPr>
          <w:p w14:paraId="7D4A80EB"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4.153</w:t>
            </w:r>
          </w:p>
        </w:tc>
        <w:tc>
          <w:tcPr>
            <w:tcW w:w="2693" w:type="pct"/>
            <w:tcBorders>
              <w:top w:val="nil"/>
              <w:left w:val="nil"/>
              <w:bottom w:val="single" w:sz="4" w:space="0" w:color="D3D3D3"/>
              <w:right w:val="single" w:sz="4" w:space="0" w:color="D3D3D3"/>
            </w:tcBorders>
            <w:shd w:val="clear" w:color="auto" w:fill="auto"/>
            <w:noWrap/>
          </w:tcPr>
          <w:p w14:paraId="7D4A80EC"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0,08</w:t>
            </w:r>
          </w:p>
        </w:tc>
      </w:tr>
      <w:tr w:rsidR="005D0429" w:rsidRPr="009E1B38" w14:paraId="7D4A80F1"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0EE"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GAZİANTEP</w:t>
            </w:r>
          </w:p>
        </w:tc>
        <w:tc>
          <w:tcPr>
            <w:tcW w:w="1379" w:type="pct"/>
            <w:tcBorders>
              <w:top w:val="nil"/>
              <w:left w:val="nil"/>
              <w:bottom w:val="single" w:sz="4" w:space="0" w:color="D3D3D3"/>
              <w:right w:val="single" w:sz="4" w:space="0" w:color="D3D3D3"/>
            </w:tcBorders>
            <w:shd w:val="clear" w:color="auto" w:fill="auto"/>
            <w:noWrap/>
          </w:tcPr>
          <w:p w14:paraId="7D4A80EF"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677</w:t>
            </w:r>
          </w:p>
        </w:tc>
        <w:tc>
          <w:tcPr>
            <w:tcW w:w="2693" w:type="pct"/>
            <w:tcBorders>
              <w:top w:val="nil"/>
              <w:left w:val="nil"/>
              <w:bottom w:val="single" w:sz="4" w:space="0" w:color="D3D3D3"/>
              <w:right w:val="single" w:sz="4" w:space="0" w:color="D3D3D3"/>
            </w:tcBorders>
            <w:shd w:val="clear" w:color="auto" w:fill="auto"/>
            <w:noWrap/>
          </w:tcPr>
          <w:p w14:paraId="7D4A80F0"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0,01</w:t>
            </w:r>
          </w:p>
        </w:tc>
      </w:tr>
      <w:tr w:rsidR="005D0429" w:rsidRPr="009E1B38" w14:paraId="7D4A80F5"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0F2"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GİRESUN</w:t>
            </w:r>
          </w:p>
        </w:tc>
        <w:tc>
          <w:tcPr>
            <w:tcW w:w="1379" w:type="pct"/>
            <w:tcBorders>
              <w:top w:val="nil"/>
              <w:left w:val="nil"/>
              <w:bottom w:val="single" w:sz="4" w:space="0" w:color="D3D3D3"/>
              <w:right w:val="single" w:sz="4" w:space="0" w:color="D3D3D3"/>
            </w:tcBorders>
            <w:shd w:val="clear" w:color="auto" w:fill="auto"/>
            <w:noWrap/>
          </w:tcPr>
          <w:p w14:paraId="7D4A80F3"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43.130</w:t>
            </w:r>
          </w:p>
        </w:tc>
        <w:tc>
          <w:tcPr>
            <w:tcW w:w="2693" w:type="pct"/>
            <w:tcBorders>
              <w:top w:val="nil"/>
              <w:left w:val="nil"/>
              <w:bottom w:val="single" w:sz="4" w:space="0" w:color="D3D3D3"/>
              <w:right w:val="single" w:sz="4" w:space="0" w:color="D3D3D3"/>
            </w:tcBorders>
            <w:shd w:val="clear" w:color="auto" w:fill="auto"/>
            <w:noWrap/>
          </w:tcPr>
          <w:p w14:paraId="7D4A80F4"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0,81</w:t>
            </w:r>
          </w:p>
        </w:tc>
      </w:tr>
      <w:tr w:rsidR="005D0429" w:rsidRPr="009E1B38" w14:paraId="7D4A80F9"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0F6"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HATAY</w:t>
            </w:r>
          </w:p>
        </w:tc>
        <w:tc>
          <w:tcPr>
            <w:tcW w:w="1379" w:type="pct"/>
            <w:tcBorders>
              <w:top w:val="nil"/>
              <w:left w:val="nil"/>
              <w:bottom w:val="single" w:sz="4" w:space="0" w:color="D3D3D3"/>
              <w:right w:val="single" w:sz="4" w:space="0" w:color="D3D3D3"/>
            </w:tcBorders>
            <w:shd w:val="clear" w:color="auto" w:fill="auto"/>
            <w:noWrap/>
          </w:tcPr>
          <w:p w14:paraId="7D4A80F7"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238.038</w:t>
            </w:r>
          </w:p>
        </w:tc>
        <w:tc>
          <w:tcPr>
            <w:tcW w:w="2693" w:type="pct"/>
            <w:tcBorders>
              <w:top w:val="nil"/>
              <w:left w:val="nil"/>
              <w:bottom w:val="single" w:sz="4" w:space="0" w:color="D3D3D3"/>
              <w:right w:val="single" w:sz="4" w:space="0" w:color="D3D3D3"/>
            </w:tcBorders>
            <w:shd w:val="clear" w:color="auto" w:fill="auto"/>
            <w:noWrap/>
          </w:tcPr>
          <w:p w14:paraId="7D4A80F8"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4,45</w:t>
            </w:r>
          </w:p>
        </w:tc>
      </w:tr>
      <w:tr w:rsidR="005D0429" w:rsidRPr="009E1B38" w14:paraId="7D4A80FD"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0FA"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ISPARTA</w:t>
            </w:r>
          </w:p>
        </w:tc>
        <w:tc>
          <w:tcPr>
            <w:tcW w:w="1379" w:type="pct"/>
            <w:tcBorders>
              <w:top w:val="nil"/>
              <w:left w:val="nil"/>
              <w:bottom w:val="single" w:sz="4" w:space="0" w:color="D3D3D3"/>
              <w:right w:val="single" w:sz="4" w:space="0" w:color="D3D3D3"/>
            </w:tcBorders>
            <w:shd w:val="clear" w:color="auto" w:fill="auto"/>
            <w:noWrap/>
          </w:tcPr>
          <w:p w14:paraId="7D4A80FB"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728</w:t>
            </w:r>
          </w:p>
        </w:tc>
        <w:tc>
          <w:tcPr>
            <w:tcW w:w="2693" w:type="pct"/>
            <w:tcBorders>
              <w:top w:val="nil"/>
              <w:left w:val="nil"/>
              <w:bottom w:val="single" w:sz="4" w:space="0" w:color="D3D3D3"/>
              <w:right w:val="single" w:sz="4" w:space="0" w:color="D3D3D3"/>
            </w:tcBorders>
            <w:shd w:val="clear" w:color="auto" w:fill="auto"/>
            <w:noWrap/>
          </w:tcPr>
          <w:p w14:paraId="7D4A80FC"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0,01</w:t>
            </w:r>
          </w:p>
        </w:tc>
      </w:tr>
      <w:tr w:rsidR="005D0429" w:rsidRPr="009E1B38" w14:paraId="7D4A8101"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0FE"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MERSİN</w:t>
            </w:r>
          </w:p>
        </w:tc>
        <w:tc>
          <w:tcPr>
            <w:tcW w:w="1379" w:type="pct"/>
            <w:tcBorders>
              <w:top w:val="nil"/>
              <w:left w:val="nil"/>
              <w:bottom w:val="single" w:sz="4" w:space="0" w:color="D3D3D3"/>
              <w:right w:val="single" w:sz="4" w:space="0" w:color="D3D3D3"/>
            </w:tcBorders>
            <w:shd w:val="clear" w:color="auto" w:fill="auto"/>
            <w:noWrap/>
          </w:tcPr>
          <w:p w14:paraId="7D4A80FF"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1.702.463</w:t>
            </w:r>
          </w:p>
        </w:tc>
        <w:tc>
          <w:tcPr>
            <w:tcW w:w="2693" w:type="pct"/>
            <w:tcBorders>
              <w:top w:val="nil"/>
              <w:left w:val="nil"/>
              <w:bottom w:val="single" w:sz="4" w:space="0" w:color="D3D3D3"/>
              <w:right w:val="single" w:sz="4" w:space="0" w:color="D3D3D3"/>
            </w:tcBorders>
            <w:shd w:val="clear" w:color="auto" w:fill="auto"/>
            <w:noWrap/>
          </w:tcPr>
          <w:p w14:paraId="7D4A8100"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31,85</w:t>
            </w:r>
          </w:p>
        </w:tc>
      </w:tr>
      <w:tr w:rsidR="005D0429" w:rsidRPr="009E1B38" w14:paraId="7D4A8105"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02"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İSTANBUL</w:t>
            </w:r>
          </w:p>
        </w:tc>
        <w:tc>
          <w:tcPr>
            <w:tcW w:w="1379" w:type="pct"/>
            <w:tcBorders>
              <w:top w:val="nil"/>
              <w:left w:val="nil"/>
              <w:bottom w:val="single" w:sz="4" w:space="0" w:color="D3D3D3"/>
              <w:right w:val="single" w:sz="4" w:space="0" w:color="D3D3D3"/>
            </w:tcBorders>
            <w:shd w:val="clear" w:color="auto" w:fill="auto"/>
            <w:noWrap/>
          </w:tcPr>
          <w:p w14:paraId="7D4A8103"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217.741</w:t>
            </w:r>
          </w:p>
        </w:tc>
        <w:tc>
          <w:tcPr>
            <w:tcW w:w="2693" w:type="pct"/>
            <w:tcBorders>
              <w:top w:val="nil"/>
              <w:left w:val="nil"/>
              <w:bottom w:val="single" w:sz="4" w:space="0" w:color="D3D3D3"/>
              <w:right w:val="single" w:sz="4" w:space="0" w:color="D3D3D3"/>
            </w:tcBorders>
            <w:shd w:val="clear" w:color="auto" w:fill="auto"/>
            <w:noWrap/>
          </w:tcPr>
          <w:p w14:paraId="7D4A8104"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4,07</w:t>
            </w:r>
          </w:p>
        </w:tc>
      </w:tr>
      <w:tr w:rsidR="005D0429" w:rsidRPr="009E1B38" w14:paraId="7D4A8109"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06"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İZMİR</w:t>
            </w:r>
          </w:p>
        </w:tc>
        <w:tc>
          <w:tcPr>
            <w:tcW w:w="1379" w:type="pct"/>
            <w:tcBorders>
              <w:top w:val="nil"/>
              <w:left w:val="nil"/>
              <w:bottom w:val="single" w:sz="4" w:space="0" w:color="D3D3D3"/>
              <w:right w:val="single" w:sz="4" w:space="0" w:color="D3D3D3"/>
            </w:tcBorders>
            <w:shd w:val="clear" w:color="auto" w:fill="auto"/>
            <w:noWrap/>
          </w:tcPr>
          <w:p w14:paraId="7D4A8107"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487.105</w:t>
            </w:r>
          </w:p>
        </w:tc>
        <w:tc>
          <w:tcPr>
            <w:tcW w:w="2693" w:type="pct"/>
            <w:tcBorders>
              <w:top w:val="nil"/>
              <w:left w:val="nil"/>
              <w:bottom w:val="single" w:sz="4" w:space="0" w:color="D3D3D3"/>
              <w:right w:val="single" w:sz="4" w:space="0" w:color="D3D3D3"/>
            </w:tcBorders>
            <w:shd w:val="clear" w:color="auto" w:fill="auto"/>
            <w:noWrap/>
          </w:tcPr>
          <w:p w14:paraId="7D4A8108"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9,11</w:t>
            </w:r>
          </w:p>
        </w:tc>
      </w:tr>
      <w:tr w:rsidR="005D0429" w:rsidRPr="009E1B38" w14:paraId="7D4A810D"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0A"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KAYSERİ</w:t>
            </w:r>
          </w:p>
        </w:tc>
        <w:tc>
          <w:tcPr>
            <w:tcW w:w="1379" w:type="pct"/>
            <w:tcBorders>
              <w:top w:val="nil"/>
              <w:left w:val="nil"/>
              <w:bottom w:val="single" w:sz="4" w:space="0" w:color="D3D3D3"/>
              <w:right w:val="single" w:sz="4" w:space="0" w:color="D3D3D3"/>
            </w:tcBorders>
            <w:shd w:val="clear" w:color="auto" w:fill="auto"/>
            <w:noWrap/>
          </w:tcPr>
          <w:p w14:paraId="7D4A810B"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789</w:t>
            </w:r>
          </w:p>
        </w:tc>
        <w:tc>
          <w:tcPr>
            <w:tcW w:w="2693" w:type="pct"/>
            <w:tcBorders>
              <w:top w:val="nil"/>
              <w:left w:val="nil"/>
              <w:bottom w:val="single" w:sz="4" w:space="0" w:color="D3D3D3"/>
              <w:right w:val="single" w:sz="4" w:space="0" w:color="D3D3D3"/>
            </w:tcBorders>
            <w:shd w:val="clear" w:color="auto" w:fill="auto"/>
            <w:noWrap/>
          </w:tcPr>
          <w:p w14:paraId="7D4A810C"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0,01</w:t>
            </w:r>
          </w:p>
        </w:tc>
      </w:tr>
      <w:tr w:rsidR="005D0429" w:rsidRPr="009E1B38" w14:paraId="7D4A8111"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0E"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KOCAELİ</w:t>
            </w:r>
          </w:p>
        </w:tc>
        <w:tc>
          <w:tcPr>
            <w:tcW w:w="1379" w:type="pct"/>
            <w:tcBorders>
              <w:top w:val="nil"/>
              <w:left w:val="nil"/>
              <w:bottom w:val="single" w:sz="4" w:space="0" w:color="D3D3D3"/>
              <w:right w:val="single" w:sz="4" w:space="0" w:color="D3D3D3"/>
            </w:tcBorders>
            <w:shd w:val="clear" w:color="auto" w:fill="auto"/>
            <w:noWrap/>
          </w:tcPr>
          <w:p w14:paraId="7D4A810F"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777.529</w:t>
            </w:r>
          </w:p>
        </w:tc>
        <w:tc>
          <w:tcPr>
            <w:tcW w:w="2693" w:type="pct"/>
            <w:tcBorders>
              <w:top w:val="nil"/>
              <w:left w:val="nil"/>
              <w:bottom w:val="single" w:sz="4" w:space="0" w:color="D3D3D3"/>
              <w:right w:val="single" w:sz="4" w:space="0" w:color="D3D3D3"/>
            </w:tcBorders>
            <w:shd w:val="clear" w:color="auto" w:fill="auto"/>
            <w:noWrap/>
          </w:tcPr>
          <w:p w14:paraId="7D4A8110"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14,55</w:t>
            </w:r>
          </w:p>
        </w:tc>
      </w:tr>
      <w:tr w:rsidR="005D0429" w:rsidRPr="009E1B38" w14:paraId="7D4A8115"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12"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MALATYA</w:t>
            </w:r>
          </w:p>
        </w:tc>
        <w:tc>
          <w:tcPr>
            <w:tcW w:w="1379" w:type="pct"/>
            <w:tcBorders>
              <w:top w:val="nil"/>
              <w:left w:val="nil"/>
              <w:bottom w:val="single" w:sz="4" w:space="0" w:color="D3D3D3"/>
              <w:right w:val="single" w:sz="4" w:space="0" w:color="D3D3D3"/>
            </w:tcBorders>
            <w:shd w:val="clear" w:color="auto" w:fill="auto"/>
            <w:noWrap/>
          </w:tcPr>
          <w:p w14:paraId="7D4A8113"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4.980</w:t>
            </w:r>
          </w:p>
        </w:tc>
        <w:tc>
          <w:tcPr>
            <w:tcW w:w="2693" w:type="pct"/>
            <w:tcBorders>
              <w:top w:val="nil"/>
              <w:left w:val="nil"/>
              <w:bottom w:val="single" w:sz="4" w:space="0" w:color="D3D3D3"/>
              <w:right w:val="single" w:sz="4" w:space="0" w:color="D3D3D3"/>
            </w:tcBorders>
            <w:shd w:val="clear" w:color="auto" w:fill="auto"/>
            <w:noWrap/>
          </w:tcPr>
          <w:p w14:paraId="7D4A8114"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0,09</w:t>
            </w:r>
          </w:p>
        </w:tc>
      </w:tr>
      <w:tr w:rsidR="005D0429" w:rsidRPr="009E1B38" w14:paraId="7D4A8119"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16"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MUĞLA</w:t>
            </w:r>
          </w:p>
        </w:tc>
        <w:tc>
          <w:tcPr>
            <w:tcW w:w="1379" w:type="pct"/>
            <w:tcBorders>
              <w:top w:val="nil"/>
              <w:left w:val="nil"/>
              <w:bottom w:val="single" w:sz="4" w:space="0" w:color="D3D3D3"/>
              <w:right w:val="single" w:sz="4" w:space="0" w:color="D3D3D3"/>
            </w:tcBorders>
            <w:shd w:val="clear" w:color="auto" w:fill="auto"/>
            <w:noWrap/>
          </w:tcPr>
          <w:p w14:paraId="7D4A8117"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19.922</w:t>
            </w:r>
          </w:p>
        </w:tc>
        <w:tc>
          <w:tcPr>
            <w:tcW w:w="2693" w:type="pct"/>
            <w:tcBorders>
              <w:top w:val="nil"/>
              <w:left w:val="nil"/>
              <w:bottom w:val="single" w:sz="4" w:space="0" w:color="D3D3D3"/>
              <w:right w:val="single" w:sz="4" w:space="0" w:color="D3D3D3"/>
            </w:tcBorders>
            <w:shd w:val="clear" w:color="auto" w:fill="auto"/>
            <w:noWrap/>
          </w:tcPr>
          <w:p w14:paraId="7D4A8118"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0,37</w:t>
            </w:r>
          </w:p>
        </w:tc>
      </w:tr>
      <w:tr w:rsidR="005D0429" w:rsidRPr="009E1B38" w14:paraId="7D4A811D"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1A"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NEVŞEHİR</w:t>
            </w:r>
          </w:p>
        </w:tc>
        <w:tc>
          <w:tcPr>
            <w:tcW w:w="1379" w:type="pct"/>
            <w:tcBorders>
              <w:top w:val="nil"/>
              <w:left w:val="nil"/>
              <w:bottom w:val="single" w:sz="4" w:space="0" w:color="D3D3D3"/>
              <w:right w:val="single" w:sz="4" w:space="0" w:color="D3D3D3"/>
            </w:tcBorders>
            <w:shd w:val="clear" w:color="auto" w:fill="auto"/>
            <w:noWrap/>
          </w:tcPr>
          <w:p w14:paraId="7D4A811B"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1.091</w:t>
            </w:r>
          </w:p>
        </w:tc>
        <w:tc>
          <w:tcPr>
            <w:tcW w:w="2693" w:type="pct"/>
            <w:tcBorders>
              <w:top w:val="nil"/>
              <w:left w:val="nil"/>
              <w:bottom w:val="single" w:sz="4" w:space="0" w:color="D3D3D3"/>
              <w:right w:val="single" w:sz="4" w:space="0" w:color="D3D3D3"/>
            </w:tcBorders>
            <w:shd w:val="clear" w:color="auto" w:fill="auto"/>
            <w:noWrap/>
          </w:tcPr>
          <w:p w14:paraId="7D4A811C"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0,02</w:t>
            </w:r>
          </w:p>
        </w:tc>
      </w:tr>
      <w:tr w:rsidR="005D0429" w:rsidRPr="009E1B38" w14:paraId="7D4A8121"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1E"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SAMSUN</w:t>
            </w:r>
          </w:p>
        </w:tc>
        <w:tc>
          <w:tcPr>
            <w:tcW w:w="1379" w:type="pct"/>
            <w:tcBorders>
              <w:top w:val="nil"/>
              <w:left w:val="nil"/>
              <w:bottom w:val="single" w:sz="4" w:space="0" w:color="D3D3D3"/>
              <w:right w:val="single" w:sz="4" w:space="0" w:color="D3D3D3"/>
            </w:tcBorders>
            <w:shd w:val="clear" w:color="auto" w:fill="auto"/>
            <w:noWrap/>
          </w:tcPr>
          <w:p w14:paraId="7D4A811F"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195.890</w:t>
            </w:r>
          </w:p>
        </w:tc>
        <w:tc>
          <w:tcPr>
            <w:tcW w:w="2693" w:type="pct"/>
            <w:tcBorders>
              <w:top w:val="nil"/>
              <w:left w:val="nil"/>
              <w:bottom w:val="single" w:sz="4" w:space="0" w:color="D3D3D3"/>
              <w:right w:val="single" w:sz="4" w:space="0" w:color="D3D3D3"/>
            </w:tcBorders>
            <w:shd w:val="clear" w:color="auto" w:fill="auto"/>
            <w:noWrap/>
          </w:tcPr>
          <w:p w14:paraId="7D4A8120"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3,66</w:t>
            </w:r>
          </w:p>
        </w:tc>
      </w:tr>
      <w:tr w:rsidR="005D0429" w:rsidRPr="009E1B38" w14:paraId="7D4A8125"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22"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TEKİRDAĞ</w:t>
            </w:r>
          </w:p>
        </w:tc>
        <w:tc>
          <w:tcPr>
            <w:tcW w:w="1379" w:type="pct"/>
            <w:tcBorders>
              <w:top w:val="nil"/>
              <w:left w:val="nil"/>
              <w:bottom w:val="single" w:sz="4" w:space="0" w:color="D3D3D3"/>
              <w:right w:val="single" w:sz="4" w:space="0" w:color="D3D3D3"/>
            </w:tcBorders>
            <w:shd w:val="clear" w:color="auto" w:fill="auto"/>
            <w:noWrap/>
          </w:tcPr>
          <w:p w14:paraId="7D4A8123"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850.609</w:t>
            </w:r>
          </w:p>
        </w:tc>
        <w:tc>
          <w:tcPr>
            <w:tcW w:w="2693" w:type="pct"/>
            <w:tcBorders>
              <w:top w:val="nil"/>
              <w:left w:val="nil"/>
              <w:bottom w:val="single" w:sz="4" w:space="0" w:color="D3D3D3"/>
              <w:right w:val="single" w:sz="4" w:space="0" w:color="D3D3D3"/>
            </w:tcBorders>
            <w:shd w:val="clear" w:color="auto" w:fill="auto"/>
            <w:noWrap/>
          </w:tcPr>
          <w:p w14:paraId="7D4A8124"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15,91</w:t>
            </w:r>
          </w:p>
        </w:tc>
      </w:tr>
      <w:tr w:rsidR="005D0429" w:rsidRPr="009E1B38" w14:paraId="7D4A8129"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26"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TRABZON</w:t>
            </w:r>
          </w:p>
        </w:tc>
        <w:tc>
          <w:tcPr>
            <w:tcW w:w="1379" w:type="pct"/>
            <w:tcBorders>
              <w:top w:val="nil"/>
              <w:left w:val="nil"/>
              <w:bottom w:val="single" w:sz="4" w:space="0" w:color="D3D3D3"/>
              <w:right w:val="single" w:sz="4" w:space="0" w:color="D3D3D3"/>
            </w:tcBorders>
            <w:shd w:val="clear" w:color="auto" w:fill="auto"/>
            <w:noWrap/>
          </w:tcPr>
          <w:p w14:paraId="7D4A8127"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143.262</w:t>
            </w:r>
          </w:p>
        </w:tc>
        <w:tc>
          <w:tcPr>
            <w:tcW w:w="2693" w:type="pct"/>
            <w:tcBorders>
              <w:top w:val="nil"/>
              <w:left w:val="nil"/>
              <w:bottom w:val="single" w:sz="4" w:space="0" w:color="D3D3D3"/>
              <w:right w:val="single" w:sz="4" w:space="0" w:color="D3D3D3"/>
            </w:tcBorders>
            <w:shd w:val="clear" w:color="auto" w:fill="auto"/>
            <w:noWrap/>
          </w:tcPr>
          <w:p w14:paraId="7D4A8128"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2,68</w:t>
            </w:r>
          </w:p>
        </w:tc>
      </w:tr>
      <w:tr w:rsidR="005D0429" w:rsidRPr="009E1B38" w14:paraId="7D4A812D"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2A"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KIRIKKALE</w:t>
            </w:r>
          </w:p>
        </w:tc>
        <w:tc>
          <w:tcPr>
            <w:tcW w:w="1379" w:type="pct"/>
            <w:tcBorders>
              <w:top w:val="nil"/>
              <w:left w:val="nil"/>
              <w:bottom w:val="single" w:sz="4" w:space="0" w:color="D3D3D3"/>
              <w:right w:val="single" w:sz="4" w:space="0" w:color="D3D3D3"/>
            </w:tcBorders>
            <w:shd w:val="clear" w:color="auto" w:fill="auto"/>
            <w:noWrap/>
          </w:tcPr>
          <w:p w14:paraId="7D4A812B"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160.640</w:t>
            </w:r>
          </w:p>
        </w:tc>
        <w:tc>
          <w:tcPr>
            <w:tcW w:w="2693" w:type="pct"/>
            <w:tcBorders>
              <w:top w:val="nil"/>
              <w:left w:val="nil"/>
              <w:bottom w:val="single" w:sz="4" w:space="0" w:color="D3D3D3"/>
              <w:right w:val="single" w:sz="4" w:space="0" w:color="D3D3D3"/>
            </w:tcBorders>
            <w:shd w:val="clear" w:color="auto" w:fill="auto"/>
            <w:noWrap/>
          </w:tcPr>
          <w:p w14:paraId="7D4A812C"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3,01</w:t>
            </w:r>
          </w:p>
        </w:tc>
      </w:tr>
      <w:tr w:rsidR="005D0429" w:rsidRPr="009E1B38" w14:paraId="7D4A8131"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2E" w14:textId="77777777" w:rsidR="005D0429" w:rsidRPr="009E1B38" w:rsidRDefault="005D0429" w:rsidP="005D0429">
            <w:pPr>
              <w:spacing w:after="0" w:line="240" w:lineRule="auto"/>
              <w:rPr>
                <w:rFonts w:ascii="Times New Roman" w:eastAsia="Times New Roman" w:hAnsi="Times New Roman"/>
                <w:color w:val="000000"/>
                <w:lang w:eastAsia="tr-TR"/>
              </w:rPr>
            </w:pPr>
            <w:r w:rsidRPr="009E1B38">
              <w:rPr>
                <w:rFonts w:ascii="Times New Roman" w:hAnsi="Times New Roman"/>
                <w:color w:val="000000"/>
              </w:rPr>
              <w:t>BATMAN</w:t>
            </w:r>
          </w:p>
        </w:tc>
        <w:tc>
          <w:tcPr>
            <w:tcW w:w="1379" w:type="pct"/>
            <w:tcBorders>
              <w:top w:val="nil"/>
              <w:left w:val="nil"/>
              <w:bottom w:val="single" w:sz="4" w:space="0" w:color="D3D3D3"/>
              <w:right w:val="single" w:sz="4" w:space="0" w:color="D3D3D3"/>
            </w:tcBorders>
            <w:shd w:val="clear" w:color="auto" w:fill="auto"/>
            <w:noWrap/>
          </w:tcPr>
          <w:p w14:paraId="7D4A812F" w14:textId="77777777" w:rsidR="005D0429" w:rsidRPr="009E1B38" w:rsidRDefault="005D0429" w:rsidP="005D0429">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4.892</w:t>
            </w:r>
          </w:p>
        </w:tc>
        <w:tc>
          <w:tcPr>
            <w:tcW w:w="2693" w:type="pct"/>
            <w:tcBorders>
              <w:top w:val="nil"/>
              <w:left w:val="nil"/>
              <w:bottom w:val="single" w:sz="4" w:space="0" w:color="D3D3D3"/>
              <w:right w:val="single" w:sz="4" w:space="0" w:color="D3D3D3"/>
            </w:tcBorders>
            <w:shd w:val="clear" w:color="auto" w:fill="auto"/>
            <w:noWrap/>
          </w:tcPr>
          <w:p w14:paraId="7D4A8130"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0,09</w:t>
            </w:r>
          </w:p>
        </w:tc>
      </w:tr>
      <w:tr w:rsidR="005D0429" w:rsidRPr="009E1B38" w14:paraId="7D4A8135" w14:textId="7777777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14:paraId="7D4A8132" w14:textId="6BE12A75" w:rsidR="005D0429" w:rsidRPr="009E1B38" w:rsidRDefault="00301040" w:rsidP="005D0429">
            <w:pPr>
              <w:spacing w:after="0" w:line="240" w:lineRule="auto"/>
              <w:rPr>
                <w:rFonts w:ascii="Times New Roman" w:eastAsia="Times New Roman" w:hAnsi="Times New Roman"/>
                <w:color w:val="000000"/>
                <w:lang w:eastAsia="tr-TR"/>
              </w:rPr>
            </w:pPr>
            <w:r>
              <w:rPr>
                <w:rFonts w:ascii="Times New Roman" w:hAnsi="Times New Roman"/>
                <w:b/>
                <w:bCs/>
                <w:color w:val="000000"/>
              </w:rPr>
              <w:t>Total</w:t>
            </w:r>
          </w:p>
        </w:tc>
        <w:tc>
          <w:tcPr>
            <w:tcW w:w="1379" w:type="pct"/>
            <w:tcBorders>
              <w:top w:val="nil"/>
              <w:left w:val="nil"/>
              <w:bottom w:val="single" w:sz="4" w:space="0" w:color="D3D3D3"/>
              <w:right w:val="single" w:sz="4" w:space="0" w:color="D3D3D3"/>
            </w:tcBorders>
            <w:shd w:val="clear" w:color="auto" w:fill="auto"/>
            <w:noWrap/>
          </w:tcPr>
          <w:p w14:paraId="7D4A8133" w14:textId="77777777" w:rsidR="005D0429" w:rsidRPr="009E1B38" w:rsidRDefault="005D0429" w:rsidP="005D0429">
            <w:pPr>
              <w:spacing w:after="0" w:line="240" w:lineRule="auto"/>
              <w:jc w:val="right"/>
              <w:rPr>
                <w:rFonts w:ascii="Times New Roman" w:eastAsia="Times New Roman" w:hAnsi="Times New Roman"/>
                <w:b/>
                <w:color w:val="000000"/>
                <w:lang w:eastAsia="tr-TR"/>
              </w:rPr>
            </w:pPr>
            <w:r w:rsidRPr="009E1B38">
              <w:rPr>
                <w:rFonts w:ascii="Times New Roman" w:hAnsi="Times New Roman"/>
                <w:b/>
                <w:color w:val="000000"/>
              </w:rPr>
              <w:t>5.345.236</w:t>
            </w:r>
          </w:p>
        </w:tc>
        <w:tc>
          <w:tcPr>
            <w:tcW w:w="2693" w:type="pct"/>
            <w:tcBorders>
              <w:top w:val="nil"/>
              <w:left w:val="nil"/>
              <w:bottom w:val="single" w:sz="4" w:space="0" w:color="D3D3D3"/>
              <w:right w:val="single" w:sz="4" w:space="0" w:color="D3D3D3"/>
            </w:tcBorders>
            <w:shd w:val="clear" w:color="auto" w:fill="auto"/>
            <w:noWrap/>
          </w:tcPr>
          <w:p w14:paraId="7D4A8134"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hAnsi="Times New Roman"/>
                <w:b/>
                <w:bCs/>
                <w:color w:val="000000"/>
              </w:rPr>
              <w:t>100</w:t>
            </w:r>
          </w:p>
        </w:tc>
      </w:tr>
    </w:tbl>
    <w:p w14:paraId="338BF740" w14:textId="77777777" w:rsidR="00AF46BC" w:rsidRPr="009E1B38" w:rsidRDefault="00E41FA5" w:rsidP="00AF46BC">
      <w:pPr>
        <w:spacing w:after="0"/>
        <w:rPr>
          <w:rFonts w:ascii="Times New Roman" w:hAnsi="Times New Roman"/>
        </w:rPr>
      </w:pPr>
      <w:r w:rsidRPr="009E1B38">
        <w:rPr>
          <w:rFonts w:ascii="Times New Roman" w:hAnsi="Times New Roman"/>
        </w:rPr>
        <w:t xml:space="preserve">                         </w:t>
      </w:r>
      <w:r w:rsidR="00AF46BC" w:rsidRPr="009E1B38">
        <w:rPr>
          <w:rFonts w:ascii="Times New Roman" w:hAnsi="Times New Roman"/>
        </w:rPr>
        <w:t>* Warehouse capacities under the sub-title of distributor and bunker delivery license are also included.</w:t>
      </w:r>
    </w:p>
    <w:p w14:paraId="7D4A8137" w14:textId="77777777" w:rsidR="000A1FA3" w:rsidRPr="009E1B38" w:rsidRDefault="000A1FA3" w:rsidP="00CB5826">
      <w:pPr>
        <w:spacing w:after="0"/>
        <w:rPr>
          <w:rFonts w:ascii="Times New Roman" w:hAnsi="Times New Roman"/>
          <w:color w:val="000000" w:themeColor="text1"/>
          <w:sz w:val="20"/>
          <w:szCs w:val="20"/>
        </w:rPr>
      </w:pPr>
    </w:p>
    <w:p w14:paraId="7D4A8138" w14:textId="187E9C06" w:rsidR="00CB5826" w:rsidRPr="009E1B38" w:rsidRDefault="001E335F" w:rsidP="003C5E4D">
      <w:pPr>
        <w:pStyle w:val="Balk3"/>
        <w:numPr>
          <w:ilvl w:val="2"/>
          <w:numId w:val="55"/>
        </w:numPr>
        <w:spacing w:before="0" w:after="240"/>
        <w:rPr>
          <w:rFonts w:ascii="Times New Roman" w:hAnsi="Times New Roman" w:cs="Times New Roman"/>
          <w:color w:val="auto"/>
          <w:sz w:val="24"/>
          <w:szCs w:val="24"/>
        </w:rPr>
      </w:pPr>
      <w:bookmarkStart w:id="131" w:name="_Toc113615340"/>
      <w:r w:rsidRPr="009E1B38">
        <w:rPr>
          <w:rFonts w:ascii="Times New Roman" w:hAnsi="Times New Roman" w:cs="Times New Roman"/>
          <w:color w:val="auto"/>
          <w:sz w:val="24"/>
          <w:szCs w:val="24"/>
        </w:rPr>
        <w:t>Procedures Regarding Non-fuel Product Permits</w:t>
      </w:r>
      <w:bookmarkEnd w:id="131"/>
    </w:p>
    <w:p w14:paraId="3B56B3DB" w14:textId="6BE320D0" w:rsidR="008865CD" w:rsidRPr="009E1B38" w:rsidRDefault="008865CD" w:rsidP="00C221F2">
      <w:pPr>
        <w:rPr>
          <w:rFonts w:ascii="Times New Roman" w:hAnsi="Times New Roman"/>
          <w:b/>
        </w:rPr>
      </w:pPr>
      <w:bookmarkStart w:id="132" w:name="_Toc75858494"/>
      <w:r w:rsidRPr="009E1B38">
        <w:rPr>
          <w:rFonts w:ascii="Times New Roman" w:hAnsi="Times New Roman"/>
        </w:rPr>
        <w:t>“Communiqué on the Procedures and Principles Regarding the Supply of Petroleum Products Except for Fuel from Domestic and Foreign Sources”, which regulates the procedures and principles regarding the issuance of a letter of conformity in the procurement of petroleum products other than fuel from domestic and foreign sources, was published in the Official Gazette date</w:t>
      </w:r>
      <w:r w:rsidR="00301040">
        <w:rPr>
          <w:rFonts w:ascii="Times New Roman" w:hAnsi="Times New Roman"/>
        </w:rPr>
        <w:t>d 24.04.2013 and numbered 28627</w:t>
      </w:r>
      <w:r w:rsidRPr="009E1B38">
        <w:rPr>
          <w:rFonts w:ascii="Times New Roman" w:hAnsi="Times New Roman"/>
        </w:rPr>
        <w:t>. In this context; Provided that a letter of conformity is obtained from our Authority, the domestic supply of petroleum products other than fuel can be made by industrialists, and imports from abroad can be made directly by industrialists or by importers on behalf of industrialists. Within the scope of the Communiqué, 1.115 Certificates of Conformity were issued in 2021.</w:t>
      </w:r>
      <w:bookmarkEnd w:id="132"/>
    </w:p>
    <w:p w14:paraId="7D4A8139" w14:textId="375E6508" w:rsidR="00CB5826" w:rsidRPr="009E1B38" w:rsidRDefault="00CB5826" w:rsidP="00CB5826">
      <w:pPr>
        <w:spacing w:after="240"/>
        <w:rPr>
          <w:rFonts w:ascii="Times New Roman" w:hAnsi="Times New Roman"/>
        </w:rPr>
      </w:pPr>
      <w:r w:rsidRPr="009E1B38">
        <w:rPr>
          <w:rFonts w:ascii="Times New Roman" w:hAnsi="Times New Roman"/>
        </w:rPr>
        <w:t>.</w:t>
      </w:r>
    </w:p>
    <w:p w14:paraId="7D4A813A" w14:textId="2286ED23" w:rsidR="004E03B6" w:rsidRPr="009E1B38" w:rsidRDefault="00C221F2" w:rsidP="007F5946">
      <w:pPr>
        <w:pStyle w:val="Balk3"/>
        <w:rPr>
          <w:rFonts w:ascii="Times New Roman" w:hAnsi="Times New Roman" w:cs="Times New Roman"/>
          <w:sz w:val="24"/>
          <w:szCs w:val="24"/>
        </w:rPr>
      </w:pPr>
      <w:bookmarkStart w:id="133" w:name="_Toc113615341"/>
      <w:r w:rsidRPr="009E1B38">
        <w:rPr>
          <w:rFonts w:ascii="Times New Roman" w:hAnsi="Times New Roman" w:cs="Times New Roman"/>
          <w:color w:val="auto"/>
          <w:sz w:val="24"/>
          <w:szCs w:val="24"/>
        </w:rPr>
        <w:t>3</w:t>
      </w:r>
      <w:r w:rsidR="004E03B6" w:rsidRPr="009E1B38">
        <w:rPr>
          <w:rFonts w:ascii="Times New Roman" w:hAnsi="Times New Roman" w:cs="Times New Roman"/>
          <w:color w:val="auto"/>
          <w:sz w:val="24"/>
          <w:szCs w:val="24"/>
        </w:rPr>
        <w:t>.3.</w:t>
      </w:r>
      <w:r w:rsidR="00C809B6" w:rsidRPr="009E1B38">
        <w:rPr>
          <w:rFonts w:ascii="Times New Roman" w:hAnsi="Times New Roman" w:cs="Times New Roman"/>
          <w:color w:val="auto"/>
          <w:sz w:val="24"/>
          <w:szCs w:val="24"/>
        </w:rPr>
        <w:t>2</w:t>
      </w:r>
      <w:r w:rsidR="004E03B6" w:rsidRPr="009E1B38">
        <w:rPr>
          <w:rFonts w:ascii="Times New Roman" w:hAnsi="Times New Roman" w:cs="Times New Roman"/>
          <w:color w:val="auto"/>
          <w:sz w:val="24"/>
          <w:szCs w:val="24"/>
        </w:rPr>
        <w:t xml:space="preserve">. </w:t>
      </w:r>
      <w:r w:rsidR="00235A3E" w:rsidRPr="009E1B38">
        <w:rPr>
          <w:rFonts w:ascii="Times New Roman" w:hAnsi="Times New Roman" w:cs="Times New Roman"/>
          <w:sz w:val="24"/>
          <w:szCs w:val="24"/>
        </w:rPr>
        <w:t>Automation Studies for Licensees</w:t>
      </w:r>
      <w:bookmarkEnd w:id="133"/>
    </w:p>
    <w:p w14:paraId="7D4A813B" w14:textId="26880750" w:rsidR="004E03B6" w:rsidRPr="009E1B38" w:rsidRDefault="00C221F2" w:rsidP="00F435AE">
      <w:pPr>
        <w:pStyle w:val="Balk4"/>
        <w:spacing w:after="240"/>
        <w:rPr>
          <w:rFonts w:cs="Times New Roman"/>
          <w:i w:val="0"/>
          <w:sz w:val="24"/>
          <w:szCs w:val="24"/>
        </w:rPr>
      </w:pPr>
      <w:bookmarkStart w:id="134" w:name="_Toc113615342"/>
      <w:r w:rsidRPr="009E1B38">
        <w:rPr>
          <w:rFonts w:cs="Times New Roman"/>
          <w:i w:val="0"/>
          <w:iCs w:val="0"/>
          <w:sz w:val="24"/>
          <w:szCs w:val="24"/>
        </w:rPr>
        <w:t>3</w:t>
      </w:r>
      <w:r w:rsidR="004E03B6" w:rsidRPr="009E1B38">
        <w:rPr>
          <w:rFonts w:cs="Times New Roman"/>
          <w:i w:val="0"/>
          <w:sz w:val="24"/>
          <w:szCs w:val="24"/>
        </w:rPr>
        <w:t xml:space="preserve">.3.2.1. </w:t>
      </w:r>
      <w:r w:rsidR="00235A3E" w:rsidRPr="009E1B38">
        <w:rPr>
          <w:rFonts w:cs="Times New Roman"/>
          <w:i w:val="0"/>
          <w:sz w:val="24"/>
          <w:szCs w:val="24"/>
        </w:rPr>
        <w:t>National</w:t>
      </w:r>
      <w:r w:rsidR="004E03B6" w:rsidRPr="009E1B38">
        <w:rPr>
          <w:rFonts w:cs="Times New Roman"/>
          <w:i w:val="0"/>
          <w:sz w:val="24"/>
          <w:szCs w:val="24"/>
        </w:rPr>
        <w:t xml:space="preserve"> Marker</w:t>
      </w:r>
      <w:bookmarkEnd w:id="134"/>
    </w:p>
    <w:p w14:paraId="3E9C8CD6" w14:textId="77777777" w:rsidR="00D92888" w:rsidRPr="009E1B38" w:rsidRDefault="00D92888" w:rsidP="00D92888">
      <w:pPr>
        <w:rPr>
          <w:rFonts w:ascii="Times New Roman" w:hAnsi="Times New Roman"/>
        </w:rPr>
      </w:pPr>
      <w:r w:rsidRPr="009E1B38">
        <w:rPr>
          <w:rFonts w:ascii="Times New Roman" w:hAnsi="Times New Roman"/>
        </w:rPr>
        <w:t xml:space="preserve">In order to determine whether the liquid fuel circulating in the petroleum market of our country enters the market through legal means and to prevent illegal and non-standard product sales, UM implementation started </w:t>
      </w:r>
      <w:r w:rsidRPr="009E1B38">
        <w:rPr>
          <w:rFonts w:ascii="Times New Roman" w:hAnsi="Times New Roman"/>
        </w:rPr>
        <w:lastRenderedPageBreak/>
        <w:t>on 01.01.2007 in accordance with Article 18 of the Petroleum Market Law No. 5015 and the Regulation on the İmplementation of National Markers in the Petroleum Market.</w:t>
      </w:r>
    </w:p>
    <w:p w14:paraId="16D3CA0F" w14:textId="1AD025A4" w:rsidR="00D92888" w:rsidRPr="009E1B38" w:rsidRDefault="00D92888" w:rsidP="00D92888">
      <w:pPr>
        <w:rPr>
          <w:rFonts w:ascii="Times New Roman" w:hAnsi="Times New Roman"/>
        </w:rPr>
      </w:pPr>
      <w:r w:rsidRPr="009E1B38">
        <w:rPr>
          <w:rFonts w:ascii="Times New Roman" w:hAnsi="Times New Roman"/>
        </w:rPr>
        <w:t>Within the scope of the application, the amount of fuel delivered to the relevant license holders in 202</w:t>
      </w:r>
      <w:r w:rsidR="00F96A7C" w:rsidRPr="009E1B38">
        <w:rPr>
          <w:rFonts w:ascii="Times New Roman" w:hAnsi="Times New Roman"/>
        </w:rPr>
        <w:t>1</w:t>
      </w:r>
      <w:r w:rsidRPr="009E1B38">
        <w:rPr>
          <w:rFonts w:ascii="Times New Roman" w:hAnsi="Times New Roman"/>
        </w:rPr>
        <w:t xml:space="preserve"> and marked with UM is given in the table below on yearly basis.</w:t>
      </w:r>
    </w:p>
    <w:p w14:paraId="7D4A813F" w14:textId="693F6B92" w:rsidR="004E03B6" w:rsidRPr="009E1B38" w:rsidRDefault="0082470D" w:rsidP="004E03B6">
      <w:pPr>
        <w:pStyle w:val="Balk5"/>
        <w:jc w:val="center"/>
        <w:rPr>
          <w:rStyle w:val="Gl"/>
          <w:rFonts w:ascii="Times New Roman" w:hAnsi="Times New Roman" w:cs="Times New Roman"/>
        </w:rPr>
      </w:pPr>
      <w:bookmarkStart w:id="135" w:name="_Toc107499505"/>
      <w:r w:rsidRPr="009E1B38">
        <w:rPr>
          <w:rStyle w:val="Gl"/>
          <w:rFonts w:ascii="Times New Roman" w:hAnsi="Times New Roman" w:cs="Times New Roman"/>
        </w:rPr>
        <w:t>Table</w:t>
      </w:r>
      <w:r w:rsidR="004E03B6" w:rsidRPr="009E1B38">
        <w:rPr>
          <w:rStyle w:val="Gl"/>
          <w:rFonts w:ascii="Times New Roman" w:hAnsi="Times New Roman" w:cs="Times New Roman"/>
        </w:rPr>
        <w:t xml:space="preserve"> 3.9: </w:t>
      </w:r>
      <w:r w:rsidR="004E144C" w:rsidRPr="009E1B38">
        <w:rPr>
          <w:rStyle w:val="Gl"/>
          <w:rFonts w:ascii="Times New Roman" w:hAnsi="Times New Roman" w:cs="Times New Roman"/>
        </w:rPr>
        <w:t>National Marker and Marked Fuel Quantities Used by Years</w:t>
      </w:r>
      <w:bookmarkEnd w:id="135"/>
    </w:p>
    <w:tbl>
      <w:tblPr>
        <w:tblW w:w="5000" w:type="pct"/>
        <w:tblCellMar>
          <w:left w:w="70" w:type="dxa"/>
          <w:right w:w="70" w:type="dxa"/>
        </w:tblCellMar>
        <w:tblLook w:val="04A0" w:firstRow="1" w:lastRow="0" w:firstColumn="1" w:lastColumn="0" w:noHBand="0" w:noVBand="1"/>
      </w:tblPr>
      <w:tblGrid>
        <w:gridCol w:w="1721"/>
        <w:gridCol w:w="1001"/>
        <w:gridCol w:w="1139"/>
        <w:gridCol w:w="1139"/>
        <w:gridCol w:w="1234"/>
        <w:gridCol w:w="1329"/>
        <w:gridCol w:w="1170"/>
        <w:gridCol w:w="1329"/>
      </w:tblGrid>
      <w:tr w:rsidR="00E63E7E" w:rsidRPr="009E1B38" w14:paraId="7D4A8148" w14:textId="77777777" w:rsidTr="000E5E13">
        <w:trPr>
          <w:trHeight w:val="20"/>
          <w:tblHeader/>
        </w:trPr>
        <w:tc>
          <w:tcPr>
            <w:tcW w:w="856"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7D4A8140" w14:textId="0C38876D" w:rsidR="005D0429" w:rsidRPr="009E1B38" w:rsidRDefault="004F6F0D" w:rsidP="005D0429">
            <w:pPr>
              <w:spacing w:after="0" w:line="240" w:lineRule="auto"/>
              <w:jc w:val="center"/>
              <w:rPr>
                <w:rFonts w:ascii="Times New Roman" w:eastAsia="Times New Roman" w:hAnsi="Times New Roman"/>
                <w:b/>
                <w:color w:val="FFFFFF"/>
                <w:szCs w:val="20"/>
                <w:lang w:eastAsia="tr-TR"/>
              </w:rPr>
            </w:pPr>
            <w:r w:rsidRPr="009E1B38">
              <w:rPr>
                <w:rFonts w:ascii="Times New Roman" w:eastAsia="Times New Roman" w:hAnsi="Times New Roman"/>
                <w:b/>
                <w:color w:val="FFFFFF"/>
                <w:lang w:eastAsia="tr-TR"/>
              </w:rPr>
              <w:t>Ye</w:t>
            </w:r>
            <w:r w:rsidRPr="009E1B38">
              <w:rPr>
                <w:rFonts w:ascii="Times New Roman" w:eastAsia="Times New Roman" w:hAnsi="Times New Roman"/>
                <w:color w:val="FFFFFF"/>
                <w:lang w:eastAsia="tr-TR"/>
              </w:rPr>
              <w:t>ars</w:t>
            </w:r>
          </w:p>
        </w:tc>
        <w:tc>
          <w:tcPr>
            <w:tcW w:w="492" w:type="pct"/>
            <w:tcBorders>
              <w:top w:val="single" w:sz="8" w:space="0" w:color="D9D9D9"/>
              <w:left w:val="nil"/>
              <w:bottom w:val="single" w:sz="8" w:space="0" w:color="D9D9D9"/>
              <w:right w:val="single" w:sz="8" w:space="0" w:color="D9D9D9"/>
            </w:tcBorders>
            <w:shd w:val="clear" w:color="000000" w:fill="6E9ECA"/>
            <w:vAlign w:val="center"/>
            <w:hideMark/>
          </w:tcPr>
          <w:p w14:paraId="7D4A8141" w14:textId="51244CE4" w:rsidR="005D0429" w:rsidRPr="009E1B38" w:rsidRDefault="004F6F0D" w:rsidP="005D0429">
            <w:pPr>
              <w:spacing w:after="0" w:line="240" w:lineRule="auto"/>
              <w:jc w:val="center"/>
              <w:rPr>
                <w:rFonts w:ascii="Times New Roman" w:eastAsia="Times New Roman" w:hAnsi="Times New Roman"/>
                <w:b/>
                <w:color w:val="FFFFFF"/>
                <w:szCs w:val="20"/>
                <w:lang w:eastAsia="tr-TR"/>
              </w:rPr>
            </w:pPr>
            <w:r w:rsidRPr="009E1B38">
              <w:rPr>
                <w:rFonts w:ascii="Times New Roman" w:eastAsia="Times New Roman" w:hAnsi="Times New Roman"/>
                <w:b/>
                <w:color w:val="FFFFFF"/>
                <w:lang w:eastAsia="tr-TR"/>
              </w:rPr>
              <w:t>License Type</w:t>
            </w:r>
          </w:p>
        </w:tc>
        <w:tc>
          <w:tcPr>
            <w:tcW w:w="567" w:type="pct"/>
            <w:tcBorders>
              <w:top w:val="single" w:sz="8" w:space="0" w:color="D9D9D9"/>
              <w:left w:val="nil"/>
              <w:bottom w:val="single" w:sz="8" w:space="0" w:color="D9D9D9"/>
              <w:right w:val="single" w:sz="8" w:space="0" w:color="D9D9D9"/>
            </w:tcBorders>
            <w:shd w:val="clear" w:color="000000" w:fill="6E9ECA"/>
            <w:vAlign w:val="center"/>
            <w:hideMark/>
          </w:tcPr>
          <w:p w14:paraId="7D4A8142" w14:textId="2ED86A7B" w:rsidR="005D0429" w:rsidRPr="009E1B38" w:rsidRDefault="004F6F0D" w:rsidP="005030E7">
            <w:pPr>
              <w:spacing w:after="0" w:line="240" w:lineRule="auto"/>
              <w:jc w:val="center"/>
              <w:rPr>
                <w:rFonts w:ascii="Times New Roman" w:eastAsia="Times New Roman" w:hAnsi="Times New Roman"/>
                <w:b/>
                <w:color w:val="FFFFFF"/>
                <w:szCs w:val="20"/>
                <w:lang w:eastAsia="tr-TR"/>
              </w:rPr>
            </w:pPr>
            <w:r w:rsidRPr="009E1B38">
              <w:rPr>
                <w:rFonts w:ascii="Times New Roman" w:eastAsia="Times New Roman" w:hAnsi="Times New Roman"/>
                <w:b/>
                <w:color w:val="FFFFFF"/>
                <w:lang w:eastAsia="tr-TR"/>
              </w:rPr>
              <w:t>UM Quantity Delivered (lt)</w:t>
            </w:r>
          </w:p>
        </w:tc>
        <w:tc>
          <w:tcPr>
            <w:tcW w:w="567" w:type="pct"/>
            <w:tcBorders>
              <w:top w:val="single" w:sz="8" w:space="0" w:color="D9D9D9"/>
              <w:left w:val="nil"/>
              <w:bottom w:val="single" w:sz="8" w:space="0" w:color="D9D9D9"/>
              <w:right w:val="single" w:sz="8" w:space="0" w:color="D9D9D9"/>
            </w:tcBorders>
            <w:shd w:val="clear" w:color="000000" w:fill="6E9ECA"/>
            <w:vAlign w:val="center"/>
            <w:hideMark/>
          </w:tcPr>
          <w:p w14:paraId="7D4A8143" w14:textId="3A89F453" w:rsidR="005D0429" w:rsidRPr="009E1B38" w:rsidRDefault="004F6F0D" w:rsidP="005030E7">
            <w:pPr>
              <w:spacing w:after="0" w:line="240" w:lineRule="auto"/>
              <w:jc w:val="center"/>
              <w:rPr>
                <w:rFonts w:ascii="Times New Roman" w:eastAsia="Times New Roman" w:hAnsi="Times New Roman"/>
                <w:b/>
                <w:color w:val="FFFFFF"/>
                <w:szCs w:val="20"/>
                <w:lang w:eastAsia="tr-TR"/>
              </w:rPr>
            </w:pPr>
            <w:r w:rsidRPr="009E1B38">
              <w:rPr>
                <w:rFonts w:ascii="Times New Roman" w:eastAsia="Times New Roman" w:hAnsi="Times New Roman"/>
                <w:b/>
                <w:color w:val="FFFFFF"/>
                <w:lang w:eastAsia="tr-TR"/>
              </w:rPr>
              <w:t>Amount of UM Used (lt)</w:t>
            </w:r>
          </w:p>
        </w:tc>
        <w:tc>
          <w:tcPr>
            <w:tcW w:w="614" w:type="pct"/>
            <w:tcBorders>
              <w:top w:val="single" w:sz="8" w:space="0" w:color="D9D9D9"/>
              <w:left w:val="nil"/>
              <w:bottom w:val="single" w:sz="8" w:space="0" w:color="D9D9D9"/>
              <w:right w:val="single" w:sz="8" w:space="0" w:color="D9D9D9"/>
            </w:tcBorders>
            <w:shd w:val="clear" w:color="000000" w:fill="6E9ECA"/>
            <w:vAlign w:val="center"/>
            <w:hideMark/>
          </w:tcPr>
          <w:p w14:paraId="7D4A8144" w14:textId="0CDE5B48" w:rsidR="005D0429" w:rsidRPr="009E1B38" w:rsidRDefault="004F6F0D" w:rsidP="005D0429">
            <w:pPr>
              <w:spacing w:after="0" w:line="240" w:lineRule="auto"/>
              <w:jc w:val="center"/>
              <w:rPr>
                <w:rFonts w:ascii="Times New Roman" w:eastAsia="Times New Roman" w:hAnsi="Times New Roman"/>
                <w:b/>
                <w:color w:val="FFFFFF"/>
                <w:szCs w:val="20"/>
                <w:lang w:eastAsia="tr-TR"/>
              </w:rPr>
            </w:pPr>
            <w:r w:rsidRPr="009E1B38">
              <w:rPr>
                <w:rFonts w:ascii="Times New Roman" w:eastAsia="Times New Roman" w:hAnsi="Times New Roman"/>
                <w:b/>
                <w:color w:val="FFFFFF"/>
                <w:lang w:eastAsia="tr-TR"/>
              </w:rPr>
              <w:t>Marked Gasoline Amount (m³)</w:t>
            </w:r>
          </w:p>
        </w:tc>
        <w:tc>
          <w:tcPr>
            <w:tcW w:w="661" w:type="pct"/>
            <w:tcBorders>
              <w:top w:val="single" w:sz="8" w:space="0" w:color="D9D9D9"/>
              <w:left w:val="nil"/>
              <w:bottom w:val="single" w:sz="8" w:space="0" w:color="D9D9D9"/>
              <w:right w:val="single" w:sz="8" w:space="0" w:color="D9D9D9"/>
            </w:tcBorders>
            <w:shd w:val="clear" w:color="000000" w:fill="6E9ECA"/>
            <w:vAlign w:val="center"/>
            <w:hideMark/>
          </w:tcPr>
          <w:p w14:paraId="7D4A8145" w14:textId="1719FEDF" w:rsidR="005D0429" w:rsidRPr="009E1B38" w:rsidRDefault="004F6F0D" w:rsidP="005D0429">
            <w:pPr>
              <w:spacing w:after="0" w:line="240" w:lineRule="auto"/>
              <w:jc w:val="center"/>
              <w:rPr>
                <w:rFonts w:ascii="Times New Roman" w:eastAsia="Times New Roman" w:hAnsi="Times New Roman"/>
                <w:b/>
                <w:color w:val="FFFFFF"/>
                <w:szCs w:val="20"/>
                <w:lang w:eastAsia="tr-TR"/>
              </w:rPr>
            </w:pPr>
            <w:r w:rsidRPr="009E1B38">
              <w:rPr>
                <w:rFonts w:ascii="Times New Roman" w:eastAsia="Times New Roman" w:hAnsi="Times New Roman"/>
                <w:b/>
                <w:color w:val="FFFFFF"/>
                <w:lang w:eastAsia="tr-TR"/>
              </w:rPr>
              <w:t>Marked Diesel Amount (m³)</w:t>
            </w:r>
          </w:p>
        </w:tc>
        <w:tc>
          <w:tcPr>
            <w:tcW w:w="582" w:type="pct"/>
            <w:tcBorders>
              <w:top w:val="single" w:sz="8" w:space="0" w:color="D9D9D9"/>
              <w:left w:val="nil"/>
              <w:bottom w:val="single" w:sz="8" w:space="0" w:color="D9D9D9"/>
              <w:right w:val="single" w:sz="8" w:space="0" w:color="D9D9D9"/>
            </w:tcBorders>
            <w:shd w:val="clear" w:color="000000" w:fill="6E9ECA"/>
            <w:vAlign w:val="center"/>
            <w:hideMark/>
          </w:tcPr>
          <w:p w14:paraId="7D4A8146" w14:textId="2C9B7A8B" w:rsidR="005D0429" w:rsidRPr="009E1B38" w:rsidRDefault="004F6F0D" w:rsidP="005D0429">
            <w:pPr>
              <w:spacing w:after="0" w:line="240" w:lineRule="auto"/>
              <w:jc w:val="center"/>
              <w:rPr>
                <w:rFonts w:ascii="Times New Roman" w:eastAsia="Times New Roman" w:hAnsi="Times New Roman"/>
                <w:b/>
                <w:color w:val="FFFFFF"/>
                <w:szCs w:val="20"/>
                <w:lang w:eastAsia="tr-TR"/>
              </w:rPr>
            </w:pPr>
            <w:r w:rsidRPr="009E1B38">
              <w:rPr>
                <w:rFonts w:ascii="Times New Roman" w:eastAsia="Times New Roman" w:hAnsi="Times New Roman"/>
                <w:b/>
                <w:color w:val="FFFFFF"/>
                <w:lang w:eastAsia="tr-TR"/>
              </w:rPr>
              <w:t>Marked Biodiesel/ Ethanol-Kerosene Amount (m³)</w:t>
            </w:r>
          </w:p>
        </w:tc>
        <w:tc>
          <w:tcPr>
            <w:tcW w:w="661" w:type="pct"/>
            <w:tcBorders>
              <w:top w:val="single" w:sz="8" w:space="0" w:color="D9D9D9"/>
              <w:left w:val="nil"/>
              <w:bottom w:val="single" w:sz="8" w:space="0" w:color="D9D9D9"/>
              <w:right w:val="single" w:sz="8" w:space="0" w:color="D9D9D9"/>
            </w:tcBorders>
            <w:shd w:val="clear" w:color="000000" w:fill="6E9ECA"/>
            <w:vAlign w:val="center"/>
            <w:hideMark/>
          </w:tcPr>
          <w:p w14:paraId="7D4A8147" w14:textId="4B2C3677" w:rsidR="005D0429" w:rsidRPr="009E1B38" w:rsidRDefault="004F6F0D" w:rsidP="005D0429">
            <w:pPr>
              <w:spacing w:after="0" w:line="240" w:lineRule="auto"/>
              <w:jc w:val="center"/>
              <w:rPr>
                <w:rFonts w:ascii="Times New Roman" w:eastAsia="Times New Roman" w:hAnsi="Times New Roman"/>
                <w:b/>
                <w:color w:val="FFFFFF"/>
                <w:szCs w:val="20"/>
                <w:lang w:eastAsia="tr-TR"/>
              </w:rPr>
            </w:pPr>
            <w:r w:rsidRPr="009E1B38">
              <w:rPr>
                <w:rFonts w:ascii="Times New Roman" w:eastAsia="Times New Roman" w:hAnsi="Times New Roman"/>
                <w:b/>
                <w:color w:val="FFFFFF"/>
                <w:lang w:eastAsia="tr-TR"/>
              </w:rPr>
              <w:t>Total Marked Fuel Amount (m³)</w:t>
            </w:r>
          </w:p>
        </w:tc>
      </w:tr>
      <w:tr w:rsidR="005D0429" w:rsidRPr="009E1B38" w14:paraId="7D4A8151"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149"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2007</w:t>
            </w:r>
          </w:p>
        </w:tc>
        <w:tc>
          <w:tcPr>
            <w:tcW w:w="492" w:type="pct"/>
            <w:tcBorders>
              <w:top w:val="nil"/>
              <w:left w:val="nil"/>
              <w:bottom w:val="single" w:sz="8" w:space="0" w:color="D9D9D9"/>
              <w:right w:val="single" w:sz="8" w:space="0" w:color="D9D9D9"/>
            </w:tcBorders>
            <w:shd w:val="clear" w:color="auto" w:fill="auto"/>
            <w:hideMark/>
          </w:tcPr>
          <w:p w14:paraId="7D4A814A" w14:textId="312C454C"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14B"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105.502,64</w:t>
            </w:r>
          </w:p>
        </w:tc>
        <w:tc>
          <w:tcPr>
            <w:tcW w:w="567" w:type="pct"/>
            <w:tcBorders>
              <w:top w:val="nil"/>
              <w:left w:val="nil"/>
              <w:bottom w:val="single" w:sz="8" w:space="0" w:color="D9D9D9"/>
              <w:right w:val="single" w:sz="8" w:space="0" w:color="D9D9D9"/>
            </w:tcBorders>
            <w:shd w:val="clear" w:color="auto" w:fill="auto"/>
            <w:vAlign w:val="center"/>
            <w:hideMark/>
          </w:tcPr>
          <w:p w14:paraId="7D4A814C"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100.936,65</w:t>
            </w:r>
          </w:p>
        </w:tc>
        <w:tc>
          <w:tcPr>
            <w:tcW w:w="614" w:type="pct"/>
            <w:tcBorders>
              <w:top w:val="nil"/>
              <w:left w:val="nil"/>
              <w:bottom w:val="single" w:sz="8" w:space="0" w:color="D9D9D9"/>
              <w:right w:val="single" w:sz="8" w:space="0" w:color="D9D9D9"/>
            </w:tcBorders>
            <w:shd w:val="clear" w:color="auto" w:fill="auto"/>
            <w:vAlign w:val="center"/>
            <w:hideMark/>
          </w:tcPr>
          <w:p w14:paraId="7D4A814D"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2.550.960,00</w:t>
            </w:r>
          </w:p>
        </w:tc>
        <w:tc>
          <w:tcPr>
            <w:tcW w:w="661" w:type="pct"/>
            <w:tcBorders>
              <w:top w:val="nil"/>
              <w:left w:val="nil"/>
              <w:bottom w:val="single" w:sz="8" w:space="0" w:color="D9D9D9"/>
              <w:right w:val="single" w:sz="8" w:space="0" w:color="D9D9D9"/>
            </w:tcBorders>
            <w:shd w:val="clear" w:color="auto" w:fill="auto"/>
            <w:vAlign w:val="center"/>
            <w:hideMark/>
          </w:tcPr>
          <w:p w14:paraId="7D4A814E"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9.813.110,00</w:t>
            </w:r>
          </w:p>
        </w:tc>
        <w:tc>
          <w:tcPr>
            <w:tcW w:w="582" w:type="pct"/>
            <w:tcBorders>
              <w:top w:val="nil"/>
              <w:left w:val="nil"/>
              <w:bottom w:val="single" w:sz="8" w:space="0" w:color="D9D9D9"/>
              <w:right w:val="single" w:sz="8" w:space="0" w:color="D9D9D9"/>
            </w:tcBorders>
            <w:shd w:val="clear" w:color="auto" w:fill="auto"/>
            <w:vAlign w:val="center"/>
            <w:hideMark/>
          </w:tcPr>
          <w:p w14:paraId="7D4A814F"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0,00</w:t>
            </w:r>
          </w:p>
        </w:tc>
        <w:tc>
          <w:tcPr>
            <w:tcW w:w="661" w:type="pct"/>
            <w:tcBorders>
              <w:top w:val="nil"/>
              <w:left w:val="nil"/>
              <w:bottom w:val="single" w:sz="8" w:space="0" w:color="D9D9D9"/>
              <w:right w:val="single" w:sz="8" w:space="0" w:color="D9D9D9"/>
            </w:tcBorders>
            <w:shd w:val="clear" w:color="auto" w:fill="auto"/>
            <w:vAlign w:val="center"/>
            <w:hideMark/>
          </w:tcPr>
          <w:p w14:paraId="7D4A8150"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12.364.070,00</w:t>
            </w:r>
          </w:p>
        </w:tc>
      </w:tr>
      <w:tr w:rsidR="005D0429" w:rsidRPr="009E1B38" w14:paraId="7D4A815A"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52"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53" w14:textId="50F28BDB"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154"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63.270,89</w:t>
            </w:r>
          </w:p>
        </w:tc>
        <w:tc>
          <w:tcPr>
            <w:tcW w:w="567" w:type="pct"/>
            <w:tcBorders>
              <w:top w:val="nil"/>
              <w:left w:val="nil"/>
              <w:bottom w:val="single" w:sz="8" w:space="0" w:color="D9D9D9"/>
              <w:right w:val="single" w:sz="8" w:space="0" w:color="D9D9D9"/>
            </w:tcBorders>
            <w:shd w:val="clear" w:color="auto" w:fill="auto"/>
            <w:vAlign w:val="center"/>
            <w:hideMark/>
          </w:tcPr>
          <w:p w14:paraId="7D4A8155"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56.522,89</w:t>
            </w:r>
          </w:p>
        </w:tc>
        <w:tc>
          <w:tcPr>
            <w:tcW w:w="614" w:type="pct"/>
            <w:tcBorders>
              <w:top w:val="nil"/>
              <w:left w:val="nil"/>
              <w:bottom w:val="single" w:sz="8" w:space="0" w:color="D9D9D9"/>
              <w:right w:val="single" w:sz="8" w:space="0" w:color="D9D9D9"/>
            </w:tcBorders>
            <w:shd w:val="clear" w:color="auto" w:fill="auto"/>
            <w:vAlign w:val="center"/>
            <w:hideMark/>
          </w:tcPr>
          <w:p w14:paraId="7D4A8156"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751.636,00</w:t>
            </w:r>
          </w:p>
        </w:tc>
        <w:tc>
          <w:tcPr>
            <w:tcW w:w="661" w:type="pct"/>
            <w:tcBorders>
              <w:top w:val="nil"/>
              <w:left w:val="nil"/>
              <w:bottom w:val="single" w:sz="8" w:space="0" w:color="D9D9D9"/>
              <w:right w:val="single" w:sz="8" w:space="0" w:color="D9D9D9"/>
            </w:tcBorders>
            <w:shd w:val="clear" w:color="auto" w:fill="auto"/>
            <w:vAlign w:val="center"/>
            <w:hideMark/>
          </w:tcPr>
          <w:p w14:paraId="7D4A8157"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6.247.129,00</w:t>
            </w:r>
          </w:p>
        </w:tc>
        <w:tc>
          <w:tcPr>
            <w:tcW w:w="582" w:type="pct"/>
            <w:tcBorders>
              <w:top w:val="nil"/>
              <w:left w:val="nil"/>
              <w:bottom w:val="single" w:sz="8" w:space="0" w:color="D9D9D9"/>
              <w:right w:val="single" w:sz="8" w:space="0" w:color="D9D9D9"/>
            </w:tcBorders>
            <w:shd w:val="clear" w:color="auto" w:fill="auto"/>
            <w:vAlign w:val="center"/>
            <w:hideMark/>
          </w:tcPr>
          <w:p w14:paraId="7D4A8158"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26.719,00</w:t>
            </w:r>
          </w:p>
        </w:tc>
        <w:tc>
          <w:tcPr>
            <w:tcW w:w="661" w:type="pct"/>
            <w:tcBorders>
              <w:top w:val="nil"/>
              <w:left w:val="nil"/>
              <w:bottom w:val="single" w:sz="8" w:space="0" w:color="D9D9D9"/>
              <w:right w:val="single" w:sz="8" w:space="0" w:color="D9D9D9"/>
            </w:tcBorders>
            <w:shd w:val="clear" w:color="auto" w:fill="auto"/>
            <w:vAlign w:val="center"/>
            <w:hideMark/>
          </w:tcPr>
          <w:p w14:paraId="7D4A8159"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7.025.484,00</w:t>
            </w:r>
          </w:p>
        </w:tc>
      </w:tr>
      <w:tr w:rsidR="005D0429" w:rsidRPr="009E1B38" w14:paraId="7D4A8163"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5B"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5C" w14:textId="15F83EAB"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15D"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168.773,53</w:t>
            </w:r>
          </w:p>
        </w:tc>
        <w:tc>
          <w:tcPr>
            <w:tcW w:w="567" w:type="pct"/>
            <w:tcBorders>
              <w:top w:val="nil"/>
              <w:left w:val="nil"/>
              <w:bottom w:val="single" w:sz="8" w:space="0" w:color="D9D9D9"/>
              <w:right w:val="single" w:sz="8" w:space="0" w:color="D9D9D9"/>
            </w:tcBorders>
            <w:shd w:val="clear" w:color="auto" w:fill="auto"/>
            <w:vAlign w:val="center"/>
            <w:hideMark/>
          </w:tcPr>
          <w:p w14:paraId="7D4A815E"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157.459,54</w:t>
            </w:r>
          </w:p>
        </w:tc>
        <w:tc>
          <w:tcPr>
            <w:tcW w:w="614" w:type="pct"/>
            <w:tcBorders>
              <w:top w:val="nil"/>
              <w:left w:val="nil"/>
              <w:bottom w:val="single" w:sz="8" w:space="0" w:color="D9D9D9"/>
              <w:right w:val="single" w:sz="8" w:space="0" w:color="D9D9D9"/>
            </w:tcBorders>
            <w:shd w:val="clear" w:color="auto" w:fill="auto"/>
            <w:vAlign w:val="center"/>
            <w:hideMark/>
          </w:tcPr>
          <w:p w14:paraId="7D4A815F"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3.302.596,00</w:t>
            </w:r>
          </w:p>
        </w:tc>
        <w:tc>
          <w:tcPr>
            <w:tcW w:w="661" w:type="pct"/>
            <w:tcBorders>
              <w:top w:val="nil"/>
              <w:left w:val="nil"/>
              <w:bottom w:val="single" w:sz="8" w:space="0" w:color="D9D9D9"/>
              <w:right w:val="single" w:sz="8" w:space="0" w:color="D9D9D9"/>
            </w:tcBorders>
            <w:shd w:val="clear" w:color="auto" w:fill="auto"/>
            <w:vAlign w:val="center"/>
            <w:hideMark/>
          </w:tcPr>
          <w:p w14:paraId="7D4A8160"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16.060.239,00</w:t>
            </w:r>
          </w:p>
        </w:tc>
        <w:tc>
          <w:tcPr>
            <w:tcW w:w="582" w:type="pct"/>
            <w:tcBorders>
              <w:top w:val="nil"/>
              <w:left w:val="nil"/>
              <w:bottom w:val="single" w:sz="8" w:space="0" w:color="D9D9D9"/>
              <w:right w:val="single" w:sz="8" w:space="0" w:color="D9D9D9"/>
            </w:tcBorders>
            <w:shd w:val="clear" w:color="auto" w:fill="auto"/>
            <w:vAlign w:val="center"/>
            <w:hideMark/>
          </w:tcPr>
          <w:p w14:paraId="7D4A8161"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26.719,00</w:t>
            </w:r>
          </w:p>
        </w:tc>
        <w:tc>
          <w:tcPr>
            <w:tcW w:w="661" w:type="pct"/>
            <w:tcBorders>
              <w:top w:val="nil"/>
              <w:left w:val="nil"/>
              <w:bottom w:val="single" w:sz="8" w:space="0" w:color="D9D9D9"/>
              <w:right w:val="single" w:sz="8" w:space="0" w:color="D9D9D9"/>
            </w:tcBorders>
            <w:shd w:val="clear" w:color="auto" w:fill="auto"/>
            <w:vAlign w:val="center"/>
            <w:hideMark/>
          </w:tcPr>
          <w:p w14:paraId="7D4A8162"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19.389.554,00</w:t>
            </w:r>
          </w:p>
        </w:tc>
      </w:tr>
      <w:tr w:rsidR="005D0429" w:rsidRPr="009E1B38" w14:paraId="7D4A816C"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164"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2008</w:t>
            </w:r>
          </w:p>
        </w:tc>
        <w:tc>
          <w:tcPr>
            <w:tcW w:w="492" w:type="pct"/>
            <w:tcBorders>
              <w:top w:val="nil"/>
              <w:left w:val="nil"/>
              <w:bottom w:val="single" w:sz="8" w:space="0" w:color="D9D9D9"/>
              <w:right w:val="single" w:sz="8" w:space="0" w:color="D9D9D9"/>
            </w:tcBorders>
            <w:shd w:val="clear" w:color="auto" w:fill="auto"/>
            <w:hideMark/>
          </w:tcPr>
          <w:p w14:paraId="7D4A8165" w14:textId="73830C8C"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166"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99.646,23</w:t>
            </w:r>
          </w:p>
        </w:tc>
        <w:tc>
          <w:tcPr>
            <w:tcW w:w="567" w:type="pct"/>
            <w:tcBorders>
              <w:top w:val="nil"/>
              <w:left w:val="nil"/>
              <w:bottom w:val="single" w:sz="8" w:space="0" w:color="D9D9D9"/>
              <w:right w:val="single" w:sz="8" w:space="0" w:color="D9D9D9"/>
            </w:tcBorders>
            <w:shd w:val="clear" w:color="auto" w:fill="auto"/>
            <w:vAlign w:val="center"/>
            <w:hideMark/>
          </w:tcPr>
          <w:p w14:paraId="7D4A8167"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97.632,10</w:t>
            </w:r>
          </w:p>
        </w:tc>
        <w:tc>
          <w:tcPr>
            <w:tcW w:w="614" w:type="pct"/>
            <w:tcBorders>
              <w:top w:val="nil"/>
              <w:left w:val="nil"/>
              <w:bottom w:val="single" w:sz="8" w:space="0" w:color="D9D9D9"/>
              <w:right w:val="single" w:sz="8" w:space="0" w:color="D9D9D9"/>
            </w:tcBorders>
            <w:shd w:val="clear" w:color="auto" w:fill="auto"/>
            <w:vAlign w:val="center"/>
            <w:hideMark/>
          </w:tcPr>
          <w:p w14:paraId="7D4A8168"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2.632.398,00</w:t>
            </w:r>
          </w:p>
        </w:tc>
        <w:tc>
          <w:tcPr>
            <w:tcW w:w="661" w:type="pct"/>
            <w:tcBorders>
              <w:top w:val="nil"/>
              <w:left w:val="nil"/>
              <w:bottom w:val="single" w:sz="8" w:space="0" w:color="D9D9D9"/>
              <w:right w:val="single" w:sz="8" w:space="0" w:color="D9D9D9"/>
            </w:tcBorders>
            <w:shd w:val="clear" w:color="auto" w:fill="auto"/>
            <w:vAlign w:val="center"/>
            <w:hideMark/>
          </w:tcPr>
          <w:p w14:paraId="7D4A8169"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9.527.443,00</w:t>
            </w:r>
          </w:p>
        </w:tc>
        <w:tc>
          <w:tcPr>
            <w:tcW w:w="582" w:type="pct"/>
            <w:tcBorders>
              <w:top w:val="nil"/>
              <w:left w:val="nil"/>
              <w:bottom w:val="single" w:sz="8" w:space="0" w:color="D9D9D9"/>
              <w:right w:val="single" w:sz="8" w:space="0" w:color="D9D9D9"/>
            </w:tcBorders>
            <w:shd w:val="clear" w:color="auto" w:fill="auto"/>
            <w:vAlign w:val="center"/>
            <w:hideMark/>
          </w:tcPr>
          <w:p w14:paraId="7D4A816A"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0,00</w:t>
            </w:r>
          </w:p>
        </w:tc>
        <w:tc>
          <w:tcPr>
            <w:tcW w:w="661" w:type="pct"/>
            <w:tcBorders>
              <w:top w:val="nil"/>
              <w:left w:val="nil"/>
              <w:bottom w:val="single" w:sz="8" w:space="0" w:color="D9D9D9"/>
              <w:right w:val="single" w:sz="8" w:space="0" w:color="D9D9D9"/>
            </w:tcBorders>
            <w:shd w:val="clear" w:color="auto" w:fill="auto"/>
            <w:vAlign w:val="center"/>
            <w:hideMark/>
          </w:tcPr>
          <w:p w14:paraId="7D4A816B"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12.159.841,00</w:t>
            </w:r>
          </w:p>
        </w:tc>
      </w:tr>
      <w:tr w:rsidR="005D0429" w:rsidRPr="009E1B38" w14:paraId="7D4A8175"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6D"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6E" w14:textId="677B11C8"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16F"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58.378,19</w:t>
            </w:r>
          </w:p>
        </w:tc>
        <w:tc>
          <w:tcPr>
            <w:tcW w:w="567" w:type="pct"/>
            <w:tcBorders>
              <w:top w:val="nil"/>
              <w:left w:val="nil"/>
              <w:bottom w:val="single" w:sz="8" w:space="0" w:color="D9D9D9"/>
              <w:right w:val="single" w:sz="8" w:space="0" w:color="D9D9D9"/>
            </w:tcBorders>
            <w:shd w:val="clear" w:color="auto" w:fill="auto"/>
            <w:vAlign w:val="center"/>
            <w:hideMark/>
          </w:tcPr>
          <w:p w14:paraId="7D4A8170"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58.724,41</w:t>
            </w:r>
          </w:p>
        </w:tc>
        <w:tc>
          <w:tcPr>
            <w:tcW w:w="614" w:type="pct"/>
            <w:tcBorders>
              <w:top w:val="nil"/>
              <w:left w:val="nil"/>
              <w:bottom w:val="single" w:sz="8" w:space="0" w:color="D9D9D9"/>
              <w:right w:val="single" w:sz="8" w:space="0" w:color="D9D9D9"/>
            </w:tcBorders>
            <w:shd w:val="clear" w:color="auto" w:fill="auto"/>
            <w:vAlign w:val="center"/>
            <w:hideMark/>
          </w:tcPr>
          <w:p w14:paraId="7D4A8171"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394.211,00</w:t>
            </w:r>
          </w:p>
        </w:tc>
        <w:tc>
          <w:tcPr>
            <w:tcW w:w="661" w:type="pct"/>
            <w:tcBorders>
              <w:top w:val="nil"/>
              <w:left w:val="nil"/>
              <w:bottom w:val="single" w:sz="8" w:space="0" w:color="D9D9D9"/>
              <w:right w:val="single" w:sz="8" w:space="0" w:color="D9D9D9"/>
            </w:tcBorders>
            <w:shd w:val="clear" w:color="auto" w:fill="auto"/>
            <w:vAlign w:val="center"/>
            <w:hideMark/>
          </w:tcPr>
          <w:p w14:paraId="7D4A8172"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6.843.603,00</w:t>
            </w:r>
          </w:p>
        </w:tc>
        <w:tc>
          <w:tcPr>
            <w:tcW w:w="582" w:type="pct"/>
            <w:tcBorders>
              <w:top w:val="nil"/>
              <w:left w:val="nil"/>
              <w:bottom w:val="single" w:sz="8" w:space="0" w:color="D9D9D9"/>
              <w:right w:val="single" w:sz="8" w:space="0" w:color="D9D9D9"/>
            </w:tcBorders>
            <w:shd w:val="clear" w:color="auto" w:fill="auto"/>
            <w:vAlign w:val="center"/>
            <w:hideMark/>
          </w:tcPr>
          <w:p w14:paraId="7D4A8173"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18.568,00</w:t>
            </w:r>
          </w:p>
        </w:tc>
        <w:tc>
          <w:tcPr>
            <w:tcW w:w="661" w:type="pct"/>
            <w:tcBorders>
              <w:top w:val="nil"/>
              <w:left w:val="nil"/>
              <w:bottom w:val="single" w:sz="8" w:space="0" w:color="D9D9D9"/>
              <w:right w:val="single" w:sz="8" w:space="0" w:color="D9D9D9"/>
            </w:tcBorders>
            <w:shd w:val="clear" w:color="auto" w:fill="auto"/>
            <w:vAlign w:val="center"/>
            <w:hideMark/>
          </w:tcPr>
          <w:p w14:paraId="7D4A8174"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7.256.382,00</w:t>
            </w:r>
          </w:p>
        </w:tc>
      </w:tr>
      <w:tr w:rsidR="005D0429" w:rsidRPr="009E1B38" w14:paraId="7D4A817E"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76"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77" w14:textId="220CBA06"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178"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158.024,42</w:t>
            </w:r>
          </w:p>
        </w:tc>
        <w:tc>
          <w:tcPr>
            <w:tcW w:w="567" w:type="pct"/>
            <w:tcBorders>
              <w:top w:val="nil"/>
              <w:left w:val="nil"/>
              <w:bottom w:val="single" w:sz="8" w:space="0" w:color="D9D9D9"/>
              <w:right w:val="single" w:sz="8" w:space="0" w:color="D9D9D9"/>
            </w:tcBorders>
            <w:shd w:val="clear" w:color="auto" w:fill="auto"/>
            <w:vAlign w:val="center"/>
            <w:hideMark/>
          </w:tcPr>
          <w:p w14:paraId="7D4A8179"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156.356,51</w:t>
            </w:r>
          </w:p>
        </w:tc>
        <w:tc>
          <w:tcPr>
            <w:tcW w:w="614" w:type="pct"/>
            <w:tcBorders>
              <w:top w:val="nil"/>
              <w:left w:val="nil"/>
              <w:bottom w:val="single" w:sz="8" w:space="0" w:color="D9D9D9"/>
              <w:right w:val="single" w:sz="8" w:space="0" w:color="D9D9D9"/>
            </w:tcBorders>
            <w:shd w:val="clear" w:color="auto" w:fill="auto"/>
            <w:vAlign w:val="center"/>
            <w:hideMark/>
          </w:tcPr>
          <w:p w14:paraId="7D4A817A"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3.026.609,00</w:t>
            </w:r>
          </w:p>
        </w:tc>
        <w:tc>
          <w:tcPr>
            <w:tcW w:w="661" w:type="pct"/>
            <w:tcBorders>
              <w:top w:val="nil"/>
              <w:left w:val="nil"/>
              <w:bottom w:val="single" w:sz="8" w:space="0" w:color="D9D9D9"/>
              <w:right w:val="single" w:sz="8" w:space="0" w:color="D9D9D9"/>
            </w:tcBorders>
            <w:shd w:val="clear" w:color="auto" w:fill="auto"/>
            <w:vAlign w:val="center"/>
            <w:hideMark/>
          </w:tcPr>
          <w:p w14:paraId="7D4A817B"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16.371.046,00</w:t>
            </w:r>
          </w:p>
        </w:tc>
        <w:tc>
          <w:tcPr>
            <w:tcW w:w="582" w:type="pct"/>
            <w:tcBorders>
              <w:top w:val="nil"/>
              <w:left w:val="nil"/>
              <w:bottom w:val="single" w:sz="8" w:space="0" w:color="D9D9D9"/>
              <w:right w:val="single" w:sz="8" w:space="0" w:color="D9D9D9"/>
            </w:tcBorders>
            <w:shd w:val="clear" w:color="auto" w:fill="auto"/>
            <w:vAlign w:val="center"/>
            <w:hideMark/>
          </w:tcPr>
          <w:p w14:paraId="7D4A817C"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18.568,00</w:t>
            </w:r>
          </w:p>
        </w:tc>
        <w:tc>
          <w:tcPr>
            <w:tcW w:w="661" w:type="pct"/>
            <w:tcBorders>
              <w:top w:val="nil"/>
              <w:left w:val="nil"/>
              <w:bottom w:val="single" w:sz="8" w:space="0" w:color="D9D9D9"/>
              <w:right w:val="single" w:sz="8" w:space="0" w:color="D9D9D9"/>
            </w:tcBorders>
            <w:shd w:val="clear" w:color="auto" w:fill="auto"/>
            <w:vAlign w:val="center"/>
            <w:hideMark/>
          </w:tcPr>
          <w:p w14:paraId="7D4A817D"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19.416.223,00</w:t>
            </w:r>
          </w:p>
        </w:tc>
      </w:tr>
      <w:tr w:rsidR="005D0429" w:rsidRPr="009E1B38" w14:paraId="7D4A8187"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17F"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2009</w:t>
            </w:r>
          </w:p>
        </w:tc>
        <w:tc>
          <w:tcPr>
            <w:tcW w:w="492" w:type="pct"/>
            <w:tcBorders>
              <w:top w:val="nil"/>
              <w:left w:val="nil"/>
              <w:bottom w:val="single" w:sz="8" w:space="0" w:color="D9D9D9"/>
              <w:right w:val="single" w:sz="8" w:space="0" w:color="D9D9D9"/>
            </w:tcBorders>
            <w:shd w:val="clear" w:color="auto" w:fill="auto"/>
            <w:hideMark/>
          </w:tcPr>
          <w:p w14:paraId="7D4A8180" w14:textId="5BA6977E"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181"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87.617,32</w:t>
            </w:r>
          </w:p>
        </w:tc>
        <w:tc>
          <w:tcPr>
            <w:tcW w:w="567" w:type="pct"/>
            <w:tcBorders>
              <w:top w:val="nil"/>
              <w:left w:val="nil"/>
              <w:bottom w:val="single" w:sz="8" w:space="0" w:color="D9D9D9"/>
              <w:right w:val="single" w:sz="8" w:space="0" w:color="D9D9D9"/>
            </w:tcBorders>
            <w:shd w:val="clear" w:color="auto" w:fill="auto"/>
            <w:vAlign w:val="center"/>
            <w:hideMark/>
          </w:tcPr>
          <w:p w14:paraId="7D4A8182"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88.218,87</w:t>
            </w:r>
          </w:p>
        </w:tc>
        <w:tc>
          <w:tcPr>
            <w:tcW w:w="614" w:type="pct"/>
            <w:tcBorders>
              <w:top w:val="nil"/>
              <w:left w:val="nil"/>
              <w:bottom w:val="single" w:sz="8" w:space="0" w:color="D9D9D9"/>
              <w:right w:val="single" w:sz="8" w:space="0" w:color="D9D9D9"/>
            </w:tcBorders>
            <w:shd w:val="clear" w:color="auto" w:fill="auto"/>
            <w:vAlign w:val="center"/>
            <w:hideMark/>
          </w:tcPr>
          <w:p w14:paraId="7D4A8183"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2.675.966,00</w:t>
            </w:r>
          </w:p>
        </w:tc>
        <w:tc>
          <w:tcPr>
            <w:tcW w:w="661" w:type="pct"/>
            <w:tcBorders>
              <w:top w:val="nil"/>
              <w:left w:val="nil"/>
              <w:bottom w:val="single" w:sz="8" w:space="0" w:color="D9D9D9"/>
              <w:right w:val="single" w:sz="8" w:space="0" w:color="D9D9D9"/>
            </w:tcBorders>
            <w:shd w:val="clear" w:color="auto" w:fill="auto"/>
            <w:vAlign w:val="center"/>
            <w:hideMark/>
          </w:tcPr>
          <w:p w14:paraId="7D4A8184"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8.320.760,00</w:t>
            </w:r>
          </w:p>
        </w:tc>
        <w:tc>
          <w:tcPr>
            <w:tcW w:w="582" w:type="pct"/>
            <w:tcBorders>
              <w:top w:val="nil"/>
              <w:left w:val="nil"/>
              <w:bottom w:val="single" w:sz="8" w:space="0" w:color="D9D9D9"/>
              <w:right w:val="single" w:sz="8" w:space="0" w:color="D9D9D9"/>
            </w:tcBorders>
            <w:shd w:val="clear" w:color="auto" w:fill="auto"/>
            <w:vAlign w:val="center"/>
            <w:hideMark/>
          </w:tcPr>
          <w:p w14:paraId="7D4A8185"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0,00</w:t>
            </w:r>
          </w:p>
        </w:tc>
        <w:tc>
          <w:tcPr>
            <w:tcW w:w="661" w:type="pct"/>
            <w:tcBorders>
              <w:top w:val="nil"/>
              <w:left w:val="nil"/>
              <w:bottom w:val="single" w:sz="8" w:space="0" w:color="D9D9D9"/>
              <w:right w:val="single" w:sz="8" w:space="0" w:color="D9D9D9"/>
            </w:tcBorders>
            <w:shd w:val="clear" w:color="auto" w:fill="auto"/>
            <w:vAlign w:val="center"/>
            <w:hideMark/>
          </w:tcPr>
          <w:p w14:paraId="7D4A8186"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10.996.726,00</w:t>
            </w:r>
          </w:p>
        </w:tc>
      </w:tr>
      <w:tr w:rsidR="005D0429" w:rsidRPr="009E1B38" w14:paraId="7D4A8190"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88"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89" w14:textId="4C7D5F9D"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18A"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66.726,45</w:t>
            </w:r>
          </w:p>
        </w:tc>
        <w:tc>
          <w:tcPr>
            <w:tcW w:w="567" w:type="pct"/>
            <w:tcBorders>
              <w:top w:val="nil"/>
              <w:left w:val="nil"/>
              <w:bottom w:val="single" w:sz="8" w:space="0" w:color="D9D9D9"/>
              <w:right w:val="single" w:sz="8" w:space="0" w:color="D9D9D9"/>
            </w:tcBorders>
            <w:shd w:val="clear" w:color="auto" w:fill="auto"/>
            <w:vAlign w:val="center"/>
            <w:hideMark/>
          </w:tcPr>
          <w:p w14:paraId="7D4A818B"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66.141,29</w:t>
            </w:r>
          </w:p>
        </w:tc>
        <w:tc>
          <w:tcPr>
            <w:tcW w:w="614" w:type="pct"/>
            <w:tcBorders>
              <w:top w:val="nil"/>
              <w:left w:val="nil"/>
              <w:bottom w:val="single" w:sz="8" w:space="0" w:color="D9D9D9"/>
              <w:right w:val="single" w:sz="8" w:space="0" w:color="D9D9D9"/>
            </w:tcBorders>
            <w:shd w:val="clear" w:color="auto" w:fill="auto"/>
            <w:vAlign w:val="center"/>
            <w:hideMark/>
          </w:tcPr>
          <w:p w14:paraId="7D4A818C"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276.821,00</w:t>
            </w:r>
          </w:p>
        </w:tc>
        <w:tc>
          <w:tcPr>
            <w:tcW w:w="661" w:type="pct"/>
            <w:tcBorders>
              <w:top w:val="nil"/>
              <w:left w:val="nil"/>
              <w:bottom w:val="single" w:sz="8" w:space="0" w:color="D9D9D9"/>
              <w:right w:val="single" w:sz="8" w:space="0" w:color="D9D9D9"/>
            </w:tcBorders>
            <w:shd w:val="clear" w:color="auto" w:fill="auto"/>
            <w:vAlign w:val="center"/>
            <w:hideMark/>
          </w:tcPr>
          <w:p w14:paraId="7D4A818D"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7.975.514,00</w:t>
            </w:r>
          </w:p>
        </w:tc>
        <w:tc>
          <w:tcPr>
            <w:tcW w:w="582" w:type="pct"/>
            <w:tcBorders>
              <w:top w:val="nil"/>
              <w:left w:val="nil"/>
              <w:bottom w:val="single" w:sz="8" w:space="0" w:color="D9D9D9"/>
              <w:right w:val="single" w:sz="8" w:space="0" w:color="D9D9D9"/>
            </w:tcBorders>
            <w:shd w:val="clear" w:color="auto" w:fill="auto"/>
            <w:vAlign w:val="center"/>
            <w:hideMark/>
          </w:tcPr>
          <w:p w14:paraId="7D4A818E"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12.231,00</w:t>
            </w:r>
          </w:p>
        </w:tc>
        <w:tc>
          <w:tcPr>
            <w:tcW w:w="661" w:type="pct"/>
            <w:tcBorders>
              <w:top w:val="nil"/>
              <w:left w:val="nil"/>
              <w:bottom w:val="single" w:sz="8" w:space="0" w:color="D9D9D9"/>
              <w:right w:val="single" w:sz="8" w:space="0" w:color="D9D9D9"/>
            </w:tcBorders>
            <w:shd w:val="clear" w:color="auto" w:fill="auto"/>
            <w:vAlign w:val="center"/>
            <w:hideMark/>
          </w:tcPr>
          <w:p w14:paraId="7D4A818F"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8.264.566,00</w:t>
            </w:r>
          </w:p>
        </w:tc>
      </w:tr>
      <w:tr w:rsidR="005D0429" w:rsidRPr="009E1B38" w14:paraId="7D4A8199"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91"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92" w14:textId="5D854B0B"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193"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154.343,77</w:t>
            </w:r>
          </w:p>
        </w:tc>
        <w:tc>
          <w:tcPr>
            <w:tcW w:w="567" w:type="pct"/>
            <w:tcBorders>
              <w:top w:val="nil"/>
              <w:left w:val="nil"/>
              <w:bottom w:val="single" w:sz="8" w:space="0" w:color="D9D9D9"/>
              <w:right w:val="single" w:sz="8" w:space="0" w:color="D9D9D9"/>
            </w:tcBorders>
            <w:shd w:val="clear" w:color="auto" w:fill="auto"/>
            <w:vAlign w:val="center"/>
            <w:hideMark/>
          </w:tcPr>
          <w:p w14:paraId="7D4A8194"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154.360,16</w:t>
            </w:r>
          </w:p>
        </w:tc>
        <w:tc>
          <w:tcPr>
            <w:tcW w:w="614" w:type="pct"/>
            <w:tcBorders>
              <w:top w:val="nil"/>
              <w:left w:val="nil"/>
              <w:bottom w:val="single" w:sz="8" w:space="0" w:color="D9D9D9"/>
              <w:right w:val="single" w:sz="8" w:space="0" w:color="D9D9D9"/>
            </w:tcBorders>
            <w:shd w:val="clear" w:color="auto" w:fill="auto"/>
            <w:vAlign w:val="center"/>
            <w:hideMark/>
          </w:tcPr>
          <w:p w14:paraId="7D4A8195"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2.952.787,00</w:t>
            </w:r>
          </w:p>
        </w:tc>
        <w:tc>
          <w:tcPr>
            <w:tcW w:w="661" w:type="pct"/>
            <w:tcBorders>
              <w:top w:val="nil"/>
              <w:left w:val="nil"/>
              <w:bottom w:val="single" w:sz="8" w:space="0" w:color="D9D9D9"/>
              <w:right w:val="single" w:sz="8" w:space="0" w:color="D9D9D9"/>
            </w:tcBorders>
            <w:shd w:val="clear" w:color="auto" w:fill="auto"/>
            <w:vAlign w:val="center"/>
            <w:hideMark/>
          </w:tcPr>
          <w:p w14:paraId="7D4A8196"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16.296.274,00</w:t>
            </w:r>
          </w:p>
        </w:tc>
        <w:tc>
          <w:tcPr>
            <w:tcW w:w="582" w:type="pct"/>
            <w:tcBorders>
              <w:top w:val="nil"/>
              <w:left w:val="nil"/>
              <w:bottom w:val="single" w:sz="8" w:space="0" w:color="D9D9D9"/>
              <w:right w:val="single" w:sz="8" w:space="0" w:color="D9D9D9"/>
            </w:tcBorders>
            <w:shd w:val="clear" w:color="auto" w:fill="auto"/>
            <w:vAlign w:val="center"/>
            <w:hideMark/>
          </w:tcPr>
          <w:p w14:paraId="7D4A8197"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12.231,00</w:t>
            </w:r>
          </w:p>
        </w:tc>
        <w:tc>
          <w:tcPr>
            <w:tcW w:w="661" w:type="pct"/>
            <w:tcBorders>
              <w:top w:val="nil"/>
              <w:left w:val="nil"/>
              <w:bottom w:val="single" w:sz="8" w:space="0" w:color="D9D9D9"/>
              <w:right w:val="single" w:sz="8" w:space="0" w:color="D9D9D9"/>
            </w:tcBorders>
            <w:shd w:val="clear" w:color="auto" w:fill="auto"/>
            <w:vAlign w:val="center"/>
            <w:hideMark/>
          </w:tcPr>
          <w:p w14:paraId="7D4A8198"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19.261.292,00</w:t>
            </w:r>
          </w:p>
        </w:tc>
      </w:tr>
      <w:tr w:rsidR="005D0429" w:rsidRPr="009E1B38" w14:paraId="7D4A81A2"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19A"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2010</w:t>
            </w:r>
          </w:p>
        </w:tc>
        <w:tc>
          <w:tcPr>
            <w:tcW w:w="492" w:type="pct"/>
            <w:tcBorders>
              <w:top w:val="nil"/>
              <w:left w:val="nil"/>
              <w:bottom w:val="single" w:sz="8" w:space="0" w:color="D9D9D9"/>
              <w:right w:val="single" w:sz="8" w:space="0" w:color="D9D9D9"/>
            </w:tcBorders>
            <w:shd w:val="clear" w:color="auto" w:fill="auto"/>
            <w:hideMark/>
          </w:tcPr>
          <w:p w14:paraId="7D4A819B" w14:textId="645A11F5"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19C"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79.641,87</w:t>
            </w:r>
          </w:p>
        </w:tc>
        <w:tc>
          <w:tcPr>
            <w:tcW w:w="567" w:type="pct"/>
            <w:tcBorders>
              <w:top w:val="nil"/>
              <w:left w:val="nil"/>
              <w:bottom w:val="single" w:sz="8" w:space="0" w:color="D9D9D9"/>
              <w:right w:val="single" w:sz="8" w:space="0" w:color="D9D9D9"/>
            </w:tcBorders>
            <w:shd w:val="clear" w:color="auto" w:fill="auto"/>
            <w:vAlign w:val="center"/>
            <w:hideMark/>
          </w:tcPr>
          <w:p w14:paraId="7D4A819D"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79.614,98</w:t>
            </w:r>
          </w:p>
        </w:tc>
        <w:tc>
          <w:tcPr>
            <w:tcW w:w="614" w:type="pct"/>
            <w:tcBorders>
              <w:top w:val="nil"/>
              <w:left w:val="nil"/>
              <w:bottom w:val="single" w:sz="8" w:space="0" w:color="D9D9D9"/>
              <w:right w:val="single" w:sz="8" w:space="0" w:color="D9D9D9"/>
            </w:tcBorders>
            <w:shd w:val="clear" w:color="auto" w:fill="auto"/>
            <w:vAlign w:val="center"/>
            <w:hideMark/>
          </w:tcPr>
          <w:p w14:paraId="7D4A819E"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2.380.445,00</w:t>
            </w:r>
          </w:p>
        </w:tc>
        <w:tc>
          <w:tcPr>
            <w:tcW w:w="661" w:type="pct"/>
            <w:tcBorders>
              <w:top w:val="nil"/>
              <w:left w:val="nil"/>
              <w:bottom w:val="single" w:sz="8" w:space="0" w:color="D9D9D9"/>
              <w:right w:val="single" w:sz="8" w:space="0" w:color="D9D9D9"/>
            </w:tcBorders>
            <w:shd w:val="clear" w:color="auto" w:fill="auto"/>
            <w:vAlign w:val="center"/>
            <w:hideMark/>
          </w:tcPr>
          <w:p w14:paraId="7D4A819F"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7.571.627,00</w:t>
            </w:r>
          </w:p>
        </w:tc>
        <w:tc>
          <w:tcPr>
            <w:tcW w:w="582" w:type="pct"/>
            <w:tcBorders>
              <w:top w:val="nil"/>
              <w:left w:val="nil"/>
              <w:bottom w:val="single" w:sz="8" w:space="0" w:color="D9D9D9"/>
              <w:right w:val="single" w:sz="8" w:space="0" w:color="D9D9D9"/>
            </w:tcBorders>
            <w:shd w:val="clear" w:color="auto" w:fill="auto"/>
            <w:vAlign w:val="center"/>
            <w:hideMark/>
          </w:tcPr>
          <w:p w14:paraId="7D4A81A0"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0,00</w:t>
            </w:r>
          </w:p>
        </w:tc>
        <w:tc>
          <w:tcPr>
            <w:tcW w:w="661" w:type="pct"/>
            <w:tcBorders>
              <w:top w:val="nil"/>
              <w:left w:val="nil"/>
              <w:bottom w:val="single" w:sz="8" w:space="0" w:color="D9D9D9"/>
              <w:right w:val="single" w:sz="8" w:space="0" w:color="D9D9D9"/>
            </w:tcBorders>
            <w:shd w:val="clear" w:color="auto" w:fill="auto"/>
            <w:vAlign w:val="center"/>
            <w:hideMark/>
          </w:tcPr>
          <w:p w14:paraId="7D4A81A1"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9.952.072,00</w:t>
            </w:r>
          </w:p>
        </w:tc>
      </w:tr>
      <w:tr w:rsidR="005D0429" w:rsidRPr="009E1B38" w14:paraId="7D4A81AB"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A3"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A4" w14:textId="544805CC"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1A5"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80.050,80</w:t>
            </w:r>
          </w:p>
        </w:tc>
        <w:tc>
          <w:tcPr>
            <w:tcW w:w="567" w:type="pct"/>
            <w:tcBorders>
              <w:top w:val="nil"/>
              <w:left w:val="nil"/>
              <w:bottom w:val="single" w:sz="8" w:space="0" w:color="D9D9D9"/>
              <w:right w:val="single" w:sz="8" w:space="0" w:color="D9D9D9"/>
            </w:tcBorders>
            <w:shd w:val="clear" w:color="auto" w:fill="auto"/>
            <w:vAlign w:val="center"/>
            <w:hideMark/>
          </w:tcPr>
          <w:p w14:paraId="7D4A81A6"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78.335,93</w:t>
            </w:r>
          </w:p>
        </w:tc>
        <w:tc>
          <w:tcPr>
            <w:tcW w:w="614" w:type="pct"/>
            <w:tcBorders>
              <w:top w:val="nil"/>
              <w:left w:val="nil"/>
              <w:bottom w:val="single" w:sz="8" w:space="0" w:color="D9D9D9"/>
              <w:right w:val="single" w:sz="8" w:space="0" w:color="D9D9D9"/>
            </w:tcBorders>
            <w:shd w:val="clear" w:color="auto" w:fill="auto"/>
            <w:vAlign w:val="center"/>
            <w:hideMark/>
          </w:tcPr>
          <w:p w14:paraId="7D4A81A7"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367.442,00</w:t>
            </w:r>
          </w:p>
        </w:tc>
        <w:tc>
          <w:tcPr>
            <w:tcW w:w="661" w:type="pct"/>
            <w:tcBorders>
              <w:top w:val="nil"/>
              <w:left w:val="nil"/>
              <w:bottom w:val="single" w:sz="8" w:space="0" w:color="D9D9D9"/>
              <w:right w:val="single" w:sz="8" w:space="0" w:color="D9D9D9"/>
            </w:tcBorders>
            <w:shd w:val="clear" w:color="auto" w:fill="auto"/>
            <w:vAlign w:val="center"/>
            <w:hideMark/>
          </w:tcPr>
          <w:p w14:paraId="7D4A81A8"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9.405.426,00</w:t>
            </w:r>
          </w:p>
        </w:tc>
        <w:tc>
          <w:tcPr>
            <w:tcW w:w="582" w:type="pct"/>
            <w:tcBorders>
              <w:top w:val="nil"/>
              <w:left w:val="nil"/>
              <w:bottom w:val="single" w:sz="8" w:space="0" w:color="D9D9D9"/>
              <w:right w:val="single" w:sz="8" w:space="0" w:color="D9D9D9"/>
            </w:tcBorders>
            <w:shd w:val="clear" w:color="auto" w:fill="auto"/>
            <w:vAlign w:val="center"/>
            <w:hideMark/>
          </w:tcPr>
          <w:p w14:paraId="7D4A81A9"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18.591,00</w:t>
            </w:r>
          </w:p>
        </w:tc>
        <w:tc>
          <w:tcPr>
            <w:tcW w:w="661" w:type="pct"/>
            <w:tcBorders>
              <w:top w:val="nil"/>
              <w:left w:val="nil"/>
              <w:bottom w:val="single" w:sz="8" w:space="0" w:color="D9D9D9"/>
              <w:right w:val="single" w:sz="8" w:space="0" w:color="D9D9D9"/>
            </w:tcBorders>
            <w:shd w:val="clear" w:color="auto" w:fill="auto"/>
            <w:vAlign w:val="center"/>
            <w:hideMark/>
          </w:tcPr>
          <w:p w14:paraId="7D4A81AA"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9.791.459,00</w:t>
            </w:r>
          </w:p>
        </w:tc>
      </w:tr>
      <w:tr w:rsidR="005D0429" w:rsidRPr="009E1B38" w14:paraId="7D4A81B4"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AC"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AD" w14:textId="010FF131"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1AE"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159.692,67</w:t>
            </w:r>
          </w:p>
        </w:tc>
        <w:tc>
          <w:tcPr>
            <w:tcW w:w="567" w:type="pct"/>
            <w:tcBorders>
              <w:top w:val="nil"/>
              <w:left w:val="nil"/>
              <w:bottom w:val="single" w:sz="8" w:space="0" w:color="D9D9D9"/>
              <w:right w:val="single" w:sz="8" w:space="0" w:color="D9D9D9"/>
            </w:tcBorders>
            <w:shd w:val="clear" w:color="auto" w:fill="auto"/>
            <w:vAlign w:val="center"/>
            <w:hideMark/>
          </w:tcPr>
          <w:p w14:paraId="7D4A81AF"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157.950,90</w:t>
            </w:r>
          </w:p>
        </w:tc>
        <w:tc>
          <w:tcPr>
            <w:tcW w:w="614" w:type="pct"/>
            <w:tcBorders>
              <w:top w:val="nil"/>
              <w:left w:val="nil"/>
              <w:bottom w:val="single" w:sz="8" w:space="0" w:color="D9D9D9"/>
              <w:right w:val="single" w:sz="8" w:space="0" w:color="D9D9D9"/>
            </w:tcBorders>
            <w:shd w:val="clear" w:color="auto" w:fill="auto"/>
            <w:vAlign w:val="center"/>
            <w:hideMark/>
          </w:tcPr>
          <w:p w14:paraId="7D4A81B0"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2.747.888,00</w:t>
            </w:r>
          </w:p>
        </w:tc>
        <w:tc>
          <w:tcPr>
            <w:tcW w:w="661" w:type="pct"/>
            <w:tcBorders>
              <w:top w:val="nil"/>
              <w:left w:val="nil"/>
              <w:bottom w:val="single" w:sz="8" w:space="0" w:color="D9D9D9"/>
              <w:right w:val="single" w:sz="8" w:space="0" w:color="D9D9D9"/>
            </w:tcBorders>
            <w:shd w:val="clear" w:color="auto" w:fill="auto"/>
            <w:vAlign w:val="center"/>
            <w:hideMark/>
          </w:tcPr>
          <w:p w14:paraId="7D4A81B1"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16.977.053,00</w:t>
            </w:r>
          </w:p>
        </w:tc>
        <w:tc>
          <w:tcPr>
            <w:tcW w:w="582" w:type="pct"/>
            <w:tcBorders>
              <w:top w:val="nil"/>
              <w:left w:val="nil"/>
              <w:bottom w:val="single" w:sz="8" w:space="0" w:color="D9D9D9"/>
              <w:right w:val="single" w:sz="8" w:space="0" w:color="D9D9D9"/>
            </w:tcBorders>
            <w:shd w:val="clear" w:color="auto" w:fill="auto"/>
            <w:vAlign w:val="center"/>
            <w:hideMark/>
          </w:tcPr>
          <w:p w14:paraId="7D4A81B2"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18.591,00</w:t>
            </w:r>
          </w:p>
        </w:tc>
        <w:tc>
          <w:tcPr>
            <w:tcW w:w="661" w:type="pct"/>
            <w:tcBorders>
              <w:top w:val="nil"/>
              <w:left w:val="nil"/>
              <w:bottom w:val="single" w:sz="8" w:space="0" w:color="D9D9D9"/>
              <w:right w:val="single" w:sz="8" w:space="0" w:color="D9D9D9"/>
            </w:tcBorders>
            <w:shd w:val="clear" w:color="auto" w:fill="auto"/>
            <w:vAlign w:val="center"/>
            <w:hideMark/>
          </w:tcPr>
          <w:p w14:paraId="7D4A81B3"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19.743.532,00</w:t>
            </w:r>
          </w:p>
        </w:tc>
      </w:tr>
      <w:tr w:rsidR="005D0429" w:rsidRPr="009E1B38" w14:paraId="7D4A81BD"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1B5"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2011</w:t>
            </w:r>
          </w:p>
        </w:tc>
        <w:tc>
          <w:tcPr>
            <w:tcW w:w="492" w:type="pct"/>
            <w:tcBorders>
              <w:top w:val="nil"/>
              <w:left w:val="nil"/>
              <w:bottom w:val="single" w:sz="8" w:space="0" w:color="D9D9D9"/>
              <w:right w:val="single" w:sz="8" w:space="0" w:color="D9D9D9"/>
            </w:tcBorders>
            <w:shd w:val="clear" w:color="auto" w:fill="auto"/>
            <w:hideMark/>
          </w:tcPr>
          <w:p w14:paraId="7D4A81B6" w14:textId="54EB6809"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1B7"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91.993,00</w:t>
            </w:r>
          </w:p>
        </w:tc>
        <w:tc>
          <w:tcPr>
            <w:tcW w:w="567" w:type="pct"/>
            <w:tcBorders>
              <w:top w:val="nil"/>
              <w:left w:val="nil"/>
              <w:bottom w:val="single" w:sz="8" w:space="0" w:color="D9D9D9"/>
              <w:right w:val="single" w:sz="8" w:space="0" w:color="D9D9D9"/>
            </w:tcBorders>
            <w:shd w:val="clear" w:color="auto" w:fill="auto"/>
            <w:vAlign w:val="center"/>
            <w:hideMark/>
          </w:tcPr>
          <w:p w14:paraId="7D4A81B8"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92.304,00</w:t>
            </w:r>
          </w:p>
        </w:tc>
        <w:tc>
          <w:tcPr>
            <w:tcW w:w="614" w:type="pct"/>
            <w:tcBorders>
              <w:top w:val="nil"/>
              <w:left w:val="nil"/>
              <w:bottom w:val="single" w:sz="8" w:space="0" w:color="D9D9D9"/>
              <w:right w:val="single" w:sz="8" w:space="0" w:color="D9D9D9"/>
            </w:tcBorders>
            <w:shd w:val="clear" w:color="auto" w:fill="auto"/>
            <w:vAlign w:val="center"/>
            <w:hideMark/>
          </w:tcPr>
          <w:p w14:paraId="7D4A81B9"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2.413.099,00</w:t>
            </w:r>
          </w:p>
        </w:tc>
        <w:tc>
          <w:tcPr>
            <w:tcW w:w="661" w:type="pct"/>
            <w:tcBorders>
              <w:top w:val="nil"/>
              <w:left w:val="nil"/>
              <w:bottom w:val="single" w:sz="8" w:space="0" w:color="D9D9D9"/>
              <w:right w:val="single" w:sz="8" w:space="0" w:color="D9D9D9"/>
            </w:tcBorders>
            <w:shd w:val="clear" w:color="auto" w:fill="auto"/>
            <w:vAlign w:val="center"/>
            <w:hideMark/>
          </w:tcPr>
          <w:p w14:paraId="7D4A81BA"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9.124.916,00</w:t>
            </w:r>
          </w:p>
        </w:tc>
        <w:tc>
          <w:tcPr>
            <w:tcW w:w="582" w:type="pct"/>
            <w:tcBorders>
              <w:top w:val="nil"/>
              <w:left w:val="nil"/>
              <w:bottom w:val="single" w:sz="8" w:space="0" w:color="D9D9D9"/>
              <w:right w:val="single" w:sz="8" w:space="0" w:color="D9D9D9"/>
            </w:tcBorders>
            <w:shd w:val="clear" w:color="auto" w:fill="auto"/>
            <w:vAlign w:val="center"/>
            <w:hideMark/>
          </w:tcPr>
          <w:p w14:paraId="7D4A81BB"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0,00</w:t>
            </w:r>
          </w:p>
        </w:tc>
        <w:tc>
          <w:tcPr>
            <w:tcW w:w="661" w:type="pct"/>
            <w:tcBorders>
              <w:top w:val="nil"/>
              <w:left w:val="nil"/>
              <w:bottom w:val="single" w:sz="8" w:space="0" w:color="D9D9D9"/>
              <w:right w:val="single" w:sz="8" w:space="0" w:color="D9D9D9"/>
            </w:tcBorders>
            <w:shd w:val="clear" w:color="auto" w:fill="auto"/>
            <w:vAlign w:val="center"/>
            <w:hideMark/>
          </w:tcPr>
          <w:p w14:paraId="7D4A81BC"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11.538.015,00</w:t>
            </w:r>
          </w:p>
        </w:tc>
      </w:tr>
      <w:tr w:rsidR="005D0429" w:rsidRPr="009E1B38" w14:paraId="7D4A81C6"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BE"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BF" w14:textId="1A1DA1B8"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1C0"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72.401,00</w:t>
            </w:r>
          </w:p>
        </w:tc>
        <w:tc>
          <w:tcPr>
            <w:tcW w:w="567" w:type="pct"/>
            <w:tcBorders>
              <w:top w:val="nil"/>
              <w:left w:val="nil"/>
              <w:bottom w:val="single" w:sz="8" w:space="0" w:color="D9D9D9"/>
              <w:right w:val="single" w:sz="8" w:space="0" w:color="D9D9D9"/>
            </w:tcBorders>
            <w:shd w:val="clear" w:color="auto" w:fill="auto"/>
            <w:vAlign w:val="center"/>
            <w:hideMark/>
          </w:tcPr>
          <w:p w14:paraId="7D4A81C1"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72.963,00</w:t>
            </w:r>
          </w:p>
        </w:tc>
        <w:tc>
          <w:tcPr>
            <w:tcW w:w="614" w:type="pct"/>
            <w:tcBorders>
              <w:top w:val="nil"/>
              <w:left w:val="nil"/>
              <w:bottom w:val="single" w:sz="8" w:space="0" w:color="D9D9D9"/>
              <w:right w:val="single" w:sz="8" w:space="0" w:color="D9D9D9"/>
            </w:tcBorders>
            <w:shd w:val="clear" w:color="auto" w:fill="auto"/>
            <w:vAlign w:val="center"/>
            <w:hideMark/>
          </w:tcPr>
          <w:p w14:paraId="7D4A81C2"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193.624,00</w:t>
            </w:r>
          </w:p>
        </w:tc>
        <w:tc>
          <w:tcPr>
            <w:tcW w:w="661" w:type="pct"/>
            <w:tcBorders>
              <w:top w:val="nil"/>
              <w:left w:val="nil"/>
              <w:bottom w:val="single" w:sz="8" w:space="0" w:color="D9D9D9"/>
              <w:right w:val="single" w:sz="8" w:space="0" w:color="D9D9D9"/>
            </w:tcBorders>
            <w:shd w:val="clear" w:color="auto" w:fill="auto"/>
            <w:vAlign w:val="center"/>
            <w:hideMark/>
          </w:tcPr>
          <w:p w14:paraId="7D4A81C3"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8.903.953,00</w:t>
            </w:r>
          </w:p>
        </w:tc>
        <w:tc>
          <w:tcPr>
            <w:tcW w:w="582" w:type="pct"/>
            <w:tcBorders>
              <w:top w:val="nil"/>
              <w:left w:val="nil"/>
              <w:bottom w:val="single" w:sz="8" w:space="0" w:color="D9D9D9"/>
              <w:right w:val="single" w:sz="8" w:space="0" w:color="D9D9D9"/>
            </w:tcBorders>
            <w:shd w:val="clear" w:color="auto" w:fill="auto"/>
            <w:vAlign w:val="center"/>
            <w:hideMark/>
          </w:tcPr>
          <w:p w14:paraId="7D4A81C4"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22.982,00</w:t>
            </w:r>
          </w:p>
        </w:tc>
        <w:tc>
          <w:tcPr>
            <w:tcW w:w="661" w:type="pct"/>
            <w:tcBorders>
              <w:top w:val="nil"/>
              <w:left w:val="nil"/>
              <w:bottom w:val="single" w:sz="8" w:space="0" w:color="D9D9D9"/>
              <w:right w:val="single" w:sz="8" w:space="0" w:color="D9D9D9"/>
            </w:tcBorders>
            <w:shd w:val="clear" w:color="auto" w:fill="auto"/>
            <w:vAlign w:val="center"/>
            <w:hideMark/>
          </w:tcPr>
          <w:p w14:paraId="7D4A81C5"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9.120.559,00</w:t>
            </w:r>
          </w:p>
        </w:tc>
      </w:tr>
      <w:tr w:rsidR="005D0429" w:rsidRPr="009E1B38" w14:paraId="7D4A81CF"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C7"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C8" w14:textId="7535FBD3"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1C9"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164.394,00</w:t>
            </w:r>
          </w:p>
        </w:tc>
        <w:tc>
          <w:tcPr>
            <w:tcW w:w="567" w:type="pct"/>
            <w:tcBorders>
              <w:top w:val="nil"/>
              <w:left w:val="nil"/>
              <w:bottom w:val="single" w:sz="8" w:space="0" w:color="D9D9D9"/>
              <w:right w:val="single" w:sz="8" w:space="0" w:color="D9D9D9"/>
            </w:tcBorders>
            <w:shd w:val="clear" w:color="auto" w:fill="auto"/>
            <w:vAlign w:val="center"/>
            <w:hideMark/>
          </w:tcPr>
          <w:p w14:paraId="7D4A81CA"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165.267,00</w:t>
            </w:r>
          </w:p>
        </w:tc>
        <w:tc>
          <w:tcPr>
            <w:tcW w:w="614" w:type="pct"/>
            <w:tcBorders>
              <w:top w:val="nil"/>
              <w:left w:val="nil"/>
              <w:bottom w:val="single" w:sz="8" w:space="0" w:color="D9D9D9"/>
              <w:right w:val="single" w:sz="8" w:space="0" w:color="D9D9D9"/>
            </w:tcBorders>
            <w:shd w:val="clear" w:color="auto" w:fill="auto"/>
            <w:vAlign w:val="center"/>
            <w:hideMark/>
          </w:tcPr>
          <w:p w14:paraId="7D4A81CB"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2.606.723,00</w:t>
            </w:r>
          </w:p>
        </w:tc>
        <w:tc>
          <w:tcPr>
            <w:tcW w:w="661" w:type="pct"/>
            <w:tcBorders>
              <w:top w:val="nil"/>
              <w:left w:val="nil"/>
              <w:bottom w:val="single" w:sz="8" w:space="0" w:color="D9D9D9"/>
              <w:right w:val="single" w:sz="8" w:space="0" w:color="D9D9D9"/>
            </w:tcBorders>
            <w:shd w:val="clear" w:color="auto" w:fill="auto"/>
            <w:vAlign w:val="center"/>
            <w:hideMark/>
          </w:tcPr>
          <w:p w14:paraId="7D4A81CC"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18.028.869,00</w:t>
            </w:r>
          </w:p>
        </w:tc>
        <w:tc>
          <w:tcPr>
            <w:tcW w:w="582" w:type="pct"/>
            <w:tcBorders>
              <w:top w:val="nil"/>
              <w:left w:val="nil"/>
              <w:bottom w:val="single" w:sz="8" w:space="0" w:color="D9D9D9"/>
              <w:right w:val="single" w:sz="8" w:space="0" w:color="D9D9D9"/>
            </w:tcBorders>
            <w:shd w:val="clear" w:color="auto" w:fill="auto"/>
            <w:vAlign w:val="center"/>
            <w:hideMark/>
          </w:tcPr>
          <w:p w14:paraId="7D4A81CD"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22.982,00</w:t>
            </w:r>
          </w:p>
        </w:tc>
        <w:tc>
          <w:tcPr>
            <w:tcW w:w="661" w:type="pct"/>
            <w:tcBorders>
              <w:top w:val="nil"/>
              <w:left w:val="nil"/>
              <w:bottom w:val="single" w:sz="8" w:space="0" w:color="D9D9D9"/>
              <w:right w:val="single" w:sz="8" w:space="0" w:color="D9D9D9"/>
            </w:tcBorders>
            <w:shd w:val="clear" w:color="auto" w:fill="auto"/>
            <w:vAlign w:val="center"/>
            <w:hideMark/>
          </w:tcPr>
          <w:p w14:paraId="7D4A81CE"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20.658.574,00</w:t>
            </w:r>
          </w:p>
        </w:tc>
      </w:tr>
      <w:tr w:rsidR="005D0429" w:rsidRPr="009E1B38" w14:paraId="7D4A81D8"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1D0"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2012</w:t>
            </w:r>
          </w:p>
        </w:tc>
        <w:tc>
          <w:tcPr>
            <w:tcW w:w="492" w:type="pct"/>
            <w:tcBorders>
              <w:top w:val="nil"/>
              <w:left w:val="nil"/>
              <w:bottom w:val="single" w:sz="8" w:space="0" w:color="D9D9D9"/>
              <w:right w:val="single" w:sz="8" w:space="0" w:color="D9D9D9"/>
            </w:tcBorders>
            <w:shd w:val="clear" w:color="auto" w:fill="auto"/>
            <w:hideMark/>
          </w:tcPr>
          <w:p w14:paraId="7D4A81D1" w14:textId="41A1CFA2"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1D2"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99.958,02</w:t>
            </w:r>
          </w:p>
        </w:tc>
        <w:tc>
          <w:tcPr>
            <w:tcW w:w="567" w:type="pct"/>
            <w:tcBorders>
              <w:top w:val="nil"/>
              <w:left w:val="nil"/>
              <w:bottom w:val="single" w:sz="8" w:space="0" w:color="D9D9D9"/>
              <w:right w:val="single" w:sz="8" w:space="0" w:color="D9D9D9"/>
            </w:tcBorders>
            <w:shd w:val="clear" w:color="auto" w:fill="auto"/>
            <w:vAlign w:val="center"/>
            <w:hideMark/>
          </w:tcPr>
          <w:p w14:paraId="7D4A81D3"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98.531,33</w:t>
            </w:r>
          </w:p>
        </w:tc>
        <w:tc>
          <w:tcPr>
            <w:tcW w:w="614" w:type="pct"/>
            <w:tcBorders>
              <w:top w:val="nil"/>
              <w:left w:val="nil"/>
              <w:bottom w:val="single" w:sz="8" w:space="0" w:color="D9D9D9"/>
              <w:right w:val="single" w:sz="8" w:space="0" w:color="D9D9D9"/>
            </w:tcBorders>
            <w:shd w:val="clear" w:color="auto" w:fill="auto"/>
            <w:vAlign w:val="center"/>
            <w:hideMark/>
          </w:tcPr>
          <w:p w14:paraId="7D4A81D4"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2.398.835,00</w:t>
            </w:r>
          </w:p>
        </w:tc>
        <w:tc>
          <w:tcPr>
            <w:tcW w:w="661" w:type="pct"/>
            <w:tcBorders>
              <w:top w:val="nil"/>
              <w:left w:val="nil"/>
              <w:bottom w:val="single" w:sz="8" w:space="0" w:color="D9D9D9"/>
              <w:right w:val="single" w:sz="8" w:space="0" w:color="D9D9D9"/>
            </w:tcBorders>
            <w:shd w:val="clear" w:color="auto" w:fill="auto"/>
            <w:vAlign w:val="center"/>
            <w:hideMark/>
          </w:tcPr>
          <w:p w14:paraId="7D4A81D5"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9.917.338,00</w:t>
            </w:r>
          </w:p>
        </w:tc>
        <w:tc>
          <w:tcPr>
            <w:tcW w:w="582" w:type="pct"/>
            <w:tcBorders>
              <w:top w:val="nil"/>
              <w:left w:val="nil"/>
              <w:bottom w:val="single" w:sz="8" w:space="0" w:color="D9D9D9"/>
              <w:right w:val="single" w:sz="8" w:space="0" w:color="D9D9D9"/>
            </w:tcBorders>
            <w:shd w:val="clear" w:color="auto" w:fill="auto"/>
            <w:vAlign w:val="center"/>
            <w:hideMark/>
          </w:tcPr>
          <w:p w14:paraId="7D4A81D6"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237,00</w:t>
            </w:r>
          </w:p>
        </w:tc>
        <w:tc>
          <w:tcPr>
            <w:tcW w:w="661" w:type="pct"/>
            <w:tcBorders>
              <w:top w:val="nil"/>
              <w:left w:val="nil"/>
              <w:bottom w:val="single" w:sz="8" w:space="0" w:color="D9D9D9"/>
              <w:right w:val="single" w:sz="8" w:space="0" w:color="D9D9D9"/>
            </w:tcBorders>
            <w:shd w:val="clear" w:color="auto" w:fill="auto"/>
            <w:vAlign w:val="center"/>
            <w:hideMark/>
          </w:tcPr>
          <w:p w14:paraId="7D4A81D7"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12.316.410,00</w:t>
            </w:r>
          </w:p>
        </w:tc>
      </w:tr>
      <w:tr w:rsidR="005D0429" w:rsidRPr="009E1B38" w14:paraId="7D4A81E1"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D9"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DA" w14:textId="673476A3"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1DB"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74.187,38</w:t>
            </w:r>
          </w:p>
        </w:tc>
        <w:tc>
          <w:tcPr>
            <w:tcW w:w="567" w:type="pct"/>
            <w:tcBorders>
              <w:top w:val="nil"/>
              <w:left w:val="nil"/>
              <w:bottom w:val="single" w:sz="8" w:space="0" w:color="D9D9D9"/>
              <w:right w:val="single" w:sz="8" w:space="0" w:color="D9D9D9"/>
            </w:tcBorders>
            <w:shd w:val="clear" w:color="auto" w:fill="auto"/>
            <w:vAlign w:val="center"/>
            <w:hideMark/>
          </w:tcPr>
          <w:p w14:paraId="7D4A81DC"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74.738,16</w:t>
            </w:r>
          </w:p>
        </w:tc>
        <w:tc>
          <w:tcPr>
            <w:tcW w:w="614" w:type="pct"/>
            <w:tcBorders>
              <w:top w:val="nil"/>
              <w:left w:val="nil"/>
              <w:bottom w:val="single" w:sz="8" w:space="0" w:color="D9D9D9"/>
              <w:right w:val="single" w:sz="8" w:space="0" w:color="D9D9D9"/>
            </w:tcBorders>
            <w:shd w:val="clear" w:color="auto" w:fill="auto"/>
            <w:vAlign w:val="center"/>
            <w:hideMark/>
          </w:tcPr>
          <w:p w14:paraId="7D4A81DD"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66.004,00</w:t>
            </w:r>
          </w:p>
        </w:tc>
        <w:tc>
          <w:tcPr>
            <w:tcW w:w="661" w:type="pct"/>
            <w:tcBorders>
              <w:top w:val="nil"/>
              <w:left w:val="nil"/>
              <w:bottom w:val="single" w:sz="8" w:space="0" w:color="D9D9D9"/>
              <w:right w:val="single" w:sz="8" w:space="0" w:color="D9D9D9"/>
            </w:tcBorders>
            <w:shd w:val="clear" w:color="auto" w:fill="auto"/>
            <w:vAlign w:val="center"/>
            <w:hideMark/>
          </w:tcPr>
          <w:p w14:paraId="7D4A81DE"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9.245.186,00</w:t>
            </w:r>
          </w:p>
        </w:tc>
        <w:tc>
          <w:tcPr>
            <w:tcW w:w="582" w:type="pct"/>
            <w:tcBorders>
              <w:top w:val="nil"/>
              <w:left w:val="nil"/>
              <w:bottom w:val="single" w:sz="8" w:space="0" w:color="D9D9D9"/>
              <w:right w:val="single" w:sz="8" w:space="0" w:color="D9D9D9"/>
            </w:tcBorders>
            <w:shd w:val="clear" w:color="auto" w:fill="auto"/>
            <w:vAlign w:val="center"/>
            <w:hideMark/>
          </w:tcPr>
          <w:p w14:paraId="7D4A81DF"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30.915,00</w:t>
            </w:r>
          </w:p>
        </w:tc>
        <w:tc>
          <w:tcPr>
            <w:tcW w:w="661" w:type="pct"/>
            <w:tcBorders>
              <w:top w:val="nil"/>
              <w:left w:val="nil"/>
              <w:bottom w:val="single" w:sz="8" w:space="0" w:color="D9D9D9"/>
              <w:right w:val="single" w:sz="8" w:space="0" w:color="D9D9D9"/>
            </w:tcBorders>
            <w:shd w:val="clear" w:color="auto" w:fill="auto"/>
            <w:vAlign w:val="center"/>
            <w:hideMark/>
          </w:tcPr>
          <w:p w14:paraId="7D4A81E0"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9.342.105,00</w:t>
            </w:r>
          </w:p>
        </w:tc>
      </w:tr>
      <w:tr w:rsidR="005D0429" w:rsidRPr="009E1B38" w14:paraId="7D4A81EA"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E2"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E3" w14:textId="512CB0D2"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1E4"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174.145,40</w:t>
            </w:r>
          </w:p>
        </w:tc>
        <w:tc>
          <w:tcPr>
            <w:tcW w:w="567" w:type="pct"/>
            <w:tcBorders>
              <w:top w:val="nil"/>
              <w:left w:val="nil"/>
              <w:bottom w:val="single" w:sz="8" w:space="0" w:color="D9D9D9"/>
              <w:right w:val="single" w:sz="8" w:space="0" w:color="D9D9D9"/>
            </w:tcBorders>
            <w:shd w:val="clear" w:color="auto" w:fill="auto"/>
            <w:vAlign w:val="center"/>
            <w:hideMark/>
          </w:tcPr>
          <w:p w14:paraId="7D4A81E5"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173.269,49</w:t>
            </w:r>
          </w:p>
        </w:tc>
        <w:tc>
          <w:tcPr>
            <w:tcW w:w="614" w:type="pct"/>
            <w:tcBorders>
              <w:top w:val="nil"/>
              <w:left w:val="nil"/>
              <w:bottom w:val="single" w:sz="8" w:space="0" w:color="D9D9D9"/>
              <w:right w:val="single" w:sz="8" w:space="0" w:color="D9D9D9"/>
            </w:tcBorders>
            <w:shd w:val="clear" w:color="auto" w:fill="auto"/>
            <w:vAlign w:val="center"/>
            <w:hideMark/>
          </w:tcPr>
          <w:p w14:paraId="7D4A81E6"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2.464.839,00</w:t>
            </w:r>
          </w:p>
        </w:tc>
        <w:tc>
          <w:tcPr>
            <w:tcW w:w="661" w:type="pct"/>
            <w:tcBorders>
              <w:top w:val="nil"/>
              <w:left w:val="nil"/>
              <w:bottom w:val="single" w:sz="8" w:space="0" w:color="D9D9D9"/>
              <w:right w:val="single" w:sz="8" w:space="0" w:color="D9D9D9"/>
            </w:tcBorders>
            <w:shd w:val="clear" w:color="auto" w:fill="auto"/>
            <w:vAlign w:val="center"/>
            <w:hideMark/>
          </w:tcPr>
          <w:p w14:paraId="7D4A81E7"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19.162.524,00</w:t>
            </w:r>
          </w:p>
        </w:tc>
        <w:tc>
          <w:tcPr>
            <w:tcW w:w="582" w:type="pct"/>
            <w:tcBorders>
              <w:top w:val="nil"/>
              <w:left w:val="nil"/>
              <w:bottom w:val="single" w:sz="8" w:space="0" w:color="D9D9D9"/>
              <w:right w:val="single" w:sz="8" w:space="0" w:color="D9D9D9"/>
            </w:tcBorders>
            <w:shd w:val="clear" w:color="auto" w:fill="auto"/>
            <w:vAlign w:val="center"/>
            <w:hideMark/>
          </w:tcPr>
          <w:p w14:paraId="7D4A81E8"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31.152,00</w:t>
            </w:r>
          </w:p>
        </w:tc>
        <w:tc>
          <w:tcPr>
            <w:tcW w:w="661" w:type="pct"/>
            <w:tcBorders>
              <w:top w:val="nil"/>
              <w:left w:val="nil"/>
              <w:bottom w:val="single" w:sz="8" w:space="0" w:color="D9D9D9"/>
              <w:right w:val="single" w:sz="8" w:space="0" w:color="D9D9D9"/>
            </w:tcBorders>
            <w:shd w:val="clear" w:color="auto" w:fill="auto"/>
            <w:vAlign w:val="center"/>
            <w:hideMark/>
          </w:tcPr>
          <w:p w14:paraId="7D4A81E9"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21.658.515,00</w:t>
            </w:r>
          </w:p>
        </w:tc>
      </w:tr>
      <w:tr w:rsidR="005D0429" w:rsidRPr="009E1B38" w14:paraId="7D4A81F3"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1EB"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2013</w:t>
            </w:r>
          </w:p>
        </w:tc>
        <w:tc>
          <w:tcPr>
            <w:tcW w:w="492" w:type="pct"/>
            <w:tcBorders>
              <w:top w:val="nil"/>
              <w:left w:val="nil"/>
              <w:bottom w:val="single" w:sz="8" w:space="0" w:color="D9D9D9"/>
              <w:right w:val="single" w:sz="8" w:space="0" w:color="D9D9D9"/>
            </w:tcBorders>
            <w:shd w:val="clear" w:color="auto" w:fill="auto"/>
            <w:hideMark/>
          </w:tcPr>
          <w:p w14:paraId="7D4A81EC" w14:textId="1A3AE832"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1ED"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94.351,72</w:t>
            </w:r>
          </w:p>
        </w:tc>
        <w:tc>
          <w:tcPr>
            <w:tcW w:w="567" w:type="pct"/>
            <w:tcBorders>
              <w:top w:val="nil"/>
              <w:left w:val="nil"/>
              <w:bottom w:val="single" w:sz="8" w:space="0" w:color="D9D9D9"/>
              <w:right w:val="single" w:sz="8" w:space="0" w:color="D9D9D9"/>
            </w:tcBorders>
            <w:shd w:val="clear" w:color="auto" w:fill="auto"/>
            <w:vAlign w:val="center"/>
            <w:hideMark/>
          </w:tcPr>
          <w:p w14:paraId="7D4A81EE"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94.683,00</w:t>
            </w:r>
          </w:p>
        </w:tc>
        <w:tc>
          <w:tcPr>
            <w:tcW w:w="614" w:type="pct"/>
            <w:tcBorders>
              <w:top w:val="nil"/>
              <w:left w:val="nil"/>
              <w:bottom w:val="single" w:sz="8" w:space="0" w:color="D9D9D9"/>
              <w:right w:val="single" w:sz="8" w:space="0" w:color="D9D9D9"/>
            </w:tcBorders>
            <w:shd w:val="clear" w:color="auto" w:fill="auto"/>
            <w:vAlign w:val="center"/>
            <w:hideMark/>
          </w:tcPr>
          <w:p w14:paraId="7D4A81EF"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2.438.404,00</w:t>
            </w:r>
          </w:p>
        </w:tc>
        <w:tc>
          <w:tcPr>
            <w:tcW w:w="661" w:type="pct"/>
            <w:tcBorders>
              <w:top w:val="nil"/>
              <w:left w:val="nil"/>
              <w:bottom w:val="single" w:sz="8" w:space="0" w:color="D9D9D9"/>
              <w:right w:val="single" w:sz="8" w:space="0" w:color="D9D9D9"/>
            </w:tcBorders>
            <w:shd w:val="clear" w:color="auto" w:fill="auto"/>
            <w:vAlign w:val="center"/>
            <w:hideMark/>
          </w:tcPr>
          <w:p w14:paraId="7D4A81F0"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9.361.800,00</w:t>
            </w:r>
          </w:p>
        </w:tc>
        <w:tc>
          <w:tcPr>
            <w:tcW w:w="582" w:type="pct"/>
            <w:tcBorders>
              <w:top w:val="nil"/>
              <w:left w:val="nil"/>
              <w:bottom w:val="single" w:sz="8" w:space="0" w:color="D9D9D9"/>
              <w:right w:val="single" w:sz="8" w:space="0" w:color="D9D9D9"/>
            </w:tcBorders>
            <w:shd w:val="clear" w:color="auto" w:fill="auto"/>
            <w:vAlign w:val="center"/>
            <w:hideMark/>
          </w:tcPr>
          <w:p w14:paraId="7D4A81F1"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7.140,00</w:t>
            </w:r>
          </w:p>
        </w:tc>
        <w:tc>
          <w:tcPr>
            <w:tcW w:w="661" w:type="pct"/>
            <w:tcBorders>
              <w:top w:val="nil"/>
              <w:left w:val="nil"/>
              <w:bottom w:val="single" w:sz="8" w:space="0" w:color="D9D9D9"/>
              <w:right w:val="single" w:sz="8" w:space="0" w:color="D9D9D9"/>
            </w:tcBorders>
            <w:shd w:val="clear" w:color="auto" w:fill="auto"/>
            <w:vAlign w:val="center"/>
            <w:hideMark/>
          </w:tcPr>
          <w:p w14:paraId="7D4A81F2"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11.807.344,00</w:t>
            </w:r>
          </w:p>
        </w:tc>
      </w:tr>
      <w:tr w:rsidR="005D0429" w:rsidRPr="009E1B38" w14:paraId="7D4A81FC"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F4"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F5" w14:textId="1F2F4FE8"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1F6"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95.664,74</w:t>
            </w:r>
          </w:p>
        </w:tc>
        <w:tc>
          <w:tcPr>
            <w:tcW w:w="567" w:type="pct"/>
            <w:tcBorders>
              <w:top w:val="nil"/>
              <w:left w:val="nil"/>
              <w:bottom w:val="single" w:sz="8" w:space="0" w:color="D9D9D9"/>
              <w:right w:val="single" w:sz="8" w:space="0" w:color="D9D9D9"/>
            </w:tcBorders>
            <w:shd w:val="clear" w:color="auto" w:fill="auto"/>
            <w:vAlign w:val="center"/>
            <w:hideMark/>
          </w:tcPr>
          <w:p w14:paraId="7D4A81F7"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90.253,68</w:t>
            </w:r>
          </w:p>
        </w:tc>
        <w:tc>
          <w:tcPr>
            <w:tcW w:w="614" w:type="pct"/>
            <w:tcBorders>
              <w:top w:val="nil"/>
              <w:left w:val="nil"/>
              <w:bottom w:val="single" w:sz="8" w:space="0" w:color="D9D9D9"/>
              <w:right w:val="single" w:sz="8" w:space="0" w:color="D9D9D9"/>
            </w:tcBorders>
            <w:shd w:val="clear" w:color="auto" w:fill="auto"/>
            <w:vAlign w:val="center"/>
            <w:hideMark/>
          </w:tcPr>
          <w:p w14:paraId="7D4A81F8"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17.806,00</w:t>
            </w:r>
          </w:p>
        </w:tc>
        <w:tc>
          <w:tcPr>
            <w:tcW w:w="661" w:type="pct"/>
            <w:tcBorders>
              <w:top w:val="nil"/>
              <w:left w:val="nil"/>
              <w:bottom w:val="single" w:sz="8" w:space="0" w:color="D9D9D9"/>
              <w:right w:val="single" w:sz="8" w:space="0" w:color="D9D9D9"/>
            </w:tcBorders>
            <w:shd w:val="clear" w:color="auto" w:fill="auto"/>
            <w:vAlign w:val="center"/>
            <w:hideMark/>
          </w:tcPr>
          <w:p w14:paraId="7D4A81F9"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11.180.726,00</w:t>
            </w:r>
          </w:p>
        </w:tc>
        <w:tc>
          <w:tcPr>
            <w:tcW w:w="582" w:type="pct"/>
            <w:tcBorders>
              <w:top w:val="nil"/>
              <w:left w:val="nil"/>
              <w:bottom w:val="single" w:sz="8" w:space="0" w:color="D9D9D9"/>
              <w:right w:val="single" w:sz="8" w:space="0" w:color="D9D9D9"/>
            </w:tcBorders>
            <w:shd w:val="clear" w:color="auto" w:fill="auto"/>
            <w:vAlign w:val="center"/>
            <w:hideMark/>
          </w:tcPr>
          <w:p w14:paraId="7D4A81FA"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68.796,00</w:t>
            </w:r>
          </w:p>
        </w:tc>
        <w:tc>
          <w:tcPr>
            <w:tcW w:w="661" w:type="pct"/>
            <w:tcBorders>
              <w:top w:val="nil"/>
              <w:left w:val="nil"/>
              <w:bottom w:val="single" w:sz="8" w:space="0" w:color="D9D9D9"/>
              <w:right w:val="single" w:sz="8" w:space="0" w:color="D9D9D9"/>
            </w:tcBorders>
            <w:shd w:val="clear" w:color="auto" w:fill="auto"/>
            <w:vAlign w:val="center"/>
            <w:hideMark/>
          </w:tcPr>
          <w:p w14:paraId="7D4A81FB"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11.267.328,00</w:t>
            </w:r>
          </w:p>
        </w:tc>
      </w:tr>
      <w:tr w:rsidR="005D0429" w:rsidRPr="009E1B38" w14:paraId="7D4A8205"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1FD"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1FE" w14:textId="63CECC06"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1FF"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190.016,47</w:t>
            </w:r>
          </w:p>
        </w:tc>
        <w:tc>
          <w:tcPr>
            <w:tcW w:w="567" w:type="pct"/>
            <w:tcBorders>
              <w:top w:val="nil"/>
              <w:left w:val="nil"/>
              <w:bottom w:val="single" w:sz="8" w:space="0" w:color="D9D9D9"/>
              <w:right w:val="single" w:sz="8" w:space="0" w:color="D9D9D9"/>
            </w:tcBorders>
            <w:shd w:val="clear" w:color="auto" w:fill="auto"/>
            <w:vAlign w:val="center"/>
            <w:hideMark/>
          </w:tcPr>
          <w:p w14:paraId="7D4A8200"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184.936,69</w:t>
            </w:r>
          </w:p>
        </w:tc>
        <w:tc>
          <w:tcPr>
            <w:tcW w:w="614" w:type="pct"/>
            <w:tcBorders>
              <w:top w:val="nil"/>
              <w:left w:val="nil"/>
              <w:bottom w:val="single" w:sz="8" w:space="0" w:color="D9D9D9"/>
              <w:right w:val="single" w:sz="8" w:space="0" w:color="D9D9D9"/>
            </w:tcBorders>
            <w:shd w:val="clear" w:color="auto" w:fill="auto"/>
            <w:vAlign w:val="center"/>
            <w:hideMark/>
          </w:tcPr>
          <w:p w14:paraId="7D4A8201"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2.456.210,00</w:t>
            </w:r>
          </w:p>
        </w:tc>
        <w:tc>
          <w:tcPr>
            <w:tcW w:w="661" w:type="pct"/>
            <w:tcBorders>
              <w:top w:val="nil"/>
              <w:left w:val="nil"/>
              <w:bottom w:val="single" w:sz="8" w:space="0" w:color="D9D9D9"/>
              <w:right w:val="single" w:sz="8" w:space="0" w:color="D9D9D9"/>
            </w:tcBorders>
            <w:shd w:val="clear" w:color="auto" w:fill="auto"/>
            <w:vAlign w:val="center"/>
            <w:hideMark/>
          </w:tcPr>
          <w:p w14:paraId="7D4A8202"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20.542.526,00</w:t>
            </w:r>
          </w:p>
        </w:tc>
        <w:tc>
          <w:tcPr>
            <w:tcW w:w="582" w:type="pct"/>
            <w:tcBorders>
              <w:top w:val="nil"/>
              <w:left w:val="nil"/>
              <w:bottom w:val="single" w:sz="8" w:space="0" w:color="D9D9D9"/>
              <w:right w:val="single" w:sz="8" w:space="0" w:color="D9D9D9"/>
            </w:tcBorders>
            <w:shd w:val="clear" w:color="auto" w:fill="auto"/>
            <w:vAlign w:val="center"/>
            <w:hideMark/>
          </w:tcPr>
          <w:p w14:paraId="7D4A8203"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75.936,00</w:t>
            </w:r>
          </w:p>
        </w:tc>
        <w:tc>
          <w:tcPr>
            <w:tcW w:w="661" w:type="pct"/>
            <w:tcBorders>
              <w:top w:val="nil"/>
              <w:left w:val="nil"/>
              <w:bottom w:val="single" w:sz="8" w:space="0" w:color="D9D9D9"/>
              <w:right w:val="single" w:sz="8" w:space="0" w:color="D9D9D9"/>
            </w:tcBorders>
            <w:shd w:val="clear" w:color="auto" w:fill="auto"/>
            <w:vAlign w:val="center"/>
            <w:hideMark/>
          </w:tcPr>
          <w:p w14:paraId="7D4A8204"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23.074.672,00</w:t>
            </w:r>
          </w:p>
        </w:tc>
      </w:tr>
      <w:tr w:rsidR="005D0429" w:rsidRPr="009E1B38" w14:paraId="7D4A820E"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206"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2014</w:t>
            </w:r>
          </w:p>
        </w:tc>
        <w:tc>
          <w:tcPr>
            <w:tcW w:w="492" w:type="pct"/>
            <w:tcBorders>
              <w:top w:val="nil"/>
              <w:left w:val="nil"/>
              <w:bottom w:val="single" w:sz="8" w:space="0" w:color="D9D9D9"/>
              <w:right w:val="single" w:sz="8" w:space="0" w:color="D9D9D9"/>
            </w:tcBorders>
            <w:shd w:val="clear" w:color="auto" w:fill="auto"/>
            <w:hideMark/>
          </w:tcPr>
          <w:p w14:paraId="7D4A8207" w14:textId="392FEA59"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208"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83.288,36</w:t>
            </w:r>
          </w:p>
        </w:tc>
        <w:tc>
          <w:tcPr>
            <w:tcW w:w="567" w:type="pct"/>
            <w:tcBorders>
              <w:top w:val="nil"/>
              <w:left w:val="nil"/>
              <w:bottom w:val="single" w:sz="8" w:space="0" w:color="D9D9D9"/>
              <w:right w:val="single" w:sz="8" w:space="0" w:color="D9D9D9"/>
            </w:tcBorders>
            <w:shd w:val="clear" w:color="auto" w:fill="auto"/>
            <w:vAlign w:val="center"/>
            <w:hideMark/>
          </w:tcPr>
          <w:p w14:paraId="7D4A8209"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82.046,06</w:t>
            </w:r>
          </w:p>
        </w:tc>
        <w:tc>
          <w:tcPr>
            <w:tcW w:w="614" w:type="pct"/>
            <w:tcBorders>
              <w:top w:val="nil"/>
              <w:left w:val="nil"/>
              <w:bottom w:val="single" w:sz="8" w:space="0" w:color="D9D9D9"/>
              <w:right w:val="single" w:sz="8" w:space="0" w:color="D9D9D9"/>
            </w:tcBorders>
            <w:shd w:val="clear" w:color="auto" w:fill="auto"/>
            <w:vAlign w:val="center"/>
            <w:hideMark/>
          </w:tcPr>
          <w:p w14:paraId="7D4A820A"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2.464.564,00</w:t>
            </w:r>
          </w:p>
        </w:tc>
        <w:tc>
          <w:tcPr>
            <w:tcW w:w="661" w:type="pct"/>
            <w:tcBorders>
              <w:top w:val="nil"/>
              <w:left w:val="nil"/>
              <w:bottom w:val="single" w:sz="8" w:space="0" w:color="D9D9D9"/>
              <w:right w:val="single" w:sz="8" w:space="0" w:color="D9D9D9"/>
            </w:tcBorders>
            <w:shd w:val="clear" w:color="auto" w:fill="auto"/>
            <w:vAlign w:val="center"/>
            <w:hideMark/>
          </w:tcPr>
          <w:p w14:paraId="7D4A820B"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7.731.514,00</w:t>
            </w:r>
          </w:p>
        </w:tc>
        <w:tc>
          <w:tcPr>
            <w:tcW w:w="582" w:type="pct"/>
            <w:tcBorders>
              <w:top w:val="nil"/>
              <w:left w:val="nil"/>
              <w:bottom w:val="single" w:sz="8" w:space="0" w:color="D9D9D9"/>
              <w:right w:val="single" w:sz="8" w:space="0" w:color="D9D9D9"/>
            </w:tcBorders>
            <w:shd w:val="clear" w:color="auto" w:fill="auto"/>
            <w:vAlign w:val="center"/>
            <w:hideMark/>
          </w:tcPr>
          <w:p w14:paraId="7D4A820C"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59.754,00</w:t>
            </w:r>
          </w:p>
        </w:tc>
        <w:tc>
          <w:tcPr>
            <w:tcW w:w="661" w:type="pct"/>
            <w:tcBorders>
              <w:top w:val="nil"/>
              <w:left w:val="nil"/>
              <w:bottom w:val="single" w:sz="8" w:space="0" w:color="D9D9D9"/>
              <w:right w:val="single" w:sz="8" w:space="0" w:color="D9D9D9"/>
            </w:tcBorders>
            <w:shd w:val="clear" w:color="auto" w:fill="auto"/>
            <w:vAlign w:val="center"/>
            <w:hideMark/>
          </w:tcPr>
          <w:p w14:paraId="7D4A820D"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10.255.832,00</w:t>
            </w:r>
          </w:p>
        </w:tc>
      </w:tr>
      <w:tr w:rsidR="005D0429" w:rsidRPr="009E1B38" w14:paraId="7D4A8217"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20F"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210" w14:textId="339BCDB5"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211"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110.635,56</w:t>
            </w:r>
          </w:p>
        </w:tc>
        <w:tc>
          <w:tcPr>
            <w:tcW w:w="567" w:type="pct"/>
            <w:tcBorders>
              <w:top w:val="nil"/>
              <w:left w:val="nil"/>
              <w:bottom w:val="single" w:sz="8" w:space="0" w:color="D9D9D9"/>
              <w:right w:val="single" w:sz="8" w:space="0" w:color="D9D9D9"/>
            </w:tcBorders>
            <w:shd w:val="clear" w:color="auto" w:fill="auto"/>
            <w:vAlign w:val="center"/>
            <w:hideMark/>
          </w:tcPr>
          <w:p w14:paraId="7D4A8212"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109.330,47</w:t>
            </w:r>
          </w:p>
        </w:tc>
        <w:tc>
          <w:tcPr>
            <w:tcW w:w="614" w:type="pct"/>
            <w:tcBorders>
              <w:top w:val="nil"/>
              <w:left w:val="nil"/>
              <w:bottom w:val="single" w:sz="8" w:space="0" w:color="D9D9D9"/>
              <w:right w:val="single" w:sz="8" w:space="0" w:color="D9D9D9"/>
            </w:tcBorders>
            <w:shd w:val="clear" w:color="auto" w:fill="auto"/>
            <w:vAlign w:val="center"/>
            <w:hideMark/>
          </w:tcPr>
          <w:p w14:paraId="7D4A8213"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2.051,00</w:t>
            </w:r>
          </w:p>
        </w:tc>
        <w:tc>
          <w:tcPr>
            <w:tcW w:w="661" w:type="pct"/>
            <w:tcBorders>
              <w:top w:val="nil"/>
              <w:left w:val="nil"/>
              <w:bottom w:val="single" w:sz="8" w:space="0" w:color="D9D9D9"/>
              <w:right w:val="single" w:sz="8" w:space="0" w:color="D9D9D9"/>
            </w:tcBorders>
            <w:shd w:val="clear" w:color="auto" w:fill="auto"/>
            <w:vAlign w:val="center"/>
            <w:hideMark/>
          </w:tcPr>
          <w:p w14:paraId="7D4A8214"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13.558.513,00</w:t>
            </w:r>
          </w:p>
        </w:tc>
        <w:tc>
          <w:tcPr>
            <w:tcW w:w="582" w:type="pct"/>
            <w:tcBorders>
              <w:top w:val="nil"/>
              <w:left w:val="nil"/>
              <w:bottom w:val="single" w:sz="8" w:space="0" w:color="D9D9D9"/>
              <w:right w:val="single" w:sz="8" w:space="0" w:color="D9D9D9"/>
            </w:tcBorders>
            <w:shd w:val="clear" w:color="auto" w:fill="auto"/>
            <w:vAlign w:val="center"/>
            <w:hideMark/>
          </w:tcPr>
          <w:p w14:paraId="7D4A8215"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105.822,00</w:t>
            </w:r>
          </w:p>
        </w:tc>
        <w:tc>
          <w:tcPr>
            <w:tcW w:w="661" w:type="pct"/>
            <w:tcBorders>
              <w:top w:val="nil"/>
              <w:left w:val="nil"/>
              <w:bottom w:val="single" w:sz="8" w:space="0" w:color="D9D9D9"/>
              <w:right w:val="single" w:sz="8" w:space="0" w:color="D9D9D9"/>
            </w:tcBorders>
            <w:shd w:val="clear" w:color="auto" w:fill="auto"/>
            <w:vAlign w:val="center"/>
            <w:hideMark/>
          </w:tcPr>
          <w:p w14:paraId="7D4A8216"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13.666.386,00</w:t>
            </w:r>
          </w:p>
        </w:tc>
      </w:tr>
      <w:tr w:rsidR="005D0429" w:rsidRPr="009E1B38" w14:paraId="7D4A8220"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218"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219" w14:textId="6690FFC9"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21A"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193.923,93</w:t>
            </w:r>
          </w:p>
        </w:tc>
        <w:tc>
          <w:tcPr>
            <w:tcW w:w="567" w:type="pct"/>
            <w:tcBorders>
              <w:top w:val="nil"/>
              <w:left w:val="nil"/>
              <w:bottom w:val="single" w:sz="8" w:space="0" w:color="D9D9D9"/>
              <w:right w:val="single" w:sz="8" w:space="0" w:color="D9D9D9"/>
            </w:tcBorders>
            <w:shd w:val="clear" w:color="auto" w:fill="auto"/>
            <w:vAlign w:val="center"/>
            <w:hideMark/>
          </w:tcPr>
          <w:p w14:paraId="7D4A821B"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191.376,54</w:t>
            </w:r>
          </w:p>
        </w:tc>
        <w:tc>
          <w:tcPr>
            <w:tcW w:w="614" w:type="pct"/>
            <w:tcBorders>
              <w:top w:val="nil"/>
              <w:left w:val="nil"/>
              <w:bottom w:val="single" w:sz="8" w:space="0" w:color="D9D9D9"/>
              <w:right w:val="single" w:sz="8" w:space="0" w:color="D9D9D9"/>
            </w:tcBorders>
            <w:shd w:val="clear" w:color="auto" w:fill="auto"/>
            <w:vAlign w:val="center"/>
            <w:hideMark/>
          </w:tcPr>
          <w:p w14:paraId="7D4A821C"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2.466.616,00</w:t>
            </w:r>
          </w:p>
        </w:tc>
        <w:tc>
          <w:tcPr>
            <w:tcW w:w="661" w:type="pct"/>
            <w:tcBorders>
              <w:top w:val="nil"/>
              <w:left w:val="nil"/>
              <w:bottom w:val="single" w:sz="8" w:space="0" w:color="D9D9D9"/>
              <w:right w:val="single" w:sz="8" w:space="0" w:color="D9D9D9"/>
            </w:tcBorders>
            <w:shd w:val="clear" w:color="auto" w:fill="auto"/>
            <w:vAlign w:val="center"/>
            <w:hideMark/>
          </w:tcPr>
          <w:p w14:paraId="7D4A821D"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21.290.027,00</w:t>
            </w:r>
          </w:p>
        </w:tc>
        <w:tc>
          <w:tcPr>
            <w:tcW w:w="582" w:type="pct"/>
            <w:tcBorders>
              <w:top w:val="nil"/>
              <w:left w:val="nil"/>
              <w:bottom w:val="single" w:sz="8" w:space="0" w:color="D9D9D9"/>
              <w:right w:val="single" w:sz="8" w:space="0" w:color="D9D9D9"/>
            </w:tcBorders>
            <w:shd w:val="clear" w:color="auto" w:fill="auto"/>
            <w:vAlign w:val="center"/>
            <w:hideMark/>
          </w:tcPr>
          <w:p w14:paraId="7D4A821E"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165.577,00</w:t>
            </w:r>
          </w:p>
        </w:tc>
        <w:tc>
          <w:tcPr>
            <w:tcW w:w="661" w:type="pct"/>
            <w:tcBorders>
              <w:top w:val="nil"/>
              <w:left w:val="nil"/>
              <w:bottom w:val="single" w:sz="8" w:space="0" w:color="D9D9D9"/>
              <w:right w:val="single" w:sz="8" w:space="0" w:color="D9D9D9"/>
            </w:tcBorders>
            <w:shd w:val="clear" w:color="auto" w:fill="auto"/>
            <w:vAlign w:val="center"/>
            <w:hideMark/>
          </w:tcPr>
          <w:p w14:paraId="7D4A821F"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23.922.220,00</w:t>
            </w:r>
          </w:p>
        </w:tc>
      </w:tr>
      <w:tr w:rsidR="005D0429" w:rsidRPr="009E1B38" w14:paraId="7D4A8229"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221"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2015</w:t>
            </w:r>
          </w:p>
        </w:tc>
        <w:tc>
          <w:tcPr>
            <w:tcW w:w="492" w:type="pct"/>
            <w:tcBorders>
              <w:top w:val="nil"/>
              <w:left w:val="nil"/>
              <w:bottom w:val="single" w:sz="8" w:space="0" w:color="D9D9D9"/>
              <w:right w:val="single" w:sz="8" w:space="0" w:color="D9D9D9"/>
            </w:tcBorders>
            <w:shd w:val="clear" w:color="auto" w:fill="auto"/>
            <w:hideMark/>
          </w:tcPr>
          <w:p w14:paraId="7D4A8222" w14:textId="32167D2E"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223"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108.111,46</w:t>
            </w:r>
          </w:p>
        </w:tc>
        <w:tc>
          <w:tcPr>
            <w:tcW w:w="567" w:type="pct"/>
            <w:tcBorders>
              <w:top w:val="nil"/>
              <w:left w:val="nil"/>
              <w:bottom w:val="single" w:sz="8" w:space="0" w:color="D9D9D9"/>
              <w:right w:val="single" w:sz="8" w:space="0" w:color="D9D9D9"/>
            </w:tcBorders>
            <w:shd w:val="clear" w:color="auto" w:fill="auto"/>
            <w:vAlign w:val="center"/>
            <w:hideMark/>
          </w:tcPr>
          <w:p w14:paraId="7D4A8224"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108.536,59</w:t>
            </w:r>
          </w:p>
        </w:tc>
        <w:tc>
          <w:tcPr>
            <w:tcW w:w="614" w:type="pct"/>
            <w:tcBorders>
              <w:top w:val="nil"/>
              <w:left w:val="nil"/>
              <w:bottom w:val="single" w:sz="8" w:space="0" w:color="D9D9D9"/>
              <w:right w:val="single" w:sz="8" w:space="0" w:color="D9D9D9"/>
            </w:tcBorders>
            <w:shd w:val="clear" w:color="auto" w:fill="auto"/>
            <w:vAlign w:val="center"/>
            <w:hideMark/>
          </w:tcPr>
          <w:p w14:paraId="7D4A8225"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2.823.176,00</w:t>
            </w:r>
          </w:p>
        </w:tc>
        <w:tc>
          <w:tcPr>
            <w:tcW w:w="661" w:type="pct"/>
            <w:tcBorders>
              <w:top w:val="nil"/>
              <w:left w:val="nil"/>
              <w:bottom w:val="single" w:sz="8" w:space="0" w:color="D9D9D9"/>
              <w:right w:val="single" w:sz="8" w:space="0" w:color="D9D9D9"/>
            </w:tcBorders>
            <w:shd w:val="clear" w:color="auto" w:fill="auto"/>
            <w:vAlign w:val="center"/>
            <w:hideMark/>
          </w:tcPr>
          <w:p w14:paraId="7D4A8226"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10.664.398,00</w:t>
            </w:r>
          </w:p>
        </w:tc>
        <w:tc>
          <w:tcPr>
            <w:tcW w:w="582" w:type="pct"/>
            <w:tcBorders>
              <w:top w:val="nil"/>
              <w:left w:val="nil"/>
              <w:bottom w:val="single" w:sz="8" w:space="0" w:color="D9D9D9"/>
              <w:right w:val="single" w:sz="8" w:space="0" w:color="D9D9D9"/>
            </w:tcBorders>
            <w:shd w:val="clear" w:color="auto" w:fill="auto"/>
            <w:vAlign w:val="center"/>
            <w:hideMark/>
          </w:tcPr>
          <w:p w14:paraId="7D4A8227"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79.484,00</w:t>
            </w:r>
          </w:p>
        </w:tc>
        <w:tc>
          <w:tcPr>
            <w:tcW w:w="661" w:type="pct"/>
            <w:tcBorders>
              <w:top w:val="nil"/>
              <w:left w:val="nil"/>
              <w:bottom w:val="single" w:sz="8" w:space="0" w:color="D9D9D9"/>
              <w:right w:val="single" w:sz="8" w:space="0" w:color="D9D9D9"/>
            </w:tcBorders>
            <w:shd w:val="clear" w:color="auto" w:fill="auto"/>
            <w:vAlign w:val="center"/>
            <w:hideMark/>
          </w:tcPr>
          <w:p w14:paraId="7D4A8228"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13.567.058,00</w:t>
            </w:r>
          </w:p>
        </w:tc>
      </w:tr>
      <w:tr w:rsidR="005D0429" w:rsidRPr="009E1B38" w14:paraId="7D4A8232"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22A"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22B" w14:textId="0BEF91E3"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22C"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108.758,10</w:t>
            </w:r>
          </w:p>
        </w:tc>
        <w:tc>
          <w:tcPr>
            <w:tcW w:w="567" w:type="pct"/>
            <w:tcBorders>
              <w:top w:val="nil"/>
              <w:left w:val="nil"/>
              <w:bottom w:val="single" w:sz="8" w:space="0" w:color="D9D9D9"/>
              <w:right w:val="single" w:sz="8" w:space="0" w:color="D9D9D9"/>
            </w:tcBorders>
            <w:shd w:val="clear" w:color="auto" w:fill="auto"/>
            <w:vAlign w:val="center"/>
            <w:hideMark/>
          </w:tcPr>
          <w:p w14:paraId="7D4A822D"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109.350,88</w:t>
            </w:r>
          </w:p>
        </w:tc>
        <w:tc>
          <w:tcPr>
            <w:tcW w:w="614" w:type="pct"/>
            <w:tcBorders>
              <w:top w:val="nil"/>
              <w:left w:val="nil"/>
              <w:bottom w:val="single" w:sz="8" w:space="0" w:color="D9D9D9"/>
              <w:right w:val="single" w:sz="8" w:space="0" w:color="D9D9D9"/>
            </w:tcBorders>
            <w:shd w:val="clear" w:color="auto" w:fill="auto"/>
            <w:vAlign w:val="center"/>
            <w:hideMark/>
          </w:tcPr>
          <w:p w14:paraId="7D4A822E"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0,00</w:t>
            </w:r>
          </w:p>
        </w:tc>
        <w:tc>
          <w:tcPr>
            <w:tcW w:w="661" w:type="pct"/>
            <w:tcBorders>
              <w:top w:val="nil"/>
              <w:left w:val="nil"/>
              <w:bottom w:val="single" w:sz="8" w:space="0" w:color="D9D9D9"/>
              <w:right w:val="single" w:sz="8" w:space="0" w:color="D9D9D9"/>
            </w:tcBorders>
            <w:shd w:val="clear" w:color="auto" w:fill="auto"/>
            <w:vAlign w:val="center"/>
            <w:hideMark/>
          </w:tcPr>
          <w:p w14:paraId="7D4A822F"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13.516.467,00</w:t>
            </w:r>
          </w:p>
        </w:tc>
        <w:tc>
          <w:tcPr>
            <w:tcW w:w="582" w:type="pct"/>
            <w:tcBorders>
              <w:top w:val="nil"/>
              <w:left w:val="nil"/>
              <w:bottom w:val="single" w:sz="8" w:space="0" w:color="D9D9D9"/>
              <w:right w:val="single" w:sz="8" w:space="0" w:color="D9D9D9"/>
            </w:tcBorders>
            <w:shd w:val="clear" w:color="auto" w:fill="auto"/>
            <w:vAlign w:val="center"/>
            <w:hideMark/>
          </w:tcPr>
          <w:p w14:paraId="7D4A8230"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152.793,00</w:t>
            </w:r>
          </w:p>
        </w:tc>
        <w:tc>
          <w:tcPr>
            <w:tcW w:w="661" w:type="pct"/>
            <w:tcBorders>
              <w:top w:val="nil"/>
              <w:left w:val="nil"/>
              <w:bottom w:val="single" w:sz="8" w:space="0" w:color="D9D9D9"/>
              <w:right w:val="single" w:sz="8" w:space="0" w:color="D9D9D9"/>
            </w:tcBorders>
            <w:shd w:val="clear" w:color="auto" w:fill="auto"/>
            <w:vAlign w:val="center"/>
            <w:hideMark/>
          </w:tcPr>
          <w:p w14:paraId="7D4A8231"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13.669.260,00</w:t>
            </w:r>
          </w:p>
        </w:tc>
      </w:tr>
      <w:tr w:rsidR="005D0429" w:rsidRPr="009E1B38" w14:paraId="7D4A823B"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233"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234" w14:textId="577637D7"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235"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216.869,56</w:t>
            </w:r>
          </w:p>
        </w:tc>
        <w:tc>
          <w:tcPr>
            <w:tcW w:w="567" w:type="pct"/>
            <w:tcBorders>
              <w:top w:val="nil"/>
              <w:left w:val="nil"/>
              <w:bottom w:val="single" w:sz="8" w:space="0" w:color="D9D9D9"/>
              <w:right w:val="single" w:sz="8" w:space="0" w:color="D9D9D9"/>
            </w:tcBorders>
            <w:shd w:val="clear" w:color="auto" w:fill="auto"/>
            <w:vAlign w:val="center"/>
            <w:hideMark/>
          </w:tcPr>
          <w:p w14:paraId="7D4A8236"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217.887,47</w:t>
            </w:r>
          </w:p>
        </w:tc>
        <w:tc>
          <w:tcPr>
            <w:tcW w:w="614" w:type="pct"/>
            <w:tcBorders>
              <w:top w:val="nil"/>
              <w:left w:val="nil"/>
              <w:bottom w:val="single" w:sz="8" w:space="0" w:color="D9D9D9"/>
              <w:right w:val="single" w:sz="8" w:space="0" w:color="D9D9D9"/>
            </w:tcBorders>
            <w:shd w:val="clear" w:color="auto" w:fill="auto"/>
            <w:vAlign w:val="center"/>
            <w:hideMark/>
          </w:tcPr>
          <w:p w14:paraId="7D4A8237"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2.823.176,00</w:t>
            </w:r>
          </w:p>
        </w:tc>
        <w:tc>
          <w:tcPr>
            <w:tcW w:w="661" w:type="pct"/>
            <w:tcBorders>
              <w:top w:val="nil"/>
              <w:left w:val="nil"/>
              <w:bottom w:val="single" w:sz="8" w:space="0" w:color="D9D9D9"/>
              <w:right w:val="single" w:sz="8" w:space="0" w:color="D9D9D9"/>
            </w:tcBorders>
            <w:shd w:val="clear" w:color="auto" w:fill="auto"/>
            <w:vAlign w:val="center"/>
            <w:hideMark/>
          </w:tcPr>
          <w:p w14:paraId="7D4A8238"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24.180.865,00</w:t>
            </w:r>
          </w:p>
        </w:tc>
        <w:tc>
          <w:tcPr>
            <w:tcW w:w="582" w:type="pct"/>
            <w:tcBorders>
              <w:top w:val="nil"/>
              <w:left w:val="nil"/>
              <w:bottom w:val="single" w:sz="8" w:space="0" w:color="D9D9D9"/>
              <w:right w:val="single" w:sz="8" w:space="0" w:color="D9D9D9"/>
            </w:tcBorders>
            <w:shd w:val="clear" w:color="auto" w:fill="auto"/>
            <w:vAlign w:val="center"/>
            <w:hideMark/>
          </w:tcPr>
          <w:p w14:paraId="7D4A8239"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232.277,00</w:t>
            </w:r>
          </w:p>
        </w:tc>
        <w:tc>
          <w:tcPr>
            <w:tcW w:w="661" w:type="pct"/>
            <w:tcBorders>
              <w:top w:val="nil"/>
              <w:left w:val="nil"/>
              <w:bottom w:val="single" w:sz="8" w:space="0" w:color="D9D9D9"/>
              <w:right w:val="single" w:sz="8" w:space="0" w:color="D9D9D9"/>
            </w:tcBorders>
            <w:shd w:val="clear" w:color="auto" w:fill="auto"/>
            <w:vAlign w:val="center"/>
            <w:hideMark/>
          </w:tcPr>
          <w:p w14:paraId="7D4A823A"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27.236.318,00</w:t>
            </w:r>
          </w:p>
        </w:tc>
      </w:tr>
      <w:tr w:rsidR="005D0429" w:rsidRPr="009E1B38" w14:paraId="7D4A8244"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23C"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2016</w:t>
            </w:r>
          </w:p>
        </w:tc>
        <w:tc>
          <w:tcPr>
            <w:tcW w:w="492" w:type="pct"/>
            <w:tcBorders>
              <w:top w:val="nil"/>
              <w:left w:val="nil"/>
              <w:bottom w:val="single" w:sz="8" w:space="0" w:color="D9D9D9"/>
              <w:right w:val="single" w:sz="8" w:space="0" w:color="D9D9D9"/>
            </w:tcBorders>
            <w:shd w:val="clear" w:color="auto" w:fill="auto"/>
            <w:hideMark/>
          </w:tcPr>
          <w:p w14:paraId="7D4A823D" w14:textId="2996199E"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23E"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124.068,39</w:t>
            </w:r>
          </w:p>
        </w:tc>
        <w:tc>
          <w:tcPr>
            <w:tcW w:w="567" w:type="pct"/>
            <w:tcBorders>
              <w:top w:val="nil"/>
              <w:left w:val="nil"/>
              <w:bottom w:val="single" w:sz="8" w:space="0" w:color="D9D9D9"/>
              <w:right w:val="single" w:sz="8" w:space="0" w:color="D9D9D9"/>
            </w:tcBorders>
            <w:shd w:val="clear" w:color="auto" w:fill="auto"/>
            <w:vAlign w:val="center"/>
            <w:hideMark/>
          </w:tcPr>
          <w:p w14:paraId="7D4A823F"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126.088,45</w:t>
            </w:r>
          </w:p>
        </w:tc>
        <w:tc>
          <w:tcPr>
            <w:tcW w:w="614" w:type="pct"/>
            <w:tcBorders>
              <w:top w:val="nil"/>
              <w:left w:val="nil"/>
              <w:bottom w:val="single" w:sz="8" w:space="0" w:color="D9D9D9"/>
              <w:right w:val="single" w:sz="8" w:space="0" w:color="D9D9D9"/>
            </w:tcBorders>
            <w:shd w:val="clear" w:color="auto" w:fill="auto"/>
            <w:vAlign w:val="center"/>
            <w:hideMark/>
          </w:tcPr>
          <w:p w14:paraId="7D4A8240"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2.918.536,74</w:t>
            </w:r>
          </w:p>
        </w:tc>
        <w:tc>
          <w:tcPr>
            <w:tcW w:w="661" w:type="pct"/>
            <w:tcBorders>
              <w:top w:val="nil"/>
              <w:left w:val="nil"/>
              <w:bottom w:val="single" w:sz="8" w:space="0" w:color="D9D9D9"/>
              <w:right w:val="single" w:sz="8" w:space="0" w:color="D9D9D9"/>
            </w:tcBorders>
            <w:shd w:val="clear" w:color="auto" w:fill="auto"/>
            <w:vAlign w:val="center"/>
            <w:hideMark/>
          </w:tcPr>
          <w:p w14:paraId="7D4A8241"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12.814.129,71</w:t>
            </w:r>
          </w:p>
        </w:tc>
        <w:tc>
          <w:tcPr>
            <w:tcW w:w="582" w:type="pct"/>
            <w:tcBorders>
              <w:top w:val="nil"/>
              <w:left w:val="nil"/>
              <w:bottom w:val="single" w:sz="8" w:space="0" w:color="D9D9D9"/>
              <w:right w:val="single" w:sz="8" w:space="0" w:color="D9D9D9"/>
            </w:tcBorders>
            <w:shd w:val="clear" w:color="auto" w:fill="auto"/>
            <w:vAlign w:val="center"/>
            <w:hideMark/>
          </w:tcPr>
          <w:p w14:paraId="7D4A8242"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28.389,19</w:t>
            </w:r>
          </w:p>
        </w:tc>
        <w:tc>
          <w:tcPr>
            <w:tcW w:w="661" w:type="pct"/>
            <w:tcBorders>
              <w:top w:val="nil"/>
              <w:left w:val="nil"/>
              <w:bottom w:val="single" w:sz="8" w:space="0" w:color="D9D9D9"/>
              <w:right w:val="single" w:sz="8" w:space="0" w:color="D9D9D9"/>
            </w:tcBorders>
            <w:shd w:val="clear" w:color="auto" w:fill="auto"/>
            <w:vAlign w:val="center"/>
            <w:hideMark/>
          </w:tcPr>
          <w:p w14:paraId="7D4A8243"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15.761.055,64</w:t>
            </w:r>
          </w:p>
        </w:tc>
      </w:tr>
      <w:tr w:rsidR="005D0429" w:rsidRPr="009E1B38" w14:paraId="7D4A824D"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245"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246" w14:textId="7DF38D06"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247"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111.493,34</w:t>
            </w:r>
          </w:p>
        </w:tc>
        <w:tc>
          <w:tcPr>
            <w:tcW w:w="567" w:type="pct"/>
            <w:tcBorders>
              <w:top w:val="nil"/>
              <w:left w:val="nil"/>
              <w:bottom w:val="single" w:sz="8" w:space="0" w:color="D9D9D9"/>
              <w:right w:val="single" w:sz="8" w:space="0" w:color="D9D9D9"/>
            </w:tcBorders>
            <w:shd w:val="clear" w:color="auto" w:fill="auto"/>
            <w:vAlign w:val="center"/>
            <w:hideMark/>
          </w:tcPr>
          <w:p w14:paraId="7D4A8248"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108.872,34</w:t>
            </w:r>
          </w:p>
        </w:tc>
        <w:tc>
          <w:tcPr>
            <w:tcW w:w="614" w:type="pct"/>
            <w:tcBorders>
              <w:top w:val="nil"/>
              <w:left w:val="nil"/>
              <w:bottom w:val="single" w:sz="8" w:space="0" w:color="D9D9D9"/>
              <w:right w:val="single" w:sz="8" w:space="0" w:color="D9D9D9"/>
            </w:tcBorders>
            <w:shd w:val="clear" w:color="auto" w:fill="auto"/>
            <w:vAlign w:val="center"/>
            <w:hideMark/>
          </w:tcPr>
          <w:p w14:paraId="7D4A8249"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0,00</w:t>
            </w:r>
          </w:p>
        </w:tc>
        <w:tc>
          <w:tcPr>
            <w:tcW w:w="661" w:type="pct"/>
            <w:tcBorders>
              <w:top w:val="nil"/>
              <w:left w:val="nil"/>
              <w:bottom w:val="single" w:sz="8" w:space="0" w:color="D9D9D9"/>
              <w:right w:val="single" w:sz="8" w:space="0" w:color="D9D9D9"/>
            </w:tcBorders>
            <w:shd w:val="clear" w:color="auto" w:fill="auto"/>
            <w:vAlign w:val="center"/>
            <w:hideMark/>
          </w:tcPr>
          <w:p w14:paraId="7D4A824A"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13.455.607,96</w:t>
            </w:r>
          </w:p>
        </w:tc>
        <w:tc>
          <w:tcPr>
            <w:tcW w:w="582" w:type="pct"/>
            <w:tcBorders>
              <w:top w:val="nil"/>
              <w:left w:val="nil"/>
              <w:bottom w:val="single" w:sz="8" w:space="0" w:color="D9D9D9"/>
              <w:right w:val="single" w:sz="8" w:space="0" w:color="D9D9D9"/>
            </w:tcBorders>
            <w:shd w:val="clear" w:color="auto" w:fill="auto"/>
            <w:vAlign w:val="center"/>
            <w:hideMark/>
          </w:tcPr>
          <w:p w14:paraId="7D4A824B"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153.577,87</w:t>
            </w:r>
          </w:p>
        </w:tc>
        <w:tc>
          <w:tcPr>
            <w:tcW w:w="661" w:type="pct"/>
            <w:tcBorders>
              <w:top w:val="nil"/>
              <w:left w:val="nil"/>
              <w:bottom w:val="single" w:sz="8" w:space="0" w:color="D9D9D9"/>
              <w:right w:val="single" w:sz="8" w:space="0" w:color="D9D9D9"/>
            </w:tcBorders>
            <w:shd w:val="clear" w:color="auto" w:fill="auto"/>
            <w:vAlign w:val="center"/>
            <w:hideMark/>
          </w:tcPr>
          <w:p w14:paraId="7D4A824C"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13.609.185,83</w:t>
            </w:r>
          </w:p>
        </w:tc>
      </w:tr>
      <w:tr w:rsidR="005D0429" w:rsidRPr="009E1B38" w14:paraId="7D4A8256"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24E"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24F" w14:textId="64DB4D24"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250"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235.561,73</w:t>
            </w:r>
          </w:p>
        </w:tc>
        <w:tc>
          <w:tcPr>
            <w:tcW w:w="567" w:type="pct"/>
            <w:tcBorders>
              <w:top w:val="nil"/>
              <w:left w:val="nil"/>
              <w:bottom w:val="single" w:sz="8" w:space="0" w:color="D9D9D9"/>
              <w:right w:val="single" w:sz="8" w:space="0" w:color="D9D9D9"/>
            </w:tcBorders>
            <w:shd w:val="clear" w:color="auto" w:fill="auto"/>
            <w:vAlign w:val="center"/>
            <w:hideMark/>
          </w:tcPr>
          <w:p w14:paraId="7D4A8251"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234.960,79</w:t>
            </w:r>
          </w:p>
        </w:tc>
        <w:tc>
          <w:tcPr>
            <w:tcW w:w="614" w:type="pct"/>
            <w:tcBorders>
              <w:top w:val="nil"/>
              <w:left w:val="nil"/>
              <w:bottom w:val="single" w:sz="8" w:space="0" w:color="D9D9D9"/>
              <w:right w:val="single" w:sz="8" w:space="0" w:color="D9D9D9"/>
            </w:tcBorders>
            <w:shd w:val="clear" w:color="auto" w:fill="auto"/>
            <w:vAlign w:val="center"/>
            <w:hideMark/>
          </w:tcPr>
          <w:p w14:paraId="7D4A8252"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2.918.536,74</w:t>
            </w:r>
          </w:p>
        </w:tc>
        <w:tc>
          <w:tcPr>
            <w:tcW w:w="661" w:type="pct"/>
            <w:tcBorders>
              <w:top w:val="nil"/>
              <w:left w:val="nil"/>
              <w:bottom w:val="single" w:sz="8" w:space="0" w:color="D9D9D9"/>
              <w:right w:val="single" w:sz="8" w:space="0" w:color="D9D9D9"/>
            </w:tcBorders>
            <w:shd w:val="clear" w:color="auto" w:fill="auto"/>
            <w:vAlign w:val="center"/>
            <w:hideMark/>
          </w:tcPr>
          <w:p w14:paraId="7D4A8253"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26.269.737,67</w:t>
            </w:r>
          </w:p>
        </w:tc>
        <w:tc>
          <w:tcPr>
            <w:tcW w:w="582" w:type="pct"/>
            <w:tcBorders>
              <w:top w:val="nil"/>
              <w:left w:val="nil"/>
              <w:bottom w:val="single" w:sz="8" w:space="0" w:color="D9D9D9"/>
              <w:right w:val="single" w:sz="8" w:space="0" w:color="D9D9D9"/>
            </w:tcBorders>
            <w:shd w:val="clear" w:color="auto" w:fill="auto"/>
            <w:vAlign w:val="center"/>
            <w:hideMark/>
          </w:tcPr>
          <w:p w14:paraId="7D4A8254"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181.967,06</w:t>
            </w:r>
          </w:p>
        </w:tc>
        <w:tc>
          <w:tcPr>
            <w:tcW w:w="661" w:type="pct"/>
            <w:tcBorders>
              <w:top w:val="nil"/>
              <w:left w:val="nil"/>
              <w:bottom w:val="single" w:sz="8" w:space="0" w:color="D9D9D9"/>
              <w:right w:val="single" w:sz="8" w:space="0" w:color="D9D9D9"/>
            </w:tcBorders>
            <w:shd w:val="clear" w:color="auto" w:fill="auto"/>
            <w:vAlign w:val="center"/>
            <w:hideMark/>
          </w:tcPr>
          <w:p w14:paraId="7D4A8255"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29.370.241,47</w:t>
            </w:r>
          </w:p>
        </w:tc>
      </w:tr>
      <w:tr w:rsidR="005D0429" w:rsidRPr="009E1B38" w14:paraId="7D4A825F"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257"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2017</w:t>
            </w:r>
          </w:p>
        </w:tc>
        <w:tc>
          <w:tcPr>
            <w:tcW w:w="492" w:type="pct"/>
            <w:tcBorders>
              <w:top w:val="nil"/>
              <w:left w:val="nil"/>
              <w:bottom w:val="single" w:sz="8" w:space="0" w:color="D9D9D9"/>
              <w:right w:val="single" w:sz="8" w:space="0" w:color="D9D9D9"/>
            </w:tcBorders>
            <w:shd w:val="clear" w:color="auto" w:fill="auto"/>
            <w:hideMark/>
          </w:tcPr>
          <w:p w14:paraId="7D4A8258" w14:textId="33C7849E"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259"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133.762,01</w:t>
            </w:r>
          </w:p>
        </w:tc>
        <w:tc>
          <w:tcPr>
            <w:tcW w:w="567" w:type="pct"/>
            <w:tcBorders>
              <w:top w:val="nil"/>
              <w:left w:val="nil"/>
              <w:bottom w:val="single" w:sz="8" w:space="0" w:color="D9D9D9"/>
              <w:right w:val="single" w:sz="8" w:space="0" w:color="D9D9D9"/>
            </w:tcBorders>
            <w:shd w:val="clear" w:color="auto" w:fill="auto"/>
            <w:vAlign w:val="center"/>
            <w:hideMark/>
          </w:tcPr>
          <w:p w14:paraId="7D4A825A"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130.937,80</w:t>
            </w:r>
          </w:p>
        </w:tc>
        <w:tc>
          <w:tcPr>
            <w:tcW w:w="614" w:type="pct"/>
            <w:tcBorders>
              <w:top w:val="nil"/>
              <w:left w:val="nil"/>
              <w:bottom w:val="single" w:sz="8" w:space="0" w:color="D9D9D9"/>
              <w:right w:val="single" w:sz="8" w:space="0" w:color="D9D9D9"/>
            </w:tcBorders>
            <w:shd w:val="clear" w:color="auto" w:fill="auto"/>
            <w:vAlign w:val="center"/>
            <w:hideMark/>
          </w:tcPr>
          <w:p w14:paraId="7D4A825B"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2.982.718,02</w:t>
            </w:r>
          </w:p>
        </w:tc>
        <w:tc>
          <w:tcPr>
            <w:tcW w:w="661" w:type="pct"/>
            <w:tcBorders>
              <w:top w:val="nil"/>
              <w:left w:val="nil"/>
              <w:bottom w:val="single" w:sz="8" w:space="0" w:color="D9D9D9"/>
              <w:right w:val="single" w:sz="8" w:space="0" w:color="D9D9D9"/>
            </w:tcBorders>
            <w:shd w:val="clear" w:color="auto" w:fill="auto"/>
            <w:vAlign w:val="center"/>
            <w:hideMark/>
          </w:tcPr>
          <w:p w14:paraId="7D4A825C"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13.369.035,61</w:t>
            </w:r>
          </w:p>
        </w:tc>
        <w:tc>
          <w:tcPr>
            <w:tcW w:w="582" w:type="pct"/>
            <w:tcBorders>
              <w:top w:val="nil"/>
              <w:left w:val="nil"/>
              <w:bottom w:val="single" w:sz="8" w:space="0" w:color="D9D9D9"/>
              <w:right w:val="single" w:sz="8" w:space="0" w:color="D9D9D9"/>
            </w:tcBorders>
            <w:shd w:val="clear" w:color="auto" w:fill="auto"/>
            <w:vAlign w:val="center"/>
            <w:hideMark/>
          </w:tcPr>
          <w:p w14:paraId="7D4A825D"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15.473,43</w:t>
            </w:r>
          </w:p>
        </w:tc>
        <w:tc>
          <w:tcPr>
            <w:tcW w:w="661" w:type="pct"/>
            <w:tcBorders>
              <w:top w:val="nil"/>
              <w:left w:val="nil"/>
              <w:bottom w:val="single" w:sz="8" w:space="0" w:color="D9D9D9"/>
              <w:right w:val="single" w:sz="8" w:space="0" w:color="D9D9D9"/>
            </w:tcBorders>
            <w:shd w:val="clear" w:color="auto" w:fill="auto"/>
            <w:vAlign w:val="center"/>
            <w:hideMark/>
          </w:tcPr>
          <w:p w14:paraId="7D4A825E"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16.367.227,06</w:t>
            </w:r>
          </w:p>
        </w:tc>
      </w:tr>
      <w:tr w:rsidR="005D0429" w:rsidRPr="009E1B38" w14:paraId="7D4A8268"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260"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261" w14:textId="52D60C76"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262"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119.137,46</w:t>
            </w:r>
          </w:p>
        </w:tc>
        <w:tc>
          <w:tcPr>
            <w:tcW w:w="567" w:type="pct"/>
            <w:tcBorders>
              <w:top w:val="nil"/>
              <w:left w:val="nil"/>
              <w:bottom w:val="single" w:sz="8" w:space="0" w:color="D9D9D9"/>
              <w:right w:val="single" w:sz="8" w:space="0" w:color="D9D9D9"/>
            </w:tcBorders>
            <w:shd w:val="clear" w:color="auto" w:fill="auto"/>
            <w:vAlign w:val="center"/>
            <w:hideMark/>
          </w:tcPr>
          <w:p w14:paraId="7D4A8263"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117.971,15</w:t>
            </w:r>
          </w:p>
        </w:tc>
        <w:tc>
          <w:tcPr>
            <w:tcW w:w="614" w:type="pct"/>
            <w:tcBorders>
              <w:top w:val="nil"/>
              <w:left w:val="nil"/>
              <w:bottom w:val="single" w:sz="8" w:space="0" w:color="D9D9D9"/>
              <w:right w:val="single" w:sz="8" w:space="0" w:color="D9D9D9"/>
            </w:tcBorders>
            <w:shd w:val="clear" w:color="auto" w:fill="auto"/>
            <w:vAlign w:val="center"/>
            <w:hideMark/>
          </w:tcPr>
          <w:p w14:paraId="7D4A8264"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0,00</w:t>
            </w:r>
          </w:p>
        </w:tc>
        <w:tc>
          <w:tcPr>
            <w:tcW w:w="661" w:type="pct"/>
            <w:tcBorders>
              <w:top w:val="nil"/>
              <w:left w:val="nil"/>
              <w:bottom w:val="single" w:sz="8" w:space="0" w:color="D9D9D9"/>
              <w:right w:val="single" w:sz="8" w:space="0" w:color="D9D9D9"/>
            </w:tcBorders>
            <w:shd w:val="clear" w:color="auto" w:fill="auto"/>
            <w:vAlign w:val="center"/>
            <w:hideMark/>
          </w:tcPr>
          <w:p w14:paraId="7D4A8265"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14.588.287,66</w:t>
            </w:r>
          </w:p>
        </w:tc>
        <w:tc>
          <w:tcPr>
            <w:tcW w:w="582" w:type="pct"/>
            <w:tcBorders>
              <w:top w:val="nil"/>
              <w:left w:val="nil"/>
              <w:bottom w:val="single" w:sz="8" w:space="0" w:color="D9D9D9"/>
              <w:right w:val="single" w:sz="8" w:space="0" w:color="D9D9D9"/>
            </w:tcBorders>
            <w:shd w:val="clear" w:color="auto" w:fill="auto"/>
            <w:vAlign w:val="center"/>
            <w:hideMark/>
          </w:tcPr>
          <w:p w14:paraId="7D4A8266"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158.433,03</w:t>
            </w:r>
          </w:p>
        </w:tc>
        <w:tc>
          <w:tcPr>
            <w:tcW w:w="661" w:type="pct"/>
            <w:tcBorders>
              <w:top w:val="nil"/>
              <w:left w:val="nil"/>
              <w:bottom w:val="single" w:sz="8" w:space="0" w:color="D9D9D9"/>
              <w:right w:val="single" w:sz="8" w:space="0" w:color="D9D9D9"/>
            </w:tcBorders>
            <w:shd w:val="clear" w:color="auto" w:fill="auto"/>
            <w:vAlign w:val="center"/>
            <w:hideMark/>
          </w:tcPr>
          <w:p w14:paraId="7D4A8267"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14.746.720,69</w:t>
            </w:r>
          </w:p>
        </w:tc>
      </w:tr>
      <w:tr w:rsidR="005D0429" w:rsidRPr="009E1B38" w14:paraId="7D4A8271"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269"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26A" w14:textId="043ACFD5"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26B"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252.899,47</w:t>
            </w:r>
          </w:p>
        </w:tc>
        <w:tc>
          <w:tcPr>
            <w:tcW w:w="567" w:type="pct"/>
            <w:tcBorders>
              <w:top w:val="nil"/>
              <w:left w:val="nil"/>
              <w:bottom w:val="single" w:sz="8" w:space="0" w:color="D9D9D9"/>
              <w:right w:val="single" w:sz="8" w:space="0" w:color="D9D9D9"/>
            </w:tcBorders>
            <w:shd w:val="clear" w:color="auto" w:fill="auto"/>
            <w:vAlign w:val="center"/>
            <w:hideMark/>
          </w:tcPr>
          <w:p w14:paraId="7D4A826C"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248.908,95</w:t>
            </w:r>
          </w:p>
        </w:tc>
        <w:tc>
          <w:tcPr>
            <w:tcW w:w="614" w:type="pct"/>
            <w:tcBorders>
              <w:top w:val="nil"/>
              <w:left w:val="nil"/>
              <w:bottom w:val="single" w:sz="8" w:space="0" w:color="D9D9D9"/>
              <w:right w:val="single" w:sz="8" w:space="0" w:color="D9D9D9"/>
            </w:tcBorders>
            <w:shd w:val="clear" w:color="auto" w:fill="auto"/>
            <w:vAlign w:val="center"/>
            <w:hideMark/>
          </w:tcPr>
          <w:p w14:paraId="7D4A826D"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2.982.718,02</w:t>
            </w:r>
          </w:p>
        </w:tc>
        <w:tc>
          <w:tcPr>
            <w:tcW w:w="661" w:type="pct"/>
            <w:tcBorders>
              <w:top w:val="nil"/>
              <w:left w:val="nil"/>
              <w:bottom w:val="single" w:sz="8" w:space="0" w:color="D9D9D9"/>
              <w:right w:val="single" w:sz="8" w:space="0" w:color="D9D9D9"/>
            </w:tcBorders>
            <w:shd w:val="clear" w:color="auto" w:fill="auto"/>
            <w:vAlign w:val="center"/>
            <w:hideMark/>
          </w:tcPr>
          <w:p w14:paraId="7D4A826E"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27.957.323,26</w:t>
            </w:r>
          </w:p>
        </w:tc>
        <w:tc>
          <w:tcPr>
            <w:tcW w:w="582" w:type="pct"/>
            <w:tcBorders>
              <w:top w:val="nil"/>
              <w:left w:val="nil"/>
              <w:bottom w:val="single" w:sz="8" w:space="0" w:color="D9D9D9"/>
              <w:right w:val="single" w:sz="8" w:space="0" w:color="D9D9D9"/>
            </w:tcBorders>
            <w:shd w:val="clear" w:color="auto" w:fill="auto"/>
            <w:vAlign w:val="center"/>
            <w:hideMark/>
          </w:tcPr>
          <w:p w14:paraId="7D4A826F"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173.906,46</w:t>
            </w:r>
          </w:p>
        </w:tc>
        <w:tc>
          <w:tcPr>
            <w:tcW w:w="661" w:type="pct"/>
            <w:tcBorders>
              <w:top w:val="nil"/>
              <w:left w:val="nil"/>
              <w:bottom w:val="single" w:sz="8" w:space="0" w:color="D9D9D9"/>
              <w:right w:val="single" w:sz="8" w:space="0" w:color="D9D9D9"/>
            </w:tcBorders>
            <w:shd w:val="clear" w:color="auto" w:fill="auto"/>
            <w:vAlign w:val="center"/>
            <w:hideMark/>
          </w:tcPr>
          <w:p w14:paraId="7D4A8270"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31.113.947,74</w:t>
            </w:r>
          </w:p>
        </w:tc>
      </w:tr>
      <w:tr w:rsidR="005D0429" w:rsidRPr="009E1B38" w14:paraId="7D4A827A" w14:textId="77777777" w:rsidTr="000E5E13">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D4A8272"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2018</w:t>
            </w:r>
          </w:p>
        </w:tc>
        <w:tc>
          <w:tcPr>
            <w:tcW w:w="492" w:type="pct"/>
            <w:tcBorders>
              <w:top w:val="nil"/>
              <w:left w:val="nil"/>
              <w:bottom w:val="single" w:sz="8" w:space="0" w:color="D9D9D9"/>
              <w:right w:val="single" w:sz="8" w:space="0" w:color="D9D9D9"/>
            </w:tcBorders>
            <w:shd w:val="clear" w:color="auto" w:fill="auto"/>
            <w:hideMark/>
          </w:tcPr>
          <w:p w14:paraId="7D4A8273" w14:textId="48214CDE"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hideMark/>
          </w:tcPr>
          <w:p w14:paraId="7D4A8274"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137.217,16</w:t>
            </w:r>
          </w:p>
        </w:tc>
        <w:tc>
          <w:tcPr>
            <w:tcW w:w="567" w:type="pct"/>
            <w:tcBorders>
              <w:top w:val="nil"/>
              <w:left w:val="nil"/>
              <w:bottom w:val="single" w:sz="8" w:space="0" w:color="D9D9D9"/>
              <w:right w:val="single" w:sz="8" w:space="0" w:color="D9D9D9"/>
            </w:tcBorders>
            <w:shd w:val="clear" w:color="auto" w:fill="auto"/>
            <w:vAlign w:val="center"/>
            <w:hideMark/>
          </w:tcPr>
          <w:p w14:paraId="7D4A8275"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136.097,38</w:t>
            </w:r>
          </w:p>
        </w:tc>
        <w:tc>
          <w:tcPr>
            <w:tcW w:w="614" w:type="pct"/>
            <w:tcBorders>
              <w:top w:val="nil"/>
              <w:left w:val="nil"/>
              <w:bottom w:val="single" w:sz="8" w:space="0" w:color="D9D9D9"/>
              <w:right w:val="single" w:sz="8" w:space="0" w:color="D9D9D9"/>
            </w:tcBorders>
            <w:shd w:val="clear" w:color="auto" w:fill="auto"/>
            <w:vAlign w:val="center"/>
            <w:hideMark/>
          </w:tcPr>
          <w:p w14:paraId="7D4A8276"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3.033.684,35</w:t>
            </w:r>
          </w:p>
        </w:tc>
        <w:tc>
          <w:tcPr>
            <w:tcW w:w="661" w:type="pct"/>
            <w:tcBorders>
              <w:top w:val="nil"/>
              <w:left w:val="nil"/>
              <w:bottom w:val="single" w:sz="8" w:space="0" w:color="D9D9D9"/>
              <w:right w:val="single" w:sz="8" w:space="0" w:color="D9D9D9"/>
            </w:tcBorders>
            <w:shd w:val="clear" w:color="auto" w:fill="auto"/>
            <w:vAlign w:val="center"/>
            <w:hideMark/>
          </w:tcPr>
          <w:p w14:paraId="7D4A8277"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13.966.248,42</w:t>
            </w:r>
          </w:p>
        </w:tc>
        <w:tc>
          <w:tcPr>
            <w:tcW w:w="582" w:type="pct"/>
            <w:tcBorders>
              <w:top w:val="nil"/>
              <w:left w:val="nil"/>
              <w:bottom w:val="single" w:sz="8" w:space="0" w:color="D9D9D9"/>
              <w:right w:val="single" w:sz="8" w:space="0" w:color="D9D9D9"/>
            </w:tcBorders>
            <w:shd w:val="clear" w:color="auto" w:fill="auto"/>
            <w:vAlign w:val="center"/>
            <w:hideMark/>
          </w:tcPr>
          <w:p w14:paraId="7D4A8278"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12.237,88</w:t>
            </w:r>
          </w:p>
        </w:tc>
        <w:tc>
          <w:tcPr>
            <w:tcW w:w="661" w:type="pct"/>
            <w:tcBorders>
              <w:top w:val="nil"/>
              <w:left w:val="nil"/>
              <w:bottom w:val="single" w:sz="8" w:space="0" w:color="D9D9D9"/>
              <w:right w:val="single" w:sz="8" w:space="0" w:color="D9D9D9"/>
            </w:tcBorders>
            <w:shd w:val="clear" w:color="auto" w:fill="auto"/>
            <w:vAlign w:val="center"/>
            <w:hideMark/>
          </w:tcPr>
          <w:p w14:paraId="7D4A8279"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17.012.170,64</w:t>
            </w:r>
          </w:p>
        </w:tc>
      </w:tr>
      <w:tr w:rsidR="005D0429" w:rsidRPr="009E1B38" w14:paraId="7D4A8283"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27B"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27C" w14:textId="3FB49226"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hideMark/>
          </w:tcPr>
          <w:p w14:paraId="7D4A827D"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107.606,46</w:t>
            </w:r>
          </w:p>
        </w:tc>
        <w:tc>
          <w:tcPr>
            <w:tcW w:w="567" w:type="pct"/>
            <w:tcBorders>
              <w:top w:val="nil"/>
              <w:left w:val="nil"/>
              <w:bottom w:val="single" w:sz="8" w:space="0" w:color="D9D9D9"/>
              <w:right w:val="single" w:sz="8" w:space="0" w:color="D9D9D9"/>
            </w:tcBorders>
            <w:shd w:val="clear" w:color="auto" w:fill="auto"/>
            <w:vAlign w:val="center"/>
            <w:hideMark/>
          </w:tcPr>
          <w:p w14:paraId="7D4A827E"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108.945,34</w:t>
            </w:r>
          </w:p>
        </w:tc>
        <w:tc>
          <w:tcPr>
            <w:tcW w:w="614" w:type="pct"/>
            <w:tcBorders>
              <w:top w:val="nil"/>
              <w:left w:val="nil"/>
              <w:bottom w:val="single" w:sz="8" w:space="0" w:color="D9D9D9"/>
              <w:right w:val="single" w:sz="8" w:space="0" w:color="D9D9D9"/>
            </w:tcBorders>
            <w:shd w:val="clear" w:color="auto" w:fill="auto"/>
            <w:vAlign w:val="center"/>
            <w:hideMark/>
          </w:tcPr>
          <w:p w14:paraId="7D4A827F"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0,00</w:t>
            </w:r>
          </w:p>
        </w:tc>
        <w:tc>
          <w:tcPr>
            <w:tcW w:w="661" w:type="pct"/>
            <w:tcBorders>
              <w:top w:val="nil"/>
              <w:left w:val="nil"/>
              <w:bottom w:val="single" w:sz="8" w:space="0" w:color="D9D9D9"/>
              <w:right w:val="single" w:sz="8" w:space="0" w:color="D9D9D9"/>
            </w:tcBorders>
            <w:shd w:val="clear" w:color="auto" w:fill="auto"/>
            <w:vAlign w:val="center"/>
            <w:hideMark/>
          </w:tcPr>
          <w:p w14:paraId="7D4A8280"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13.412.442,25</w:t>
            </w:r>
          </w:p>
        </w:tc>
        <w:tc>
          <w:tcPr>
            <w:tcW w:w="582" w:type="pct"/>
            <w:tcBorders>
              <w:top w:val="nil"/>
              <w:left w:val="nil"/>
              <w:bottom w:val="single" w:sz="8" w:space="0" w:color="D9D9D9"/>
              <w:right w:val="single" w:sz="8" w:space="0" w:color="D9D9D9"/>
            </w:tcBorders>
            <w:shd w:val="clear" w:color="auto" w:fill="auto"/>
            <w:vAlign w:val="center"/>
            <w:hideMark/>
          </w:tcPr>
          <w:p w14:paraId="7D4A8281"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205.871,57</w:t>
            </w:r>
          </w:p>
        </w:tc>
        <w:tc>
          <w:tcPr>
            <w:tcW w:w="661" w:type="pct"/>
            <w:tcBorders>
              <w:top w:val="nil"/>
              <w:left w:val="nil"/>
              <w:bottom w:val="single" w:sz="8" w:space="0" w:color="D9D9D9"/>
              <w:right w:val="single" w:sz="8" w:space="0" w:color="D9D9D9"/>
            </w:tcBorders>
            <w:shd w:val="clear" w:color="auto" w:fill="auto"/>
            <w:vAlign w:val="center"/>
            <w:hideMark/>
          </w:tcPr>
          <w:p w14:paraId="7D4A8282"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eastAsia="Times New Roman" w:hAnsi="Times New Roman"/>
                <w:color w:val="000000"/>
                <w:sz w:val="18"/>
                <w:szCs w:val="18"/>
                <w:lang w:eastAsia="tr-TR"/>
              </w:rPr>
              <w:t>13.618.313,81</w:t>
            </w:r>
          </w:p>
        </w:tc>
      </w:tr>
      <w:tr w:rsidR="005D0429" w:rsidRPr="009E1B38" w14:paraId="7D4A828C" w14:textId="77777777" w:rsidTr="000E5E13">
        <w:trPr>
          <w:trHeight w:val="20"/>
        </w:trPr>
        <w:tc>
          <w:tcPr>
            <w:tcW w:w="856" w:type="pct"/>
            <w:vMerge/>
            <w:tcBorders>
              <w:top w:val="nil"/>
              <w:left w:val="single" w:sz="8" w:space="0" w:color="D9D9D9"/>
              <w:bottom w:val="single" w:sz="8" w:space="0" w:color="D9D9D9"/>
              <w:right w:val="single" w:sz="8" w:space="0" w:color="D9D9D9"/>
            </w:tcBorders>
            <w:vAlign w:val="center"/>
            <w:hideMark/>
          </w:tcPr>
          <w:p w14:paraId="7D4A8284"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hideMark/>
          </w:tcPr>
          <w:p w14:paraId="7D4A8285" w14:textId="757EDC51"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hideMark/>
          </w:tcPr>
          <w:p w14:paraId="7D4A8286"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244.823,61</w:t>
            </w:r>
          </w:p>
        </w:tc>
        <w:tc>
          <w:tcPr>
            <w:tcW w:w="567" w:type="pct"/>
            <w:tcBorders>
              <w:top w:val="nil"/>
              <w:left w:val="nil"/>
              <w:bottom w:val="single" w:sz="8" w:space="0" w:color="D9D9D9"/>
              <w:right w:val="single" w:sz="8" w:space="0" w:color="D9D9D9"/>
            </w:tcBorders>
            <w:shd w:val="clear" w:color="auto" w:fill="auto"/>
            <w:vAlign w:val="center"/>
            <w:hideMark/>
          </w:tcPr>
          <w:p w14:paraId="7D4A8287"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245.042,72</w:t>
            </w:r>
          </w:p>
        </w:tc>
        <w:tc>
          <w:tcPr>
            <w:tcW w:w="614" w:type="pct"/>
            <w:tcBorders>
              <w:top w:val="nil"/>
              <w:left w:val="nil"/>
              <w:bottom w:val="single" w:sz="8" w:space="0" w:color="D9D9D9"/>
              <w:right w:val="single" w:sz="8" w:space="0" w:color="D9D9D9"/>
            </w:tcBorders>
            <w:shd w:val="clear" w:color="auto" w:fill="auto"/>
            <w:vAlign w:val="center"/>
            <w:hideMark/>
          </w:tcPr>
          <w:p w14:paraId="7D4A8288"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3.033.684,35</w:t>
            </w:r>
          </w:p>
        </w:tc>
        <w:tc>
          <w:tcPr>
            <w:tcW w:w="661" w:type="pct"/>
            <w:tcBorders>
              <w:top w:val="nil"/>
              <w:left w:val="nil"/>
              <w:bottom w:val="single" w:sz="8" w:space="0" w:color="D9D9D9"/>
              <w:right w:val="single" w:sz="8" w:space="0" w:color="D9D9D9"/>
            </w:tcBorders>
            <w:shd w:val="clear" w:color="auto" w:fill="auto"/>
            <w:vAlign w:val="center"/>
            <w:hideMark/>
          </w:tcPr>
          <w:p w14:paraId="7D4A8289"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27.378.690,66</w:t>
            </w:r>
          </w:p>
        </w:tc>
        <w:tc>
          <w:tcPr>
            <w:tcW w:w="582" w:type="pct"/>
            <w:tcBorders>
              <w:top w:val="nil"/>
              <w:left w:val="nil"/>
              <w:bottom w:val="single" w:sz="8" w:space="0" w:color="D9D9D9"/>
              <w:right w:val="single" w:sz="8" w:space="0" w:color="D9D9D9"/>
            </w:tcBorders>
            <w:shd w:val="clear" w:color="auto" w:fill="auto"/>
            <w:vAlign w:val="center"/>
            <w:hideMark/>
          </w:tcPr>
          <w:p w14:paraId="7D4A828A"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218.109,44</w:t>
            </w:r>
          </w:p>
        </w:tc>
        <w:tc>
          <w:tcPr>
            <w:tcW w:w="661" w:type="pct"/>
            <w:tcBorders>
              <w:top w:val="nil"/>
              <w:left w:val="nil"/>
              <w:bottom w:val="single" w:sz="8" w:space="0" w:color="D9D9D9"/>
              <w:right w:val="single" w:sz="8" w:space="0" w:color="D9D9D9"/>
            </w:tcBorders>
            <w:shd w:val="clear" w:color="auto" w:fill="auto"/>
            <w:vAlign w:val="center"/>
            <w:hideMark/>
          </w:tcPr>
          <w:p w14:paraId="7D4A828B"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eastAsia="Times New Roman" w:hAnsi="Times New Roman"/>
                <w:b/>
                <w:color w:val="000000"/>
                <w:sz w:val="18"/>
                <w:szCs w:val="18"/>
                <w:lang w:eastAsia="tr-TR"/>
              </w:rPr>
              <w:t>30.630.484,46</w:t>
            </w:r>
          </w:p>
        </w:tc>
      </w:tr>
      <w:tr w:rsidR="005D0429" w:rsidRPr="009E1B38" w14:paraId="7D4A8295" w14:textId="77777777" w:rsidTr="000E5E13">
        <w:trPr>
          <w:trHeight w:val="20"/>
        </w:trPr>
        <w:tc>
          <w:tcPr>
            <w:tcW w:w="856" w:type="pct"/>
            <w:vMerge w:val="restart"/>
            <w:tcBorders>
              <w:top w:val="nil"/>
              <w:left w:val="single" w:sz="8" w:space="0" w:color="D9D9D9"/>
              <w:right w:val="single" w:sz="8" w:space="0" w:color="D9D9D9"/>
            </w:tcBorders>
            <w:vAlign w:val="center"/>
          </w:tcPr>
          <w:p w14:paraId="7D4A828D"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2019</w:t>
            </w:r>
          </w:p>
        </w:tc>
        <w:tc>
          <w:tcPr>
            <w:tcW w:w="492" w:type="pct"/>
            <w:tcBorders>
              <w:top w:val="nil"/>
              <w:left w:val="nil"/>
              <w:bottom w:val="single" w:sz="8" w:space="0" w:color="D9D9D9"/>
              <w:right w:val="single" w:sz="8" w:space="0" w:color="D9D9D9"/>
            </w:tcBorders>
            <w:shd w:val="clear" w:color="auto" w:fill="auto"/>
          </w:tcPr>
          <w:p w14:paraId="7D4A828E" w14:textId="385A8972"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tcPr>
          <w:p w14:paraId="7D4A828F"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139.047,49</w:t>
            </w:r>
          </w:p>
        </w:tc>
        <w:tc>
          <w:tcPr>
            <w:tcW w:w="567" w:type="pct"/>
            <w:tcBorders>
              <w:top w:val="nil"/>
              <w:left w:val="nil"/>
              <w:bottom w:val="single" w:sz="8" w:space="0" w:color="D9D9D9"/>
              <w:right w:val="single" w:sz="8" w:space="0" w:color="D9D9D9"/>
            </w:tcBorders>
            <w:shd w:val="clear" w:color="auto" w:fill="auto"/>
            <w:vAlign w:val="center"/>
          </w:tcPr>
          <w:p w14:paraId="7D4A8290"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138.857,97</w:t>
            </w:r>
          </w:p>
        </w:tc>
        <w:tc>
          <w:tcPr>
            <w:tcW w:w="614" w:type="pct"/>
            <w:tcBorders>
              <w:top w:val="nil"/>
              <w:left w:val="nil"/>
              <w:bottom w:val="single" w:sz="8" w:space="0" w:color="D9D9D9"/>
              <w:right w:val="single" w:sz="8" w:space="0" w:color="D9D9D9"/>
            </w:tcBorders>
            <w:shd w:val="clear" w:color="auto" w:fill="auto"/>
            <w:vAlign w:val="center"/>
          </w:tcPr>
          <w:p w14:paraId="7D4A8291"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3.138.062,08</w:t>
            </w:r>
          </w:p>
        </w:tc>
        <w:tc>
          <w:tcPr>
            <w:tcW w:w="661" w:type="pct"/>
            <w:tcBorders>
              <w:top w:val="nil"/>
              <w:left w:val="nil"/>
              <w:bottom w:val="single" w:sz="8" w:space="0" w:color="D9D9D9"/>
              <w:right w:val="single" w:sz="8" w:space="0" w:color="D9D9D9"/>
            </w:tcBorders>
            <w:shd w:val="clear" w:color="auto" w:fill="auto"/>
            <w:vAlign w:val="center"/>
          </w:tcPr>
          <w:p w14:paraId="7D4A8292"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14.205.698,60</w:t>
            </w:r>
          </w:p>
        </w:tc>
        <w:tc>
          <w:tcPr>
            <w:tcW w:w="582" w:type="pct"/>
            <w:tcBorders>
              <w:top w:val="nil"/>
              <w:left w:val="nil"/>
              <w:bottom w:val="single" w:sz="8" w:space="0" w:color="D9D9D9"/>
              <w:right w:val="single" w:sz="8" w:space="0" w:color="D9D9D9"/>
            </w:tcBorders>
            <w:shd w:val="clear" w:color="auto" w:fill="auto"/>
            <w:vAlign w:val="center"/>
          </w:tcPr>
          <w:p w14:paraId="7D4A8293"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13.483,34</w:t>
            </w:r>
          </w:p>
        </w:tc>
        <w:tc>
          <w:tcPr>
            <w:tcW w:w="661" w:type="pct"/>
            <w:tcBorders>
              <w:top w:val="nil"/>
              <w:left w:val="nil"/>
              <w:bottom w:val="single" w:sz="8" w:space="0" w:color="D9D9D9"/>
              <w:right w:val="single" w:sz="8" w:space="0" w:color="D9D9D9"/>
            </w:tcBorders>
            <w:shd w:val="clear" w:color="auto" w:fill="auto"/>
            <w:vAlign w:val="center"/>
          </w:tcPr>
          <w:p w14:paraId="7D4A8294"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17.357.244,02</w:t>
            </w:r>
          </w:p>
        </w:tc>
      </w:tr>
      <w:tr w:rsidR="005D0429" w:rsidRPr="009E1B38" w14:paraId="7D4A829E" w14:textId="77777777" w:rsidTr="000E5E13">
        <w:trPr>
          <w:trHeight w:val="20"/>
        </w:trPr>
        <w:tc>
          <w:tcPr>
            <w:tcW w:w="856" w:type="pct"/>
            <w:vMerge/>
            <w:tcBorders>
              <w:left w:val="single" w:sz="8" w:space="0" w:color="D9D9D9"/>
              <w:right w:val="single" w:sz="8" w:space="0" w:color="D9D9D9"/>
            </w:tcBorders>
            <w:vAlign w:val="center"/>
          </w:tcPr>
          <w:p w14:paraId="7D4A8296"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tcPr>
          <w:p w14:paraId="7D4A8297" w14:textId="351802DD" w:rsidR="005D0429" w:rsidRPr="009E1B38" w:rsidRDefault="000E5E13" w:rsidP="005D0429">
            <w:pPr>
              <w:spacing w:after="0" w:line="240" w:lineRule="auto"/>
              <w:rPr>
                <w:rFonts w:ascii="Times New Roman" w:eastAsia="Times New Roman" w:hAnsi="Times New Roman"/>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tcPr>
          <w:p w14:paraId="7D4A8298"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98.834,02</w:t>
            </w:r>
          </w:p>
        </w:tc>
        <w:tc>
          <w:tcPr>
            <w:tcW w:w="567" w:type="pct"/>
            <w:tcBorders>
              <w:top w:val="nil"/>
              <w:left w:val="nil"/>
              <w:bottom w:val="single" w:sz="8" w:space="0" w:color="D9D9D9"/>
              <w:right w:val="single" w:sz="8" w:space="0" w:color="D9D9D9"/>
            </w:tcBorders>
            <w:shd w:val="clear" w:color="auto" w:fill="auto"/>
            <w:vAlign w:val="center"/>
          </w:tcPr>
          <w:p w14:paraId="7D4A8299"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101.826,72</w:t>
            </w:r>
          </w:p>
        </w:tc>
        <w:tc>
          <w:tcPr>
            <w:tcW w:w="614" w:type="pct"/>
            <w:tcBorders>
              <w:top w:val="nil"/>
              <w:left w:val="nil"/>
              <w:bottom w:val="single" w:sz="8" w:space="0" w:color="D9D9D9"/>
              <w:right w:val="single" w:sz="8" w:space="0" w:color="D9D9D9"/>
            </w:tcBorders>
            <w:shd w:val="clear" w:color="auto" w:fill="auto"/>
            <w:vAlign w:val="center"/>
          </w:tcPr>
          <w:p w14:paraId="7D4A829A"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0,00</w:t>
            </w:r>
          </w:p>
        </w:tc>
        <w:tc>
          <w:tcPr>
            <w:tcW w:w="661" w:type="pct"/>
            <w:tcBorders>
              <w:top w:val="nil"/>
              <w:left w:val="nil"/>
              <w:bottom w:val="single" w:sz="8" w:space="0" w:color="D9D9D9"/>
              <w:right w:val="single" w:sz="8" w:space="0" w:color="D9D9D9"/>
            </w:tcBorders>
            <w:shd w:val="clear" w:color="auto" w:fill="auto"/>
            <w:vAlign w:val="center"/>
          </w:tcPr>
          <w:p w14:paraId="7D4A829B"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12.508.538,44</w:t>
            </w:r>
          </w:p>
        </w:tc>
        <w:tc>
          <w:tcPr>
            <w:tcW w:w="582" w:type="pct"/>
            <w:tcBorders>
              <w:top w:val="nil"/>
              <w:left w:val="nil"/>
              <w:bottom w:val="single" w:sz="8" w:space="0" w:color="D9D9D9"/>
              <w:right w:val="single" w:sz="8" w:space="0" w:color="D9D9D9"/>
            </w:tcBorders>
            <w:shd w:val="clear" w:color="auto" w:fill="auto"/>
            <w:vAlign w:val="center"/>
          </w:tcPr>
          <w:p w14:paraId="7D4A829C"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219.817,70</w:t>
            </w:r>
          </w:p>
        </w:tc>
        <w:tc>
          <w:tcPr>
            <w:tcW w:w="661" w:type="pct"/>
            <w:tcBorders>
              <w:top w:val="nil"/>
              <w:left w:val="nil"/>
              <w:bottom w:val="single" w:sz="8" w:space="0" w:color="D9D9D9"/>
              <w:right w:val="single" w:sz="8" w:space="0" w:color="D9D9D9"/>
            </w:tcBorders>
            <w:shd w:val="clear" w:color="auto" w:fill="auto"/>
            <w:vAlign w:val="center"/>
          </w:tcPr>
          <w:p w14:paraId="7D4A829D" w14:textId="77777777" w:rsidR="005D0429" w:rsidRPr="009E1B38" w:rsidRDefault="005D0429" w:rsidP="005D0429">
            <w:pPr>
              <w:spacing w:after="0" w:line="240" w:lineRule="auto"/>
              <w:jc w:val="right"/>
              <w:rPr>
                <w:rFonts w:ascii="Times New Roman" w:eastAsia="Times New Roman" w:hAnsi="Times New Roman"/>
                <w:color w:val="000000"/>
                <w:sz w:val="18"/>
                <w:szCs w:val="18"/>
                <w:lang w:eastAsia="tr-TR"/>
              </w:rPr>
            </w:pPr>
            <w:r w:rsidRPr="009E1B38">
              <w:rPr>
                <w:rFonts w:ascii="Times New Roman" w:hAnsi="Times New Roman"/>
                <w:color w:val="000000"/>
                <w:sz w:val="18"/>
                <w:szCs w:val="18"/>
              </w:rPr>
              <w:t>12.728.356,14</w:t>
            </w:r>
          </w:p>
        </w:tc>
      </w:tr>
      <w:tr w:rsidR="005D0429" w:rsidRPr="009E1B38" w14:paraId="7D4A82A7" w14:textId="77777777" w:rsidTr="000E5E13">
        <w:trPr>
          <w:trHeight w:val="20"/>
        </w:trPr>
        <w:tc>
          <w:tcPr>
            <w:tcW w:w="856" w:type="pct"/>
            <w:vMerge/>
            <w:tcBorders>
              <w:left w:val="single" w:sz="8" w:space="0" w:color="D9D9D9"/>
              <w:bottom w:val="single" w:sz="8" w:space="0" w:color="D9D9D9"/>
              <w:right w:val="single" w:sz="8" w:space="0" w:color="D9D9D9"/>
            </w:tcBorders>
            <w:vAlign w:val="center"/>
          </w:tcPr>
          <w:p w14:paraId="7D4A829F" w14:textId="77777777" w:rsidR="005D0429" w:rsidRPr="009E1B38" w:rsidRDefault="005D0429" w:rsidP="005D0429">
            <w:pPr>
              <w:spacing w:after="0" w:line="240" w:lineRule="auto"/>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tcPr>
          <w:p w14:paraId="7D4A82A0" w14:textId="3125529F"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tcPr>
          <w:p w14:paraId="7D4A82A1"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hAnsi="Times New Roman"/>
                <w:b/>
                <w:color w:val="000000"/>
                <w:sz w:val="18"/>
                <w:szCs w:val="18"/>
              </w:rPr>
              <w:t>237.881,51</w:t>
            </w:r>
          </w:p>
        </w:tc>
        <w:tc>
          <w:tcPr>
            <w:tcW w:w="567" w:type="pct"/>
            <w:tcBorders>
              <w:top w:val="nil"/>
              <w:left w:val="nil"/>
              <w:bottom w:val="single" w:sz="8" w:space="0" w:color="D9D9D9"/>
              <w:right w:val="single" w:sz="8" w:space="0" w:color="D9D9D9"/>
            </w:tcBorders>
            <w:shd w:val="clear" w:color="auto" w:fill="auto"/>
            <w:vAlign w:val="center"/>
          </w:tcPr>
          <w:p w14:paraId="7D4A82A2"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hAnsi="Times New Roman"/>
                <w:b/>
                <w:color w:val="000000"/>
                <w:sz w:val="18"/>
                <w:szCs w:val="18"/>
              </w:rPr>
              <w:t>240.684,69</w:t>
            </w:r>
          </w:p>
        </w:tc>
        <w:tc>
          <w:tcPr>
            <w:tcW w:w="614" w:type="pct"/>
            <w:tcBorders>
              <w:top w:val="nil"/>
              <w:left w:val="nil"/>
              <w:bottom w:val="single" w:sz="8" w:space="0" w:color="D9D9D9"/>
              <w:right w:val="single" w:sz="8" w:space="0" w:color="D9D9D9"/>
            </w:tcBorders>
            <w:shd w:val="clear" w:color="auto" w:fill="auto"/>
            <w:vAlign w:val="center"/>
          </w:tcPr>
          <w:p w14:paraId="7D4A82A3"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hAnsi="Times New Roman"/>
                <w:b/>
                <w:color w:val="000000"/>
                <w:sz w:val="18"/>
                <w:szCs w:val="18"/>
              </w:rPr>
              <w:t>3.138.062,08</w:t>
            </w:r>
          </w:p>
        </w:tc>
        <w:tc>
          <w:tcPr>
            <w:tcW w:w="661" w:type="pct"/>
            <w:tcBorders>
              <w:top w:val="nil"/>
              <w:left w:val="nil"/>
              <w:bottom w:val="single" w:sz="8" w:space="0" w:color="D9D9D9"/>
              <w:right w:val="single" w:sz="8" w:space="0" w:color="D9D9D9"/>
            </w:tcBorders>
            <w:shd w:val="clear" w:color="auto" w:fill="auto"/>
            <w:vAlign w:val="center"/>
          </w:tcPr>
          <w:p w14:paraId="7D4A82A4"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hAnsi="Times New Roman"/>
                <w:b/>
                <w:color w:val="000000"/>
                <w:sz w:val="18"/>
                <w:szCs w:val="18"/>
              </w:rPr>
              <w:t>26.714.237,04</w:t>
            </w:r>
          </w:p>
        </w:tc>
        <w:tc>
          <w:tcPr>
            <w:tcW w:w="582" w:type="pct"/>
            <w:tcBorders>
              <w:top w:val="nil"/>
              <w:left w:val="nil"/>
              <w:bottom w:val="single" w:sz="8" w:space="0" w:color="D9D9D9"/>
              <w:right w:val="single" w:sz="8" w:space="0" w:color="D9D9D9"/>
            </w:tcBorders>
            <w:shd w:val="clear" w:color="auto" w:fill="auto"/>
            <w:vAlign w:val="center"/>
          </w:tcPr>
          <w:p w14:paraId="7D4A82A5"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hAnsi="Times New Roman"/>
                <w:b/>
                <w:color w:val="000000"/>
                <w:sz w:val="18"/>
                <w:szCs w:val="18"/>
              </w:rPr>
              <w:t>233.301,04</w:t>
            </w:r>
          </w:p>
        </w:tc>
        <w:tc>
          <w:tcPr>
            <w:tcW w:w="661" w:type="pct"/>
            <w:tcBorders>
              <w:top w:val="nil"/>
              <w:left w:val="nil"/>
              <w:bottom w:val="single" w:sz="8" w:space="0" w:color="D9D9D9"/>
              <w:right w:val="single" w:sz="8" w:space="0" w:color="D9D9D9"/>
            </w:tcBorders>
            <w:shd w:val="clear" w:color="auto" w:fill="auto"/>
            <w:vAlign w:val="center"/>
          </w:tcPr>
          <w:p w14:paraId="7D4A82A6" w14:textId="77777777" w:rsidR="005D0429" w:rsidRPr="009E1B38" w:rsidRDefault="005D0429" w:rsidP="005D0429">
            <w:pPr>
              <w:spacing w:after="0" w:line="240" w:lineRule="auto"/>
              <w:jc w:val="right"/>
              <w:rPr>
                <w:rFonts w:ascii="Times New Roman" w:eastAsia="Times New Roman" w:hAnsi="Times New Roman"/>
                <w:b/>
                <w:color w:val="000000"/>
                <w:sz w:val="18"/>
                <w:szCs w:val="18"/>
                <w:lang w:eastAsia="tr-TR"/>
              </w:rPr>
            </w:pPr>
            <w:r w:rsidRPr="009E1B38">
              <w:rPr>
                <w:rFonts w:ascii="Times New Roman" w:hAnsi="Times New Roman"/>
                <w:b/>
                <w:color w:val="000000"/>
                <w:sz w:val="18"/>
                <w:szCs w:val="18"/>
              </w:rPr>
              <w:t>30.085.600,17</w:t>
            </w:r>
          </w:p>
        </w:tc>
      </w:tr>
      <w:tr w:rsidR="005D0429" w:rsidRPr="009E1B38" w14:paraId="7D4A82B0" w14:textId="77777777" w:rsidTr="000E5E13">
        <w:trPr>
          <w:trHeight w:val="20"/>
        </w:trPr>
        <w:tc>
          <w:tcPr>
            <w:tcW w:w="856" w:type="pct"/>
            <w:vMerge w:val="restart"/>
            <w:tcBorders>
              <w:left w:val="single" w:sz="8" w:space="0" w:color="D9D9D9"/>
              <w:right w:val="single" w:sz="8" w:space="0" w:color="D9D9D9"/>
            </w:tcBorders>
            <w:vAlign w:val="center"/>
          </w:tcPr>
          <w:p w14:paraId="7D4A82A8"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2020</w:t>
            </w:r>
          </w:p>
        </w:tc>
        <w:tc>
          <w:tcPr>
            <w:tcW w:w="492" w:type="pct"/>
            <w:tcBorders>
              <w:top w:val="nil"/>
              <w:left w:val="nil"/>
              <w:bottom w:val="single" w:sz="8" w:space="0" w:color="D9D9D9"/>
              <w:right w:val="single" w:sz="8" w:space="0" w:color="D9D9D9"/>
            </w:tcBorders>
            <w:shd w:val="clear" w:color="auto" w:fill="auto"/>
          </w:tcPr>
          <w:p w14:paraId="7D4A82A9" w14:textId="3AD9A22B"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tcPr>
          <w:p w14:paraId="7D4A82AA"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166.221,94</w:t>
            </w:r>
          </w:p>
        </w:tc>
        <w:tc>
          <w:tcPr>
            <w:tcW w:w="567" w:type="pct"/>
            <w:tcBorders>
              <w:top w:val="nil"/>
              <w:left w:val="nil"/>
              <w:bottom w:val="single" w:sz="8" w:space="0" w:color="D9D9D9"/>
              <w:right w:val="single" w:sz="8" w:space="0" w:color="D9D9D9"/>
            </w:tcBorders>
            <w:shd w:val="clear" w:color="auto" w:fill="auto"/>
            <w:vAlign w:val="center"/>
          </w:tcPr>
          <w:p w14:paraId="7D4A82AB"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163.736,99</w:t>
            </w:r>
          </w:p>
        </w:tc>
        <w:tc>
          <w:tcPr>
            <w:tcW w:w="614" w:type="pct"/>
            <w:tcBorders>
              <w:top w:val="nil"/>
              <w:left w:val="nil"/>
              <w:bottom w:val="single" w:sz="8" w:space="0" w:color="D9D9D9"/>
              <w:right w:val="single" w:sz="8" w:space="0" w:color="D9D9D9"/>
            </w:tcBorders>
            <w:shd w:val="clear" w:color="auto" w:fill="auto"/>
            <w:vAlign w:val="center"/>
          </w:tcPr>
          <w:p w14:paraId="7D4A82AC"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3.146.182,46</w:t>
            </w:r>
          </w:p>
        </w:tc>
        <w:tc>
          <w:tcPr>
            <w:tcW w:w="661" w:type="pct"/>
            <w:tcBorders>
              <w:top w:val="nil"/>
              <w:left w:val="nil"/>
              <w:bottom w:val="single" w:sz="8" w:space="0" w:color="D9D9D9"/>
              <w:right w:val="single" w:sz="8" w:space="0" w:color="D9D9D9"/>
            </w:tcBorders>
            <w:shd w:val="clear" w:color="auto" w:fill="auto"/>
            <w:vAlign w:val="center"/>
          </w:tcPr>
          <w:p w14:paraId="7D4A82AD"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17.311.232,89</w:t>
            </w:r>
          </w:p>
        </w:tc>
        <w:tc>
          <w:tcPr>
            <w:tcW w:w="582" w:type="pct"/>
            <w:tcBorders>
              <w:top w:val="nil"/>
              <w:left w:val="nil"/>
              <w:bottom w:val="single" w:sz="8" w:space="0" w:color="D9D9D9"/>
              <w:right w:val="single" w:sz="8" w:space="0" w:color="D9D9D9"/>
            </w:tcBorders>
            <w:shd w:val="clear" w:color="auto" w:fill="auto"/>
            <w:vAlign w:val="center"/>
          </w:tcPr>
          <w:p w14:paraId="7D4A82AE"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9.706,62</w:t>
            </w:r>
          </w:p>
        </w:tc>
        <w:tc>
          <w:tcPr>
            <w:tcW w:w="661" w:type="pct"/>
            <w:tcBorders>
              <w:top w:val="nil"/>
              <w:left w:val="nil"/>
              <w:bottom w:val="single" w:sz="8" w:space="0" w:color="D9D9D9"/>
              <w:right w:val="single" w:sz="8" w:space="0" w:color="D9D9D9"/>
            </w:tcBorders>
            <w:shd w:val="clear" w:color="auto" w:fill="auto"/>
            <w:vAlign w:val="center"/>
          </w:tcPr>
          <w:p w14:paraId="7D4A82AF"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20.467.121,97</w:t>
            </w:r>
          </w:p>
        </w:tc>
      </w:tr>
      <w:tr w:rsidR="005D0429" w:rsidRPr="009E1B38" w14:paraId="7D4A82B9" w14:textId="77777777" w:rsidTr="000E5E13">
        <w:trPr>
          <w:trHeight w:val="20"/>
        </w:trPr>
        <w:tc>
          <w:tcPr>
            <w:tcW w:w="856" w:type="pct"/>
            <w:vMerge/>
            <w:tcBorders>
              <w:left w:val="single" w:sz="8" w:space="0" w:color="D9D9D9"/>
              <w:right w:val="single" w:sz="8" w:space="0" w:color="D9D9D9"/>
            </w:tcBorders>
            <w:vAlign w:val="center"/>
          </w:tcPr>
          <w:p w14:paraId="7D4A82B1" w14:textId="77777777" w:rsidR="005D0429" w:rsidRPr="009E1B38" w:rsidRDefault="005D0429" w:rsidP="005D0429">
            <w:pPr>
              <w:spacing w:after="0" w:line="240" w:lineRule="auto"/>
              <w:jc w:val="center"/>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tcPr>
          <w:p w14:paraId="7D4A82B2" w14:textId="0F5ADEEB"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tcPr>
          <w:p w14:paraId="7D4A82B3"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78.661,95</w:t>
            </w:r>
          </w:p>
        </w:tc>
        <w:tc>
          <w:tcPr>
            <w:tcW w:w="567" w:type="pct"/>
            <w:tcBorders>
              <w:top w:val="nil"/>
              <w:left w:val="nil"/>
              <w:bottom w:val="single" w:sz="8" w:space="0" w:color="D9D9D9"/>
              <w:right w:val="single" w:sz="8" w:space="0" w:color="D9D9D9"/>
            </w:tcBorders>
            <w:shd w:val="clear" w:color="auto" w:fill="auto"/>
            <w:vAlign w:val="center"/>
          </w:tcPr>
          <w:p w14:paraId="7D4A82B4"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77.805,28</w:t>
            </w:r>
          </w:p>
        </w:tc>
        <w:tc>
          <w:tcPr>
            <w:tcW w:w="614" w:type="pct"/>
            <w:tcBorders>
              <w:top w:val="nil"/>
              <w:left w:val="nil"/>
              <w:bottom w:val="single" w:sz="8" w:space="0" w:color="D9D9D9"/>
              <w:right w:val="single" w:sz="8" w:space="0" w:color="D9D9D9"/>
            </w:tcBorders>
            <w:shd w:val="clear" w:color="auto" w:fill="auto"/>
            <w:vAlign w:val="center"/>
          </w:tcPr>
          <w:p w14:paraId="7D4A82B5"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0,00</w:t>
            </w:r>
          </w:p>
        </w:tc>
        <w:tc>
          <w:tcPr>
            <w:tcW w:w="661" w:type="pct"/>
            <w:tcBorders>
              <w:top w:val="nil"/>
              <w:left w:val="nil"/>
              <w:bottom w:val="single" w:sz="8" w:space="0" w:color="D9D9D9"/>
              <w:right w:val="single" w:sz="8" w:space="0" w:color="D9D9D9"/>
            </w:tcBorders>
            <w:shd w:val="clear" w:color="auto" w:fill="auto"/>
            <w:vAlign w:val="center"/>
          </w:tcPr>
          <w:p w14:paraId="7D4A82B6"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9.583.784,42</w:t>
            </w:r>
          </w:p>
        </w:tc>
        <w:tc>
          <w:tcPr>
            <w:tcW w:w="582" w:type="pct"/>
            <w:tcBorders>
              <w:top w:val="nil"/>
              <w:left w:val="nil"/>
              <w:bottom w:val="single" w:sz="8" w:space="0" w:color="D9D9D9"/>
              <w:right w:val="single" w:sz="8" w:space="0" w:color="D9D9D9"/>
            </w:tcBorders>
            <w:shd w:val="clear" w:color="auto" w:fill="auto"/>
            <w:vAlign w:val="center"/>
          </w:tcPr>
          <w:p w14:paraId="7D4A82B7"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141.862,36</w:t>
            </w:r>
          </w:p>
        </w:tc>
        <w:tc>
          <w:tcPr>
            <w:tcW w:w="661" w:type="pct"/>
            <w:tcBorders>
              <w:top w:val="nil"/>
              <w:left w:val="nil"/>
              <w:bottom w:val="single" w:sz="8" w:space="0" w:color="D9D9D9"/>
              <w:right w:val="single" w:sz="8" w:space="0" w:color="D9D9D9"/>
            </w:tcBorders>
            <w:shd w:val="clear" w:color="auto" w:fill="auto"/>
            <w:vAlign w:val="center"/>
          </w:tcPr>
          <w:p w14:paraId="7D4A82B8"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color w:val="000000"/>
                <w:sz w:val="18"/>
                <w:szCs w:val="18"/>
              </w:rPr>
              <w:t>9.725.464,78</w:t>
            </w:r>
          </w:p>
        </w:tc>
      </w:tr>
      <w:tr w:rsidR="005D0429" w:rsidRPr="009E1B38" w14:paraId="7D4A82C2" w14:textId="77777777" w:rsidTr="000E5E13">
        <w:trPr>
          <w:trHeight w:val="20"/>
        </w:trPr>
        <w:tc>
          <w:tcPr>
            <w:tcW w:w="856" w:type="pct"/>
            <w:vMerge/>
            <w:tcBorders>
              <w:left w:val="single" w:sz="8" w:space="0" w:color="D9D9D9"/>
              <w:bottom w:val="single" w:sz="8" w:space="0" w:color="D9D9D9"/>
              <w:right w:val="single" w:sz="8" w:space="0" w:color="D9D9D9"/>
            </w:tcBorders>
            <w:vAlign w:val="center"/>
          </w:tcPr>
          <w:p w14:paraId="7D4A82BA" w14:textId="77777777" w:rsidR="005D0429" w:rsidRPr="009E1B38" w:rsidRDefault="005D0429" w:rsidP="005D0429">
            <w:pPr>
              <w:spacing w:after="0" w:line="240" w:lineRule="auto"/>
              <w:jc w:val="center"/>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tcPr>
          <w:p w14:paraId="7D4A82BB" w14:textId="618C441A"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tcPr>
          <w:p w14:paraId="7D4A82BC"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b/>
                <w:bCs/>
                <w:color w:val="000000"/>
                <w:sz w:val="18"/>
                <w:szCs w:val="18"/>
              </w:rPr>
              <w:t>244.883,89</w:t>
            </w:r>
          </w:p>
        </w:tc>
        <w:tc>
          <w:tcPr>
            <w:tcW w:w="567" w:type="pct"/>
            <w:tcBorders>
              <w:top w:val="nil"/>
              <w:left w:val="nil"/>
              <w:bottom w:val="single" w:sz="8" w:space="0" w:color="D9D9D9"/>
              <w:right w:val="single" w:sz="8" w:space="0" w:color="D9D9D9"/>
            </w:tcBorders>
            <w:shd w:val="clear" w:color="auto" w:fill="auto"/>
            <w:vAlign w:val="center"/>
          </w:tcPr>
          <w:p w14:paraId="7D4A82BD"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b/>
                <w:bCs/>
                <w:color w:val="000000"/>
                <w:sz w:val="18"/>
                <w:szCs w:val="18"/>
              </w:rPr>
              <w:t>241.542,22</w:t>
            </w:r>
          </w:p>
        </w:tc>
        <w:tc>
          <w:tcPr>
            <w:tcW w:w="614" w:type="pct"/>
            <w:tcBorders>
              <w:top w:val="nil"/>
              <w:left w:val="nil"/>
              <w:bottom w:val="single" w:sz="8" w:space="0" w:color="D9D9D9"/>
              <w:right w:val="single" w:sz="8" w:space="0" w:color="D9D9D9"/>
            </w:tcBorders>
            <w:shd w:val="clear" w:color="auto" w:fill="auto"/>
            <w:vAlign w:val="center"/>
          </w:tcPr>
          <w:p w14:paraId="7D4A82BE"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b/>
                <w:bCs/>
                <w:color w:val="000000"/>
                <w:sz w:val="18"/>
                <w:szCs w:val="18"/>
              </w:rPr>
              <w:t>3.146.182,46</w:t>
            </w:r>
          </w:p>
        </w:tc>
        <w:tc>
          <w:tcPr>
            <w:tcW w:w="661" w:type="pct"/>
            <w:tcBorders>
              <w:top w:val="nil"/>
              <w:left w:val="nil"/>
              <w:bottom w:val="single" w:sz="8" w:space="0" w:color="D9D9D9"/>
              <w:right w:val="single" w:sz="8" w:space="0" w:color="D9D9D9"/>
            </w:tcBorders>
            <w:shd w:val="clear" w:color="auto" w:fill="auto"/>
            <w:vAlign w:val="center"/>
          </w:tcPr>
          <w:p w14:paraId="7D4A82BF"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b/>
                <w:bCs/>
                <w:color w:val="000000"/>
                <w:sz w:val="18"/>
                <w:szCs w:val="18"/>
              </w:rPr>
              <w:t>26.895.017,32</w:t>
            </w:r>
          </w:p>
        </w:tc>
        <w:tc>
          <w:tcPr>
            <w:tcW w:w="582" w:type="pct"/>
            <w:tcBorders>
              <w:top w:val="nil"/>
              <w:left w:val="nil"/>
              <w:bottom w:val="single" w:sz="8" w:space="0" w:color="D9D9D9"/>
              <w:right w:val="single" w:sz="8" w:space="0" w:color="D9D9D9"/>
            </w:tcBorders>
            <w:shd w:val="clear" w:color="auto" w:fill="auto"/>
            <w:vAlign w:val="center"/>
          </w:tcPr>
          <w:p w14:paraId="7D4A82C0"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b/>
                <w:bCs/>
                <w:color w:val="000000"/>
                <w:sz w:val="18"/>
                <w:szCs w:val="18"/>
              </w:rPr>
              <w:t>151.568,98</w:t>
            </w:r>
          </w:p>
        </w:tc>
        <w:tc>
          <w:tcPr>
            <w:tcW w:w="661" w:type="pct"/>
            <w:tcBorders>
              <w:top w:val="nil"/>
              <w:left w:val="nil"/>
              <w:bottom w:val="single" w:sz="8" w:space="0" w:color="D9D9D9"/>
              <w:right w:val="single" w:sz="8" w:space="0" w:color="D9D9D9"/>
            </w:tcBorders>
            <w:shd w:val="clear" w:color="auto" w:fill="auto"/>
            <w:vAlign w:val="center"/>
          </w:tcPr>
          <w:p w14:paraId="7D4A82C1" w14:textId="77777777" w:rsidR="005D0429" w:rsidRPr="009E1B38" w:rsidRDefault="005D0429" w:rsidP="005D0429">
            <w:pPr>
              <w:spacing w:after="0" w:line="240" w:lineRule="auto"/>
              <w:jc w:val="right"/>
              <w:rPr>
                <w:rFonts w:ascii="Times New Roman" w:hAnsi="Times New Roman"/>
                <w:b/>
                <w:color w:val="000000"/>
                <w:sz w:val="18"/>
                <w:szCs w:val="18"/>
              </w:rPr>
            </w:pPr>
            <w:r w:rsidRPr="009E1B38">
              <w:rPr>
                <w:rFonts w:ascii="Times New Roman" w:hAnsi="Times New Roman"/>
                <w:b/>
                <w:bCs/>
                <w:color w:val="000000"/>
                <w:sz w:val="18"/>
                <w:szCs w:val="18"/>
              </w:rPr>
              <w:t>30.192.768,76</w:t>
            </w:r>
          </w:p>
        </w:tc>
      </w:tr>
      <w:tr w:rsidR="005D0429" w:rsidRPr="009E1B38" w14:paraId="7D4A82CB" w14:textId="77777777" w:rsidTr="000E5E13">
        <w:trPr>
          <w:trHeight w:val="20"/>
        </w:trPr>
        <w:tc>
          <w:tcPr>
            <w:tcW w:w="856" w:type="pct"/>
            <w:vMerge w:val="restart"/>
            <w:tcBorders>
              <w:left w:val="single" w:sz="8" w:space="0" w:color="D9D9D9"/>
              <w:right w:val="single" w:sz="8" w:space="0" w:color="D9D9D9"/>
            </w:tcBorders>
            <w:vAlign w:val="center"/>
          </w:tcPr>
          <w:p w14:paraId="7D4A82C3" w14:textId="77777777" w:rsidR="005D0429" w:rsidRPr="009E1B38" w:rsidRDefault="005D0429" w:rsidP="005D042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2021</w:t>
            </w:r>
          </w:p>
        </w:tc>
        <w:tc>
          <w:tcPr>
            <w:tcW w:w="492" w:type="pct"/>
            <w:tcBorders>
              <w:top w:val="nil"/>
              <w:left w:val="nil"/>
              <w:bottom w:val="single" w:sz="8" w:space="0" w:color="D9D9D9"/>
              <w:right w:val="single" w:sz="8" w:space="0" w:color="D9D9D9"/>
            </w:tcBorders>
            <w:shd w:val="clear" w:color="auto" w:fill="auto"/>
          </w:tcPr>
          <w:p w14:paraId="7D4A82C4" w14:textId="503DEDC6"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sz w:val="18"/>
                <w:szCs w:val="18"/>
              </w:rPr>
              <w:t>Refinery</w:t>
            </w:r>
          </w:p>
        </w:tc>
        <w:tc>
          <w:tcPr>
            <w:tcW w:w="567" w:type="pct"/>
            <w:tcBorders>
              <w:top w:val="nil"/>
              <w:left w:val="nil"/>
              <w:bottom w:val="single" w:sz="8" w:space="0" w:color="D9D9D9"/>
              <w:right w:val="single" w:sz="8" w:space="0" w:color="D9D9D9"/>
            </w:tcBorders>
            <w:shd w:val="clear" w:color="auto" w:fill="auto"/>
            <w:vAlign w:val="center"/>
          </w:tcPr>
          <w:p w14:paraId="7D4A82C5"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177.562,49</w:t>
            </w:r>
          </w:p>
        </w:tc>
        <w:tc>
          <w:tcPr>
            <w:tcW w:w="567" w:type="pct"/>
            <w:tcBorders>
              <w:top w:val="nil"/>
              <w:left w:val="nil"/>
              <w:bottom w:val="single" w:sz="8" w:space="0" w:color="D9D9D9"/>
              <w:right w:val="single" w:sz="8" w:space="0" w:color="D9D9D9"/>
            </w:tcBorders>
            <w:shd w:val="clear" w:color="auto" w:fill="auto"/>
            <w:vAlign w:val="center"/>
          </w:tcPr>
          <w:p w14:paraId="7D4A82C6"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176.528,26</w:t>
            </w:r>
          </w:p>
        </w:tc>
        <w:tc>
          <w:tcPr>
            <w:tcW w:w="614" w:type="pct"/>
            <w:tcBorders>
              <w:top w:val="nil"/>
              <w:left w:val="nil"/>
              <w:bottom w:val="single" w:sz="8" w:space="0" w:color="D9D9D9"/>
              <w:right w:val="single" w:sz="8" w:space="0" w:color="D9D9D9"/>
            </w:tcBorders>
            <w:shd w:val="clear" w:color="auto" w:fill="auto"/>
            <w:vAlign w:val="center"/>
          </w:tcPr>
          <w:p w14:paraId="7D4A82C7"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3.923.155,36</w:t>
            </w:r>
          </w:p>
        </w:tc>
        <w:tc>
          <w:tcPr>
            <w:tcW w:w="661" w:type="pct"/>
            <w:tcBorders>
              <w:top w:val="nil"/>
              <w:left w:val="nil"/>
              <w:bottom w:val="single" w:sz="8" w:space="0" w:color="D9D9D9"/>
              <w:right w:val="single" w:sz="8" w:space="0" w:color="D9D9D9"/>
            </w:tcBorders>
            <w:shd w:val="clear" w:color="auto" w:fill="auto"/>
            <w:vAlign w:val="center"/>
          </w:tcPr>
          <w:p w14:paraId="7D4A82C8"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18.130.928,15</w:t>
            </w:r>
          </w:p>
        </w:tc>
        <w:tc>
          <w:tcPr>
            <w:tcW w:w="582" w:type="pct"/>
            <w:tcBorders>
              <w:top w:val="nil"/>
              <w:left w:val="nil"/>
              <w:bottom w:val="single" w:sz="8" w:space="0" w:color="D9D9D9"/>
              <w:right w:val="single" w:sz="8" w:space="0" w:color="D9D9D9"/>
            </w:tcBorders>
            <w:shd w:val="clear" w:color="auto" w:fill="auto"/>
            <w:vAlign w:val="center"/>
          </w:tcPr>
          <w:p w14:paraId="7D4A82C9"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11.949,45</w:t>
            </w:r>
          </w:p>
        </w:tc>
        <w:tc>
          <w:tcPr>
            <w:tcW w:w="661" w:type="pct"/>
            <w:tcBorders>
              <w:top w:val="nil"/>
              <w:left w:val="nil"/>
              <w:bottom w:val="single" w:sz="8" w:space="0" w:color="D9D9D9"/>
              <w:right w:val="single" w:sz="8" w:space="0" w:color="D9D9D9"/>
            </w:tcBorders>
            <w:shd w:val="clear" w:color="auto" w:fill="auto"/>
            <w:vAlign w:val="center"/>
          </w:tcPr>
          <w:p w14:paraId="7D4A82CA"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22.066.032,96</w:t>
            </w:r>
          </w:p>
        </w:tc>
      </w:tr>
      <w:tr w:rsidR="005D0429" w:rsidRPr="009E1B38" w14:paraId="7D4A82D4" w14:textId="77777777" w:rsidTr="000E5E13">
        <w:trPr>
          <w:trHeight w:val="20"/>
        </w:trPr>
        <w:tc>
          <w:tcPr>
            <w:tcW w:w="856" w:type="pct"/>
            <w:vMerge/>
            <w:tcBorders>
              <w:left w:val="single" w:sz="8" w:space="0" w:color="D9D9D9"/>
              <w:right w:val="single" w:sz="8" w:space="0" w:color="D9D9D9"/>
            </w:tcBorders>
            <w:vAlign w:val="center"/>
          </w:tcPr>
          <w:p w14:paraId="7D4A82CC" w14:textId="77777777" w:rsidR="005D0429" w:rsidRPr="009E1B38" w:rsidRDefault="005D0429" w:rsidP="005D0429">
            <w:pPr>
              <w:spacing w:after="0" w:line="240" w:lineRule="auto"/>
              <w:jc w:val="center"/>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tcPr>
          <w:p w14:paraId="7D4A82CD" w14:textId="562EEF03"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sz w:val="18"/>
                <w:szCs w:val="18"/>
              </w:rPr>
              <w:t>Distributors</w:t>
            </w:r>
          </w:p>
        </w:tc>
        <w:tc>
          <w:tcPr>
            <w:tcW w:w="567" w:type="pct"/>
            <w:tcBorders>
              <w:top w:val="nil"/>
              <w:left w:val="nil"/>
              <w:bottom w:val="single" w:sz="8" w:space="0" w:color="D9D9D9"/>
              <w:right w:val="single" w:sz="8" w:space="0" w:color="D9D9D9"/>
            </w:tcBorders>
            <w:shd w:val="clear" w:color="auto" w:fill="auto"/>
            <w:vAlign w:val="center"/>
          </w:tcPr>
          <w:p w14:paraId="7D4A82CE"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97.681,96</w:t>
            </w:r>
          </w:p>
        </w:tc>
        <w:tc>
          <w:tcPr>
            <w:tcW w:w="567" w:type="pct"/>
            <w:tcBorders>
              <w:top w:val="nil"/>
              <w:left w:val="nil"/>
              <w:bottom w:val="single" w:sz="8" w:space="0" w:color="D9D9D9"/>
              <w:right w:val="single" w:sz="8" w:space="0" w:color="D9D9D9"/>
            </w:tcBorders>
            <w:shd w:val="clear" w:color="auto" w:fill="auto"/>
            <w:vAlign w:val="center"/>
          </w:tcPr>
          <w:p w14:paraId="7D4A82CF"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96.086,14</w:t>
            </w:r>
          </w:p>
        </w:tc>
        <w:tc>
          <w:tcPr>
            <w:tcW w:w="614" w:type="pct"/>
            <w:tcBorders>
              <w:top w:val="nil"/>
              <w:left w:val="nil"/>
              <w:bottom w:val="single" w:sz="8" w:space="0" w:color="D9D9D9"/>
              <w:right w:val="single" w:sz="8" w:space="0" w:color="D9D9D9"/>
            </w:tcBorders>
            <w:shd w:val="clear" w:color="auto" w:fill="auto"/>
            <w:vAlign w:val="center"/>
          </w:tcPr>
          <w:p w14:paraId="7D4A82D0"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6.352,19</w:t>
            </w:r>
          </w:p>
        </w:tc>
        <w:tc>
          <w:tcPr>
            <w:tcW w:w="661" w:type="pct"/>
            <w:tcBorders>
              <w:top w:val="nil"/>
              <w:left w:val="nil"/>
              <w:bottom w:val="single" w:sz="8" w:space="0" w:color="D9D9D9"/>
              <w:right w:val="single" w:sz="8" w:space="0" w:color="D9D9D9"/>
            </w:tcBorders>
            <w:shd w:val="clear" w:color="auto" w:fill="auto"/>
            <w:vAlign w:val="center"/>
          </w:tcPr>
          <w:p w14:paraId="7D4A82D1"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11.838.522,30</w:t>
            </w:r>
          </w:p>
        </w:tc>
        <w:tc>
          <w:tcPr>
            <w:tcW w:w="582" w:type="pct"/>
            <w:tcBorders>
              <w:top w:val="nil"/>
              <w:left w:val="nil"/>
              <w:bottom w:val="single" w:sz="8" w:space="0" w:color="D9D9D9"/>
              <w:right w:val="single" w:sz="8" w:space="0" w:color="D9D9D9"/>
            </w:tcBorders>
            <w:shd w:val="clear" w:color="auto" w:fill="auto"/>
            <w:vAlign w:val="center"/>
          </w:tcPr>
          <w:p w14:paraId="7D4A82D2"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165.528,19</w:t>
            </w:r>
          </w:p>
        </w:tc>
        <w:tc>
          <w:tcPr>
            <w:tcW w:w="661" w:type="pct"/>
            <w:tcBorders>
              <w:top w:val="nil"/>
              <w:left w:val="nil"/>
              <w:bottom w:val="single" w:sz="8" w:space="0" w:color="D9D9D9"/>
              <w:right w:val="single" w:sz="8" w:space="0" w:color="D9D9D9"/>
            </w:tcBorders>
            <w:shd w:val="clear" w:color="auto" w:fill="auto"/>
            <w:vAlign w:val="center"/>
          </w:tcPr>
          <w:p w14:paraId="7D4A82D3" w14:textId="77777777" w:rsidR="005D0429" w:rsidRPr="009E1B38" w:rsidRDefault="005D0429" w:rsidP="005D0429">
            <w:pPr>
              <w:spacing w:after="0" w:line="240" w:lineRule="auto"/>
              <w:jc w:val="right"/>
              <w:rPr>
                <w:rFonts w:ascii="Times New Roman" w:hAnsi="Times New Roman"/>
                <w:bCs/>
                <w:color w:val="000000"/>
                <w:sz w:val="18"/>
                <w:szCs w:val="18"/>
              </w:rPr>
            </w:pPr>
            <w:r w:rsidRPr="009E1B38">
              <w:rPr>
                <w:rFonts w:ascii="Times New Roman" w:hAnsi="Times New Roman"/>
                <w:bCs/>
                <w:color w:val="000000"/>
                <w:sz w:val="18"/>
                <w:szCs w:val="18"/>
              </w:rPr>
              <w:t>12.010.402,69</w:t>
            </w:r>
          </w:p>
        </w:tc>
      </w:tr>
      <w:tr w:rsidR="005D0429" w:rsidRPr="009E1B38" w14:paraId="7D4A82DD" w14:textId="77777777" w:rsidTr="000E5E13">
        <w:trPr>
          <w:trHeight w:val="20"/>
        </w:trPr>
        <w:tc>
          <w:tcPr>
            <w:tcW w:w="856" w:type="pct"/>
            <w:vMerge/>
            <w:tcBorders>
              <w:left w:val="single" w:sz="8" w:space="0" w:color="D9D9D9"/>
              <w:bottom w:val="single" w:sz="8" w:space="0" w:color="D9D9D9"/>
              <w:right w:val="single" w:sz="8" w:space="0" w:color="D9D9D9"/>
            </w:tcBorders>
            <w:vAlign w:val="center"/>
          </w:tcPr>
          <w:p w14:paraId="7D4A82D5" w14:textId="77777777" w:rsidR="005D0429" w:rsidRPr="009E1B38" w:rsidRDefault="005D0429" w:rsidP="005D0429">
            <w:pPr>
              <w:spacing w:after="0" w:line="240" w:lineRule="auto"/>
              <w:jc w:val="center"/>
              <w:rPr>
                <w:rFonts w:ascii="Times New Roman" w:eastAsia="Times New Roman" w:hAnsi="Times New Roman"/>
                <w:color w:val="000000"/>
                <w:lang w:eastAsia="tr-TR"/>
              </w:rPr>
            </w:pPr>
          </w:p>
        </w:tc>
        <w:tc>
          <w:tcPr>
            <w:tcW w:w="492" w:type="pct"/>
            <w:tcBorders>
              <w:top w:val="nil"/>
              <w:left w:val="nil"/>
              <w:bottom w:val="single" w:sz="8" w:space="0" w:color="D9D9D9"/>
              <w:right w:val="single" w:sz="8" w:space="0" w:color="D9D9D9"/>
            </w:tcBorders>
            <w:shd w:val="clear" w:color="auto" w:fill="auto"/>
          </w:tcPr>
          <w:p w14:paraId="7D4A82D6" w14:textId="0B96B3C1" w:rsidR="005D0429" w:rsidRPr="009E1B38" w:rsidRDefault="000E5E13" w:rsidP="005D0429">
            <w:pPr>
              <w:spacing w:after="0" w:line="240" w:lineRule="auto"/>
              <w:rPr>
                <w:rFonts w:ascii="Times New Roman" w:eastAsia="Times New Roman" w:hAnsi="Times New Roman"/>
                <w:b/>
                <w:color w:val="000000"/>
                <w:sz w:val="20"/>
                <w:szCs w:val="20"/>
                <w:lang w:eastAsia="tr-TR"/>
              </w:rPr>
            </w:pPr>
            <w:r w:rsidRPr="009E1B38">
              <w:rPr>
                <w:rFonts w:ascii="Times New Roman" w:hAnsi="Times New Roman"/>
                <w:b/>
                <w:sz w:val="18"/>
                <w:szCs w:val="18"/>
              </w:rPr>
              <w:t>Total</w:t>
            </w:r>
          </w:p>
        </w:tc>
        <w:tc>
          <w:tcPr>
            <w:tcW w:w="567" w:type="pct"/>
            <w:tcBorders>
              <w:top w:val="nil"/>
              <w:left w:val="nil"/>
              <w:bottom w:val="single" w:sz="8" w:space="0" w:color="D9D9D9"/>
              <w:right w:val="single" w:sz="8" w:space="0" w:color="D9D9D9"/>
            </w:tcBorders>
            <w:shd w:val="clear" w:color="auto" w:fill="auto"/>
            <w:vAlign w:val="center"/>
          </w:tcPr>
          <w:p w14:paraId="7D4A82D7" w14:textId="77777777" w:rsidR="005D0429" w:rsidRPr="009E1B38"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275.244,45</w:t>
            </w:r>
          </w:p>
        </w:tc>
        <w:tc>
          <w:tcPr>
            <w:tcW w:w="567" w:type="pct"/>
            <w:tcBorders>
              <w:top w:val="nil"/>
              <w:left w:val="nil"/>
              <w:bottom w:val="single" w:sz="8" w:space="0" w:color="D9D9D9"/>
              <w:right w:val="single" w:sz="8" w:space="0" w:color="D9D9D9"/>
            </w:tcBorders>
            <w:shd w:val="clear" w:color="auto" w:fill="auto"/>
            <w:vAlign w:val="center"/>
          </w:tcPr>
          <w:p w14:paraId="7D4A82D8" w14:textId="77777777" w:rsidR="005D0429" w:rsidRPr="009E1B38"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272.614,40</w:t>
            </w:r>
          </w:p>
        </w:tc>
        <w:tc>
          <w:tcPr>
            <w:tcW w:w="614" w:type="pct"/>
            <w:tcBorders>
              <w:top w:val="nil"/>
              <w:left w:val="nil"/>
              <w:bottom w:val="single" w:sz="8" w:space="0" w:color="D9D9D9"/>
              <w:right w:val="single" w:sz="8" w:space="0" w:color="D9D9D9"/>
            </w:tcBorders>
            <w:shd w:val="clear" w:color="auto" w:fill="auto"/>
            <w:vAlign w:val="center"/>
          </w:tcPr>
          <w:p w14:paraId="7D4A82D9" w14:textId="77777777" w:rsidR="005D0429" w:rsidRPr="009E1B38"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3.929.507,55</w:t>
            </w:r>
          </w:p>
        </w:tc>
        <w:tc>
          <w:tcPr>
            <w:tcW w:w="661" w:type="pct"/>
            <w:tcBorders>
              <w:top w:val="nil"/>
              <w:left w:val="nil"/>
              <w:bottom w:val="single" w:sz="8" w:space="0" w:color="D9D9D9"/>
              <w:right w:val="single" w:sz="8" w:space="0" w:color="D9D9D9"/>
            </w:tcBorders>
            <w:shd w:val="clear" w:color="auto" w:fill="auto"/>
            <w:vAlign w:val="center"/>
          </w:tcPr>
          <w:p w14:paraId="7D4A82DA" w14:textId="77777777" w:rsidR="005D0429" w:rsidRPr="009E1B38"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29.969.450,45</w:t>
            </w:r>
          </w:p>
        </w:tc>
        <w:tc>
          <w:tcPr>
            <w:tcW w:w="582" w:type="pct"/>
            <w:tcBorders>
              <w:top w:val="nil"/>
              <w:left w:val="nil"/>
              <w:bottom w:val="single" w:sz="8" w:space="0" w:color="D9D9D9"/>
              <w:right w:val="single" w:sz="8" w:space="0" w:color="D9D9D9"/>
            </w:tcBorders>
            <w:shd w:val="clear" w:color="auto" w:fill="auto"/>
            <w:vAlign w:val="center"/>
          </w:tcPr>
          <w:p w14:paraId="7D4A82DB" w14:textId="77777777" w:rsidR="005D0429" w:rsidRPr="009E1B38"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177.477,64</w:t>
            </w:r>
          </w:p>
        </w:tc>
        <w:tc>
          <w:tcPr>
            <w:tcW w:w="661" w:type="pct"/>
            <w:tcBorders>
              <w:top w:val="nil"/>
              <w:left w:val="nil"/>
              <w:bottom w:val="single" w:sz="8" w:space="0" w:color="D9D9D9"/>
              <w:right w:val="single" w:sz="8" w:space="0" w:color="D9D9D9"/>
            </w:tcBorders>
            <w:shd w:val="clear" w:color="auto" w:fill="auto"/>
            <w:vAlign w:val="center"/>
          </w:tcPr>
          <w:p w14:paraId="7D4A82DC" w14:textId="77777777" w:rsidR="005D0429" w:rsidRPr="009E1B38"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34.076.435,65</w:t>
            </w:r>
          </w:p>
        </w:tc>
      </w:tr>
      <w:tr w:rsidR="005D0429" w:rsidRPr="009E1B38" w14:paraId="7D4A82E5" w14:textId="77777777" w:rsidTr="000E5E13">
        <w:trPr>
          <w:trHeight w:val="20"/>
        </w:trPr>
        <w:tc>
          <w:tcPr>
            <w:tcW w:w="1348" w:type="pct"/>
            <w:gridSpan w:val="2"/>
            <w:tcBorders>
              <w:top w:val="single" w:sz="8" w:space="0" w:color="D9D9D9"/>
              <w:left w:val="single" w:sz="8" w:space="0" w:color="D9D9D9"/>
              <w:bottom w:val="single" w:sz="8" w:space="0" w:color="D9D9D9"/>
              <w:right w:val="single" w:sz="8" w:space="0" w:color="D9D9D9"/>
            </w:tcBorders>
            <w:shd w:val="clear" w:color="auto" w:fill="auto"/>
            <w:vAlign w:val="center"/>
            <w:hideMark/>
          </w:tcPr>
          <w:p w14:paraId="7D4A82DE" w14:textId="0BD6A25F" w:rsidR="005D0429" w:rsidRPr="009E1B38" w:rsidRDefault="00960A15" w:rsidP="005D0429">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G</w:t>
            </w:r>
            <w:r w:rsidR="00F96A7C" w:rsidRPr="009E1B38">
              <w:rPr>
                <w:rFonts w:ascii="Times New Roman" w:eastAsia="Times New Roman" w:hAnsi="Times New Roman"/>
                <w:b/>
                <w:color w:val="000000"/>
                <w:lang w:eastAsia="tr-TR"/>
              </w:rPr>
              <w:t>eneral</w:t>
            </w:r>
            <w:r w:rsidRPr="009E1B38">
              <w:rPr>
                <w:rFonts w:ascii="Times New Roman" w:eastAsia="Times New Roman" w:hAnsi="Times New Roman"/>
                <w:b/>
                <w:color w:val="000000"/>
                <w:lang w:eastAsia="tr-TR"/>
              </w:rPr>
              <w:t xml:space="preserve"> Total</w:t>
            </w:r>
          </w:p>
        </w:tc>
        <w:tc>
          <w:tcPr>
            <w:tcW w:w="567" w:type="pct"/>
            <w:tcBorders>
              <w:top w:val="nil"/>
              <w:left w:val="nil"/>
              <w:bottom w:val="single" w:sz="4" w:space="0" w:color="D9D9D9" w:themeColor="background1" w:themeShade="D9"/>
              <w:right w:val="single" w:sz="4" w:space="0" w:color="D9D9D9" w:themeColor="background1" w:themeShade="D9"/>
            </w:tcBorders>
            <w:shd w:val="clear" w:color="auto" w:fill="auto"/>
            <w:vAlign w:val="bottom"/>
          </w:tcPr>
          <w:p w14:paraId="7D4A82DF" w14:textId="77777777" w:rsidR="005D0429" w:rsidRPr="009E1B38" w:rsidDel="00052591"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3.071.478,41</w:t>
            </w:r>
          </w:p>
        </w:tc>
        <w:tc>
          <w:tcPr>
            <w:tcW w:w="567"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bottom"/>
          </w:tcPr>
          <w:p w14:paraId="7D4A82E0" w14:textId="77777777" w:rsidR="005D0429" w:rsidRPr="009E1B38" w:rsidDel="00052591"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3.042.618,07</w:t>
            </w:r>
          </w:p>
        </w:tc>
        <w:tc>
          <w:tcPr>
            <w:tcW w:w="614"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bottom"/>
          </w:tcPr>
          <w:p w14:paraId="7D4A82E1" w14:textId="77777777" w:rsidR="005D0429" w:rsidRPr="009E1B38" w:rsidDel="00052591"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43.996.135,20</w:t>
            </w:r>
          </w:p>
        </w:tc>
        <w:tc>
          <w:tcPr>
            <w:tcW w:w="661"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bottom"/>
          </w:tcPr>
          <w:p w14:paraId="7D4A82E2" w14:textId="77777777" w:rsidR="005D0429" w:rsidRPr="009E1B38" w:rsidDel="00052591"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334.093.879,40</w:t>
            </w:r>
          </w:p>
        </w:tc>
        <w:tc>
          <w:tcPr>
            <w:tcW w:w="582" w:type="pct"/>
            <w:tcBorders>
              <w:top w:val="nil"/>
              <w:left w:val="single" w:sz="4" w:space="0" w:color="D9D9D9" w:themeColor="background1" w:themeShade="D9"/>
              <w:bottom w:val="single" w:sz="4" w:space="0" w:color="D9D9D9" w:themeColor="background1" w:themeShade="D9"/>
              <w:right w:val="single" w:sz="4" w:space="0" w:color="D9D9D9"/>
            </w:tcBorders>
            <w:shd w:val="clear" w:color="auto" w:fill="auto"/>
            <w:vAlign w:val="bottom"/>
          </w:tcPr>
          <w:p w14:paraId="7D4A82E3" w14:textId="77777777" w:rsidR="005D0429" w:rsidRPr="009E1B38" w:rsidDel="00052591"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1.740.363,62</w:t>
            </w:r>
          </w:p>
        </w:tc>
        <w:tc>
          <w:tcPr>
            <w:tcW w:w="661" w:type="pct"/>
            <w:tcBorders>
              <w:top w:val="nil"/>
              <w:left w:val="single" w:sz="4" w:space="0" w:color="D9D9D9"/>
              <w:bottom w:val="single" w:sz="4" w:space="0" w:color="D9D9D9" w:themeColor="background1" w:themeShade="D9"/>
              <w:right w:val="single" w:sz="4" w:space="0" w:color="D9D9D9" w:themeColor="background1" w:themeShade="D9"/>
            </w:tcBorders>
            <w:shd w:val="clear" w:color="auto" w:fill="auto"/>
            <w:vAlign w:val="bottom"/>
          </w:tcPr>
          <w:p w14:paraId="7D4A82E4" w14:textId="77777777" w:rsidR="005D0429" w:rsidRPr="009E1B38" w:rsidDel="00052591" w:rsidRDefault="005D0429" w:rsidP="005D0429">
            <w:pPr>
              <w:spacing w:after="0" w:line="240" w:lineRule="auto"/>
              <w:jc w:val="right"/>
              <w:rPr>
                <w:rFonts w:ascii="Times New Roman" w:hAnsi="Times New Roman"/>
                <w:b/>
                <w:bCs/>
                <w:color w:val="000000"/>
                <w:sz w:val="18"/>
                <w:szCs w:val="18"/>
              </w:rPr>
            </w:pPr>
            <w:r w:rsidRPr="009E1B38">
              <w:rPr>
                <w:rFonts w:ascii="Times New Roman" w:hAnsi="Times New Roman"/>
                <w:b/>
                <w:bCs/>
                <w:color w:val="000000"/>
                <w:sz w:val="18"/>
                <w:szCs w:val="18"/>
              </w:rPr>
              <w:t>379.830.378,25</w:t>
            </w:r>
          </w:p>
        </w:tc>
      </w:tr>
    </w:tbl>
    <w:p w14:paraId="7D4A82E6" w14:textId="77777777" w:rsidR="004E03B6" w:rsidRPr="009E1B38" w:rsidRDefault="004E03B6" w:rsidP="004E03B6">
      <w:pPr>
        <w:spacing w:after="0"/>
        <w:rPr>
          <w:rFonts w:ascii="Times New Roman" w:hAnsi="Times New Roman"/>
        </w:rPr>
      </w:pPr>
    </w:p>
    <w:p w14:paraId="4025793C" w14:textId="19472D9D" w:rsidR="00F10500" w:rsidRPr="009E1B38" w:rsidRDefault="00F10500" w:rsidP="00F10500">
      <w:pPr>
        <w:autoSpaceDE w:val="0"/>
        <w:autoSpaceDN w:val="0"/>
        <w:adjustRightInd w:val="0"/>
        <w:spacing w:after="0"/>
        <w:rPr>
          <w:rFonts w:ascii="Times New Roman" w:hAnsi="Times New Roman"/>
          <w:color w:val="000000" w:themeColor="text1"/>
        </w:rPr>
      </w:pPr>
      <w:r w:rsidRPr="009E1B38">
        <w:rPr>
          <w:rFonts w:ascii="Times New Roman" w:hAnsi="Times New Roman"/>
          <w:color w:val="000000" w:themeColor="text1"/>
        </w:rPr>
        <w:t>NM is added to the fuel by the relevant license holders at the terms and levels determined by the authority, and then it is controlled with a "simplified control device" developed by TÜBİTAK before being offered to the market. "National Marker Field Control Device", also produced by T</w:t>
      </w:r>
      <w:r w:rsidR="00C661C1" w:rsidRPr="009E1B38">
        <w:rPr>
          <w:rFonts w:ascii="Times New Roman" w:hAnsi="Times New Roman"/>
          <w:color w:val="000000" w:themeColor="text1"/>
        </w:rPr>
        <w:t>Ü</w:t>
      </w:r>
      <w:r w:rsidRPr="009E1B38">
        <w:rPr>
          <w:rFonts w:ascii="Times New Roman" w:hAnsi="Times New Roman"/>
          <w:color w:val="000000" w:themeColor="text1"/>
        </w:rPr>
        <w:t>BİTAK, is used in the inspections of the fuel supplied to the market. Inspections of fuel in free circulation in the petroleum market are carried out within the framework of cooperation protocols signed between our Authority and the Ministry of İnterior, Ministry of İndustry and Technology and Ministry of Trade.</w:t>
      </w:r>
    </w:p>
    <w:p w14:paraId="5D900D7A" w14:textId="77777777" w:rsidR="00F10500" w:rsidRPr="009E1B38" w:rsidRDefault="00F10500" w:rsidP="00F10500">
      <w:pPr>
        <w:autoSpaceDE w:val="0"/>
        <w:autoSpaceDN w:val="0"/>
        <w:adjustRightInd w:val="0"/>
        <w:spacing w:after="0"/>
        <w:rPr>
          <w:rFonts w:ascii="Times New Roman" w:hAnsi="Times New Roman"/>
          <w:color w:val="000000" w:themeColor="text1"/>
        </w:rPr>
      </w:pPr>
    </w:p>
    <w:p w14:paraId="78A8CB95" w14:textId="77777777" w:rsidR="00F10500" w:rsidRPr="009E1B38" w:rsidRDefault="00F10500" w:rsidP="00F10500">
      <w:pPr>
        <w:rPr>
          <w:rFonts w:ascii="Times New Roman" w:hAnsi="Times New Roman"/>
          <w:b/>
          <w:i/>
        </w:rPr>
      </w:pPr>
      <w:bookmarkStart w:id="136" w:name="_Toc75858497"/>
      <w:r w:rsidRPr="009E1B38">
        <w:rPr>
          <w:rFonts w:ascii="Times New Roman" w:hAnsi="Times New Roman"/>
        </w:rPr>
        <w:t>As a result of the UM practice, the product quality control can be carried out at every stage of the product supply chain by separating the fuel that is legally in free circulation within the country and the illegal fuel, and the supply of smuggled fuel to the domestic market and the introduction of non-standard fuel into the market by mixing it with other fuel are prevented. Thus, it can be ensured that the fuel supplied to the market indirectly complies with the standards.</w:t>
      </w:r>
      <w:bookmarkEnd w:id="136"/>
    </w:p>
    <w:p w14:paraId="1D20C1B9" w14:textId="19EDE479" w:rsidR="00EE037A" w:rsidRPr="009E1B38" w:rsidRDefault="00C221F2" w:rsidP="00C661C1">
      <w:pPr>
        <w:pStyle w:val="Balk4"/>
        <w:rPr>
          <w:rFonts w:cs="Times New Roman"/>
        </w:rPr>
      </w:pPr>
      <w:bookmarkStart w:id="137" w:name="_Toc113615343"/>
      <w:r w:rsidRPr="009E1B38">
        <w:rPr>
          <w:rFonts w:cs="Times New Roman"/>
          <w:i w:val="0"/>
          <w:iCs w:val="0"/>
        </w:rPr>
        <w:t>3</w:t>
      </w:r>
      <w:r w:rsidR="004E03B6" w:rsidRPr="009E1B38">
        <w:rPr>
          <w:rFonts w:cs="Times New Roman"/>
          <w:i w:val="0"/>
        </w:rPr>
        <w:t>.</w:t>
      </w:r>
      <w:r w:rsidR="004E03B6" w:rsidRPr="009E1B38">
        <w:rPr>
          <w:rFonts w:cs="Times New Roman"/>
          <w:i w:val="0"/>
          <w:iCs w:val="0"/>
        </w:rPr>
        <w:t>3.</w:t>
      </w:r>
      <w:r w:rsidR="00C809B6" w:rsidRPr="009E1B38">
        <w:rPr>
          <w:rFonts w:cs="Times New Roman"/>
          <w:i w:val="0"/>
        </w:rPr>
        <w:t>2</w:t>
      </w:r>
      <w:r w:rsidR="004E03B6" w:rsidRPr="009E1B38">
        <w:rPr>
          <w:rFonts w:cs="Times New Roman"/>
          <w:i w:val="0"/>
        </w:rPr>
        <w:t xml:space="preserve">.2. </w:t>
      </w:r>
      <w:r w:rsidR="003D3A2B" w:rsidRPr="009E1B38">
        <w:rPr>
          <w:rFonts w:cs="Times New Roman"/>
          <w:i w:val="0"/>
        </w:rPr>
        <w:t>Fuel Dealers Automation System</w:t>
      </w:r>
      <w:bookmarkEnd w:id="137"/>
    </w:p>
    <w:p w14:paraId="17A60505" w14:textId="77777777" w:rsidR="006F56F2" w:rsidRPr="009E1B38" w:rsidRDefault="006F56F2" w:rsidP="006F56F2">
      <w:pPr>
        <w:rPr>
          <w:rFonts w:ascii="Times New Roman" w:hAnsi="Times New Roman"/>
          <w:color w:val="000000" w:themeColor="text1"/>
        </w:rPr>
      </w:pPr>
      <w:r w:rsidRPr="009E1B38">
        <w:rPr>
          <w:rFonts w:ascii="Times New Roman" w:hAnsi="Times New Roman"/>
          <w:color w:val="000000" w:themeColor="text1"/>
        </w:rPr>
        <w:t>In the seventh paragraph of Article 7 of the Petroleum Market Law, “Distributor license holders establish and implement an inspection system including technological methods that prevent illegal oil sales at their dealers in accordance with the principles determined by the Authority.” Necessary studies have been carried out by the Authority within the framework of the provisions of the provision, and the Board Decision dated 27.06.2007 and numbered 1240 has been taken, which came into force by being published in the Official Gazette dated 06.07.2007 and numbered 26574. İt establishes a station automation system for the daily monitoring of stock movements and fuel buying and selling transactions at fuel stations in electronic environment, in subparagraph (b) of the first paragraph of Article 4 of the said Board Decision. İt monitors and reports the fuel buying and selling movements in its dealers with the station automation system with a central connection. İn the event that unregistered supply and sales are detected, it immediately informs the Authority.” The obligation to establish and implement automation systems is given to distributor license holders in accordance with the provision. The said obligation started on 30.06.2011 for gas stations, on 30.09.2011 for stationary village pumps and for agricultural sales tankers.</w:t>
      </w:r>
    </w:p>
    <w:p w14:paraId="7D4A82EC" w14:textId="2183D994" w:rsidR="005D0429" w:rsidRPr="009E1B38" w:rsidRDefault="006F56F2" w:rsidP="005D0429">
      <w:pPr>
        <w:rPr>
          <w:rFonts w:ascii="Times New Roman" w:hAnsi="Times New Roman"/>
          <w:color w:val="000000" w:themeColor="text1"/>
        </w:rPr>
      </w:pPr>
      <w:r w:rsidRPr="009E1B38">
        <w:rPr>
          <w:rFonts w:ascii="Times New Roman" w:hAnsi="Times New Roman"/>
          <w:color w:val="000000" w:themeColor="text1"/>
        </w:rPr>
        <w:t>Within the scope of the Board Decision on the Dealer Inspection System numbered 1240, distributor license holders are obliged to report to our Authority on a daily and monthly basis the data they collect through the inspection system they have established. Some of the aforementioned data is received as electronic signed notification within the scope of EBİS, and some of it is delivered to our Authority via our Authority's web services. The station automation system data that reaches our authority are shared with the Authority and organizations in charge of combating illegal fuel within the scope of the Petroleum Market Law, to the extent required by their duties. In addition, statistical information created in line with the aforementioned data is shared with the Ministry of Energy and Natural Resources on a weekly basis.</w:t>
      </w:r>
    </w:p>
    <w:p w14:paraId="7D4A82EE" w14:textId="44FCA865" w:rsidR="00961767" w:rsidRPr="009E1B38" w:rsidRDefault="002F4535" w:rsidP="004E03B6">
      <w:pPr>
        <w:rPr>
          <w:rFonts w:ascii="Times New Roman" w:hAnsi="Times New Roman"/>
          <w:color w:val="000000" w:themeColor="text1"/>
        </w:rPr>
      </w:pPr>
      <w:r w:rsidRPr="009E1B38">
        <w:rPr>
          <w:rFonts w:ascii="Times New Roman" w:hAnsi="Times New Roman"/>
          <w:color w:val="000000" w:themeColor="text1"/>
        </w:rPr>
        <w:t xml:space="preserve">31470 published in the official gazette dated 30.04.2021 with Article 7 of Law No. 5015 added to Article 7 of law 7318 "Distributor license holders are obliged to establish and implement an audit system including technological methods that prevent illegal fuel sales at their dealers in accordance with the principles determined by the Authority. (Additional sentence: 29.4.2021-7318/7 art.) Distributor license holder is a legal entity authorized by the Authority. It establishes and implements the audit system through individuals. The administrative, financial and technical conditions to be sought in the </w:t>
      </w:r>
      <w:r w:rsidR="00135D72" w:rsidRPr="009E1B38">
        <w:rPr>
          <w:rFonts w:ascii="Times New Roman" w:hAnsi="Times New Roman"/>
          <w:color w:val="000000" w:themeColor="text1"/>
        </w:rPr>
        <w:t>legal entities</w:t>
      </w:r>
      <w:r w:rsidRPr="009E1B38">
        <w:rPr>
          <w:rFonts w:ascii="Times New Roman" w:hAnsi="Times New Roman"/>
          <w:color w:val="000000" w:themeColor="text1"/>
        </w:rPr>
        <w:t xml:space="preserve"> who will establish and implement the audit system, and the rights and obligations of these </w:t>
      </w:r>
      <w:r w:rsidR="00135D72" w:rsidRPr="009E1B38">
        <w:rPr>
          <w:rFonts w:ascii="Times New Roman" w:hAnsi="Times New Roman"/>
          <w:color w:val="000000" w:themeColor="text1"/>
        </w:rPr>
        <w:t>legal entities</w:t>
      </w:r>
      <w:r w:rsidRPr="009E1B38">
        <w:rPr>
          <w:rFonts w:ascii="Times New Roman" w:hAnsi="Times New Roman"/>
          <w:color w:val="000000" w:themeColor="text1"/>
        </w:rPr>
        <w:t xml:space="preserve"> are determined by the Institution..." in accordance with the provision, authorized automation company permit applications are evaluated by the Institution, legal entities that meet these conditions are granted permission to establish, implement, maintain and repair the dealer audit system. On the other hand, in accordance with the Board Decision dated 29.07.2021 and numbered 10338 published in the Official</w:t>
      </w:r>
    </w:p>
    <w:p w14:paraId="7D4A82EF" w14:textId="52C0B5E9" w:rsidR="004E03B6" w:rsidRPr="009E1B38" w:rsidRDefault="004548DC" w:rsidP="00F435AE">
      <w:pPr>
        <w:pStyle w:val="Balk4"/>
        <w:spacing w:after="240"/>
        <w:rPr>
          <w:rFonts w:cs="Times New Roman"/>
          <w:i w:val="0"/>
        </w:rPr>
      </w:pPr>
      <w:bookmarkStart w:id="138" w:name="_Toc113615344"/>
      <w:r w:rsidRPr="009E1B38">
        <w:rPr>
          <w:rFonts w:cs="Times New Roman"/>
          <w:i w:val="0"/>
          <w:iCs w:val="0"/>
        </w:rPr>
        <w:lastRenderedPageBreak/>
        <w:t>3</w:t>
      </w:r>
      <w:r w:rsidR="004E03B6" w:rsidRPr="009E1B38">
        <w:rPr>
          <w:rFonts w:cs="Times New Roman"/>
          <w:i w:val="0"/>
          <w:iCs w:val="0"/>
        </w:rPr>
        <w:t>.3.</w:t>
      </w:r>
      <w:r w:rsidR="004E03B6" w:rsidRPr="009E1B38">
        <w:rPr>
          <w:rFonts w:cs="Times New Roman"/>
          <w:i w:val="0"/>
        </w:rPr>
        <w:t xml:space="preserve">2.3. </w:t>
      </w:r>
      <w:r w:rsidR="00E27C1F" w:rsidRPr="009E1B38">
        <w:rPr>
          <w:rFonts w:cs="Times New Roman"/>
          <w:i w:val="0"/>
        </w:rPr>
        <w:t>Oil Warehouse Stock Tracking System</w:t>
      </w:r>
      <w:bookmarkEnd w:id="138"/>
    </w:p>
    <w:p w14:paraId="3F3EACDA" w14:textId="77777777" w:rsidR="00B13980" w:rsidRPr="009E1B38" w:rsidRDefault="00B13980" w:rsidP="00B13980">
      <w:pPr>
        <w:rPr>
          <w:rFonts w:ascii="Times New Roman" w:hAnsi="Times New Roman"/>
        </w:rPr>
        <w:sectPr w:rsidR="00B13980" w:rsidRPr="009E1B38" w:rsidSect="007650B8">
          <w:footerReference w:type="first" r:id="rId39"/>
          <w:pgSz w:w="11906" w:h="16838"/>
          <w:pgMar w:top="1418" w:right="566" w:bottom="1418" w:left="1418" w:header="709" w:footer="709" w:gutter="0"/>
          <w:cols w:space="708"/>
          <w:docGrid w:linePitch="360"/>
        </w:sectPr>
      </w:pPr>
      <w:bookmarkStart w:id="139" w:name="_Hlk106634100"/>
      <w:r w:rsidRPr="009E1B38">
        <w:rPr>
          <w:rFonts w:ascii="Times New Roman" w:hAnsi="Times New Roman"/>
          <w:color w:val="000000" w:themeColor="text1"/>
        </w:rPr>
        <w:t>The works for the establishment of a tank tracking system have been completed in order to monitor the amount and levels of oil in the tanks located in the storage facilities within the scope of the national stock in the petroleum market on an hourly basis in electronic environment and to directly monitor the data generated in these systems by our Authority. Coupon system was added to the Petrol Depot Stock Tracking system and the system was put into service as of 01.01.2018.</w:t>
      </w:r>
    </w:p>
    <w:p w14:paraId="7D4A82F1" w14:textId="37183A9E" w:rsidR="00CB5826" w:rsidRPr="009E1B38" w:rsidRDefault="6FD9CB07" w:rsidP="003C5E4D">
      <w:pPr>
        <w:pStyle w:val="Balk2"/>
        <w:numPr>
          <w:ilvl w:val="1"/>
          <w:numId w:val="55"/>
        </w:numPr>
        <w:rPr>
          <w:rFonts w:cs="Times New Roman"/>
        </w:rPr>
      </w:pPr>
      <w:bookmarkStart w:id="140" w:name="_Toc113615345"/>
      <w:bookmarkEnd w:id="139"/>
      <w:r w:rsidRPr="009E1B38">
        <w:rPr>
          <w:rFonts w:cs="Times New Roman"/>
        </w:rPr>
        <w:lastRenderedPageBreak/>
        <w:t>Liquefied Petroleum Gas (LPG) Market Licensing Activities</w:t>
      </w:r>
      <w:bookmarkEnd w:id="140"/>
    </w:p>
    <w:p w14:paraId="3E49CB27" w14:textId="77777777" w:rsidR="00FD2013" w:rsidRPr="009E1B38" w:rsidRDefault="00FD2013" w:rsidP="00FD2013">
      <w:pPr>
        <w:rPr>
          <w:rFonts w:ascii="Times New Roman" w:hAnsi="Times New Roman"/>
        </w:rPr>
      </w:pPr>
      <w:r w:rsidRPr="009E1B38">
        <w:rPr>
          <w:rFonts w:ascii="Times New Roman" w:hAnsi="Times New Roman"/>
        </w:rPr>
        <w:t>Regarding LPG; İt is obligatory to obtain a license for LPG Distributor, LPG Transport, LPG Storage, LPG Autogas Dealership, LPG Cylinder Manufacturing, LPG Cylinder İnspection, Repair and Maintenance activities. The activities to be carried out within the scope of LPG licenses and the obligations of licensees are specified in the Liquefied Petroleum Gases (LPG) Market License Regulation.</w:t>
      </w:r>
    </w:p>
    <w:p w14:paraId="30037F05" w14:textId="5AC98030" w:rsidR="00FD2013" w:rsidRPr="009E1B38" w:rsidRDefault="00FD2013" w:rsidP="00FD2013">
      <w:pPr>
        <w:rPr>
          <w:rFonts w:ascii="Times New Roman" w:hAnsi="Times New Roman"/>
        </w:rPr>
      </w:pPr>
      <w:r w:rsidRPr="009E1B38">
        <w:rPr>
          <w:rFonts w:ascii="Times New Roman" w:hAnsi="Times New Roman"/>
        </w:rPr>
        <w:t>License transactions carried out in the LPG market in 202</w:t>
      </w:r>
      <w:r w:rsidR="001073FE" w:rsidRPr="009E1B38">
        <w:rPr>
          <w:rFonts w:ascii="Times New Roman" w:hAnsi="Times New Roman"/>
        </w:rPr>
        <w:t>1</w:t>
      </w:r>
      <w:r w:rsidRPr="009E1B38">
        <w:rPr>
          <w:rFonts w:ascii="Times New Roman" w:hAnsi="Times New Roman"/>
        </w:rPr>
        <w:t xml:space="preserve"> are given in Table 3.10.</w:t>
      </w:r>
    </w:p>
    <w:p w14:paraId="7D4A82F5" w14:textId="19835D3E" w:rsidR="00CB5826" w:rsidRPr="009E1B38" w:rsidRDefault="004E03B6" w:rsidP="0008108D">
      <w:pPr>
        <w:pStyle w:val="Balk5"/>
        <w:jc w:val="center"/>
        <w:rPr>
          <w:rStyle w:val="Gl"/>
          <w:rFonts w:ascii="Times New Roman" w:hAnsi="Times New Roman" w:cs="Times New Roman"/>
          <w:b/>
          <w:bCs w:val="0"/>
        </w:rPr>
      </w:pPr>
      <w:bookmarkStart w:id="141" w:name="_Toc107499506"/>
      <w:r w:rsidRPr="009E1B38">
        <w:rPr>
          <w:rStyle w:val="Gl"/>
          <w:rFonts w:ascii="Times New Roman" w:hAnsi="Times New Roman" w:cs="Times New Roman"/>
          <w:b/>
          <w:bCs w:val="0"/>
        </w:rPr>
        <w:t>Tabl</w:t>
      </w:r>
      <w:r w:rsidR="005A5336" w:rsidRPr="009E1B38">
        <w:rPr>
          <w:rStyle w:val="Gl"/>
          <w:rFonts w:ascii="Times New Roman" w:hAnsi="Times New Roman" w:cs="Times New Roman"/>
          <w:b/>
          <w:bCs w:val="0"/>
        </w:rPr>
        <w:t>e</w:t>
      </w:r>
      <w:r w:rsidRPr="009E1B38">
        <w:rPr>
          <w:rStyle w:val="Gl"/>
          <w:rFonts w:ascii="Times New Roman" w:hAnsi="Times New Roman" w:cs="Times New Roman"/>
          <w:b/>
          <w:bCs w:val="0"/>
        </w:rPr>
        <w:t xml:space="preserve"> 3.10</w:t>
      </w:r>
      <w:r w:rsidR="00CB5826" w:rsidRPr="009E1B38">
        <w:rPr>
          <w:rStyle w:val="Gl"/>
          <w:rFonts w:ascii="Times New Roman" w:hAnsi="Times New Roman" w:cs="Times New Roman"/>
          <w:b/>
          <w:bCs w:val="0"/>
        </w:rPr>
        <w:t xml:space="preserve">: </w:t>
      </w:r>
      <w:r w:rsidR="001073FE" w:rsidRPr="009E1B38">
        <w:rPr>
          <w:rStyle w:val="Gl"/>
          <w:rFonts w:ascii="Times New Roman" w:hAnsi="Times New Roman" w:cs="Times New Roman"/>
          <w:b/>
          <w:bCs w:val="0"/>
        </w:rPr>
        <w:t>License Transactions in the LPG Market in 2020 (Number)</w:t>
      </w:r>
      <w:bookmarkEnd w:id="141"/>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448"/>
        <w:gridCol w:w="1096"/>
        <w:gridCol w:w="931"/>
        <w:gridCol w:w="2153"/>
        <w:gridCol w:w="1065"/>
        <w:gridCol w:w="1240"/>
        <w:gridCol w:w="932"/>
        <w:gridCol w:w="1197"/>
      </w:tblGrid>
      <w:tr w:rsidR="00F5398A" w:rsidRPr="009E1B38" w14:paraId="7D4A82FE" w14:textId="77777777" w:rsidTr="0081739C">
        <w:trPr>
          <w:trHeight w:val="283"/>
        </w:trPr>
        <w:tc>
          <w:tcPr>
            <w:tcW w:w="712" w:type="pct"/>
            <w:shd w:val="clear" w:color="000000" w:fill="6E9ECA"/>
            <w:vAlign w:val="center"/>
            <w:hideMark/>
          </w:tcPr>
          <w:p w14:paraId="7D4A82F6" w14:textId="5766E371" w:rsidR="003C6441" w:rsidRPr="009E1B38" w:rsidRDefault="00662231" w:rsidP="003C6441">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color w:val="FFFFFF"/>
                <w:sz w:val="18"/>
                <w:szCs w:val="18"/>
                <w:lang w:eastAsia="tr-TR"/>
              </w:rPr>
              <w:t>License Type</w:t>
            </w:r>
          </w:p>
        </w:tc>
        <w:tc>
          <w:tcPr>
            <w:tcW w:w="546" w:type="pct"/>
            <w:shd w:val="clear" w:color="000000" w:fill="6E9ECA"/>
            <w:vAlign w:val="center"/>
            <w:hideMark/>
          </w:tcPr>
          <w:p w14:paraId="7D4A82F7" w14:textId="575FADD6" w:rsidR="003C6441" w:rsidRPr="009E1B38" w:rsidRDefault="00662231" w:rsidP="003C6441">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color w:val="FFFFFF"/>
                <w:sz w:val="18"/>
                <w:szCs w:val="18"/>
                <w:lang w:eastAsia="tr-TR"/>
              </w:rPr>
              <w:t>License Application</w:t>
            </w:r>
          </w:p>
        </w:tc>
        <w:tc>
          <w:tcPr>
            <w:tcW w:w="464" w:type="pct"/>
            <w:shd w:val="clear" w:color="000000" w:fill="6E9ECA"/>
            <w:vAlign w:val="center"/>
            <w:hideMark/>
          </w:tcPr>
          <w:p w14:paraId="7D4A82F8" w14:textId="796CE8EA" w:rsidR="003C6441" w:rsidRPr="009E1B38" w:rsidRDefault="00662231" w:rsidP="003C6441">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color w:val="FFFFFF"/>
                <w:sz w:val="18"/>
                <w:szCs w:val="18"/>
                <w:lang w:eastAsia="tr-TR"/>
              </w:rPr>
              <w:t>Granting the License</w:t>
            </w:r>
          </w:p>
        </w:tc>
        <w:tc>
          <w:tcPr>
            <w:tcW w:w="1071" w:type="pct"/>
            <w:shd w:val="clear" w:color="000000" w:fill="6E9ECA"/>
            <w:vAlign w:val="center"/>
            <w:hideMark/>
          </w:tcPr>
          <w:p w14:paraId="7D4A82F9" w14:textId="704EE73A" w:rsidR="003C6441" w:rsidRPr="009E1B38" w:rsidRDefault="00662231" w:rsidP="003C6441">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color w:val="FFFFFF"/>
                <w:sz w:val="18"/>
                <w:szCs w:val="18"/>
                <w:lang w:eastAsia="tr-TR"/>
              </w:rPr>
              <w:t>License Expiration/Termination</w:t>
            </w:r>
          </w:p>
        </w:tc>
        <w:tc>
          <w:tcPr>
            <w:tcW w:w="530" w:type="pct"/>
            <w:shd w:val="clear" w:color="000000" w:fill="6E9ECA"/>
            <w:vAlign w:val="center"/>
            <w:hideMark/>
          </w:tcPr>
          <w:p w14:paraId="09AC78F3" w14:textId="77777777" w:rsidR="00662231" w:rsidRPr="009E1B38" w:rsidRDefault="00662231" w:rsidP="00662231">
            <w:pPr>
              <w:spacing w:after="0" w:line="240" w:lineRule="auto"/>
              <w:rPr>
                <w:rFonts w:ascii="Times New Roman" w:eastAsia="Times New Roman" w:hAnsi="Times New Roman"/>
                <w:b/>
                <w:color w:val="FFFFFF"/>
                <w:sz w:val="18"/>
                <w:szCs w:val="18"/>
                <w:lang w:eastAsia="tr-TR"/>
              </w:rPr>
            </w:pPr>
            <w:r w:rsidRPr="009E1B38">
              <w:rPr>
                <w:rFonts w:ascii="Times New Roman" w:eastAsia="Times New Roman" w:hAnsi="Times New Roman"/>
                <w:b/>
                <w:color w:val="FFFFFF"/>
                <w:sz w:val="18"/>
                <w:szCs w:val="18"/>
                <w:lang w:eastAsia="tr-TR"/>
              </w:rPr>
              <w:t>License</w:t>
            </w:r>
          </w:p>
          <w:p w14:paraId="7D4A82FA" w14:textId="38A8B2D5" w:rsidR="003C6441" w:rsidRPr="009E1B38" w:rsidRDefault="00662231" w:rsidP="003C6441">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color w:val="FFFFFF"/>
                <w:sz w:val="18"/>
                <w:szCs w:val="18"/>
                <w:lang w:eastAsia="tr-TR"/>
              </w:rPr>
              <w:t>Revocation</w:t>
            </w:r>
          </w:p>
        </w:tc>
        <w:tc>
          <w:tcPr>
            <w:tcW w:w="617" w:type="pct"/>
            <w:shd w:val="clear" w:color="000000" w:fill="6E9ECA"/>
            <w:vAlign w:val="center"/>
            <w:hideMark/>
          </w:tcPr>
          <w:p w14:paraId="7D4A82FB" w14:textId="73BF9CAC" w:rsidR="003C6441" w:rsidRPr="009E1B38" w:rsidRDefault="00662231" w:rsidP="003C6441">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color w:val="FFFFFF"/>
                <w:sz w:val="18"/>
                <w:szCs w:val="18"/>
                <w:lang w:eastAsia="tr-TR"/>
              </w:rPr>
              <w:t>Number of Amendments</w:t>
            </w:r>
          </w:p>
        </w:tc>
        <w:tc>
          <w:tcPr>
            <w:tcW w:w="464" w:type="pct"/>
            <w:shd w:val="clear" w:color="000000" w:fill="6E9ECA"/>
            <w:vAlign w:val="center"/>
            <w:hideMark/>
          </w:tcPr>
          <w:p w14:paraId="7D4A82FC" w14:textId="715088F2" w:rsidR="003C6441" w:rsidRPr="009E1B38" w:rsidRDefault="00662231" w:rsidP="003C6441">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color w:val="FFFFFF"/>
                <w:sz w:val="18"/>
                <w:szCs w:val="18"/>
                <w:lang w:eastAsia="tr-TR"/>
              </w:rPr>
              <w:t>Gr</w:t>
            </w:r>
            <w:r w:rsidRPr="009E1B38">
              <w:rPr>
                <w:rFonts w:ascii="Times New Roman" w:eastAsia="Times New Roman" w:hAnsi="Times New Roman"/>
                <w:color w:val="FFFFFF"/>
                <w:sz w:val="18"/>
                <w:szCs w:val="18"/>
                <w:lang w:eastAsia="tr-TR"/>
              </w:rPr>
              <w:t>and Total</w:t>
            </w:r>
          </w:p>
        </w:tc>
        <w:tc>
          <w:tcPr>
            <w:tcW w:w="596" w:type="pct"/>
            <w:shd w:val="clear" w:color="000000" w:fill="6E9ECA"/>
            <w:vAlign w:val="center"/>
            <w:hideMark/>
          </w:tcPr>
          <w:p w14:paraId="7D4A82FD" w14:textId="2F5BBBF6" w:rsidR="003C6441" w:rsidRPr="009E1B38" w:rsidRDefault="00662231" w:rsidP="003C6441">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color w:val="FFFFFF"/>
                <w:sz w:val="18"/>
                <w:szCs w:val="18"/>
                <w:lang w:eastAsia="tr-TR"/>
              </w:rPr>
              <w:t>Number of Licenses in Effect at the End of the Term</w:t>
            </w:r>
          </w:p>
        </w:tc>
      </w:tr>
      <w:tr w:rsidR="005748C0" w:rsidRPr="009E1B38" w14:paraId="7D4A8307" w14:textId="77777777" w:rsidTr="0081739C">
        <w:trPr>
          <w:trHeight w:val="283"/>
        </w:trPr>
        <w:tc>
          <w:tcPr>
            <w:tcW w:w="712" w:type="pct"/>
            <w:shd w:val="clear" w:color="auto" w:fill="auto"/>
          </w:tcPr>
          <w:p w14:paraId="7D4A82FF" w14:textId="796E5BE4" w:rsidR="005748C0" w:rsidRPr="009E1B38" w:rsidRDefault="0081739C" w:rsidP="005748C0">
            <w:pPr>
              <w:spacing w:after="0" w:line="240" w:lineRule="auto"/>
              <w:jc w:val="left"/>
              <w:rPr>
                <w:rFonts w:ascii="Times New Roman" w:eastAsia="Times New Roman" w:hAnsi="Times New Roman"/>
                <w:color w:val="000000"/>
                <w:lang w:eastAsia="tr-TR"/>
              </w:rPr>
            </w:pPr>
            <w:r w:rsidRPr="009E1B38">
              <w:rPr>
                <w:rFonts w:ascii="Times New Roman" w:hAnsi="Times New Roman"/>
              </w:rPr>
              <w:t>LPG Distributor License</w:t>
            </w:r>
          </w:p>
        </w:tc>
        <w:tc>
          <w:tcPr>
            <w:tcW w:w="546" w:type="pct"/>
            <w:shd w:val="clear" w:color="auto" w:fill="auto"/>
            <w:vAlign w:val="center"/>
          </w:tcPr>
          <w:p w14:paraId="7D4A8300" w14:textId="77777777" w:rsidR="005748C0" w:rsidRPr="009E1B38" w:rsidRDefault="0026102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6</w:t>
            </w:r>
          </w:p>
        </w:tc>
        <w:tc>
          <w:tcPr>
            <w:tcW w:w="464" w:type="pct"/>
            <w:shd w:val="clear" w:color="auto" w:fill="auto"/>
            <w:vAlign w:val="center"/>
          </w:tcPr>
          <w:p w14:paraId="7D4A8301" w14:textId="77777777" w:rsidR="005748C0" w:rsidRPr="009E1B38" w:rsidRDefault="0026102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7</w:t>
            </w:r>
          </w:p>
        </w:tc>
        <w:tc>
          <w:tcPr>
            <w:tcW w:w="1071" w:type="pct"/>
            <w:shd w:val="clear" w:color="auto" w:fill="auto"/>
            <w:vAlign w:val="center"/>
          </w:tcPr>
          <w:p w14:paraId="7D4A8302" w14:textId="77777777" w:rsidR="005748C0" w:rsidRPr="009E1B38" w:rsidRDefault="0026102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7</w:t>
            </w:r>
          </w:p>
        </w:tc>
        <w:tc>
          <w:tcPr>
            <w:tcW w:w="530" w:type="pct"/>
            <w:shd w:val="clear" w:color="auto" w:fill="auto"/>
            <w:vAlign w:val="center"/>
          </w:tcPr>
          <w:p w14:paraId="7D4A8303"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617" w:type="pct"/>
            <w:shd w:val="clear" w:color="auto" w:fill="auto"/>
            <w:vAlign w:val="center"/>
          </w:tcPr>
          <w:p w14:paraId="7D4A8304"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w:t>
            </w:r>
            <w:r w:rsidR="0026102E" w:rsidRPr="009E1B38">
              <w:rPr>
                <w:rFonts w:ascii="Times New Roman" w:hAnsi="Times New Roman"/>
                <w:color w:val="000000"/>
              </w:rPr>
              <w:t>1</w:t>
            </w:r>
          </w:p>
        </w:tc>
        <w:tc>
          <w:tcPr>
            <w:tcW w:w="464" w:type="pct"/>
            <w:shd w:val="clear" w:color="auto" w:fill="auto"/>
            <w:vAlign w:val="center"/>
          </w:tcPr>
          <w:p w14:paraId="7D4A8305"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5</w:t>
            </w:r>
            <w:r w:rsidR="0026102E" w:rsidRPr="009E1B38">
              <w:rPr>
                <w:rFonts w:ascii="Times New Roman" w:hAnsi="Times New Roman"/>
                <w:color w:val="000000"/>
              </w:rPr>
              <w:t>1</w:t>
            </w:r>
          </w:p>
        </w:tc>
        <w:tc>
          <w:tcPr>
            <w:tcW w:w="596" w:type="pct"/>
            <w:shd w:val="clear" w:color="auto" w:fill="auto"/>
            <w:vAlign w:val="center"/>
          </w:tcPr>
          <w:p w14:paraId="7D4A8306" w14:textId="77777777" w:rsidR="005748C0" w:rsidRPr="009E1B38" w:rsidRDefault="005748C0" w:rsidP="005748C0">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9</w:t>
            </w:r>
            <w:r w:rsidR="0026102E" w:rsidRPr="009E1B38">
              <w:rPr>
                <w:rFonts w:ascii="Times New Roman" w:hAnsi="Times New Roman"/>
                <w:b/>
                <w:color w:val="000000"/>
              </w:rPr>
              <w:t>0</w:t>
            </w:r>
          </w:p>
        </w:tc>
      </w:tr>
      <w:tr w:rsidR="005748C0" w:rsidRPr="009E1B38" w14:paraId="7D4A8310" w14:textId="77777777" w:rsidTr="0081739C">
        <w:trPr>
          <w:trHeight w:val="283"/>
        </w:trPr>
        <w:tc>
          <w:tcPr>
            <w:tcW w:w="712" w:type="pct"/>
            <w:shd w:val="clear" w:color="auto" w:fill="auto"/>
          </w:tcPr>
          <w:p w14:paraId="7D4A8308" w14:textId="2E731898" w:rsidR="005748C0" w:rsidRPr="009E1B38" w:rsidRDefault="0081739C" w:rsidP="005748C0">
            <w:pPr>
              <w:spacing w:after="0" w:line="240" w:lineRule="auto"/>
              <w:jc w:val="left"/>
              <w:rPr>
                <w:rFonts w:ascii="Times New Roman" w:eastAsia="Times New Roman" w:hAnsi="Times New Roman"/>
                <w:color w:val="000000"/>
                <w:lang w:eastAsia="tr-TR"/>
              </w:rPr>
            </w:pPr>
            <w:r w:rsidRPr="009E1B38">
              <w:rPr>
                <w:rFonts w:ascii="Times New Roman" w:hAnsi="Times New Roman"/>
              </w:rPr>
              <w:t>LPG Storage License</w:t>
            </w:r>
          </w:p>
        </w:tc>
        <w:tc>
          <w:tcPr>
            <w:tcW w:w="546" w:type="pct"/>
            <w:shd w:val="clear" w:color="auto" w:fill="auto"/>
            <w:vAlign w:val="center"/>
          </w:tcPr>
          <w:p w14:paraId="7D4A8309" w14:textId="77777777" w:rsidR="005748C0" w:rsidRPr="009E1B38" w:rsidRDefault="0026102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8</w:t>
            </w:r>
          </w:p>
        </w:tc>
        <w:tc>
          <w:tcPr>
            <w:tcW w:w="464" w:type="pct"/>
            <w:shd w:val="clear" w:color="auto" w:fill="auto"/>
            <w:vAlign w:val="center"/>
          </w:tcPr>
          <w:p w14:paraId="7D4A830A" w14:textId="77777777" w:rsidR="005748C0" w:rsidRPr="009E1B38" w:rsidRDefault="0026102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8</w:t>
            </w:r>
          </w:p>
        </w:tc>
        <w:tc>
          <w:tcPr>
            <w:tcW w:w="1071" w:type="pct"/>
            <w:shd w:val="clear" w:color="auto" w:fill="auto"/>
            <w:vAlign w:val="center"/>
          </w:tcPr>
          <w:p w14:paraId="7D4A830B" w14:textId="77777777" w:rsidR="005748C0" w:rsidRPr="009E1B38" w:rsidRDefault="0026102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9</w:t>
            </w:r>
          </w:p>
        </w:tc>
        <w:tc>
          <w:tcPr>
            <w:tcW w:w="530" w:type="pct"/>
            <w:shd w:val="clear" w:color="auto" w:fill="auto"/>
            <w:vAlign w:val="center"/>
          </w:tcPr>
          <w:p w14:paraId="7D4A830C"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617" w:type="pct"/>
            <w:shd w:val="clear" w:color="auto" w:fill="auto"/>
            <w:vAlign w:val="center"/>
          </w:tcPr>
          <w:p w14:paraId="7D4A830D"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w:t>
            </w:r>
            <w:r w:rsidR="0026102E" w:rsidRPr="009E1B38">
              <w:rPr>
                <w:rFonts w:ascii="Times New Roman" w:hAnsi="Times New Roman"/>
                <w:color w:val="000000"/>
              </w:rPr>
              <w:t>8</w:t>
            </w:r>
          </w:p>
        </w:tc>
        <w:tc>
          <w:tcPr>
            <w:tcW w:w="464" w:type="pct"/>
            <w:shd w:val="clear" w:color="auto" w:fill="auto"/>
            <w:vAlign w:val="center"/>
          </w:tcPr>
          <w:p w14:paraId="7D4A830E" w14:textId="77777777" w:rsidR="005748C0" w:rsidRPr="009E1B38" w:rsidRDefault="0026102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53</w:t>
            </w:r>
          </w:p>
        </w:tc>
        <w:tc>
          <w:tcPr>
            <w:tcW w:w="596" w:type="pct"/>
            <w:shd w:val="clear" w:color="auto" w:fill="auto"/>
            <w:vAlign w:val="center"/>
          </w:tcPr>
          <w:p w14:paraId="7D4A830F" w14:textId="77777777" w:rsidR="005748C0" w:rsidRPr="009E1B38" w:rsidRDefault="005748C0" w:rsidP="005748C0">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9</w:t>
            </w:r>
            <w:r w:rsidR="0026102E" w:rsidRPr="009E1B38">
              <w:rPr>
                <w:rFonts w:ascii="Times New Roman" w:hAnsi="Times New Roman"/>
                <w:b/>
                <w:color w:val="000000"/>
              </w:rPr>
              <w:t>8</w:t>
            </w:r>
          </w:p>
        </w:tc>
      </w:tr>
      <w:tr w:rsidR="005748C0" w:rsidRPr="009E1B38" w14:paraId="7D4A8319" w14:textId="77777777" w:rsidTr="0081739C">
        <w:trPr>
          <w:trHeight w:val="283"/>
        </w:trPr>
        <w:tc>
          <w:tcPr>
            <w:tcW w:w="712" w:type="pct"/>
            <w:shd w:val="clear" w:color="auto" w:fill="auto"/>
          </w:tcPr>
          <w:p w14:paraId="7D4A8311" w14:textId="159E386F" w:rsidR="005748C0" w:rsidRPr="009E1B38" w:rsidRDefault="0081739C" w:rsidP="005748C0">
            <w:pPr>
              <w:spacing w:after="0" w:line="240" w:lineRule="auto"/>
              <w:jc w:val="left"/>
              <w:rPr>
                <w:rFonts w:ascii="Times New Roman" w:eastAsia="Times New Roman" w:hAnsi="Times New Roman"/>
                <w:color w:val="000000"/>
                <w:lang w:eastAsia="tr-TR"/>
              </w:rPr>
            </w:pPr>
            <w:r w:rsidRPr="009E1B38">
              <w:rPr>
                <w:rFonts w:ascii="Times New Roman" w:hAnsi="Times New Roman"/>
              </w:rPr>
              <w:t>LPG Autogas Dealer License</w:t>
            </w:r>
          </w:p>
        </w:tc>
        <w:tc>
          <w:tcPr>
            <w:tcW w:w="546" w:type="pct"/>
            <w:shd w:val="clear" w:color="auto" w:fill="auto"/>
            <w:vAlign w:val="center"/>
          </w:tcPr>
          <w:p w14:paraId="7D4A8312"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1.0</w:t>
            </w:r>
            <w:r w:rsidR="0026102E" w:rsidRPr="009E1B38">
              <w:rPr>
                <w:rFonts w:ascii="Times New Roman" w:hAnsi="Times New Roman"/>
                <w:color w:val="000000"/>
              </w:rPr>
              <w:t>32</w:t>
            </w:r>
          </w:p>
        </w:tc>
        <w:tc>
          <w:tcPr>
            <w:tcW w:w="464" w:type="pct"/>
            <w:shd w:val="clear" w:color="auto" w:fill="auto"/>
            <w:vAlign w:val="center"/>
          </w:tcPr>
          <w:p w14:paraId="7D4A8313"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1.0</w:t>
            </w:r>
            <w:r w:rsidR="0026102E" w:rsidRPr="009E1B38">
              <w:rPr>
                <w:rFonts w:ascii="Times New Roman" w:hAnsi="Times New Roman"/>
                <w:color w:val="000000"/>
              </w:rPr>
              <w:t>15</w:t>
            </w:r>
          </w:p>
        </w:tc>
        <w:tc>
          <w:tcPr>
            <w:tcW w:w="1071" w:type="pct"/>
            <w:shd w:val="clear" w:color="auto" w:fill="auto"/>
            <w:vAlign w:val="center"/>
          </w:tcPr>
          <w:p w14:paraId="7D4A8314"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846</w:t>
            </w:r>
          </w:p>
        </w:tc>
        <w:tc>
          <w:tcPr>
            <w:tcW w:w="530" w:type="pct"/>
            <w:shd w:val="clear" w:color="auto" w:fill="auto"/>
            <w:vAlign w:val="center"/>
          </w:tcPr>
          <w:p w14:paraId="7D4A8315"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617" w:type="pct"/>
            <w:shd w:val="clear" w:color="auto" w:fill="auto"/>
            <w:vAlign w:val="center"/>
          </w:tcPr>
          <w:p w14:paraId="7D4A8316"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w:t>
            </w:r>
            <w:r w:rsidR="00D04ADE" w:rsidRPr="009E1B38">
              <w:rPr>
                <w:rFonts w:ascii="Times New Roman" w:hAnsi="Times New Roman"/>
                <w:color w:val="000000"/>
              </w:rPr>
              <w:t>163</w:t>
            </w:r>
          </w:p>
        </w:tc>
        <w:tc>
          <w:tcPr>
            <w:tcW w:w="464" w:type="pct"/>
            <w:shd w:val="clear" w:color="auto" w:fill="auto"/>
            <w:vAlign w:val="center"/>
          </w:tcPr>
          <w:p w14:paraId="7D4A8317"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w:t>
            </w:r>
            <w:r w:rsidR="00D04ADE" w:rsidRPr="009E1B38">
              <w:rPr>
                <w:rFonts w:ascii="Times New Roman" w:hAnsi="Times New Roman"/>
                <w:color w:val="000000"/>
              </w:rPr>
              <w:t>056</w:t>
            </w:r>
          </w:p>
        </w:tc>
        <w:tc>
          <w:tcPr>
            <w:tcW w:w="596" w:type="pct"/>
            <w:shd w:val="clear" w:color="auto" w:fill="auto"/>
            <w:vAlign w:val="center"/>
          </w:tcPr>
          <w:p w14:paraId="7D4A8318" w14:textId="77777777" w:rsidR="005748C0" w:rsidRPr="009E1B38" w:rsidRDefault="005748C0" w:rsidP="005748C0">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10.</w:t>
            </w:r>
            <w:r w:rsidR="00D04ADE" w:rsidRPr="009E1B38">
              <w:rPr>
                <w:rFonts w:ascii="Times New Roman" w:hAnsi="Times New Roman"/>
                <w:b/>
                <w:color w:val="000000"/>
              </w:rPr>
              <w:t>997</w:t>
            </w:r>
          </w:p>
        </w:tc>
      </w:tr>
      <w:tr w:rsidR="005748C0" w:rsidRPr="009E1B38" w14:paraId="7D4A8322" w14:textId="77777777" w:rsidTr="0081739C">
        <w:trPr>
          <w:trHeight w:val="283"/>
        </w:trPr>
        <w:tc>
          <w:tcPr>
            <w:tcW w:w="712" w:type="pct"/>
            <w:shd w:val="clear" w:color="auto" w:fill="auto"/>
          </w:tcPr>
          <w:p w14:paraId="7D4A831A" w14:textId="5EB8D204" w:rsidR="005748C0" w:rsidRPr="009E1B38" w:rsidRDefault="0081739C" w:rsidP="005748C0">
            <w:pPr>
              <w:spacing w:after="0" w:line="240" w:lineRule="auto"/>
              <w:jc w:val="left"/>
              <w:rPr>
                <w:rFonts w:ascii="Times New Roman" w:eastAsia="Times New Roman" w:hAnsi="Times New Roman"/>
                <w:color w:val="000000"/>
                <w:lang w:eastAsia="tr-TR"/>
              </w:rPr>
            </w:pPr>
            <w:r w:rsidRPr="009E1B38">
              <w:rPr>
                <w:rFonts w:ascii="Times New Roman" w:hAnsi="Times New Roman"/>
              </w:rPr>
              <w:t>LPG Transport License</w:t>
            </w:r>
          </w:p>
        </w:tc>
        <w:tc>
          <w:tcPr>
            <w:tcW w:w="546" w:type="pct"/>
            <w:shd w:val="clear" w:color="auto" w:fill="auto"/>
            <w:vAlign w:val="center"/>
          </w:tcPr>
          <w:p w14:paraId="7D4A831B"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7</w:t>
            </w:r>
          </w:p>
        </w:tc>
        <w:tc>
          <w:tcPr>
            <w:tcW w:w="464" w:type="pct"/>
            <w:shd w:val="clear" w:color="auto" w:fill="auto"/>
            <w:vAlign w:val="center"/>
          </w:tcPr>
          <w:p w14:paraId="7D4A831C"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6</w:t>
            </w:r>
          </w:p>
        </w:tc>
        <w:tc>
          <w:tcPr>
            <w:tcW w:w="1071" w:type="pct"/>
            <w:shd w:val="clear" w:color="auto" w:fill="auto"/>
            <w:vAlign w:val="center"/>
          </w:tcPr>
          <w:p w14:paraId="7D4A831D"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5</w:t>
            </w:r>
          </w:p>
        </w:tc>
        <w:tc>
          <w:tcPr>
            <w:tcW w:w="530" w:type="pct"/>
            <w:shd w:val="clear" w:color="auto" w:fill="auto"/>
            <w:vAlign w:val="center"/>
          </w:tcPr>
          <w:p w14:paraId="7D4A831E"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617" w:type="pct"/>
            <w:shd w:val="clear" w:color="auto" w:fill="auto"/>
            <w:vAlign w:val="center"/>
          </w:tcPr>
          <w:p w14:paraId="7D4A831F"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13</w:t>
            </w:r>
          </w:p>
        </w:tc>
        <w:tc>
          <w:tcPr>
            <w:tcW w:w="464" w:type="pct"/>
            <w:shd w:val="clear" w:color="auto" w:fill="auto"/>
            <w:vAlign w:val="center"/>
          </w:tcPr>
          <w:p w14:paraId="7D4A8320"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w:t>
            </w:r>
            <w:r w:rsidR="00D04ADE" w:rsidRPr="009E1B38">
              <w:rPr>
                <w:rFonts w:ascii="Times New Roman" w:hAnsi="Times New Roman"/>
                <w:color w:val="000000"/>
              </w:rPr>
              <w:t>1</w:t>
            </w:r>
          </w:p>
        </w:tc>
        <w:tc>
          <w:tcPr>
            <w:tcW w:w="596" w:type="pct"/>
            <w:shd w:val="clear" w:color="auto" w:fill="auto"/>
            <w:vAlign w:val="center"/>
          </w:tcPr>
          <w:p w14:paraId="7D4A8321" w14:textId="77777777" w:rsidR="005748C0" w:rsidRPr="009E1B38" w:rsidRDefault="005748C0" w:rsidP="005748C0">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5</w:t>
            </w:r>
            <w:r w:rsidR="00D04ADE" w:rsidRPr="009E1B38">
              <w:rPr>
                <w:rFonts w:ascii="Times New Roman" w:hAnsi="Times New Roman"/>
                <w:b/>
                <w:color w:val="000000"/>
              </w:rPr>
              <w:t>9</w:t>
            </w:r>
          </w:p>
        </w:tc>
      </w:tr>
      <w:tr w:rsidR="005748C0" w:rsidRPr="009E1B38" w14:paraId="7D4A832B" w14:textId="77777777" w:rsidTr="0081739C">
        <w:trPr>
          <w:trHeight w:val="283"/>
        </w:trPr>
        <w:tc>
          <w:tcPr>
            <w:tcW w:w="712" w:type="pct"/>
            <w:shd w:val="clear" w:color="auto" w:fill="auto"/>
          </w:tcPr>
          <w:p w14:paraId="7D4A8323" w14:textId="702DA127" w:rsidR="005748C0" w:rsidRPr="009E1B38" w:rsidRDefault="0081739C" w:rsidP="005748C0">
            <w:pPr>
              <w:spacing w:after="0" w:line="240" w:lineRule="auto"/>
              <w:jc w:val="left"/>
              <w:rPr>
                <w:rFonts w:ascii="Times New Roman" w:eastAsia="Times New Roman" w:hAnsi="Times New Roman"/>
                <w:color w:val="000000"/>
                <w:lang w:eastAsia="tr-TR"/>
              </w:rPr>
            </w:pPr>
            <w:r w:rsidRPr="009E1B38">
              <w:rPr>
                <w:rFonts w:ascii="Times New Roman" w:hAnsi="Times New Roman"/>
              </w:rPr>
              <w:t>LPG Cylinder Manufacturing License</w:t>
            </w:r>
          </w:p>
        </w:tc>
        <w:tc>
          <w:tcPr>
            <w:tcW w:w="546" w:type="pct"/>
            <w:shd w:val="clear" w:color="auto" w:fill="auto"/>
            <w:vAlign w:val="center"/>
          </w:tcPr>
          <w:p w14:paraId="7D4A8324"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0</w:t>
            </w:r>
          </w:p>
        </w:tc>
        <w:tc>
          <w:tcPr>
            <w:tcW w:w="464" w:type="pct"/>
            <w:shd w:val="clear" w:color="auto" w:fill="auto"/>
            <w:vAlign w:val="center"/>
          </w:tcPr>
          <w:p w14:paraId="7D4A8325"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0</w:t>
            </w:r>
          </w:p>
        </w:tc>
        <w:tc>
          <w:tcPr>
            <w:tcW w:w="1071" w:type="pct"/>
            <w:shd w:val="clear" w:color="auto" w:fill="auto"/>
            <w:vAlign w:val="center"/>
          </w:tcPr>
          <w:p w14:paraId="7D4A8326"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3</w:t>
            </w:r>
          </w:p>
        </w:tc>
        <w:tc>
          <w:tcPr>
            <w:tcW w:w="530" w:type="pct"/>
            <w:shd w:val="clear" w:color="auto" w:fill="auto"/>
            <w:vAlign w:val="center"/>
          </w:tcPr>
          <w:p w14:paraId="7D4A8327"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617" w:type="pct"/>
            <w:shd w:val="clear" w:color="auto" w:fill="auto"/>
            <w:vAlign w:val="center"/>
          </w:tcPr>
          <w:p w14:paraId="7D4A8328"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0 </w:t>
            </w:r>
          </w:p>
        </w:tc>
        <w:tc>
          <w:tcPr>
            <w:tcW w:w="464" w:type="pct"/>
            <w:shd w:val="clear" w:color="auto" w:fill="auto"/>
            <w:vAlign w:val="center"/>
          </w:tcPr>
          <w:p w14:paraId="7D4A8329"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3</w:t>
            </w:r>
          </w:p>
        </w:tc>
        <w:tc>
          <w:tcPr>
            <w:tcW w:w="596" w:type="pct"/>
            <w:shd w:val="clear" w:color="auto" w:fill="auto"/>
            <w:vAlign w:val="center"/>
          </w:tcPr>
          <w:p w14:paraId="7D4A832A" w14:textId="77777777" w:rsidR="005748C0" w:rsidRPr="009E1B38" w:rsidRDefault="00D04ADE" w:rsidP="005748C0">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lang w:eastAsia="tr-TR"/>
              </w:rPr>
              <w:t>7</w:t>
            </w:r>
          </w:p>
        </w:tc>
      </w:tr>
      <w:tr w:rsidR="005748C0" w:rsidRPr="009E1B38" w14:paraId="7D4A8334" w14:textId="77777777" w:rsidTr="0081739C">
        <w:trPr>
          <w:trHeight w:val="283"/>
        </w:trPr>
        <w:tc>
          <w:tcPr>
            <w:tcW w:w="712" w:type="pct"/>
            <w:shd w:val="clear" w:color="auto" w:fill="auto"/>
          </w:tcPr>
          <w:p w14:paraId="7D4A832C" w14:textId="20326992" w:rsidR="005748C0" w:rsidRPr="009E1B38" w:rsidRDefault="0081739C" w:rsidP="005748C0">
            <w:pPr>
              <w:spacing w:after="0" w:line="240" w:lineRule="auto"/>
              <w:jc w:val="left"/>
              <w:rPr>
                <w:rFonts w:ascii="Times New Roman" w:eastAsia="Times New Roman" w:hAnsi="Times New Roman"/>
                <w:color w:val="000000"/>
                <w:lang w:eastAsia="tr-TR"/>
              </w:rPr>
            </w:pPr>
            <w:r w:rsidRPr="009E1B38">
              <w:rPr>
                <w:rFonts w:ascii="Times New Roman" w:hAnsi="Times New Roman"/>
              </w:rPr>
              <w:t>LPG Cylinder Control, Repair Maintenance License</w:t>
            </w:r>
          </w:p>
        </w:tc>
        <w:tc>
          <w:tcPr>
            <w:tcW w:w="546" w:type="pct"/>
            <w:shd w:val="clear" w:color="auto" w:fill="auto"/>
            <w:vAlign w:val="center"/>
          </w:tcPr>
          <w:p w14:paraId="7D4A832D"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3</w:t>
            </w:r>
          </w:p>
        </w:tc>
        <w:tc>
          <w:tcPr>
            <w:tcW w:w="464" w:type="pct"/>
            <w:shd w:val="clear" w:color="auto" w:fill="auto"/>
            <w:vAlign w:val="center"/>
          </w:tcPr>
          <w:p w14:paraId="7D4A832E"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3</w:t>
            </w:r>
          </w:p>
        </w:tc>
        <w:tc>
          <w:tcPr>
            <w:tcW w:w="1071" w:type="pct"/>
            <w:shd w:val="clear" w:color="auto" w:fill="auto"/>
            <w:vAlign w:val="center"/>
          </w:tcPr>
          <w:p w14:paraId="7D4A832F"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22</w:t>
            </w:r>
          </w:p>
        </w:tc>
        <w:tc>
          <w:tcPr>
            <w:tcW w:w="530" w:type="pct"/>
            <w:shd w:val="clear" w:color="auto" w:fill="auto"/>
            <w:vAlign w:val="center"/>
          </w:tcPr>
          <w:p w14:paraId="7D4A8330"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0</w:t>
            </w:r>
          </w:p>
        </w:tc>
        <w:tc>
          <w:tcPr>
            <w:tcW w:w="617" w:type="pct"/>
            <w:shd w:val="clear" w:color="auto" w:fill="auto"/>
            <w:vAlign w:val="center"/>
          </w:tcPr>
          <w:p w14:paraId="7D4A8331" w14:textId="77777777" w:rsidR="005748C0" w:rsidRPr="009E1B38" w:rsidRDefault="005748C0"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w:t>
            </w:r>
            <w:r w:rsidR="00D04ADE" w:rsidRPr="009E1B38">
              <w:rPr>
                <w:rFonts w:ascii="Times New Roman" w:hAnsi="Times New Roman"/>
                <w:color w:val="000000"/>
              </w:rPr>
              <w:t>6</w:t>
            </w:r>
          </w:p>
        </w:tc>
        <w:tc>
          <w:tcPr>
            <w:tcW w:w="464" w:type="pct"/>
            <w:shd w:val="clear" w:color="auto" w:fill="auto"/>
            <w:vAlign w:val="center"/>
          </w:tcPr>
          <w:p w14:paraId="7D4A8332" w14:textId="77777777" w:rsidR="005748C0" w:rsidRPr="009E1B38" w:rsidRDefault="00D04ADE" w:rsidP="005748C0">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lang w:eastAsia="tr-TR"/>
              </w:rPr>
              <w:t>44</w:t>
            </w:r>
          </w:p>
        </w:tc>
        <w:tc>
          <w:tcPr>
            <w:tcW w:w="596" w:type="pct"/>
            <w:shd w:val="clear" w:color="auto" w:fill="auto"/>
            <w:vAlign w:val="center"/>
          </w:tcPr>
          <w:p w14:paraId="7D4A8333" w14:textId="77777777" w:rsidR="005748C0" w:rsidRPr="009E1B38" w:rsidRDefault="00D04ADE" w:rsidP="005748C0">
            <w:pPr>
              <w:spacing w:after="0" w:line="240" w:lineRule="auto"/>
              <w:jc w:val="right"/>
              <w:rPr>
                <w:rFonts w:ascii="Times New Roman" w:eastAsia="Times New Roman" w:hAnsi="Times New Roman"/>
                <w:b/>
                <w:bCs/>
                <w:color w:val="000000"/>
                <w:lang w:eastAsia="tr-TR"/>
              </w:rPr>
            </w:pPr>
            <w:r w:rsidRPr="009E1B38">
              <w:rPr>
                <w:rFonts w:ascii="Times New Roman" w:hAnsi="Times New Roman"/>
                <w:b/>
                <w:bCs/>
                <w:color w:val="000000"/>
                <w:lang w:eastAsia="tr-TR"/>
              </w:rPr>
              <w:t>61</w:t>
            </w:r>
          </w:p>
        </w:tc>
      </w:tr>
      <w:tr w:rsidR="005748C0" w:rsidRPr="009E1B38" w14:paraId="7D4A833D" w14:textId="77777777" w:rsidTr="0081739C">
        <w:trPr>
          <w:trHeight w:val="283"/>
        </w:trPr>
        <w:tc>
          <w:tcPr>
            <w:tcW w:w="712" w:type="pct"/>
            <w:shd w:val="clear" w:color="auto" w:fill="auto"/>
          </w:tcPr>
          <w:p w14:paraId="7D4A8335" w14:textId="22826518" w:rsidR="005748C0" w:rsidRPr="009E1B38" w:rsidRDefault="005748C0" w:rsidP="005748C0">
            <w:pPr>
              <w:spacing w:after="0" w:line="240" w:lineRule="auto"/>
              <w:jc w:val="left"/>
              <w:rPr>
                <w:rFonts w:ascii="Times New Roman" w:eastAsia="Times New Roman" w:hAnsi="Times New Roman"/>
                <w:color w:val="000000"/>
                <w:lang w:eastAsia="tr-TR"/>
              </w:rPr>
            </w:pPr>
            <w:r w:rsidRPr="009E1B38">
              <w:rPr>
                <w:rFonts w:ascii="Times New Roman" w:hAnsi="Times New Roman"/>
                <w:b/>
                <w:bCs/>
                <w:color w:val="000000"/>
              </w:rPr>
              <w:t>To</w:t>
            </w:r>
            <w:r w:rsidR="0081739C" w:rsidRPr="009E1B38">
              <w:rPr>
                <w:rFonts w:ascii="Times New Roman" w:hAnsi="Times New Roman"/>
                <w:b/>
                <w:bCs/>
                <w:color w:val="000000"/>
              </w:rPr>
              <w:t>tal</w:t>
            </w:r>
          </w:p>
        </w:tc>
        <w:tc>
          <w:tcPr>
            <w:tcW w:w="546" w:type="pct"/>
            <w:shd w:val="clear" w:color="auto" w:fill="auto"/>
          </w:tcPr>
          <w:p w14:paraId="7D4A8336" w14:textId="77777777" w:rsidR="005748C0" w:rsidRPr="009E1B38" w:rsidRDefault="005748C0" w:rsidP="005748C0">
            <w:pPr>
              <w:spacing w:after="0" w:line="240" w:lineRule="auto"/>
              <w:jc w:val="right"/>
              <w:rPr>
                <w:rFonts w:ascii="Times New Roman" w:eastAsia="Times New Roman" w:hAnsi="Times New Roman"/>
                <w:b/>
                <w:color w:val="000000"/>
                <w:lang w:eastAsia="tr-TR"/>
              </w:rPr>
            </w:pPr>
            <w:r w:rsidRPr="009E1B38">
              <w:rPr>
                <w:rFonts w:ascii="Times New Roman" w:hAnsi="Times New Roman"/>
                <w:b/>
                <w:color w:val="000000"/>
              </w:rPr>
              <w:t>1.</w:t>
            </w:r>
            <w:r w:rsidR="00D04ADE" w:rsidRPr="009E1B38">
              <w:rPr>
                <w:rFonts w:ascii="Times New Roman" w:hAnsi="Times New Roman"/>
                <w:b/>
                <w:color w:val="000000"/>
              </w:rPr>
              <w:t>056</w:t>
            </w:r>
          </w:p>
        </w:tc>
        <w:tc>
          <w:tcPr>
            <w:tcW w:w="464" w:type="pct"/>
            <w:shd w:val="clear" w:color="auto" w:fill="auto"/>
          </w:tcPr>
          <w:p w14:paraId="7D4A8337" w14:textId="77777777" w:rsidR="005748C0" w:rsidRPr="009E1B38" w:rsidRDefault="005748C0" w:rsidP="005748C0">
            <w:pPr>
              <w:spacing w:after="0" w:line="240" w:lineRule="auto"/>
              <w:jc w:val="right"/>
              <w:rPr>
                <w:rFonts w:ascii="Times New Roman" w:eastAsia="Times New Roman" w:hAnsi="Times New Roman"/>
                <w:b/>
                <w:color w:val="000000"/>
                <w:lang w:eastAsia="tr-TR"/>
              </w:rPr>
            </w:pPr>
            <w:r w:rsidRPr="009E1B38">
              <w:rPr>
                <w:rFonts w:ascii="Times New Roman" w:hAnsi="Times New Roman"/>
                <w:b/>
                <w:color w:val="000000"/>
              </w:rPr>
              <w:t>1.0</w:t>
            </w:r>
            <w:r w:rsidR="00D04ADE" w:rsidRPr="009E1B38">
              <w:rPr>
                <w:rFonts w:ascii="Times New Roman" w:hAnsi="Times New Roman"/>
                <w:b/>
                <w:color w:val="000000"/>
              </w:rPr>
              <w:t>39</w:t>
            </w:r>
          </w:p>
        </w:tc>
        <w:tc>
          <w:tcPr>
            <w:tcW w:w="1071" w:type="pct"/>
            <w:shd w:val="clear" w:color="auto" w:fill="auto"/>
          </w:tcPr>
          <w:p w14:paraId="7D4A8338" w14:textId="77777777" w:rsidR="005748C0" w:rsidRPr="009E1B38" w:rsidRDefault="00D04ADE" w:rsidP="005748C0">
            <w:pPr>
              <w:spacing w:after="0" w:line="240" w:lineRule="auto"/>
              <w:jc w:val="right"/>
              <w:rPr>
                <w:rFonts w:ascii="Times New Roman" w:eastAsia="Times New Roman" w:hAnsi="Times New Roman"/>
                <w:b/>
                <w:color w:val="000000"/>
                <w:lang w:eastAsia="tr-TR"/>
              </w:rPr>
            </w:pPr>
            <w:r w:rsidRPr="009E1B38">
              <w:rPr>
                <w:rFonts w:ascii="Times New Roman" w:hAnsi="Times New Roman"/>
                <w:b/>
                <w:color w:val="000000"/>
                <w:lang w:eastAsia="tr-TR"/>
              </w:rPr>
              <w:t>892</w:t>
            </w:r>
          </w:p>
        </w:tc>
        <w:tc>
          <w:tcPr>
            <w:tcW w:w="530" w:type="pct"/>
            <w:shd w:val="clear" w:color="auto" w:fill="auto"/>
          </w:tcPr>
          <w:p w14:paraId="7D4A8339" w14:textId="77777777" w:rsidR="005748C0" w:rsidRPr="009E1B38" w:rsidRDefault="005748C0" w:rsidP="005748C0">
            <w:pPr>
              <w:spacing w:after="0" w:line="240" w:lineRule="auto"/>
              <w:jc w:val="right"/>
              <w:rPr>
                <w:rFonts w:ascii="Times New Roman" w:eastAsia="Times New Roman" w:hAnsi="Times New Roman"/>
                <w:b/>
                <w:color w:val="000000"/>
                <w:lang w:eastAsia="tr-TR"/>
              </w:rPr>
            </w:pPr>
            <w:r w:rsidRPr="009E1B38">
              <w:rPr>
                <w:rFonts w:ascii="Times New Roman" w:hAnsi="Times New Roman"/>
                <w:b/>
                <w:color w:val="000000"/>
              </w:rPr>
              <w:t>0</w:t>
            </w:r>
          </w:p>
        </w:tc>
        <w:tc>
          <w:tcPr>
            <w:tcW w:w="617" w:type="pct"/>
            <w:shd w:val="clear" w:color="auto" w:fill="auto"/>
          </w:tcPr>
          <w:p w14:paraId="7D4A833A" w14:textId="77777777" w:rsidR="005748C0" w:rsidRPr="009E1B38" w:rsidRDefault="005748C0" w:rsidP="005748C0">
            <w:pPr>
              <w:spacing w:after="0" w:line="240" w:lineRule="auto"/>
              <w:jc w:val="right"/>
              <w:rPr>
                <w:rFonts w:ascii="Times New Roman" w:eastAsia="Times New Roman" w:hAnsi="Times New Roman"/>
                <w:b/>
                <w:color w:val="000000"/>
                <w:lang w:eastAsia="tr-TR"/>
              </w:rPr>
            </w:pPr>
            <w:r w:rsidRPr="009E1B38">
              <w:rPr>
                <w:rFonts w:ascii="Times New Roman" w:hAnsi="Times New Roman"/>
                <w:b/>
                <w:color w:val="000000"/>
              </w:rPr>
              <w:t>1.</w:t>
            </w:r>
            <w:r w:rsidR="00D04ADE" w:rsidRPr="009E1B38">
              <w:rPr>
                <w:rFonts w:ascii="Times New Roman" w:hAnsi="Times New Roman"/>
                <w:b/>
                <w:color w:val="000000"/>
              </w:rPr>
              <w:t>2</w:t>
            </w:r>
            <w:r w:rsidRPr="009E1B38">
              <w:rPr>
                <w:rFonts w:ascii="Times New Roman" w:hAnsi="Times New Roman"/>
                <w:b/>
                <w:color w:val="000000"/>
              </w:rPr>
              <w:t>51</w:t>
            </w:r>
          </w:p>
        </w:tc>
        <w:tc>
          <w:tcPr>
            <w:tcW w:w="464" w:type="pct"/>
            <w:shd w:val="clear" w:color="auto" w:fill="auto"/>
          </w:tcPr>
          <w:p w14:paraId="7D4A833B" w14:textId="77777777" w:rsidR="005748C0" w:rsidRPr="009E1B38" w:rsidRDefault="005748C0" w:rsidP="005748C0">
            <w:pPr>
              <w:spacing w:after="0" w:line="240" w:lineRule="auto"/>
              <w:jc w:val="right"/>
              <w:rPr>
                <w:rFonts w:ascii="Times New Roman" w:eastAsia="Times New Roman" w:hAnsi="Times New Roman"/>
                <w:b/>
                <w:color w:val="000000"/>
                <w:lang w:eastAsia="tr-TR"/>
              </w:rPr>
            </w:pPr>
            <w:r w:rsidRPr="009E1B38">
              <w:rPr>
                <w:rFonts w:ascii="Times New Roman" w:hAnsi="Times New Roman"/>
                <w:b/>
                <w:color w:val="000000"/>
              </w:rPr>
              <w:t>4.</w:t>
            </w:r>
            <w:r w:rsidR="00D04ADE" w:rsidRPr="009E1B38">
              <w:rPr>
                <w:rFonts w:ascii="Times New Roman" w:hAnsi="Times New Roman"/>
                <w:b/>
                <w:color w:val="000000"/>
              </w:rPr>
              <w:t>2</w:t>
            </w:r>
            <w:r w:rsidRPr="009E1B38">
              <w:rPr>
                <w:rFonts w:ascii="Times New Roman" w:hAnsi="Times New Roman"/>
                <w:b/>
                <w:color w:val="000000"/>
              </w:rPr>
              <w:t>3</w:t>
            </w:r>
            <w:r w:rsidR="00D04ADE" w:rsidRPr="009E1B38">
              <w:rPr>
                <w:rFonts w:ascii="Times New Roman" w:hAnsi="Times New Roman"/>
                <w:b/>
                <w:color w:val="000000"/>
              </w:rPr>
              <w:t>8</w:t>
            </w:r>
          </w:p>
        </w:tc>
        <w:tc>
          <w:tcPr>
            <w:tcW w:w="596" w:type="pct"/>
            <w:shd w:val="clear" w:color="auto" w:fill="auto"/>
          </w:tcPr>
          <w:p w14:paraId="7D4A833C" w14:textId="77777777" w:rsidR="005748C0" w:rsidRPr="009E1B38" w:rsidRDefault="005748C0" w:rsidP="005748C0">
            <w:pPr>
              <w:spacing w:after="0" w:line="240" w:lineRule="auto"/>
              <w:jc w:val="right"/>
              <w:rPr>
                <w:rFonts w:ascii="Times New Roman" w:eastAsia="Times New Roman" w:hAnsi="Times New Roman"/>
                <w:b/>
                <w:bCs/>
                <w:color w:val="000000"/>
                <w:lang w:eastAsia="tr-TR"/>
              </w:rPr>
            </w:pPr>
            <w:r w:rsidRPr="009E1B38">
              <w:rPr>
                <w:rFonts w:ascii="Times New Roman" w:hAnsi="Times New Roman"/>
                <w:b/>
                <w:color w:val="000000"/>
              </w:rPr>
              <w:t>11.</w:t>
            </w:r>
            <w:r w:rsidR="00D04ADE" w:rsidRPr="009E1B38">
              <w:rPr>
                <w:rFonts w:ascii="Times New Roman" w:hAnsi="Times New Roman"/>
                <w:b/>
                <w:color w:val="000000"/>
              </w:rPr>
              <w:t>312</w:t>
            </w:r>
          </w:p>
        </w:tc>
      </w:tr>
    </w:tbl>
    <w:p w14:paraId="7D4A833E" w14:textId="4DD09A7B" w:rsidR="005748C0" w:rsidRPr="009E1B38" w:rsidRDefault="00B566A2" w:rsidP="003C5E4D">
      <w:pPr>
        <w:pStyle w:val="ListeParagraf"/>
        <w:numPr>
          <w:ilvl w:val="2"/>
          <w:numId w:val="55"/>
        </w:numPr>
        <w:spacing w:before="240"/>
        <w:rPr>
          <w:rStyle w:val="Gl"/>
          <w:rFonts w:ascii="Times New Roman" w:hAnsi="Times New Roman"/>
          <w:color w:val="000000" w:themeColor="text1"/>
        </w:rPr>
      </w:pPr>
      <w:bookmarkStart w:id="142" w:name="_Toc416447591"/>
      <w:bookmarkStart w:id="143" w:name="_Toc442441741"/>
      <w:r w:rsidRPr="009E1B38">
        <w:rPr>
          <w:rStyle w:val="Gl"/>
          <w:rFonts w:ascii="Times New Roman" w:hAnsi="Times New Roman"/>
          <w:color w:val="000000" w:themeColor="text1"/>
        </w:rPr>
        <w:t>Liquefied Petroleum Gas (LPG) Market Coupon Authorization Activities</w:t>
      </w:r>
      <w:r w:rsidR="00EE55A5" w:rsidRPr="009E1B38">
        <w:rPr>
          <w:rStyle w:val="Gl"/>
          <w:rFonts w:ascii="Times New Roman" w:hAnsi="Times New Roman"/>
          <w:color w:val="000000" w:themeColor="text1"/>
        </w:rPr>
        <w:t xml:space="preserve"> </w:t>
      </w:r>
      <w:r w:rsidR="00B32C14" w:rsidRPr="009E1B38">
        <w:rPr>
          <w:rStyle w:val="Gl"/>
          <w:rFonts w:ascii="Times New Roman" w:hAnsi="Times New Roman"/>
          <w:color w:val="000000" w:themeColor="text1"/>
        </w:rPr>
        <w:t> </w:t>
      </w:r>
      <w:bookmarkStart w:id="144" w:name="_Toc416447593"/>
      <w:bookmarkStart w:id="145" w:name="_Toc442441742"/>
      <w:bookmarkEnd w:id="142"/>
      <w:bookmarkEnd w:id="143"/>
    </w:p>
    <w:p w14:paraId="4E38D004" w14:textId="77777777" w:rsidR="001A33D9" w:rsidRPr="009E1B38" w:rsidRDefault="001A33D9" w:rsidP="001A33D9">
      <w:pPr>
        <w:rPr>
          <w:rFonts w:ascii="Times New Roman" w:hAnsi="Times New Roman"/>
        </w:rPr>
      </w:pPr>
      <w:r w:rsidRPr="009E1B38">
        <w:rPr>
          <w:rFonts w:ascii="Times New Roman" w:hAnsi="Times New Roman"/>
        </w:rPr>
        <w:t>Within the scope of the Decision No. 2017/1 of the National Petroleum Stock Commission and the Decision on Compulsory Petroleum Stock in the LPG Market and Keeping the Compulsory Petroleum Stock as LPG within the scope of the Coupon System, coupon permits were granted to companies holding 7 Distributor and 2 Refinery licenses in 2021 (to serve in 2022).</w:t>
      </w:r>
    </w:p>
    <w:p w14:paraId="7D4A8340" w14:textId="1C37C06D" w:rsidR="00CB5826" w:rsidRPr="009E1B38" w:rsidRDefault="00CB5826" w:rsidP="0008108D">
      <w:pPr>
        <w:pStyle w:val="Balk5"/>
        <w:jc w:val="center"/>
        <w:rPr>
          <w:rStyle w:val="Gl"/>
          <w:rFonts w:ascii="Times New Roman" w:hAnsi="Times New Roman" w:cs="Times New Roman"/>
          <w:b/>
          <w:bCs w:val="0"/>
        </w:rPr>
      </w:pPr>
      <w:bookmarkStart w:id="146" w:name="_Toc107499507"/>
      <w:r w:rsidRPr="009E1B38">
        <w:rPr>
          <w:rStyle w:val="Gl"/>
          <w:rFonts w:ascii="Times New Roman" w:hAnsi="Times New Roman" w:cs="Times New Roman"/>
          <w:b/>
          <w:bCs w:val="0"/>
        </w:rPr>
        <w:t>T</w:t>
      </w:r>
      <w:r w:rsidR="004E03B6" w:rsidRPr="009E1B38">
        <w:rPr>
          <w:rStyle w:val="Gl"/>
          <w:rFonts w:ascii="Times New Roman" w:hAnsi="Times New Roman" w:cs="Times New Roman"/>
          <w:b/>
          <w:bCs w:val="0"/>
        </w:rPr>
        <w:t>abl</w:t>
      </w:r>
      <w:r w:rsidR="005A5336" w:rsidRPr="009E1B38">
        <w:rPr>
          <w:rStyle w:val="Gl"/>
          <w:rFonts w:ascii="Times New Roman" w:hAnsi="Times New Roman" w:cs="Times New Roman"/>
          <w:b/>
          <w:bCs w:val="0"/>
        </w:rPr>
        <w:t>e</w:t>
      </w:r>
      <w:r w:rsidR="004E03B6" w:rsidRPr="009E1B38">
        <w:rPr>
          <w:rStyle w:val="Gl"/>
          <w:rFonts w:ascii="Times New Roman" w:hAnsi="Times New Roman" w:cs="Times New Roman"/>
          <w:b/>
          <w:bCs w:val="0"/>
        </w:rPr>
        <w:t xml:space="preserve"> 3.11</w:t>
      </w:r>
      <w:r w:rsidR="004132BA" w:rsidRPr="009E1B38">
        <w:rPr>
          <w:rStyle w:val="Gl"/>
          <w:rFonts w:ascii="Times New Roman" w:hAnsi="Times New Roman" w:cs="Times New Roman"/>
          <w:b/>
          <w:bCs w:val="0"/>
        </w:rPr>
        <w:t xml:space="preserve">: </w:t>
      </w:r>
      <w:r w:rsidR="003D7B13" w:rsidRPr="009E1B38">
        <w:rPr>
          <w:rStyle w:val="Gl"/>
          <w:rFonts w:ascii="Times New Roman" w:hAnsi="Times New Roman" w:cs="Times New Roman"/>
          <w:b/>
          <w:bCs w:val="0"/>
        </w:rPr>
        <w:t>LPG Market Storage License Information as of the End of 2021</w:t>
      </w:r>
      <w:bookmarkEnd w:id="144"/>
      <w:bookmarkEnd w:id="145"/>
      <w:bookmarkEnd w:id="146"/>
    </w:p>
    <w:tbl>
      <w:tblPr>
        <w:tblW w:w="7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9"/>
        <w:gridCol w:w="1843"/>
        <w:gridCol w:w="3747"/>
      </w:tblGrid>
      <w:tr w:rsidR="005748C0" w:rsidRPr="009E1B38" w14:paraId="7D4A8344" w14:textId="77777777" w:rsidTr="00500E30">
        <w:trPr>
          <w:trHeight w:val="552"/>
          <w:tblHeader/>
          <w:jc w:val="center"/>
        </w:trPr>
        <w:tc>
          <w:tcPr>
            <w:tcW w:w="1887" w:type="dxa"/>
            <w:shd w:val="clear" w:color="6E9ECA" w:fill="6E9ECA"/>
            <w:hideMark/>
          </w:tcPr>
          <w:p w14:paraId="7D4A8341" w14:textId="534C8F70" w:rsidR="005748C0" w:rsidRPr="009E1B38" w:rsidRDefault="00500E30" w:rsidP="003C6441">
            <w:pPr>
              <w:spacing w:after="0" w:line="240" w:lineRule="auto"/>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Facility Province</w:t>
            </w:r>
          </w:p>
        </w:tc>
        <w:tc>
          <w:tcPr>
            <w:tcW w:w="1843" w:type="dxa"/>
            <w:shd w:val="clear" w:color="6E9ECA" w:fill="6E9ECA"/>
            <w:hideMark/>
          </w:tcPr>
          <w:p w14:paraId="7D4A8342" w14:textId="7BB98A04" w:rsidR="005748C0" w:rsidRPr="009E1B38" w:rsidRDefault="00500E30" w:rsidP="00162B0C">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Total Capacity (m3)</w:t>
            </w:r>
          </w:p>
        </w:tc>
        <w:tc>
          <w:tcPr>
            <w:tcW w:w="3747" w:type="dxa"/>
            <w:shd w:val="clear" w:color="6E9ECA" w:fill="6E9ECA"/>
            <w:hideMark/>
          </w:tcPr>
          <w:p w14:paraId="7D4A8343" w14:textId="0B501747" w:rsidR="005748C0" w:rsidRPr="009E1B38" w:rsidRDefault="00500E30" w:rsidP="00162B0C">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Share of Total Storage Capacity (%)</w:t>
            </w:r>
          </w:p>
        </w:tc>
      </w:tr>
      <w:tr w:rsidR="00FC2252" w:rsidRPr="009E1B38" w14:paraId="7D4A8348" w14:textId="77777777" w:rsidTr="00500E30">
        <w:trPr>
          <w:trHeight w:val="288"/>
          <w:jc w:val="center"/>
        </w:trPr>
        <w:tc>
          <w:tcPr>
            <w:tcW w:w="1887" w:type="dxa"/>
            <w:tcBorders>
              <w:top w:val="single" w:sz="4" w:space="0" w:color="D3D3D3"/>
              <w:left w:val="single" w:sz="4" w:space="0" w:color="D3D3D3"/>
              <w:bottom w:val="single" w:sz="4" w:space="0" w:color="D3D3D3"/>
              <w:right w:val="single" w:sz="4" w:space="0" w:color="D3D3D3"/>
            </w:tcBorders>
            <w:shd w:val="clear" w:color="auto" w:fill="auto"/>
            <w:hideMark/>
          </w:tcPr>
          <w:p w14:paraId="7D4A8345"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ADANA</w:t>
            </w:r>
          </w:p>
        </w:tc>
        <w:tc>
          <w:tcPr>
            <w:tcW w:w="1843" w:type="dxa"/>
            <w:tcBorders>
              <w:top w:val="single" w:sz="4" w:space="0" w:color="D3D3D3"/>
              <w:left w:val="nil"/>
              <w:bottom w:val="single" w:sz="4" w:space="0" w:color="D3D3D3"/>
              <w:right w:val="single" w:sz="4" w:space="0" w:color="D3D3D3"/>
            </w:tcBorders>
            <w:shd w:val="clear" w:color="auto" w:fill="auto"/>
            <w:noWrap/>
            <w:hideMark/>
          </w:tcPr>
          <w:p w14:paraId="7D4A8346"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246</w:t>
            </w:r>
          </w:p>
        </w:tc>
        <w:tc>
          <w:tcPr>
            <w:tcW w:w="3747" w:type="dxa"/>
            <w:tcBorders>
              <w:top w:val="single" w:sz="4" w:space="0" w:color="D3D3D3"/>
              <w:left w:val="nil"/>
              <w:bottom w:val="single" w:sz="4" w:space="0" w:color="D3D3D3"/>
              <w:right w:val="single" w:sz="4" w:space="0" w:color="D3D3D3"/>
            </w:tcBorders>
            <w:shd w:val="clear" w:color="auto" w:fill="auto"/>
            <w:noWrap/>
            <w:hideMark/>
          </w:tcPr>
          <w:p w14:paraId="7D4A834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0,03</w:t>
            </w:r>
          </w:p>
        </w:tc>
      </w:tr>
      <w:tr w:rsidR="00FC2252" w:rsidRPr="009E1B38" w14:paraId="7D4A834C"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49"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ADIYAMAN</w:t>
            </w:r>
          </w:p>
        </w:tc>
        <w:tc>
          <w:tcPr>
            <w:tcW w:w="1843" w:type="dxa"/>
            <w:tcBorders>
              <w:top w:val="nil"/>
              <w:left w:val="nil"/>
              <w:bottom w:val="single" w:sz="4" w:space="0" w:color="D3D3D3"/>
              <w:right w:val="single" w:sz="4" w:space="0" w:color="D3D3D3"/>
            </w:tcBorders>
            <w:shd w:val="clear" w:color="auto" w:fill="auto"/>
            <w:noWrap/>
            <w:hideMark/>
          </w:tcPr>
          <w:p w14:paraId="7D4A834A"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1.721</w:t>
            </w:r>
          </w:p>
        </w:tc>
        <w:tc>
          <w:tcPr>
            <w:tcW w:w="3747" w:type="dxa"/>
            <w:tcBorders>
              <w:top w:val="nil"/>
              <w:left w:val="nil"/>
              <w:bottom w:val="single" w:sz="4" w:space="0" w:color="D3D3D3"/>
              <w:right w:val="single" w:sz="4" w:space="0" w:color="D3D3D3"/>
            </w:tcBorders>
            <w:shd w:val="clear" w:color="auto" w:fill="auto"/>
            <w:noWrap/>
            <w:hideMark/>
          </w:tcPr>
          <w:p w14:paraId="7D4A834B"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0,23</w:t>
            </w:r>
          </w:p>
        </w:tc>
      </w:tr>
      <w:tr w:rsidR="00FC2252" w:rsidRPr="009E1B38" w14:paraId="7D4A8350"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4D"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AFYONKARAHİSAR</w:t>
            </w:r>
          </w:p>
        </w:tc>
        <w:tc>
          <w:tcPr>
            <w:tcW w:w="1843" w:type="dxa"/>
            <w:tcBorders>
              <w:top w:val="nil"/>
              <w:left w:val="nil"/>
              <w:bottom w:val="single" w:sz="4" w:space="0" w:color="D3D3D3"/>
              <w:right w:val="single" w:sz="4" w:space="0" w:color="D3D3D3"/>
            </w:tcBorders>
            <w:shd w:val="clear" w:color="auto" w:fill="auto"/>
            <w:noWrap/>
            <w:hideMark/>
          </w:tcPr>
          <w:p w14:paraId="7D4A834E"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232</w:t>
            </w:r>
          </w:p>
        </w:tc>
        <w:tc>
          <w:tcPr>
            <w:tcW w:w="3747" w:type="dxa"/>
            <w:tcBorders>
              <w:top w:val="nil"/>
              <w:left w:val="nil"/>
              <w:bottom w:val="single" w:sz="4" w:space="0" w:color="D3D3D3"/>
              <w:right w:val="single" w:sz="4" w:space="0" w:color="D3D3D3"/>
            </w:tcBorders>
            <w:shd w:val="clear" w:color="auto" w:fill="auto"/>
            <w:noWrap/>
            <w:hideMark/>
          </w:tcPr>
          <w:p w14:paraId="7D4A834F"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0,03</w:t>
            </w:r>
          </w:p>
        </w:tc>
      </w:tr>
      <w:tr w:rsidR="00FC2252" w:rsidRPr="009E1B38" w14:paraId="7D4A8354"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51"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ANKARA</w:t>
            </w:r>
          </w:p>
        </w:tc>
        <w:tc>
          <w:tcPr>
            <w:tcW w:w="1843" w:type="dxa"/>
            <w:tcBorders>
              <w:top w:val="nil"/>
              <w:left w:val="nil"/>
              <w:bottom w:val="single" w:sz="4" w:space="0" w:color="D3D3D3"/>
              <w:right w:val="single" w:sz="4" w:space="0" w:color="D3D3D3"/>
            </w:tcBorders>
            <w:shd w:val="clear" w:color="auto" w:fill="auto"/>
            <w:noWrap/>
            <w:hideMark/>
          </w:tcPr>
          <w:p w14:paraId="7D4A8352"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16.235</w:t>
            </w:r>
          </w:p>
        </w:tc>
        <w:tc>
          <w:tcPr>
            <w:tcW w:w="3747" w:type="dxa"/>
            <w:tcBorders>
              <w:top w:val="nil"/>
              <w:left w:val="nil"/>
              <w:bottom w:val="single" w:sz="4" w:space="0" w:color="D3D3D3"/>
              <w:right w:val="single" w:sz="4" w:space="0" w:color="D3D3D3"/>
            </w:tcBorders>
            <w:shd w:val="clear" w:color="auto" w:fill="auto"/>
            <w:noWrap/>
            <w:hideMark/>
          </w:tcPr>
          <w:p w14:paraId="7D4A8353"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2,13</w:t>
            </w:r>
          </w:p>
        </w:tc>
      </w:tr>
      <w:tr w:rsidR="00FC2252" w:rsidRPr="009E1B38" w14:paraId="7D4A8358"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55"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ANTALYA</w:t>
            </w:r>
          </w:p>
        </w:tc>
        <w:tc>
          <w:tcPr>
            <w:tcW w:w="1843" w:type="dxa"/>
            <w:tcBorders>
              <w:top w:val="nil"/>
              <w:left w:val="nil"/>
              <w:bottom w:val="single" w:sz="4" w:space="0" w:color="D3D3D3"/>
              <w:right w:val="single" w:sz="4" w:space="0" w:color="D3D3D3"/>
            </w:tcBorders>
            <w:shd w:val="clear" w:color="auto" w:fill="auto"/>
            <w:noWrap/>
            <w:hideMark/>
          </w:tcPr>
          <w:p w14:paraId="7D4A8356"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35.974</w:t>
            </w:r>
          </w:p>
        </w:tc>
        <w:tc>
          <w:tcPr>
            <w:tcW w:w="3747" w:type="dxa"/>
            <w:tcBorders>
              <w:top w:val="nil"/>
              <w:left w:val="nil"/>
              <w:bottom w:val="single" w:sz="4" w:space="0" w:color="D3D3D3"/>
              <w:right w:val="single" w:sz="4" w:space="0" w:color="D3D3D3"/>
            </w:tcBorders>
            <w:shd w:val="clear" w:color="auto" w:fill="auto"/>
            <w:noWrap/>
            <w:hideMark/>
          </w:tcPr>
          <w:p w14:paraId="7D4A835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4,71</w:t>
            </w:r>
          </w:p>
        </w:tc>
      </w:tr>
      <w:tr w:rsidR="00FC2252" w:rsidRPr="009E1B38" w14:paraId="7D4A835C"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59"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ARTVİN</w:t>
            </w:r>
          </w:p>
        </w:tc>
        <w:tc>
          <w:tcPr>
            <w:tcW w:w="1843" w:type="dxa"/>
            <w:tcBorders>
              <w:top w:val="nil"/>
              <w:left w:val="nil"/>
              <w:bottom w:val="single" w:sz="4" w:space="0" w:color="D3D3D3"/>
              <w:right w:val="single" w:sz="4" w:space="0" w:color="D3D3D3"/>
            </w:tcBorders>
            <w:shd w:val="clear" w:color="auto" w:fill="auto"/>
            <w:noWrap/>
            <w:hideMark/>
          </w:tcPr>
          <w:p w14:paraId="7D4A835A"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420</w:t>
            </w:r>
          </w:p>
        </w:tc>
        <w:tc>
          <w:tcPr>
            <w:tcW w:w="3747" w:type="dxa"/>
            <w:tcBorders>
              <w:top w:val="nil"/>
              <w:left w:val="nil"/>
              <w:bottom w:val="single" w:sz="4" w:space="0" w:color="D3D3D3"/>
              <w:right w:val="single" w:sz="4" w:space="0" w:color="D3D3D3"/>
            </w:tcBorders>
            <w:shd w:val="clear" w:color="auto" w:fill="auto"/>
            <w:noWrap/>
            <w:hideMark/>
          </w:tcPr>
          <w:p w14:paraId="7D4A835B"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0,05</w:t>
            </w:r>
          </w:p>
        </w:tc>
      </w:tr>
      <w:tr w:rsidR="00FC2252" w:rsidRPr="009E1B38" w14:paraId="7D4A8360"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5D"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AYDIN</w:t>
            </w:r>
          </w:p>
        </w:tc>
        <w:tc>
          <w:tcPr>
            <w:tcW w:w="1843" w:type="dxa"/>
            <w:tcBorders>
              <w:top w:val="nil"/>
              <w:left w:val="nil"/>
              <w:bottom w:val="single" w:sz="4" w:space="0" w:color="D3D3D3"/>
              <w:right w:val="single" w:sz="4" w:space="0" w:color="D3D3D3"/>
            </w:tcBorders>
            <w:shd w:val="clear" w:color="auto" w:fill="auto"/>
            <w:noWrap/>
            <w:hideMark/>
          </w:tcPr>
          <w:p w14:paraId="7D4A835E"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880</w:t>
            </w:r>
          </w:p>
        </w:tc>
        <w:tc>
          <w:tcPr>
            <w:tcW w:w="3747" w:type="dxa"/>
            <w:tcBorders>
              <w:top w:val="nil"/>
              <w:left w:val="nil"/>
              <w:bottom w:val="single" w:sz="4" w:space="0" w:color="D3D3D3"/>
              <w:right w:val="single" w:sz="4" w:space="0" w:color="D3D3D3"/>
            </w:tcBorders>
            <w:shd w:val="clear" w:color="auto" w:fill="auto"/>
            <w:noWrap/>
            <w:hideMark/>
          </w:tcPr>
          <w:p w14:paraId="7D4A835F"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0,12</w:t>
            </w:r>
          </w:p>
        </w:tc>
      </w:tr>
      <w:tr w:rsidR="00FC2252" w:rsidRPr="009E1B38" w14:paraId="7D4A8364"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61"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lastRenderedPageBreak/>
              <w:t>BURDUR</w:t>
            </w:r>
          </w:p>
        </w:tc>
        <w:tc>
          <w:tcPr>
            <w:tcW w:w="1843" w:type="dxa"/>
            <w:tcBorders>
              <w:top w:val="nil"/>
              <w:left w:val="nil"/>
              <w:bottom w:val="single" w:sz="4" w:space="0" w:color="D3D3D3"/>
              <w:right w:val="single" w:sz="4" w:space="0" w:color="D3D3D3"/>
            </w:tcBorders>
            <w:shd w:val="clear" w:color="auto" w:fill="auto"/>
            <w:noWrap/>
            <w:hideMark/>
          </w:tcPr>
          <w:p w14:paraId="7D4A8362"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625</w:t>
            </w:r>
          </w:p>
        </w:tc>
        <w:tc>
          <w:tcPr>
            <w:tcW w:w="3747" w:type="dxa"/>
            <w:tcBorders>
              <w:top w:val="nil"/>
              <w:left w:val="nil"/>
              <w:bottom w:val="single" w:sz="4" w:space="0" w:color="D3D3D3"/>
              <w:right w:val="single" w:sz="4" w:space="0" w:color="D3D3D3"/>
            </w:tcBorders>
            <w:shd w:val="clear" w:color="auto" w:fill="auto"/>
            <w:noWrap/>
            <w:hideMark/>
          </w:tcPr>
          <w:p w14:paraId="7D4A8363"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0,08</w:t>
            </w:r>
          </w:p>
        </w:tc>
      </w:tr>
      <w:tr w:rsidR="00FC2252" w:rsidRPr="009E1B38" w14:paraId="7D4A8368"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65"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BURSA</w:t>
            </w:r>
          </w:p>
        </w:tc>
        <w:tc>
          <w:tcPr>
            <w:tcW w:w="1843" w:type="dxa"/>
            <w:tcBorders>
              <w:top w:val="nil"/>
              <w:left w:val="nil"/>
              <w:bottom w:val="single" w:sz="4" w:space="0" w:color="D3D3D3"/>
              <w:right w:val="single" w:sz="4" w:space="0" w:color="D3D3D3"/>
            </w:tcBorders>
            <w:shd w:val="clear" w:color="auto" w:fill="auto"/>
            <w:noWrap/>
            <w:hideMark/>
          </w:tcPr>
          <w:p w14:paraId="7D4A8366"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265</w:t>
            </w:r>
          </w:p>
        </w:tc>
        <w:tc>
          <w:tcPr>
            <w:tcW w:w="3747" w:type="dxa"/>
            <w:tcBorders>
              <w:top w:val="nil"/>
              <w:left w:val="nil"/>
              <w:bottom w:val="single" w:sz="4" w:space="0" w:color="D3D3D3"/>
              <w:right w:val="single" w:sz="4" w:space="0" w:color="D3D3D3"/>
            </w:tcBorders>
            <w:shd w:val="clear" w:color="auto" w:fill="auto"/>
            <w:noWrap/>
            <w:hideMark/>
          </w:tcPr>
          <w:p w14:paraId="7D4A836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0,03</w:t>
            </w:r>
          </w:p>
        </w:tc>
      </w:tr>
      <w:tr w:rsidR="00FC2252" w:rsidRPr="009E1B38" w14:paraId="7D4A836C"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69"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ÇANKIRI</w:t>
            </w:r>
          </w:p>
        </w:tc>
        <w:tc>
          <w:tcPr>
            <w:tcW w:w="1843" w:type="dxa"/>
            <w:tcBorders>
              <w:top w:val="nil"/>
              <w:left w:val="nil"/>
              <w:bottom w:val="single" w:sz="4" w:space="0" w:color="D3D3D3"/>
              <w:right w:val="single" w:sz="4" w:space="0" w:color="D3D3D3"/>
            </w:tcBorders>
            <w:shd w:val="clear" w:color="auto" w:fill="auto"/>
            <w:noWrap/>
            <w:hideMark/>
          </w:tcPr>
          <w:p w14:paraId="7D4A836A"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1.015</w:t>
            </w:r>
          </w:p>
        </w:tc>
        <w:tc>
          <w:tcPr>
            <w:tcW w:w="3747" w:type="dxa"/>
            <w:tcBorders>
              <w:top w:val="nil"/>
              <w:left w:val="nil"/>
              <w:bottom w:val="single" w:sz="4" w:space="0" w:color="D3D3D3"/>
              <w:right w:val="single" w:sz="4" w:space="0" w:color="D3D3D3"/>
            </w:tcBorders>
            <w:shd w:val="clear" w:color="auto" w:fill="auto"/>
            <w:noWrap/>
            <w:hideMark/>
          </w:tcPr>
          <w:p w14:paraId="7D4A836B"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0,13</w:t>
            </w:r>
          </w:p>
        </w:tc>
      </w:tr>
      <w:tr w:rsidR="00FC2252" w:rsidRPr="009E1B38" w14:paraId="7D4A8370"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6D"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ÇORUM</w:t>
            </w:r>
          </w:p>
        </w:tc>
        <w:tc>
          <w:tcPr>
            <w:tcW w:w="1843" w:type="dxa"/>
            <w:tcBorders>
              <w:top w:val="nil"/>
              <w:left w:val="nil"/>
              <w:bottom w:val="single" w:sz="4" w:space="0" w:color="D3D3D3"/>
              <w:right w:val="single" w:sz="4" w:space="0" w:color="D3D3D3"/>
            </w:tcBorders>
            <w:shd w:val="clear" w:color="auto" w:fill="auto"/>
            <w:noWrap/>
            <w:hideMark/>
          </w:tcPr>
          <w:p w14:paraId="7D4A836E"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1.240</w:t>
            </w:r>
          </w:p>
        </w:tc>
        <w:tc>
          <w:tcPr>
            <w:tcW w:w="3747" w:type="dxa"/>
            <w:tcBorders>
              <w:top w:val="nil"/>
              <w:left w:val="nil"/>
              <w:bottom w:val="single" w:sz="4" w:space="0" w:color="D3D3D3"/>
              <w:right w:val="single" w:sz="4" w:space="0" w:color="D3D3D3"/>
            </w:tcBorders>
            <w:shd w:val="clear" w:color="auto" w:fill="auto"/>
            <w:noWrap/>
            <w:hideMark/>
          </w:tcPr>
          <w:p w14:paraId="7D4A836F"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0,16</w:t>
            </w:r>
          </w:p>
        </w:tc>
      </w:tr>
      <w:tr w:rsidR="00FC2252" w:rsidRPr="009E1B38" w14:paraId="7D4A8374"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71"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DİYARBAKIR</w:t>
            </w:r>
          </w:p>
        </w:tc>
        <w:tc>
          <w:tcPr>
            <w:tcW w:w="1843" w:type="dxa"/>
            <w:tcBorders>
              <w:top w:val="nil"/>
              <w:left w:val="nil"/>
              <w:bottom w:val="single" w:sz="4" w:space="0" w:color="D3D3D3"/>
              <w:right w:val="single" w:sz="4" w:space="0" w:color="D3D3D3"/>
            </w:tcBorders>
            <w:shd w:val="clear" w:color="auto" w:fill="auto"/>
            <w:noWrap/>
            <w:hideMark/>
          </w:tcPr>
          <w:p w14:paraId="7D4A8372"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2.595</w:t>
            </w:r>
          </w:p>
        </w:tc>
        <w:tc>
          <w:tcPr>
            <w:tcW w:w="3747" w:type="dxa"/>
            <w:tcBorders>
              <w:top w:val="nil"/>
              <w:left w:val="nil"/>
              <w:bottom w:val="single" w:sz="4" w:space="0" w:color="D3D3D3"/>
              <w:right w:val="single" w:sz="4" w:space="0" w:color="D3D3D3"/>
            </w:tcBorders>
            <w:shd w:val="clear" w:color="auto" w:fill="auto"/>
            <w:noWrap/>
            <w:hideMark/>
          </w:tcPr>
          <w:p w14:paraId="7D4A8373"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0,34</w:t>
            </w:r>
          </w:p>
        </w:tc>
      </w:tr>
      <w:tr w:rsidR="00FC2252" w:rsidRPr="009E1B38" w14:paraId="7D4A8378"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75"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ELAZIĞ</w:t>
            </w:r>
          </w:p>
        </w:tc>
        <w:tc>
          <w:tcPr>
            <w:tcW w:w="1843" w:type="dxa"/>
            <w:tcBorders>
              <w:top w:val="nil"/>
              <w:left w:val="nil"/>
              <w:bottom w:val="single" w:sz="4" w:space="0" w:color="D3D3D3"/>
              <w:right w:val="single" w:sz="4" w:space="0" w:color="D3D3D3"/>
            </w:tcBorders>
            <w:shd w:val="clear" w:color="auto" w:fill="auto"/>
            <w:noWrap/>
            <w:hideMark/>
          </w:tcPr>
          <w:p w14:paraId="7D4A8376"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920</w:t>
            </w:r>
          </w:p>
        </w:tc>
        <w:tc>
          <w:tcPr>
            <w:tcW w:w="3747" w:type="dxa"/>
            <w:tcBorders>
              <w:top w:val="nil"/>
              <w:left w:val="nil"/>
              <w:bottom w:val="single" w:sz="4" w:space="0" w:color="D3D3D3"/>
              <w:right w:val="single" w:sz="4" w:space="0" w:color="D3D3D3"/>
            </w:tcBorders>
            <w:shd w:val="clear" w:color="auto" w:fill="auto"/>
            <w:noWrap/>
            <w:hideMark/>
          </w:tcPr>
          <w:p w14:paraId="7D4A837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0,12</w:t>
            </w:r>
          </w:p>
        </w:tc>
      </w:tr>
      <w:tr w:rsidR="00FC2252" w:rsidRPr="009E1B38" w14:paraId="7D4A837C"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79"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ERZURUM</w:t>
            </w:r>
          </w:p>
        </w:tc>
        <w:tc>
          <w:tcPr>
            <w:tcW w:w="1843" w:type="dxa"/>
            <w:tcBorders>
              <w:top w:val="nil"/>
              <w:left w:val="nil"/>
              <w:bottom w:val="single" w:sz="4" w:space="0" w:color="D3D3D3"/>
              <w:right w:val="single" w:sz="4" w:space="0" w:color="D3D3D3"/>
            </w:tcBorders>
            <w:shd w:val="clear" w:color="auto" w:fill="auto"/>
            <w:noWrap/>
            <w:hideMark/>
          </w:tcPr>
          <w:p w14:paraId="7D4A837A"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4.035</w:t>
            </w:r>
          </w:p>
        </w:tc>
        <w:tc>
          <w:tcPr>
            <w:tcW w:w="3747" w:type="dxa"/>
            <w:tcBorders>
              <w:top w:val="nil"/>
              <w:left w:val="nil"/>
              <w:bottom w:val="single" w:sz="4" w:space="0" w:color="D3D3D3"/>
              <w:right w:val="single" w:sz="4" w:space="0" w:color="D3D3D3"/>
            </w:tcBorders>
            <w:shd w:val="clear" w:color="auto" w:fill="auto"/>
            <w:noWrap/>
            <w:hideMark/>
          </w:tcPr>
          <w:p w14:paraId="7D4A837B"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0,53</w:t>
            </w:r>
          </w:p>
        </w:tc>
      </w:tr>
      <w:tr w:rsidR="00FC2252" w:rsidRPr="009E1B38" w14:paraId="7D4A8380"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7D"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ESKİŞEHİR</w:t>
            </w:r>
          </w:p>
        </w:tc>
        <w:tc>
          <w:tcPr>
            <w:tcW w:w="1843" w:type="dxa"/>
            <w:tcBorders>
              <w:top w:val="nil"/>
              <w:left w:val="nil"/>
              <w:bottom w:val="single" w:sz="4" w:space="0" w:color="D3D3D3"/>
              <w:right w:val="single" w:sz="4" w:space="0" w:color="D3D3D3"/>
            </w:tcBorders>
            <w:shd w:val="clear" w:color="auto" w:fill="auto"/>
            <w:noWrap/>
            <w:hideMark/>
          </w:tcPr>
          <w:p w14:paraId="7D4A837E"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476</w:t>
            </w:r>
          </w:p>
        </w:tc>
        <w:tc>
          <w:tcPr>
            <w:tcW w:w="3747" w:type="dxa"/>
            <w:tcBorders>
              <w:top w:val="nil"/>
              <w:left w:val="nil"/>
              <w:bottom w:val="single" w:sz="4" w:space="0" w:color="D3D3D3"/>
              <w:right w:val="single" w:sz="4" w:space="0" w:color="D3D3D3"/>
            </w:tcBorders>
            <w:shd w:val="clear" w:color="auto" w:fill="auto"/>
            <w:noWrap/>
            <w:hideMark/>
          </w:tcPr>
          <w:p w14:paraId="7D4A837F"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0,06</w:t>
            </w:r>
          </w:p>
        </w:tc>
      </w:tr>
      <w:tr w:rsidR="00FC2252" w:rsidRPr="009E1B38" w14:paraId="7D4A8384"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81"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GAZİANTEP</w:t>
            </w:r>
          </w:p>
        </w:tc>
        <w:tc>
          <w:tcPr>
            <w:tcW w:w="1843" w:type="dxa"/>
            <w:tcBorders>
              <w:top w:val="nil"/>
              <w:left w:val="nil"/>
              <w:bottom w:val="single" w:sz="4" w:space="0" w:color="D3D3D3"/>
              <w:right w:val="single" w:sz="4" w:space="0" w:color="D3D3D3"/>
            </w:tcBorders>
            <w:shd w:val="clear" w:color="auto" w:fill="auto"/>
            <w:noWrap/>
            <w:hideMark/>
          </w:tcPr>
          <w:p w14:paraId="7D4A8382"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690</w:t>
            </w:r>
          </w:p>
        </w:tc>
        <w:tc>
          <w:tcPr>
            <w:tcW w:w="3747" w:type="dxa"/>
            <w:tcBorders>
              <w:top w:val="nil"/>
              <w:left w:val="nil"/>
              <w:bottom w:val="single" w:sz="4" w:space="0" w:color="D3D3D3"/>
              <w:right w:val="single" w:sz="4" w:space="0" w:color="D3D3D3"/>
            </w:tcBorders>
            <w:shd w:val="clear" w:color="auto" w:fill="auto"/>
            <w:noWrap/>
            <w:hideMark/>
          </w:tcPr>
          <w:p w14:paraId="7D4A8383"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0,09</w:t>
            </w:r>
          </w:p>
        </w:tc>
      </w:tr>
      <w:tr w:rsidR="00FC2252" w:rsidRPr="009E1B38" w14:paraId="7D4A8388"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85"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GİRESUN</w:t>
            </w:r>
          </w:p>
        </w:tc>
        <w:tc>
          <w:tcPr>
            <w:tcW w:w="1843" w:type="dxa"/>
            <w:tcBorders>
              <w:top w:val="nil"/>
              <w:left w:val="nil"/>
              <w:bottom w:val="single" w:sz="4" w:space="0" w:color="D3D3D3"/>
              <w:right w:val="single" w:sz="4" w:space="0" w:color="D3D3D3"/>
            </w:tcBorders>
            <w:shd w:val="clear" w:color="auto" w:fill="auto"/>
            <w:noWrap/>
            <w:hideMark/>
          </w:tcPr>
          <w:p w14:paraId="7D4A8386"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6.139</w:t>
            </w:r>
          </w:p>
        </w:tc>
        <w:tc>
          <w:tcPr>
            <w:tcW w:w="3747" w:type="dxa"/>
            <w:tcBorders>
              <w:top w:val="nil"/>
              <w:left w:val="nil"/>
              <w:bottom w:val="single" w:sz="4" w:space="0" w:color="D3D3D3"/>
              <w:right w:val="single" w:sz="4" w:space="0" w:color="D3D3D3"/>
            </w:tcBorders>
            <w:shd w:val="clear" w:color="auto" w:fill="auto"/>
            <w:noWrap/>
            <w:hideMark/>
          </w:tcPr>
          <w:p w14:paraId="7D4A838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0,80</w:t>
            </w:r>
          </w:p>
        </w:tc>
      </w:tr>
      <w:tr w:rsidR="00FC2252" w:rsidRPr="009E1B38" w14:paraId="7D4A838C"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89"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HATAY</w:t>
            </w:r>
          </w:p>
        </w:tc>
        <w:tc>
          <w:tcPr>
            <w:tcW w:w="1843" w:type="dxa"/>
            <w:tcBorders>
              <w:top w:val="nil"/>
              <w:left w:val="nil"/>
              <w:bottom w:val="single" w:sz="4" w:space="0" w:color="D3D3D3"/>
              <w:right w:val="single" w:sz="4" w:space="0" w:color="D3D3D3"/>
            </w:tcBorders>
            <w:shd w:val="clear" w:color="auto" w:fill="auto"/>
            <w:noWrap/>
            <w:hideMark/>
          </w:tcPr>
          <w:p w14:paraId="7D4A838A"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219.440</w:t>
            </w:r>
          </w:p>
        </w:tc>
        <w:tc>
          <w:tcPr>
            <w:tcW w:w="3747" w:type="dxa"/>
            <w:tcBorders>
              <w:top w:val="nil"/>
              <w:left w:val="nil"/>
              <w:bottom w:val="single" w:sz="4" w:space="0" w:color="D3D3D3"/>
              <w:right w:val="single" w:sz="4" w:space="0" w:color="D3D3D3"/>
            </w:tcBorders>
            <w:shd w:val="clear" w:color="auto" w:fill="auto"/>
            <w:noWrap/>
            <w:hideMark/>
          </w:tcPr>
          <w:p w14:paraId="7D4A838B"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28,73</w:t>
            </w:r>
          </w:p>
        </w:tc>
      </w:tr>
      <w:tr w:rsidR="00FC2252" w:rsidRPr="009E1B38" w14:paraId="7D4A8390"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8D"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ISPARTA</w:t>
            </w:r>
          </w:p>
        </w:tc>
        <w:tc>
          <w:tcPr>
            <w:tcW w:w="1843" w:type="dxa"/>
            <w:tcBorders>
              <w:top w:val="nil"/>
              <w:left w:val="nil"/>
              <w:bottom w:val="single" w:sz="4" w:space="0" w:color="D3D3D3"/>
              <w:right w:val="single" w:sz="4" w:space="0" w:color="D3D3D3"/>
            </w:tcBorders>
            <w:shd w:val="clear" w:color="auto" w:fill="auto"/>
            <w:noWrap/>
            <w:hideMark/>
          </w:tcPr>
          <w:p w14:paraId="7D4A838E"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1.755</w:t>
            </w:r>
          </w:p>
        </w:tc>
        <w:tc>
          <w:tcPr>
            <w:tcW w:w="3747" w:type="dxa"/>
            <w:tcBorders>
              <w:top w:val="nil"/>
              <w:left w:val="nil"/>
              <w:bottom w:val="single" w:sz="4" w:space="0" w:color="D3D3D3"/>
              <w:right w:val="single" w:sz="4" w:space="0" w:color="D3D3D3"/>
            </w:tcBorders>
            <w:shd w:val="clear" w:color="auto" w:fill="auto"/>
            <w:noWrap/>
            <w:hideMark/>
          </w:tcPr>
          <w:p w14:paraId="7D4A838F"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0,23</w:t>
            </w:r>
          </w:p>
        </w:tc>
      </w:tr>
      <w:tr w:rsidR="00FC2252" w:rsidRPr="009E1B38" w14:paraId="7D4A8394"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91"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MERSİN</w:t>
            </w:r>
          </w:p>
        </w:tc>
        <w:tc>
          <w:tcPr>
            <w:tcW w:w="1843" w:type="dxa"/>
            <w:tcBorders>
              <w:top w:val="nil"/>
              <w:left w:val="nil"/>
              <w:bottom w:val="single" w:sz="4" w:space="0" w:color="D3D3D3"/>
              <w:right w:val="single" w:sz="4" w:space="0" w:color="D3D3D3"/>
            </w:tcBorders>
            <w:shd w:val="clear" w:color="auto" w:fill="auto"/>
            <w:noWrap/>
            <w:hideMark/>
          </w:tcPr>
          <w:p w14:paraId="7D4A8392"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1.000</w:t>
            </w:r>
          </w:p>
        </w:tc>
        <w:tc>
          <w:tcPr>
            <w:tcW w:w="3747" w:type="dxa"/>
            <w:tcBorders>
              <w:top w:val="nil"/>
              <w:left w:val="nil"/>
              <w:bottom w:val="single" w:sz="4" w:space="0" w:color="D3D3D3"/>
              <w:right w:val="single" w:sz="4" w:space="0" w:color="D3D3D3"/>
            </w:tcBorders>
            <w:shd w:val="clear" w:color="auto" w:fill="auto"/>
            <w:noWrap/>
            <w:hideMark/>
          </w:tcPr>
          <w:p w14:paraId="7D4A8393"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0,13</w:t>
            </w:r>
          </w:p>
        </w:tc>
      </w:tr>
      <w:tr w:rsidR="00FC2252" w:rsidRPr="009E1B38" w14:paraId="7D4A8398"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95"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İSTANBUL</w:t>
            </w:r>
          </w:p>
        </w:tc>
        <w:tc>
          <w:tcPr>
            <w:tcW w:w="1843" w:type="dxa"/>
            <w:tcBorders>
              <w:top w:val="nil"/>
              <w:left w:val="nil"/>
              <w:bottom w:val="single" w:sz="4" w:space="0" w:color="D3D3D3"/>
              <w:right w:val="single" w:sz="4" w:space="0" w:color="D3D3D3"/>
            </w:tcBorders>
            <w:shd w:val="clear" w:color="auto" w:fill="auto"/>
            <w:noWrap/>
            <w:hideMark/>
          </w:tcPr>
          <w:p w14:paraId="7D4A8396"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17.328</w:t>
            </w:r>
          </w:p>
        </w:tc>
        <w:tc>
          <w:tcPr>
            <w:tcW w:w="3747" w:type="dxa"/>
            <w:tcBorders>
              <w:top w:val="nil"/>
              <w:left w:val="nil"/>
              <w:bottom w:val="single" w:sz="4" w:space="0" w:color="D3D3D3"/>
              <w:right w:val="single" w:sz="4" w:space="0" w:color="D3D3D3"/>
            </w:tcBorders>
            <w:shd w:val="clear" w:color="auto" w:fill="auto"/>
            <w:noWrap/>
            <w:hideMark/>
          </w:tcPr>
          <w:p w14:paraId="7D4A839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2,27</w:t>
            </w:r>
          </w:p>
        </w:tc>
      </w:tr>
      <w:tr w:rsidR="00FC2252" w:rsidRPr="009E1B38" w14:paraId="7D4A839C"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99"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İZMİR</w:t>
            </w:r>
          </w:p>
        </w:tc>
        <w:tc>
          <w:tcPr>
            <w:tcW w:w="1843" w:type="dxa"/>
            <w:tcBorders>
              <w:top w:val="nil"/>
              <w:left w:val="nil"/>
              <w:bottom w:val="single" w:sz="4" w:space="0" w:color="D3D3D3"/>
              <w:right w:val="single" w:sz="4" w:space="0" w:color="D3D3D3"/>
            </w:tcBorders>
            <w:shd w:val="clear" w:color="auto" w:fill="auto"/>
            <w:noWrap/>
            <w:hideMark/>
          </w:tcPr>
          <w:p w14:paraId="7D4A839A"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123.470</w:t>
            </w:r>
          </w:p>
        </w:tc>
        <w:tc>
          <w:tcPr>
            <w:tcW w:w="3747" w:type="dxa"/>
            <w:tcBorders>
              <w:top w:val="nil"/>
              <w:left w:val="nil"/>
              <w:bottom w:val="single" w:sz="4" w:space="0" w:color="D3D3D3"/>
              <w:right w:val="single" w:sz="4" w:space="0" w:color="D3D3D3"/>
            </w:tcBorders>
            <w:shd w:val="clear" w:color="auto" w:fill="auto"/>
            <w:noWrap/>
            <w:hideMark/>
          </w:tcPr>
          <w:p w14:paraId="7D4A839B"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16,16</w:t>
            </w:r>
          </w:p>
        </w:tc>
      </w:tr>
      <w:tr w:rsidR="00FC2252" w:rsidRPr="009E1B38" w14:paraId="7D4A83A0"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9D"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KAYSERİ</w:t>
            </w:r>
          </w:p>
        </w:tc>
        <w:tc>
          <w:tcPr>
            <w:tcW w:w="1843" w:type="dxa"/>
            <w:tcBorders>
              <w:top w:val="nil"/>
              <w:left w:val="nil"/>
              <w:bottom w:val="single" w:sz="4" w:space="0" w:color="D3D3D3"/>
              <w:right w:val="single" w:sz="4" w:space="0" w:color="D3D3D3"/>
            </w:tcBorders>
            <w:shd w:val="clear" w:color="auto" w:fill="auto"/>
            <w:noWrap/>
            <w:hideMark/>
          </w:tcPr>
          <w:p w14:paraId="7D4A839E"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828</w:t>
            </w:r>
          </w:p>
        </w:tc>
        <w:tc>
          <w:tcPr>
            <w:tcW w:w="3747" w:type="dxa"/>
            <w:tcBorders>
              <w:top w:val="nil"/>
              <w:left w:val="nil"/>
              <w:bottom w:val="single" w:sz="4" w:space="0" w:color="D3D3D3"/>
              <w:right w:val="single" w:sz="4" w:space="0" w:color="D3D3D3"/>
            </w:tcBorders>
            <w:shd w:val="clear" w:color="auto" w:fill="auto"/>
            <w:noWrap/>
            <w:hideMark/>
          </w:tcPr>
          <w:p w14:paraId="7D4A839F"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0,11</w:t>
            </w:r>
          </w:p>
        </w:tc>
      </w:tr>
      <w:tr w:rsidR="00FC2252" w:rsidRPr="009E1B38" w14:paraId="7D4A83A4"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A1"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KOCAELİ</w:t>
            </w:r>
          </w:p>
        </w:tc>
        <w:tc>
          <w:tcPr>
            <w:tcW w:w="1843" w:type="dxa"/>
            <w:tcBorders>
              <w:top w:val="nil"/>
              <w:left w:val="nil"/>
              <w:bottom w:val="single" w:sz="4" w:space="0" w:color="D3D3D3"/>
              <w:right w:val="single" w:sz="4" w:space="0" w:color="D3D3D3"/>
            </w:tcBorders>
            <w:shd w:val="clear" w:color="auto" w:fill="auto"/>
            <w:noWrap/>
            <w:hideMark/>
          </w:tcPr>
          <w:p w14:paraId="7D4A83A2"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191.066</w:t>
            </w:r>
          </w:p>
        </w:tc>
        <w:tc>
          <w:tcPr>
            <w:tcW w:w="3747" w:type="dxa"/>
            <w:tcBorders>
              <w:top w:val="nil"/>
              <w:left w:val="nil"/>
              <w:bottom w:val="single" w:sz="4" w:space="0" w:color="D3D3D3"/>
              <w:right w:val="single" w:sz="4" w:space="0" w:color="D3D3D3"/>
            </w:tcBorders>
            <w:shd w:val="clear" w:color="auto" w:fill="auto"/>
            <w:noWrap/>
            <w:hideMark/>
          </w:tcPr>
          <w:p w14:paraId="7D4A83A3"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25,01</w:t>
            </w:r>
          </w:p>
        </w:tc>
      </w:tr>
      <w:tr w:rsidR="00FC2252" w:rsidRPr="009E1B38" w14:paraId="7D4A83A8"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A5"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KONYA</w:t>
            </w:r>
          </w:p>
        </w:tc>
        <w:tc>
          <w:tcPr>
            <w:tcW w:w="1843" w:type="dxa"/>
            <w:tcBorders>
              <w:top w:val="nil"/>
              <w:left w:val="nil"/>
              <w:bottom w:val="single" w:sz="4" w:space="0" w:color="D3D3D3"/>
              <w:right w:val="single" w:sz="4" w:space="0" w:color="D3D3D3"/>
            </w:tcBorders>
            <w:shd w:val="clear" w:color="auto" w:fill="auto"/>
            <w:noWrap/>
            <w:hideMark/>
          </w:tcPr>
          <w:p w14:paraId="7D4A83A6"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3.228</w:t>
            </w:r>
          </w:p>
        </w:tc>
        <w:tc>
          <w:tcPr>
            <w:tcW w:w="3747" w:type="dxa"/>
            <w:tcBorders>
              <w:top w:val="nil"/>
              <w:left w:val="nil"/>
              <w:bottom w:val="single" w:sz="4" w:space="0" w:color="D3D3D3"/>
              <w:right w:val="single" w:sz="4" w:space="0" w:color="D3D3D3"/>
            </w:tcBorders>
            <w:shd w:val="clear" w:color="auto" w:fill="auto"/>
            <w:noWrap/>
            <w:hideMark/>
          </w:tcPr>
          <w:p w14:paraId="7D4A83A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0,42</w:t>
            </w:r>
          </w:p>
        </w:tc>
      </w:tr>
      <w:tr w:rsidR="00FC2252" w:rsidRPr="009E1B38" w14:paraId="7D4A83AC"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A9"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MALATYA</w:t>
            </w:r>
          </w:p>
        </w:tc>
        <w:tc>
          <w:tcPr>
            <w:tcW w:w="1843" w:type="dxa"/>
            <w:tcBorders>
              <w:top w:val="nil"/>
              <w:left w:val="nil"/>
              <w:bottom w:val="single" w:sz="4" w:space="0" w:color="D3D3D3"/>
              <w:right w:val="single" w:sz="4" w:space="0" w:color="D3D3D3"/>
            </w:tcBorders>
            <w:shd w:val="clear" w:color="auto" w:fill="auto"/>
            <w:noWrap/>
            <w:hideMark/>
          </w:tcPr>
          <w:p w14:paraId="7D4A83AA"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1.640</w:t>
            </w:r>
          </w:p>
        </w:tc>
        <w:tc>
          <w:tcPr>
            <w:tcW w:w="3747" w:type="dxa"/>
            <w:tcBorders>
              <w:top w:val="nil"/>
              <w:left w:val="nil"/>
              <w:bottom w:val="single" w:sz="4" w:space="0" w:color="D3D3D3"/>
              <w:right w:val="single" w:sz="4" w:space="0" w:color="D3D3D3"/>
            </w:tcBorders>
            <w:shd w:val="clear" w:color="auto" w:fill="auto"/>
            <w:noWrap/>
            <w:hideMark/>
          </w:tcPr>
          <w:p w14:paraId="7D4A83AB"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0,21</w:t>
            </w:r>
          </w:p>
        </w:tc>
      </w:tr>
      <w:tr w:rsidR="00FC2252" w:rsidRPr="009E1B38" w14:paraId="7D4A83B0" w14:textId="77777777" w:rsidTr="00500E30">
        <w:trPr>
          <w:trHeight w:val="207"/>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AD"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MANİSA</w:t>
            </w:r>
          </w:p>
        </w:tc>
        <w:tc>
          <w:tcPr>
            <w:tcW w:w="1843" w:type="dxa"/>
            <w:tcBorders>
              <w:top w:val="nil"/>
              <w:left w:val="nil"/>
              <w:bottom w:val="single" w:sz="4" w:space="0" w:color="D3D3D3"/>
              <w:right w:val="single" w:sz="4" w:space="0" w:color="D3D3D3"/>
            </w:tcBorders>
            <w:shd w:val="clear" w:color="auto" w:fill="auto"/>
            <w:noWrap/>
            <w:hideMark/>
          </w:tcPr>
          <w:p w14:paraId="7D4A83AE"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945</w:t>
            </w:r>
          </w:p>
        </w:tc>
        <w:tc>
          <w:tcPr>
            <w:tcW w:w="3747" w:type="dxa"/>
            <w:tcBorders>
              <w:top w:val="nil"/>
              <w:left w:val="nil"/>
              <w:bottom w:val="single" w:sz="4" w:space="0" w:color="D3D3D3"/>
              <w:right w:val="single" w:sz="4" w:space="0" w:color="D3D3D3"/>
            </w:tcBorders>
            <w:shd w:val="clear" w:color="auto" w:fill="auto"/>
            <w:noWrap/>
            <w:hideMark/>
          </w:tcPr>
          <w:p w14:paraId="7D4A83AF"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0,12</w:t>
            </w:r>
          </w:p>
        </w:tc>
      </w:tr>
      <w:tr w:rsidR="00FC2252" w:rsidRPr="009E1B38" w14:paraId="7D4A83B4"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B1"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KAHRAMANMARAŞ</w:t>
            </w:r>
          </w:p>
        </w:tc>
        <w:tc>
          <w:tcPr>
            <w:tcW w:w="1843" w:type="dxa"/>
            <w:tcBorders>
              <w:top w:val="nil"/>
              <w:left w:val="nil"/>
              <w:bottom w:val="single" w:sz="4" w:space="0" w:color="D3D3D3"/>
              <w:right w:val="single" w:sz="4" w:space="0" w:color="D3D3D3"/>
            </w:tcBorders>
            <w:shd w:val="clear" w:color="auto" w:fill="auto"/>
            <w:noWrap/>
            <w:hideMark/>
          </w:tcPr>
          <w:p w14:paraId="7D4A83B2"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1.380</w:t>
            </w:r>
          </w:p>
        </w:tc>
        <w:tc>
          <w:tcPr>
            <w:tcW w:w="3747" w:type="dxa"/>
            <w:tcBorders>
              <w:top w:val="nil"/>
              <w:left w:val="nil"/>
              <w:bottom w:val="single" w:sz="4" w:space="0" w:color="D3D3D3"/>
              <w:right w:val="single" w:sz="4" w:space="0" w:color="D3D3D3"/>
            </w:tcBorders>
            <w:shd w:val="clear" w:color="auto" w:fill="auto"/>
            <w:noWrap/>
            <w:hideMark/>
          </w:tcPr>
          <w:p w14:paraId="7D4A83B3"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0,18</w:t>
            </w:r>
          </w:p>
        </w:tc>
      </w:tr>
      <w:tr w:rsidR="00FC2252" w:rsidRPr="009E1B38" w14:paraId="7D4A83B8"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B5"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MARDİN</w:t>
            </w:r>
          </w:p>
        </w:tc>
        <w:tc>
          <w:tcPr>
            <w:tcW w:w="1843" w:type="dxa"/>
            <w:tcBorders>
              <w:top w:val="nil"/>
              <w:left w:val="nil"/>
              <w:bottom w:val="single" w:sz="4" w:space="0" w:color="D3D3D3"/>
              <w:right w:val="single" w:sz="4" w:space="0" w:color="D3D3D3"/>
            </w:tcBorders>
            <w:shd w:val="clear" w:color="auto" w:fill="auto"/>
            <w:noWrap/>
            <w:hideMark/>
          </w:tcPr>
          <w:p w14:paraId="7D4A83B6"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2.221</w:t>
            </w:r>
          </w:p>
        </w:tc>
        <w:tc>
          <w:tcPr>
            <w:tcW w:w="3747" w:type="dxa"/>
            <w:tcBorders>
              <w:top w:val="nil"/>
              <w:left w:val="nil"/>
              <w:bottom w:val="single" w:sz="4" w:space="0" w:color="D3D3D3"/>
              <w:right w:val="single" w:sz="4" w:space="0" w:color="D3D3D3"/>
            </w:tcBorders>
            <w:shd w:val="clear" w:color="auto" w:fill="auto"/>
            <w:noWrap/>
            <w:hideMark/>
          </w:tcPr>
          <w:p w14:paraId="7D4A83B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0,29</w:t>
            </w:r>
          </w:p>
        </w:tc>
      </w:tr>
      <w:tr w:rsidR="00FC2252" w:rsidRPr="009E1B38" w14:paraId="7D4A83BC"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B9"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NİĞDE</w:t>
            </w:r>
          </w:p>
        </w:tc>
        <w:tc>
          <w:tcPr>
            <w:tcW w:w="1843" w:type="dxa"/>
            <w:tcBorders>
              <w:top w:val="nil"/>
              <w:left w:val="nil"/>
              <w:bottom w:val="single" w:sz="4" w:space="0" w:color="D3D3D3"/>
              <w:right w:val="single" w:sz="4" w:space="0" w:color="D3D3D3"/>
            </w:tcBorders>
            <w:shd w:val="clear" w:color="auto" w:fill="auto"/>
            <w:noWrap/>
            <w:hideMark/>
          </w:tcPr>
          <w:p w14:paraId="7D4A83BA"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1.000</w:t>
            </w:r>
          </w:p>
        </w:tc>
        <w:tc>
          <w:tcPr>
            <w:tcW w:w="3747" w:type="dxa"/>
            <w:tcBorders>
              <w:top w:val="nil"/>
              <w:left w:val="nil"/>
              <w:bottom w:val="single" w:sz="4" w:space="0" w:color="D3D3D3"/>
              <w:right w:val="single" w:sz="4" w:space="0" w:color="D3D3D3"/>
            </w:tcBorders>
            <w:shd w:val="clear" w:color="auto" w:fill="auto"/>
            <w:noWrap/>
            <w:hideMark/>
          </w:tcPr>
          <w:p w14:paraId="7D4A83BB"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0,13</w:t>
            </w:r>
          </w:p>
        </w:tc>
      </w:tr>
      <w:tr w:rsidR="00FC2252" w:rsidRPr="009E1B38" w14:paraId="7D4A83C0"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BD"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ORDU</w:t>
            </w:r>
          </w:p>
        </w:tc>
        <w:tc>
          <w:tcPr>
            <w:tcW w:w="1843" w:type="dxa"/>
            <w:tcBorders>
              <w:top w:val="nil"/>
              <w:left w:val="nil"/>
              <w:bottom w:val="single" w:sz="4" w:space="0" w:color="D3D3D3"/>
              <w:right w:val="single" w:sz="4" w:space="0" w:color="D3D3D3"/>
            </w:tcBorders>
            <w:shd w:val="clear" w:color="auto" w:fill="auto"/>
            <w:noWrap/>
            <w:hideMark/>
          </w:tcPr>
          <w:p w14:paraId="7D4A83BE"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345</w:t>
            </w:r>
          </w:p>
        </w:tc>
        <w:tc>
          <w:tcPr>
            <w:tcW w:w="3747" w:type="dxa"/>
            <w:tcBorders>
              <w:top w:val="nil"/>
              <w:left w:val="nil"/>
              <w:bottom w:val="single" w:sz="4" w:space="0" w:color="D3D3D3"/>
              <w:right w:val="single" w:sz="4" w:space="0" w:color="D3D3D3"/>
            </w:tcBorders>
            <w:shd w:val="clear" w:color="auto" w:fill="auto"/>
            <w:noWrap/>
            <w:hideMark/>
          </w:tcPr>
          <w:p w14:paraId="7D4A83BF"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0,05</w:t>
            </w:r>
          </w:p>
        </w:tc>
      </w:tr>
      <w:tr w:rsidR="00FC2252" w:rsidRPr="009E1B38" w14:paraId="7D4A83C4"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C1"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SAMSUN</w:t>
            </w:r>
          </w:p>
        </w:tc>
        <w:tc>
          <w:tcPr>
            <w:tcW w:w="1843" w:type="dxa"/>
            <w:tcBorders>
              <w:top w:val="nil"/>
              <w:left w:val="nil"/>
              <w:bottom w:val="single" w:sz="4" w:space="0" w:color="D3D3D3"/>
              <w:right w:val="single" w:sz="4" w:space="0" w:color="D3D3D3"/>
            </w:tcBorders>
            <w:shd w:val="clear" w:color="auto" w:fill="auto"/>
            <w:noWrap/>
            <w:hideMark/>
          </w:tcPr>
          <w:p w14:paraId="7D4A83C2"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28.351</w:t>
            </w:r>
          </w:p>
        </w:tc>
        <w:tc>
          <w:tcPr>
            <w:tcW w:w="3747" w:type="dxa"/>
            <w:tcBorders>
              <w:top w:val="nil"/>
              <w:left w:val="nil"/>
              <w:bottom w:val="single" w:sz="4" w:space="0" w:color="D3D3D3"/>
              <w:right w:val="single" w:sz="4" w:space="0" w:color="D3D3D3"/>
            </w:tcBorders>
            <w:shd w:val="clear" w:color="auto" w:fill="auto"/>
            <w:noWrap/>
            <w:hideMark/>
          </w:tcPr>
          <w:p w14:paraId="7D4A83C3"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3,71</w:t>
            </w:r>
          </w:p>
        </w:tc>
      </w:tr>
      <w:tr w:rsidR="00FC2252" w:rsidRPr="009E1B38" w14:paraId="7D4A83C8"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C5"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SİİRT</w:t>
            </w:r>
          </w:p>
        </w:tc>
        <w:tc>
          <w:tcPr>
            <w:tcW w:w="1843" w:type="dxa"/>
            <w:tcBorders>
              <w:top w:val="nil"/>
              <w:left w:val="nil"/>
              <w:bottom w:val="single" w:sz="4" w:space="0" w:color="D3D3D3"/>
              <w:right w:val="single" w:sz="4" w:space="0" w:color="D3D3D3"/>
            </w:tcBorders>
            <w:shd w:val="clear" w:color="auto" w:fill="auto"/>
            <w:noWrap/>
            <w:hideMark/>
          </w:tcPr>
          <w:p w14:paraId="7D4A83C6"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295</w:t>
            </w:r>
          </w:p>
        </w:tc>
        <w:tc>
          <w:tcPr>
            <w:tcW w:w="3747" w:type="dxa"/>
            <w:tcBorders>
              <w:top w:val="nil"/>
              <w:left w:val="nil"/>
              <w:bottom w:val="single" w:sz="4" w:space="0" w:color="D3D3D3"/>
              <w:right w:val="single" w:sz="4" w:space="0" w:color="D3D3D3"/>
            </w:tcBorders>
            <w:shd w:val="clear" w:color="auto" w:fill="auto"/>
            <w:noWrap/>
            <w:hideMark/>
          </w:tcPr>
          <w:p w14:paraId="7D4A83C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0,04</w:t>
            </w:r>
          </w:p>
        </w:tc>
      </w:tr>
      <w:tr w:rsidR="00FC2252" w:rsidRPr="009E1B38" w14:paraId="7D4A83CC"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C9"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TEKİRDAĞ</w:t>
            </w:r>
          </w:p>
        </w:tc>
        <w:tc>
          <w:tcPr>
            <w:tcW w:w="1843" w:type="dxa"/>
            <w:tcBorders>
              <w:top w:val="nil"/>
              <w:left w:val="nil"/>
              <w:bottom w:val="single" w:sz="4" w:space="0" w:color="D3D3D3"/>
              <w:right w:val="single" w:sz="4" w:space="0" w:color="D3D3D3"/>
            </w:tcBorders>
            <w:shd w:val="clear" w:color="auto" w:fill="auto"/>
            <w:noWrap/>
            <w:hideMark/>
          </w:tcPr>
          <w:p w14:paraId="7D4A83CA"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53.674</w:t>
            </w:r>
          </w:p>
        </w:tc>
        <w:tc>
          <w:tcPr>
            <w:tcW w:w="3747" w:type="dxa"/>
            <w:tcBorders>
              <w:top w:val="nil"/>
              <w:left w:val="nil"/>
              <w:bottom w:val="single" w:sz="4" w:space="0" w:color="D3D3D3"/>
              <w:right w:val="single" w:sz="4" w:space="0" w:color="D3D3D3"/>
            </w:tcBorders>
            <w:shd w:val="clear" w:color="auto" w:fill="auto"/>
            <w:noWrap/>
            <w:hideMark/>
          </w:tcPr>
          <w:p w14:paraId="7D4A83CB"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7,03</w:t>
            </w:r>
          </w:p>
        </w:tc>
      </w:tr>
      <w:tr w:rsidR="00FC2252" w:rsidRPr="009E1B38" w14:paraId="7D4A83D0"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CD"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TOKAT</w:t>
            </w:r>
          </w:p>
        </w:tc>
        <w:tc>
          <w:tcPr>
            <w:tcW w:w="1843" w:type="dxa"/>
            <w:tcBorders>
              <w:top w:val="nil"/>
              <w:left w:val="nil"/>
              <w:bottom w:val="single" w:sz="4" w:space="0" w:color="D3D3D3"/>
              <w:right w:val="single" w:sz="4" w:space="0" w:color="D3D3D3"/>
            </w:tcBorders>
            <w:shd w:val="clear" w:color="auto" w:fill="auto"/>
            <w:noWrap/>
            <w:hideMark/>
          </w:tcPr>
          <w:p w14:paraId="7D4A83CE"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935</w:t>
            </w:r>
          </w:p>
        </w:tc>
        <w:tc>
          <w:tcPr>
            <w:tcW w:w="3747" w:type="dxa"/>
            <w:tcBorders>
              <w:top w:val="nil"/>
              <w:left w:val="nil"/>
              <w:bottom w:val="single" w:sz="4" w:space="0" w:color="D3D3D3"/>
              <w:right w:val="single" w:sz="4" w:space="0" w:color="D3D3D3"/>
            </w:tcBorders>
            <w:shd w:val="clear" w:color="auto" w:fill="auto"/>
            <w:noWrap/>
            <w:hideMark/>
          </w:tcPr>
          <w:p w14:paraId="7D4A83CF"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0,12</w:t>
            </w:r>
          </w:p>
        </w:tc>
      </w:tr>
      <w:tr w:rsidR="00FC2252" w:rsidRPr="009E1B38" w14:paraId="7D4A83D4"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D1"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TRABZON</w:t>
            </w:r>
          </w:p>
        </w:tc>
        <w:tc>
          <w:tcPr>
            <w:tcW w:w="1843" w:type="dxa"/>
            <w:tcBorders>
              <w:top w:val="nil"/>
              <w:left w:val="nil"/>
              <w:bottom w:val="single" w:sz="4" w:space="0" w:color="D3D3D3"/>
              <w:right w:val="single" w:sz="4" w:space="0" w:color="D3D3D3"/>
            </w:tcBorders>
            <w:shd w:val="clear" w:color="auto" w:fill="auto"/>
            <w:noWrap/>
            <w:hideMark/>
          </w:tcPr>
          <w:p w14:paraId="7D4A83D2"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22.283</w:t>
            </w:r>
          </w:p>
        </w:tc>
        <w:tc>
          <w:tcPr>
            <w:tcW w:w="3747" w:type="dxa"/>
            <w:tcBorders>
              <w:top w:val="nil"/>
              <w:left w:val="nil"/>
              <w:bottom w:val="single" w:sz="4" w:space="0" w:color="D3D3D3"/>
              <w:right w:val="single" w:sz="4" w:space="0" w:color="D3D3D3"/>
            </w:tcBorders>
            <w:shd w:val="clear" w:color="auto" w:fill="auto"/>
            <w:noWrap/>
            <w:hideMark/>
          </w:tcPr>
          <w:p w14:paraId="7D4A83D3"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2,92</w:t>
            </w:r>
          </w:p>
        </w:tc>
      </w:tr>
      <w:tr w:rsidR="00FC2252" w:rsidRPr="009E1B38" w14:paraId="7D4A83D8"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D5"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VAN</w:t>
            </w:r>
          </w:p>
        </w:tc>
        <w:tc>
          <w:tcPr>
            <w:tcW w:w="1843" w:type="dxa"/>
            <w:tcBorders>
              <w:top w:val="nil"/>
              <w:left w:val="nil"/>
              <w:bottom w:val="single" w:sz="4" w:space="0" w:color="D3D3D3"/>
              <w:right w:val="single" w:sz="4" w:space="0" w:color="D3D3D3"/>
            </w:tcBorders>
            <w:shd w:val="clear" w:color="auto" w:fill="auto"/>
            <w:noWrap/>
            <w:hideMark/>
          </w:tcPr>
          <w:p w14:paraId="7D4A83D6"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575</w:t>
            </w:r>
          </w:p>
        </w:tc>
        <w:tc>
          <w:tcPr>
            <w:tcW w:w="3747" w:type="dxa"/>
            <w:tcBorders>
              <w:top w:val="nil"/>
              <w:left w:val="nil"/>
              <w:bottom w:val="single" w:sz="4" w:space="0" w:color="D3D3D3"/>
              <w:right w:val="single" w:sz="4" w:space="0" w:color="D3D3D3"/>
            </w:tcBorders>
            <w:shd w:val="clear" w:color="auto" w:fill="auto"/>
            <w:noWrap/>
            <w:hideMark/>
          </w:tcPr>
          <w:p w14:paraId="7D4A83D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0,08</w:t>
            </w:r>
          </w:p>
        </w:tc>
      </w:tr>
      <w:tr w:rsidR="00FC2252" w:rsidRPr="009E1B38" w14:paraId="7D4A83DC"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D9"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YOZGAT</w:t>
            </w:r>
          </w:p>
        </w:tc>
        <w:tc>
          <w:tcPr>
            <w:tcW w:w="1843" w:type="dxa"/>
            <w:tcBorders>
              <w:top w:val="nil"/>
              <w:left w:val="nil"/>
              <w:bottom w:val="single" w:sz="4" w:space="0" w:color="D3D3D3"/>
              <w:right w:val="single" w:sz="4" w:space="0" w:color="D3D3D3"/>
            </w:tcBorders>
            <w:shd w:val="clear" w:color="auto" w:fill="auto"/>
            <w:noWrap/>
            <w:hideMark/>
          </w:tcPr>
          <w:p w14:paraId="7D4A83DA"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645</w:t>
            </w:r>
          </w:p>
        </w:tc>
        <w:tc>
          <w:tcPr>
            <w:tcW w:w="3747" w:type="dxa"/>
            <w:tcBorders>
              <w:top w:val="nil"/>
              <w:left w:val="nil"/>
              <w:bottom w:val="single" w:sz="4" w:space="0" w:color="D3D3D3"/>
              <w:right w:val="single" w:sz="4" w:space="0" w:color="D3D3D3"/>
            </w:tcBorders>
            <w:shd w:val="clear" w:color="auto" w:fill="auto"/>
            <w:noWrap/>
            <w:hideMark/>
          </w:tcPr>
          <w:p w14:paraId="7D4A83DB"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0,08</w:t>
            </w:r>
          </w:p>
        </w:tc>
      </w:tr>
      <w:tr w:rsidR="00FC2252" w:rsidRPr="009E1B38" w14:paraId="7D4A83E0"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DD"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ZONGULDAK</w:t>
            </w:r>
          </w:p>
        </w:tc>
        <w:tc>
          <w:tcPr>
            <w:tcW w:w="1843" w:type="dxa"/>
            <w:tcBorders>
              <w:top w:val="nil"/>
              <w:left w:val="nil"/>
              <w:bottom w:val="single" w:sz="4" w:space="0" w:color="D3D3D3"/>
              <w:right w:val="single" w:sz="4" w:space="0" w:color="D3D3D3"/>
            </w:tcBorders>
            <w:shd w:val="clear" w:color="auto" w:fill="auto"/>
            <w:noWrap/>
            <w:hideMark/>
          </w:tcPr>
          <w:p w14:paraId="7D4A83DE"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365</w:t>
            </w:r>
          </w:p>
        </w:tc>
        <w:tc>
          <w:tcPr>
            <w:tcW w:w="3747" w:type="dxa"/>
            <w:tcBorders>
              <w:top w:val="nil"/>
              <w:left w:val="nil"/>
              <w:bottom w:val="single" w:sz="4" w:space="0" w:color="D3D3D3"/>
              <w:right w:val="single" w:sz="4" w:space="0" w:color="D3D3D3"/>
            </w:tcBorders>
            <w:shd w:val="clear" w:color="auto" w:fill="auto"/>
            <w:noWrap/>
            <w:hideMark/>
          </w:tcPr>
          <w:p w14:paraId="7D4A83DF"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0,05</w:t>
            </w:r>
          </w:p>
        </w:tc>
      </w:tr>
      <w:tr w:rsidR="00FC2252" w:rsidRPr="009E1B38" w14:paraId="7D4A83E4"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E1"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AKSARAY</w:t>
            </w:r>
          </w:p>
        </w:tc>
        <w:tc>
          <w:tcPr>
            <w:tcW w:w="1843" w:type="dxa"/>
            <w:tcBorders>
              <w:top w:val="nil"/>
              <w:left w:val="nil"/>
              <w:bottom w:val="single" w:sz="4" w:space="0" w:color="D3D3D3"/>
              <w:right w:val="single" w:sz="4" w:space="0" w:color="D3D3D3"/>
            </w:tcBorders>
            <w:shd w:val="clear" w:color="auto" w:fill="auto"/>
            <w:noWrap/>
            <w:hideMark/>
          </w:tcPr>
          <w:p w14:paraId="7D4A83E2"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254</w:t>
            </w:r>
          </w:p>
        </w:tc>
        <w:tc>
          <w:tcPr>
            <w:tcW w:w="3747" w:type="dxa"/>
            <w:tcBorders>
              <w:top w:val="nil"/>
              <w:left w:val="nil"/>
              <w:bottom w:val="single" w:sz="4" w:space="0" w:color="D3D3D3"/>
              <w:right w:val="single" w:sz="4" w:space="0" w:color="D3D3D3"/>
            </w:tcBorders>
            <w:shd w:val="clear" w:color="auto" w:fill="auto"/>
            <w:noWrap/>
            <w:hideMark/>
          </w:tcPr>
          <w:p w14:paraId="7D4A83E3"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0,03</w:t>
            </w:r>
          </w:p>
        </w:tc>
      </w:tr>
      <w:tr w:rsidR="00FC2252" w:rsidRPr="009E1B38" w14:paraId="7D4A83E8"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E5"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KIRIKKALE</w:t>
            </w:r>
          </w:p>
        </w:tc>
        <w:tc>
          <w:tcPr>
            <w:tcW w:w="1843" w:type="dxa"/>
            <w:tcBorders>
              <w:top w:val="nil"/>
              <w:left w:val="nil"/>
              <w:bottom w:val="single" w:sz="4" w:space="0" w:color="D3D3D3"/>
              <w:right w:val="single" w:sz="4" w:space="0" w:color="D3D3D3"/>
            </w:tcBorders>
            <w:shd w:val="clear" w:color="auto" w:fill="auto"/>
            <w:noWrap/>
            <w:hideMark/>
          </w:tcPr>
          <w:p w14:paraId="7D4A83E6"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12.012</w:t>
            </w:r>
          </w:p>
        </w:tc>
        <w:tc>
          <w:tcPr>
            <w:tcW w:w="3747" w:type="dxa"/>
            <w:tcBorders>
              <w:top w:val="nil"/>
              <w:left w:val="nil"/>
              <w:bottom w:val="single" w:sz="4" w:space="0" w:color="D3D3D3"/>
              <w:right w:val="single" w:sz="4" w:space="0" w:color="D3D3D3"/>
            </w:tcBorders>
            <w:shd w:val="clear" w:color="auto" w:fill="auto"/>
            <w:noWrap/>
            <w:hideMark/>
          </w:tcPr>
          <w:p w14:paraId="7D4A83E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1,57</w:t>
            </w:r>
          </w:p>
        </w:tc>
      </w:tr>
      <w:tr w:rsidR="00FC2252" w:rsidRPr="009E1B38" w14:paraId="7D4A83EC"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E9"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KARABÜK</w:t>
            </w:r>
          </w:p>
        </w:tc>
        <w:tc>
          <w:tcPr>
            <w:tcW w:w="1843" w:type="dxa"/>
            <w:tcBorders>
              <w:top w:val="nil"/>
              <w:left w:val="nil"/>
              <w:bottom w:val="single" w:sz="4" w:space="0" w:color="D3D3D3"/>
              <w:right w:val="single" w:sz="4" w:space="0" w:color="D3D3D3"/>
            </w:tcBorders>
            <w:shd w:val="clear" w:color="auto" w:fill="auto"/>
            <w:noWrap/>
            <w:hideMark/>
          </w:tcPr>
          <w:p w14:paraId="7D4A83EA"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460</w:t>
            </w:r>
          </w:p>
        </w:tc>
        <w:tc>
          <w:tcPr>
            <w:tcW w:w="3747" w:type="dxa"/>
            <w:tcBorders>
              <w:top w:val="nil"/>
              <w:left w:val="nil"/>
              <w:bottom w:val="single" w:sz="4" w:space="0" w:color="D3D3D3"/>
              <w:right w:val="single" w:sz="4" w:space="0" w:color="D3D3D3"/>
            </w:tcBorders>
            <w:shd w:val="clear" w:color="auto" w:fill="auto"/>
            <w:noWrap/>
            <w:hideMark/>
          </w:tcPr>
          <w:p w14:paraId="7D4A83EB"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0,06</w:t>
            </w:r>
          </w:p>
        </w:tc>
      </w:tr>
      <w:tr w:rsidR="00FC2252" w:rsidRPr="009E1B38" w14:paraId="7D4A83F0"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ED"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KİLİS</w:t>
            </w:r>
          </w:p>
        </w:tc>
        <w:tc>
          <w:tcPr>
            <w:tcW w:w="1843" w:type="dxa"/>
            <w:tcBorders>
              <w:top w:val="nil"/>
              <w:left w:val="nil"/>
              <w:bottom w:val="single" w:sz="4" w:space="0" w:color="D3D3D3"/>
              <w:right w:val="single" w:sz="4" w:space="0" w:color="D3D3D3"/>
            </w:tcBorders>
            <w:shd w:val="clear" w:color="auto" w:fill="auto"/>
            <w:noWrap/>
            <w:hideMark/>
          </w:tcPr>
          <w:p w14:paraId="7D4A83EE"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165</w:t>
            </w:r>
          </w:p>
        </w:tc>
        <w:tc>
          <w:tcPr>
            <w:tcW w:w="3747" w:type="dxa"/>
            <w:tcBorders>
              <w:top w:val="nil"/>
              <w:left w:val="nil"/>
              <w:bottom w:val="single" w:sz="4" w:space="0" w:color="D3D3D3"/>
              <w:right w:val="single" w:sz="4" w:space="0" w:color="D3D3D3"/>
            </w:tcBorders>
            <w:shd w:val="clear" w:color="auto" w:fill="auto"/>
            <w:noWrap/>
            <w:hideMark/>
          </w:tcPr>
          <w:p w14:paraId="7D4A83EF"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0,02</w:t>
            </w:r>
          </w:p>
        </w:tc>
      </w:tr>
      <w:tr w:rsidR="00FC2252" w:rsidRPr="009E1B38" w14:paraId="7D4A83F4"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F1" w14:textId="77777777"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color w:val="000000"/>
              </w:rPr>
              <w:t>OSMANİYE</w:t>
            </w:r>
          </w:p>
        </w:tc>
        <w:tc>
          <w:tcPr>
            <w:tcW w:w="1843" w:type="dxa"/>
            <w:tcBorders>
              <w:top w:val="nil"/>
              <w:left w:val="nil"/>
              <w:bottom w:val="single" w:sz="4" w:space="0" w:color="D3D3D3"/>
              <w:right w:val="single" w:sz="4" w:space="0" w:color="D3D3D3"/>
            </w:tcBorders>
            <w:shd w:val="clear" w:color="auto" w:fill="auto"/>
            <w:noWrap/>
            <w:hideMark/>
          </w:tcPr>
          <w:p w14:paraId="7D4A83F2" w14:textId="77777777" w:rsidR="00FC2252" w:rsidRPr="009E1B38" w:rsidRDefault="00FC2252" w:rsidP="00FC2252">
            <w:pPr>
              <w:spacing w:after="0" w:line="240" w:lineRule="auto"/>
              <w:jc w:val="right"/>
              <w:rPr>
                <w:rFonts w:ascii="Times New Roman" w:eastAsia="Times New Roman" w:hAnsi="Times New Roman"/>
                <w:color w:val="000000"/>
                <w:lang w:eastAsia="tr-TR"/>
              </w:rPr>
            </w:pPr>
            <w:r w:rsidRPr="009E1B38">
              <w:rPr>
                <w:rFonts w:ascii="Times New Roman" w:hAnsi="Times New Roman"/>
                <w:color w:val="000000"/>
              </w:rPr>
              <w:t>4.541</w:t>
            </w:r>
          </w:p>
        </w:tc>
        <w:tc>
          <w:tcPr>
            <w:tcW w:w="3747" w:type="dxa"/>
            <w:tcBorders>
              <w:top w:val="nil"/>
              <w:left w:val="nil"/>
              <w:bottom w:val="single" w:sz="4" w:space="0" w:color="D3D3D3"/>
              <w:right w:val="single" w:sz="4" w:space="0" w:color="D3D3D3"/>
            </w:tcBorders>
            <w:shd w:val="clear" w:color="auto" w:fill="auto"/>
            <w:noWrap/>
            <w:hideMark/>
          </w:tcPr>
          <w:p w14:paraId="7D4A83F3"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0,59</w:t>
            </w:r>
          </w:p>
        </w:tc>
      </w:tr>
      <w:tr w:rsidR="00FC2252" w:rsidRPr="009E1B38" w14:paraId="7D4A83F8" w14:textId="77777777" w:rsidTr="00500E30">
        <w:trPr>
          <w:trHeight w:val="288"/>
          <w:jc w:val="center"/>
        </w:trPr>
        <w:tc>
          <w:tcPr>
            <w:tcW w:w="1887" w:type="dxa"/>
            <w:tcBorders>
              <w:top w:val="nil"/>
              <w:left w:val="single" w:sz="4" w:space="0" w:color="D3D3D3"/>
              <w:bottom w:val="single" w:sz="4" w:space="0" w:color="D3D3D3"/>
              <w:right w:val="single" w:sz="4" w:space="0" w:color="D3D3D3"/>
            </w:tcBorders>
            <w:shd w:val="clear" w:color="auto" w:fill="auto"/>
            <w:hideMark/>
          </w:tcPr>
          <w:p w14:paraId="7D4A83F5" w14:textId="4B56C64B" w:rsidR="00FC2252" w:rsidRPr="009E1B38" w:rsidRDefault="00FC2252" w:rsidP="00FC2252">
            <w:pPr>
              <w:spacing w:after="0" w:line="240" w:lineRule="auto"/>
              <w:rPr>
                <w:rFonts w:ascii="Times New Roman" w:eastAsia="Times New Roman" w:hAnsi="Times New Roman"/>
                <w:color w:val="000000"/>
                <w:lang w:eastAsia="tr-TR"/>
              </w:rPr>
            </w:pPr>
            <w:r w:rsidRPr="009E1B38">
              <w:rPr>
                <w:rFonts w:ascii="Times New Roman" w:hAnsi="Times New Roman"/>
                <w:b/>
                <w:bCs/>
                <w:color w:val="000000"/>
              </w:rPr>
              <w:t>To</w:t>
            </w:r>
            <w:r w:rsidR="00B566A2" w:rsidRPr="009E1B38">
              <w:rPr>
                <w:rFonts w:ascii="Times New Roman" w:hAnsi="Times New Roman"/>
                <w:b/>
                <w:bCs/>
                <w:color w:val="000000"/>
              </w:rPr>
              <w:t>tal</w:t>
            </w:r>
          </w:p>
        </w:tc>
        <w:tc>
          <w:tcPr>
            <w:tcW w:w="1843" w:type="dxa"/>
            <w:tcBorders>
              <w:top w:val="nil"/>
              <w:left w:val="nil"/>
              <w:bottom w:val="single" w:sz="4" w:space="0" w:color="D3D3D3"/>
              <w:right w:val="single" w:sz="4" w:space="0" w:color="D3D3D3"/>
            </w:tcBorders>
            <w:shd w:val="clear" w:color="auto" w:fill="auto"/>
            <w:noWrap/>
            <w:hideMark/>
          </w:tcPr>
          <w:p w14:paraId="7D4A83F6" w14:textId="77777777" w:rsidR="00FC2252" w:rsidRPr="009E1B38" w:rsidRDefault="00FC2252" w:rsidP="00FC2252">
            <w:pPr>
              <w:spacing w:after="0" w:line="240" w:lineRule="auto"/>
              <w:jc w:val="right"/>
              <w:rPr>
                <w:rFonts w:ascii="Times New Roman" w:eastAsia="Times New Roman" w:hAnsi="Times New Roman"/>
                <w:b/>
                <w:color w:val="000000"/>
                <w:lang w:eastAsia="tr-TR"/>
              </w:rPr>
            </w:pPr>
            <w:r w:rsidRPr="009E1B38">
              <w:rPr>
                <w:rFonts w:ascii="Times New Roman" w:hAnsi="Times New Roman"/>
                <w:b/>
                <w:color w:val="000000"/>
              </w:rPr>
              <w:t>763.909</w:t>
            </w:r>
          </w:p>
        </w:tc>
        <w:tc>
          <w:tcPr>
            <w:tcW w:w="3747" w:type="dxa"/>
            <w:tcBorders>
              <w:top w:val="nil"/>
              <w:left w:val="nil"/>
              <w:bottom w:val="single" w:sz="4" w:space="0" w:color="D3D3D3"/>
              <w:right w:val="single" w:sz="4" w:space="0" w:color="D3D3D3"/>
            </w:tcBorders>
            <w:shd w:val="clear" w:color="auto" w:fill="auto"/>
            <w:noWrap/>
            <w:hideMark/>
          </w:tcPr>
          <w:p w14:paraId="7D4A83F7" w14:textId="77777777" w:rsidR="00FC2252" w:rsidRPr="009E1B38" w:rsidRDefault="00FC2252" w:rsidP="00FC2252">
            <w:pPr>
              <w:spacing w:after="0" w:line="240" w:lineRule="auto"/>
              <w:jc w:val="center"/>
              <w:rPr>
                <w:rFonts w:ascii="Times New Roman" w:eastAsia="Times New Roman" w:hAnsi="Times New Roman"/>
                <w:color w:val="000000"/>
                <w:lang w:eastAsia="tr-TR"/>
              </w:rPr>
            </w:pPr>
            <w:r w:rsidRPr="009E1B38">
              <w:rPr>
                <w:rFonts w:ascii="Times New Roman" w:hAnsi="Times New Roman"/>
                <w:b/>
                <w:bCs/>
                <w:color w:val="000000"/>
              </w:rPr>
              <w:t>100</w:t>
            </w:r>
          </w:p>
        </w:tc>
      </w:tr>
    </w:tbl>
    <w:p w14:paraId="7D4A83F9" w14:textId="77777777" w:rsidR="005748C0" w:rsidRPr="009E1B38" w:rsidRDefault="005748C0" w:rsidP="004132BA">
      <w:pPr>
        <w:rPr>
          <w:rFonts w:ascii="Times New Roman" w:hAnsi="Times New Roman"/>
        </w:rPr>
      </w:pPr>
    </w:p>
    <w:p w14:paraId="7D4A83FA" w14:textId="77777777" w:rsidR="00801036" w:rsidRPr="009E1B38" w:rsidRDefault="00801036" w:rsidP="004132BA">
      <w:pPr>
        <w:rPr>
          <w:rFonts w:ascii="Times New Roman" w:hAnsi="Times New Roman"/>
        </w:rPr>
      </w:pPr>
    </w:p>
    <w:p w14:paraId="7D4A83FB" w14:textId="77777777" w:rsidR="00801036" w:rsidRPr="009E1B38" w:rsidRDefault="00801036" w:rsidP="004132BA">
      <w:pPr>
        <w:rPr>
          <w:rFonts w:ascii="Times New Roman" w:hAnsi="Times New Roman"/>
        </w:rPr>
      </w:pPr>
    </w:p>
    <w:p w14:paraId="7D4A83FC" w14:textId="77777777" w:rsidR="00801036" w:rsidRPr="009E1B38" w:rsidRDefault="00801036" w:rsidP="004132BA">
      <w:pPr>
        <w:rPr>
          <w:rFonts w:ascii="Times New Roman" w:hAnsi="Times New Roman"/>
        </w:rPr>
      </w:pPr>
    </w:p>
    <w:p w14:paraId="7D4A83FE" w14:textId="77777777" w:rsidR="00801036" w:rsidRPr="009E1B38" w:rsidRDefault="00801036" w:rsidP="004132BA">
      <w:pPr>
        <w:rPr>
          <w:rFonts w:ascii="Times New Roman" w:hAnsi="Times New Roman"/>
        </w:rPr>
      </w:pPr>
    </w:p>
    <w:p w14:paraId="7D4A83FF" w14:textId="4E0396A8" w:rsidR="00D3422D" w:rsidRPr="009E1B38" w:rsidRDefault="00497282" w:rsidP="003C5E4D">
      <w:pPr>
        <w:pStyle w:val="Balk1"/>
        <w:numPr>
          <w:ilvl w:val="0"/>
          <w:numId w:val="55"/>
        </w:numPr>
        <w:spacing w:before="0"/>
        <w:rPr>
          <w:rFonts w:cs="Times New Roman"/>
          <w:sz w:val="22"/>
          <w:szCs w:val="22"/>
        </w:rPr>
      </w:pPr>
      <w:bookmarkStart w:id="147" w:name="_Toc113615346"/>
      <w:r w:rsidRPr="009E1B38">
        <w:rPr>
          <w:rFonts w:cs="Times New Roman"/>
          <w:sz w:val="22"/>
          <w:szCs w:val="22"/>
        </w:rPr>
        <w:t>PRICE FORMATION AND TARIFFICATION ACTIVITIES</w:t>
      </w:r>
      <w:bookmarkEnd w:id="147"/>
    </w:p>
    <w:p w14:paraId="62274EE5" w14:textId="77777777" w:rsidR="00497282" w:rsidRPr="009E1B38" w:rsidRDefault="00497282" w:rsidP="00497282">
      <w:pPr>
        <w:spacing w:after="240"/>
        <w:rPr>
          <w:rFonts w:ascii="Times New Roman" w:hAnsi="Times New Roman"/>
        </w:rPr>
      </w:pPr>
      <w:r w:rsidRPr="009E1B38">
        <w:rPr>
          <w:rFonts w:ascii="Times New Roman" w:hAnsi="Times New Roman"/>
        </w:rPr>
        <w:t>In this section, there are activities related to the pricing and price formation carried out in 2021 regarding the electricity, natural gas, oil and LPG markets.</w:t>
      </w:r>
    </w:p>
    <w:p w14:paraId="7D4A8401" w14:textId="184602F2" w:rsidR="002C3099" w:rsidRPr="009E1B38" w:rsidRDefault="6FD9CB07" w:rsidP="003C5E4D">
      <w:pPr>
        <w:pStyle w:val="Balk2"/>
        <w:numPr>
          <w:ilvl w:val="1"/>
          <w:numId w:val="61"/>
        </w:numPr>
        <w:rPr>
          <w:rFonts w:cs="Times New Roman"/>
        </w:rPr>
      </w:pPr>
      <w:bookmarkStart w:id="148" w:name="_Toc113615347"/>
      <w:bookmarkStart w:id="149" w:name="_Toc66267370"/>
      <w:r w:rsidRPr="009E1B38">
        <w:rPr>
          <w:rFonts w:cs="Times New Roman"/>
        </w:rPr>
        <w:t>Electricity Market Tariffication</w:t>
      </w:r>
      <w:bookmarkEnd w:id="148"/>
      <w:r w:rsidRPr="009E1B38">
        <w:rPr>
          <w:rFonts w:cs="Times New Roman"/>
        </w:rPr>
        <w:t xml:space="preserve"> </w:t>
      </w:r>
      <w:bookmarkEnd w:id="149"/>
    </w:p>
    <w:p w14:paraId="26F3C3BD" w14:textId="35DB906B" w:rsidR="00497282" w:rsidRPr="009E1B38" w:rsidRDefault="00497282" w:rsidP="00497282">
      <w:pPr>
        <w:rPr>
          <w:rFonts w:ascii="Times New Roman" w:hAnsi="Times New Roman"/>
        </w:rPr>
      </w:pPr>
      <w:r w:rsidRPr="009E1B38">
        <w:rPr>
          <w:rFonts w:ascii="Times New Roman" w:hAnsi="Times New Roman"/>
        </w:rPr>
        <w:t xml:space="preserve">The procedures and principles regarding the preparation, evaluation, amendment and approval of tariffication subject to regulation in the electricity market are regulated in the Electricity Market </w:t>
      </w:r>
      <w:r w:rsidR="00301040">
        <w:rPr>
          <w:rFonts w:ascii="Times New Roman" w:hAnsi="Times New Roman"/>
        </w:rPr>
        <w:t>Tariffication</w:t>
      </w:r>
      <w:r w:rsidRPr="009E1B38">
        <w:rPr>
          <w:rFonts w:ascii="Times New Roman" w:hAnsi="Times New Roman"/>
        </w:rPr>
        <w:t xml:space="preserve"> Regulation and related communiques. Important information about the Board Decisions taken regarding tariffication implementations in 2021 and the transactions made are given below.</w:t>
      </w:r>
    </w:p>
    <w:p w14:paraId="7D4A8403" w14:textId="44B0CF57" w:rsidR="00C839EE" w:rsidRPr="009E1B38" w:rsidRDefault="00497282" w:rsidP="003C5E4D">
      <w:pPr>
        <w:pStyle w:val="Balk3"/>
        <w:numPr>
          <w:ilvl w:val="2"/>
          <w:numId w:val="61"/>
        </w:numPr>
        <w:spacing w:after="240"/>
        <w:rPr>
          <w:rFonts w:ascii="Times New Roman" w:hAnsi="Times New Roman" w:cs="Times New Roman"/>
          <w:color w:val="auto"/>
        </w:rPr>
      </w:pPr>
      <w:bookmarkStart w:id="150" w:name="_Toc113615348"/>
      <w:r w:rsidRPr="009E1B38">
        <w:rPr>
          <w:rFonts w:ascii="Times New Roman" w:hAnsi="Times New Roman" w:cs="Times New Roman"/>
          <w:color w:val="auto"/>
        </w:rPr>
        <w:t>Transmission Tariffication</w:t>
      </w:r>
      <w:bookmarkEnd w:id="150"/>
      <w:r w:rsidRPr="009E1B38">
        <w:rPr>
          <w:rFonts w:ascii="Times New Roman" w:hAnsi="Times New Roman" w:cs="Times New Roman"/>
          <w:color w:val="auto"/>
        </w:rPr>
        <w:t xml:space="preserve"> </w:t>
      </w:r>
    </w:p>
    <w:p w14:paraId="31F14E80" w14:textId="77777777" w:rsidR="00497282" w:rsidRPr="009E1B38" w:rsidRDefault="00497282" w:rsidP="002F3B01">
      <w:pPr>
        <w:rPr>
          <w:rFonts w:ascii="Times New Roman" w:hAnsi="Times New Roman"/>
        </w:rPr>
      </w:pPr>
      <w:r w:rsidRPr="009E1B38">
        <w:rPr>
          <w:rFonts w:ascii="Times New Roman" w:hAnsi="Times New Roman"/>
        </w:rPr>
        <w:t>With the Board Decision dated 30.12.2021 and numbered 10688 published in the Official Gazette dated 31.12.2021 and numbered 31706 (6.repeated), TEİAŞ's system usage and system operation income ceilings for 2022 were approved as shown in Table 4.1.</w:t>
      </w:r>
    </w:p>
    <w:p w14:paraId="7D4A8405" w14:textId="3726C88D" w:rsidR="002C3099" w:rsidRPr="009E1B38" w:rsidRDefault="00497282" w:rsidP="002F3B01">
      <w:pPr>
        <w:pStyle w:val="Balk5"/>
        <w:jc w:val="center"/>
        <w:rPr>
          <w:rStyle w:val="Gl"/>
          <w:rFonts w:ascii="Times New Roman" w:hAnsi="Times New Roman" w:cs="Times New Roman"/>
          <w:b/>
          <w:bCs w:val="0"/>
        </w:rPr>
      </w:pPr>
      <w:bookmarkStart w:id="151" w:name="_Toc77092364"/>
      <w:bookmarkStart w:id="152" w:name="_Toc107499508"/>
      <w:r w:rsidRPr="009E1B38">
        <w:rPr>
          <w:rStyle w:val="Gl"/>
          <w:rFonts w:ascii="Times New Roman" w:hAnsi="Times New Roman" w:cs="Times New Roman"/>
          <w:b/>
          <w:bCs w:val="0"/>
        </w:rPr>
        <w:t>Table</w:t>
      </w:r>
      <w:bookmarkStart w:id="153" w:name="_Toc66267467"/>
      <w:r w:rsidR="002C3099" w:rsidRPr="009E1B38">
        <w:rPr>
          <w:rStyle w:val="Gl"/>
          <w:rFonts w:ascii="Times New Roman" w:hAnsi="Times New Roman" w:cs="Times New Roman"/>
          <w:b/>
          <w:bCs w:val="0"/>
        </w:rPr>
        <w:t xml:space="preserve"> 4.</w:t>
      </w:r>
      <w:r w:rsidR="002C3099" w:rsidRPr="009E1B38">
        <w:rPr>
          <w:rStyle w:val="Gl"/>
          <w:rFonts w:ascii="Times New Roman" w:hAnsi="Times New Roman" w:cs="Times New Roman"/>
          <w:b/>
          <w:bCs w:val="0"/>
        </w:rPr>
        <w:fldChar w:fldCharType="begin"/>
      </w:r>
      <w:r w:rsidR="002C3099" w:rsidRPr="009E1B38">
        <w:rPr>
          <w:rStyle w:val="Gl"/>
          <w:rFonts w:ascii="Times New Roman" w:hAnsi="Times New Roman" w:cs="Times New Roman"/>
          <w:b/>
          <w:bCs w:val="0"/>
        </w:rPr>
        <w:instrText xml:space="preserve"> SEQ Tablo \* ARABIC </w:instrText>
      </w:r>
      <w:r w:rsidR="002C3099" w:rsidRPr="009E1B38">
        <w:rPr>
          <w:rStyle w:val="Gl"/>
          <w:rFonts w:ascii="Times New Roman" w:hAnsi="Times New Roman" w:cs="Times New Roman"/>
          <w:b/>
          <w:bCs w:val="0"/>
        </w:rPr>
        <w:fldChar w:fldCharType="separate"/>
      </w:r>
      <w:r w:rsidR="002C3099" w:rsidRPr="009E1B38">
        <w:rPr>
          <w:rStyle w:val="Gl"/>
          <w:rFonts w:ascii="Times New Roman" w:hAnsi="Times New Roman" w:cs="Times New Roman"/>
          <w:b/>
          <w:bCs w:val="0"/>
        </w:rPr>
        <w:t>1</w:t>
      </w:r>
      <w:r w:rsidR="002C3099" w:rsidRPr="009E1B38">
        <w:rPr>
          <w:rStyle w:val="Gl"/>
          <w:rFonts w:ascii="Times New Roman" w:hAnsi="Times New Roman" w:cs="Times New Roman"/>
          <w:b/>
          <w:bCs w:val="0"/>
        </w:rPr>
        <w:fldChar w:fldCharType="end"/>
      </w:r>
      <w:r w:rsidR="002C3099" w:rsidRPr="009E1B38">
        <w:rPr>
          <w:rStyle w:val="Gl"/>
          <w:rFonts w:ascii="Times New Roman" w:hAnsi="Times New Roman" w:cs="Times New Roman"/>
          <w:b/>
          <w:bCs w:val="0"/>
        </w:rPr>
        <w:t xml:space="preserve">: </w:t>
      </w:r>
      <w:bookmarkEnd w:id="153"/>
      <w:r w:rsidRPr="009E1B38">
        <w:rPr>
          <w:rStyle w:val="Gl"/>
          <w:rFonts w:ascii="Times New Roman" w:hAnsi="Times New Roman" w:cs="Times New Roman"/>
          <w:b/>
          <w:bCs w:val="0"/>
        </w:rPr>
        <w:t>TEİAŞ's System Usage and System Operation Revenue</w:t>
      </w:r>
      <w:bookmarkEnd w:id="151"/>
      <w:bookmarkEnd w:id="152"/>
    </w:p>
    <w:tbl>
      <w:tblPr>
        <w:tblW w:w="4226" w:type="pct"/>
        <w:jc w:val="center"/>
        <w:tblCellMar>
          <w:left w:w="70" w:type="dxa"/>
          <w:right w:w="70" w:type="dxa"/>
        </w:tblCellMar>
        <w:tblLook w:val="04A0" w:firstRow="1" w:lastRow="0" w:firstColumn="1" w:lastColumn="0" w:noHBand="0" w:noVBand="1"/>
      </w:tblPr>
      <w:tblGrid>
        <w:gridCol w:w="2835"/>
        <w:gridCol w:w="2835"/>
        <w:gridCol w:w="2834"/>
      </w:tblGrid>
      <w:tr w:rsidR="002C3099" w:rsidRPr="009E1B38" w14:paraId="7D4A8409" w14:textId="77777777" w:rsidTr="00107CC2">
        <w:trPr>
          <w:trHeight w:val="20"/>
          <w:jc w:val="center"/>
        </w:trPr>
        <w:tc>
          <w:tcPr>
            <w:tcW w:w="1667"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14:paraId="7D4A8406" w14:textId="77777777" w:rsidR="002C3099" w:rsidRPr="009E1B38" w:rsidRDefault="002C3099" w:rsidP="002C3099">
            <w:pPr>
              <w:spacing w:after="0" w:line="240" w:lineRule="auto"/>
              <w:rPr>
                <w:rFonts w:ascii="Times New Roman" w:eastAsia="Times New Roman" w:hAnsi="Times New Roman"/>
                <w:szCs w:val="24"/>
                <w:lang w:eastAsia="tr-TR"/>
              </w:rPr>
            </w:pP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7D4A8407" w14:textId="6A3D26C7" w:rsidR="002C3099" w:rsidRPr="009E1B38" w:rsidRDefault="00107CC2" w:rsidP="002C3099">
            <w:pPr>
              <w:spacing w:after="0" w:line="240" w:lineRule="auto"/>
              <w:jc w:val="center"/>
              <w:rPr>
                <w:rFonts w:ascii="Times New Roman" w:eastAsia="Times New Roman" w:hAnsi="Times New Roman"/>
                <w:b/>
                <w:bCs/>
                <w:color w:val="FFFFFF" w:themeColor="background1"/>
                <w:szCs w:val="24"/>
                <w:lang w:eastAsia="tr-TR"/>
              </w:rPr>
            </w:pPr>
            <w:r w:rsidRPr="009E1B38">
              <w:rPr>
                <w:rFonts w:ascii="Times New Roman" w:eastAsia="Times New Roman" w:hAnsi="Times New Roman"/>
                <w:b/>
                <w:bCs/>
                <w:color w:val="FFFFFF" w:themeColor="background1"/>
                <w:szCs w:val="24"/>
                <w:lang w:eastAsia="tr-TR"/>
              </w:rPr>
              <w:t>System Usage</w:t>
            </w:r>
          </w:p>
        </w:tc>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7D4A8408" w14:textId="6C33EE2C" w:rsidR="002C3099" w:rsidRPr="009E1B38" w:rsidRDefault="00107CC2" w:rsidP="002C3099">
            <w:pPr>
              <w:spacing w:after="0" w:line="240" w:lineRule="auto"/>
              <w:jc w:val="center"/>
              <w:rPr>
                <w:rFonts w:ascii="Times New Roman" w:eastAsia="Times New Roman" w:hAnsi="Times New Roman"/>
                <w:b/>
                <w:bCs/>
                <w:color w:val="FFFFFF" w:themeColor="background1"/>
                <w:szCs w:val="24"/>
                <w:lang w:eastAsia="tr-TR"/>
              </w:rPr>
            </w:pPr>
            <w:r w:rsidRPr="009E1B38">
              <w:rPr>
                <w:rFonts w:ascii="Times New Roman" w:eastAsia="Times New Roman" w:hAnsi="Times New Roman"/>
                <w:b/>
                <w:bCs/>
                <w:color w:val="FFFFFF" w:themeColor="background1"/>
                <w:szCs w:val="24"/>
                <w:lang w:eastAsia="tr-TR"/>
              </w:rPr>
              <w:t xml:space="preserve">System Operation </w:t>
            </w:r>
          </w:p>
        </w:tc>
      </w:tr>
      <w:tr w:rsidR="002C3099" w:rsidRPr="009E1B38" w14:paraId="7D4A840D" w14:textId="77777777" w:rsidTr="00107CC2">
        <w:trPr>
          <w:trHeight w:val="20"/>
          <w:jc w:val="center"/>
        </w:trPr>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14:paraId="7D4A840A" w14:textId="1A6D2031" w:rsidR="002C3099" w:rsidRPr="009E1B38" w:rsidRDefault="002C3099" w:rsidP="002C3099">
            <w:pPr>
              <w:spacing w:after="0" w:line="240" w:lineRule="auto"/>
              <w:jc w:val="center"/>
              <w:rPr>
                <w:rFonts w:ascii="Times New Roman" w:eastAsia="Times New Roman" w:hAnsi="Times New Roman"/>
                <w:b/>
                <w:bCs/>
                <w:szCs w:val="24"/>
                <w:lang w:eastAsia="tr-TR"/>
              </w:rPr>
            </w:pPr>
            <w:r w:rsidRPr="009E1B38">
              <w:rPr>
                <w:rFonts w:ascii="Times New Roman" w:eastAsia="Times New Roman" w:hAnsi="Times New Roman"/>
                <w:b/>
                <w:bCs/>
                <w:szCs w:val="24"/>
                <w:lang w:eastAsia="tr-TR"/>
              </w:rPr>
              <w:t>202</w:t>
            </w:r>
            <w:r w:rsidR="00304AD6" w:rsidRPr="009E1B38">
              <w:rPr>
                <w:rFonts w:ascii="Times New Roman" w:eastAsia="Times New Roman" w:hAnsi="Times New Roman"/>
                <w:b/>
                <w:bCs/>
                <w:szCs w:val="24"/>
                <w:lang w:eastAsia="tr-TR"/>
              </w:rPr>
              <w:t>2</w:t>
            </w:r>
            <w:r w:rsidRPr="009E1B38">
              <w:rPr>
                <w:rFonts w:ascii="Times New Roman" w:eastAsia="Times New Roman" w:hAnsi="Times New Roman"/>
                <w:b/>
                <w:bCs/>
                <w:szCs w:val="24"/>
                <w:lang w:eastAsia="tr-TR"/>
              </w:rPr>
              <w:t xml:space="preserve"> </w:t>
            </w:r>
            <w:r w:rsidR="00107CC2" w:rsidRPr="009E1B38">
              <w:rPr>
                <w:rFonts w:ascii="Times New Roman" w:eastAsia="Times New Roman" w:hAnsi="Times New Roman"/>
                <w:b/>
                <w:bCs/>
                <w:szCs w:val="24"/>
                <w:lang w:eastAsia="tr-TR"/>
              </w:rPr>
              <w:t>Income Ceiling</w:t>
            </w:r>
            <w:r w:rsidRPr="009E1B38">
              <w:rPr>
                <w:rFonts w:ascii="Times New Roman" w:eastAsia="Times New Roman" w:hAnsi="Times New Roman"/>
                <w:b/>
                <w:bCs/>
                <w:szCs w:val="24"/>
                <w:lang w:eastAsia="tr-TR"/>
              </w:rPr>
              <w:br/>
              <w:t>(TÜFE=</w:t>
            </w:r>
            <w:r w:rsidR="00304AD6" w:rsidRPr="009E1B38">
              <w:rPr>
                <w:rFonts w:ascii="Times New Roman" w:eastAsia="Times New Roman" w:hAnsi="Times New Roman"/>
                <w:b/>
                <w:bCs/>
                <w:szCs w:val="24"/>
                <w:lang w:eastAsia="tr-TR"/>
              </w:rPr>
              <w:t>584</w:t>
            </w:r>
            <w:r w:rsidRPr="009E1B38">
              <w:rPr>
                <w:rFonts w:ascii="Times New Roman" w:eastAsia="Times New Roman" w:hAnsi="Times New Roman"/>
                <w:b/>
                <w:bCs/>
                <w:szCs w:val="24"/>
                <w:lang w:eastAsia="tr-TR"/>
              </w:rPr>
              <w:t>,3</w:t>
            </w:r>
            <w:r w:rsidR="00304AD6" w:rsidRPr="009E1B38">
              <w:rPr>
                <w:rFonts w:ascii="Times New Roman" w:eastAsia="Times New Roman" w:hAnsi="Times New Roman"/>
                <w:b/>
                <w:bCs/>
                <w:szCs w:val="24"/>
                <w:lang w:eastAsia="tr-TR"/>
              </w:rPr>
              <w:t>2</w:t>
            </w:r>
            <w:r w:rsidRPr="009E1B38">
              <w:rPr>
                <w:rFonts w:ascii="Times New Roman" w:eastAsia="Times New Roman" w:hAnsi="Times New Roman"/>
                <w:b/>
                <w:bCs/>
                <w:szCs w:val="24"/>
                <w:lang w:eastAsia="tr-TR"/>
              </w:rPr>
              <w:t xml:space="preserve"> TL)</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7D4A840B" w14:textId="77777777" w:rsidR="002C3099" w:rsidRPr="009E1B38" w:rsidRDefault="002C3099" w:rsidP="003C6441">
            <w:pPr>
              <w:spacing w:after="0" w:line="240" w:lineRule="auto"/>
              <w:jc w:val="center"/>
              <w:rPr>
                <w:rFonts w:ascii="Times New Roman" w:eastAsia="Times New Roman" w:hAnsi="Times New Roman"/>
                <w:szCs w:val="24"/>
                <w:lang w:eastAsia="tr-TR"/>
              </w:rPr>
            </w:pPr>
            <w:r w:rsidRPr="009E1B38">
              <w:rPr>
                <w:rFonts w:ascii="Times New Roman" w:eastAsia="Times New Roman" w:hAnsi="Times New Roman"/>
                <w:szCs w:val="24"/>
                <w:lang w:eastAsia="tr-TR"/>
              </w:rPr>
              <w:t>1</w:t>
            </w:r>
            <w:r w:rsidR="00304AD6" w:rsidRPr="009E1B38">
              <w:rPr>
                <w:rFonts w:ascii="Times New Roman" w:eastAsia="Times New Roman" w:hAnsi="Times New Roman"/>
                <w:szCs w:val="24"/>
                <w:lang w:eastAsia="tr-TR"/>
              </w:rPr>
              <w:t>7</w:t>
            </w:r>
            <w:r w:rsidRPr="009E1B38">
              <w:rPr>
                <w:rFonts w:ascii="Times New Roman" w:eastAsia="Times New Roman" w:hAnsi="Times New Roman"/>
                <w:szCs w:val="24"/>
                <w:lang w:eastAsia="tr-TR"/>
              </w:rPr>
              <w:t>.</w:t>
            </w:r>
            <w:r w:rsidR="00304AD6" w:rsidRPr="009E1B38">
              <w:rPr>
                <w:rFonts w:ascii="Times New Roman" w:eastAsia="Times New Roman" w:hAnsi="Times New Roman"/>
                <w:szCs w:val="24"/>
                <w:lang w:eastAsia="tr-TR"/>
              </w:rPr>
              <w:t>582</w:t>
            </w:r>
            <w:r w:rsidRPr="009E1B38">
              <w:rPr>
                <w:rFonts w:ascii="Times New Roman" w:eastAsia="Times New Roman" w:hAnsi="Times New Roman"/>
                <w:szCs w:val="24"/>
                <w:lang w:eastAsia="tr-TR"/>
              </w:rPr>
              <w:t>.8</w:t>
            </w:r>
            <w:r w:rsidR="00304AD6" w:rsidRPr="009E1B38">
              <w:rPr>
                <w:rFonts w:ascii="Times New Roman" w:eastAsia="Times New Roman" w:hAnsi="Times New Roman"/>
                <w:szCs w:val="24"/>
                <w:lang w:eastAsia="tr-TR"/>
              </w:rPr>
              <w:t>69</w:t>
            </w:r>
            <w:r w:rsidRPr="009E1B38">
              <w:rPr>
                <w:rFonts w:ascii="Times New Roman" w:eastAsia="Times New Roman" w:hAnsi="Times New Roman"/>
                <w:szCs w:val="24"/>
                <w:lang w:eastAsia="tr-TR"/>
              </w:rPr>
              <w:t>.</w:t>
            </w:r>
            <w:r w:rsidR="00304AD6" w:rsidRPr="009E1B38">
              <w:rPr>
                <w:rFonts w:ascii="Times New Roman" w:eastAsia="Times New Roman" w:hAnsi="Times New Roman"/>
                <w:szCs w:val="24"/>
                <w:lang w:eastAsia="tr-TR"/>
              </w:rPr>
              <w:t>134</w:t>
            </w:r>
          </w:p>
        </w:tc>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7D4A840C" w14:textId="77777777" w:rsidR="002C3099" w:rsidRPr="009E1B38" w:rsidRDefault="00304AD6" w:rsidP="003C6441">
            <w:pPr>
              <w:spacing w:after="0" w:line="240" w:lineRule="auto"/>
              <w:jc w:val="center"/>
              <w:rPr>
                <w:rFonts w:ascii="Times New Roman" w:eastAsia="Times New Roman" w:hAnsi="Times New Roman"/>
                <w:szCs w:val="24"/>
                <w:lang w:eastAsia="tr-TR"/>
              </w:rPr>
            </w:pPr>
            <w:r w:rsidRPr="009E1B38">
              <w:rPr>
                <w:rFonts w:ascii="Times New Roman" w:eastAsia="Times New Roman" w:hAnsi="Times New Roman"/>
                <w:szCs w:val="24"/>
                <w:lang w:eastAsia="tr-TR"/>
              </w:rPr>
              <w:t>4</w:t>
            </w:r>
            <w:r w:rsidR="002C3099" w:rsidRPr="009E1B38">
              <w:rPr>
                <w:rFonts w:ascii="Times New Roman" w:eastAsia="Times New Roman" w:hAnsi="Times New Roman"/>
                <w:szCs w:val="24"/>
                <w:lang w:eastAsia="tr-TR"/>
              </w:rPr>
              <w:t>.</w:t>
            </w:r>
            <w:r w:rsidRPr="009E1B38">
              <w:rPr>
                <w:rFonts w:ascii="Times New Roman" w:eastAsia="Times New Roman" w:hAnsi="Times New Roman"/>
                <w:szCs w:val="24"/>
                <w:lang w:eastAsia="tr-TR"/>
              </w:rPr>
              <w:t>311</w:t>
            </w:r>
            <w:r w:rsidR="002C3099" w:rsidRPr="009E1B38">
              <w:rPr>
                <w:rFonts w:ascii="Times New Roman" w:eastAsia="Times New Roman" w:hAnsi="Times New Roman"/>
                <w:szCs w:val="24"/>
                <w:lang w:eastAsia="tr-TR"/>
              </w:rPr>
              <w:t>.</w:t>
            </w:r>
            <w:r w:rsidRPr="009E1B38">
              <w:rPr>
                <w:rFonts w:ascii="Times New Roman" w:eastAsia="Times New Roman" w:hAnsi="Times New Roman"/>
                <w:szCs w:val="24"/>
                <w:lang w:eastAsia="tr-TR"/>
              </w:rPr>
              <w:t>686</w:t>
            </w:r>
            <w:r w:rsidR="002C3099" w:rsidRPr="009E1B38">
              <w:rPr>
                <w:rFonts w:ascii="Times New Roman" w:eastAsia="Times New Roman" w:hAnsi="Times New Roman"/>
                <w:szCs w:val="24"/>
                <w:lang w:eastAsia="tr-TR"/>
              </w:rPr>
              <w:t>.</w:t>
            </w:r>
            <w:r w:rsidRPr="009E1B38">
              <w:rPr>
                <w:rFonts w:ascii="Times New Roman" w:eastAsia="Times New Roman" w:hAnsi="Times New Roman"/>
                <w:szCs w:val="24"/>
                <w:lang w:eastAsia="tr-TR"/>
              </w:rPr>
              <w:t>365</w:t>
            </w:r>
          </w:p>
        </w:tc>
      </w:tr>
    </w:tbl>
    <w:p w14:paraId="62D14E82" w14:textId="4763DE19" w:rsidR="00107CC2" w:rsidRPr="009E1B38" w:rsidRDefault="00107CC2" w:rsidP="003F0CCE">
      <w:pPr>
        <w:rPr>
          <w:rFonts w:ascii="Times New Roman" w:hAnsi="Times New Roman"/>
        </w:rPr>
      </w:pPr>
      <w:r w:rsidRPr="009E1B38">
        <w:rPr>
          <w:rFonts w:ascii="Times New Roman" w:hAnsi="Times New Roman"/>
        </w:rPr>
        <w:t>With the Board Decision dated 30.12.2021 and numbered 10689 published in the Official Gazette dated 31.12.2021 and numbered 31706 (6.repeated), as of 01.01.2022, TEİAŞ transmission system usage and system operation tariffication, Transmission for producers and consumers on the basis of 15 regions. The system has been determined as in Table 4.2 within the framework of the System Usage and System Operation Tariffication Calculation and Application Method Statement.</w:t>
      </w:r>
    </w:p>
    <w:p w14:paraId="778FD080" w14:textId="77777777" w:rsidR="00107CC2" w:rsidRPr="009E1B38" w:rsidRDefault="00107CC2" w:rsidP="002F3B01">
      <w:pPr>
        <w:pStyle w:val="Balk5"/>
        <w:jc w:val="center"/>
        <w:rPr>
          <w:rStyle w:val="Gl"/>
          <w:rFonts w:ascii="Times New Roman" w:hAnsi="Times New Roman" w:cs="Times New Roman"/>
          <w:b/>
          <w:bCs w:val="0"/>
        </w:rPr>
      </w:pPr>
      <w:bookmarkStart w:id="154" w:name="_Toc77092366"/>
      <w:bookmarkStart w:id="155" w:name="_Toc107499509"/>
      <w:r w:rsidRPr="009E1B38">
        <w:rPr>
          <w:rStyle w:val="Gl"/>
          <w:rFonts w:ascii="Times New Roman" w:hAnsi="Times New Roman" w:cs="Times New Roman"/>
          <w:b/>
          <w:bCs w:val="0"/>
        </w:rPr>
        <w:t>Table 4.2: Transmission System Usage and System Operation Tariff</w:t>
      </w:r>
      <w:bookmarkEnd w:id="154"/>
      <w:r w:rsidRPr="009E1B38">
        <w:rPr>
          <w:rStyle w:val="Gl"/>
          <w:rFonts w:ascii="Times New Roman" w:hAnsi="Times New Roman" w:cs="Times New Roman"/>
          <w:b/>
          <w:bCs w:val="0"/>
        </w:rPr>
        <w:t>ication</w:t>
      </w:r>
      <w:bookmarkEnd w:id="155"/>
    </w:p>
    <w:tbl>
      <w:tblPr>
        <w:tblW w:w="5000" w:type="pct"/>
        <w:jc w:val="center"/>
        <w:tblCellMar>
          <w:left w:w="70" w:type="dxa"/>
          <w:right w:w="70" w:type="dxa"/>
        </w:tblCellMar>
        <w:tblLook w:val="04A0" w:firstRow="1" w:lastRow="0" w:firstColumn="1" w:lastColumn="0" w:noHBand="0" w:noVBand="1"/>
      </w:tblPr>
      <w:tblGrid>
        <w:gridCol w:w="1338"/>
        <w:gridCol w:w="2047"/>
        <w:gridCol w:w="1192"/>
        <w:gridCol w:w="1192"/>
        <w:gridCol w:w="1909"/>
        <w:gridCol w:w="1192"/>
        <w:gridCol w:w="1192"/>
      </w:tblGrid>
      <w:tr w:rsidR="002C3099" w:rsidRPr="009E1B38" w14:paraId="7D4A8414" w14:textId="77777777" w:rsidTr="00107CC2">
        <w:trPr>
          <w:trHeight w:val="20"/>
          <w:jc w:val="center"/>
        </w:trPr>
        <w:tc>
          <w:tcPr>
            <w:tcW w:w="622"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7D4A8411" w14:textId="4DE05929" w:rsidR="002C3099" w:rsidRPr="009E1B38" w:rsidRDefault="00107CC2"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Tariffication Zone</w:t>
            </w:r>
          </w:p>
        </w:tc>
        <w:tc>
          <w:tcPr>
            <w:tcW w:w="2224"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7D4A8412" w14:textId="74193CE0" w:rsidR="002C3099" w:rsidRPr="009E1B38" w:rsidRDefault="00107CC2"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Production</w:t>
            </w:r>
            <w:r w:rsidRPr="009E1B38">
              <w:rPr>
                <w:rFonts w:ascii="Times New Roman" w:eastAsia="Times New Roman" w:hAnsi="Times New Roman"/>
                <w:b/>
                <w:bCs/>
                <w:color w:val="FFFFFF"/>
                <w:vertAlign w:val="superscript"/>
                <w:lang w:eastAsia="tr-TR"/>
              </w:rPr>
              <w:t>(1)</w:t>
            </w:r>
          </w:p>
        </w:tc>
        <w:tc>
          <w:tcPr>
            <w:tcW w:w="2155"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7D4A8413" w14:textId="6FE3DD34" w:rsidR="002C3099" w:rsidRPr="009E1B38" w:rsidRDefault="00107CC2"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Consumption</w:t>
            </w:r>
            <w:r w:rsidRPr="009E1B38">
              <w:rPr>
                <w:rFonts w:ascii="Times New Roman" w:eastAsia="Times New Roman" w:hAnsi="Times New Roman"/>
                <w:b/>
                <w:bCs/>
                <w:color w:val="FFFFFF"/>
                <w:vertAlign w:val="superscript"/>
                <w:lang w:eastAsia="tr-TR"/>
              </w:rPr>
              <w:t>(1)</w:t>
            </w:r>
          </w:p>
        </w:tc>
      </w:tr>
      <w:tr w:rsidR="002C3099" w:rsidRPr="009E1B38" w14:paraId="7D4A841A" w14:textId="77777777" w:rsidTr="00107CC2">
        <w:trPr>
          <w:trHeight w:val="20"/>
          <w:jc w:val="center"/>
        </w:trPr>
        <w:tc>
          <w:tcPr>
            <w:tcW w:w="622" w:type="pct"/>
            <w:vMerge/>
            <w:tcBorders>
              <w:top w:val="single" w:sz="8" w:space="0" w:color="BFBFBF"/>
              <w:left w:val="single" w:sz="8" w:space="0" w:color="BFBFBF"/>
              <w:bottom w:val="single" w:sz="8" w:space="0" w:color="BFBFBF"/>
              <w:right w:val="single" w:sz="8" w:space="0" w:color="BFBFBF"/>
            </w:tcBorders>
            <w:vAlign w:val="center"/>
            <w:hideMark/>
          </w:tcPr>
          <w:p w14:paraId="7D4A8415" w14:textId="77777777" w:rsidR="002C3099" w:rsidRPr="009E1B38" w:rsidRDefault="002C3099" w:rsidP="002C3099">
            <w:pPr>
              <w:spacing w:after="0" w:line="240" w:lineRule="auto"/>
              <w:jc w:val="left"/>
              <w:rPr>
                <w:rFonts w:ascii="Times New Roman" w:eastAsia="Times New Roman" w:hAnsi="Times New Roman"/>
                <w:b/>
                <w:bCs/>
                <w:color w:val="FFFFFF"/>
                <w:lang w:eastAsia="tr-TR"/>
              </w:rPr>
            </w:pPr>
          </w:p>
        </w:tc>
        <w:tc>
          <w:tcPr>
            <w:tcW w:w="1685"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7D4A8416" w14:textId="7B1FF916" w:rsidR="002C3099" w:rsidRPr="009E1B38" w:rsidRDefault="00107CC2"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System Usage</w:t>
            </w:r>
          </w:p>
        </w:tc>
        <w:tc>
          <w:tcPr>
            <w:tcW w:w="539" w:type="pct"/>
            <w:tcBorders>
              <w:top w:val="nil"/>
              <w:left w:val="nil"/>
              <w:bottom w:val="single" w:sz="8" w:space="0" w:color="BFBFBF"/>
              <w:right w:val="single" w:sz="8" w:space="0" w:color="BFBFBF"/>
            </w:tcBorders>
            <w:shd w:val="clear" w:color="000000" w:fill="6E9ECA"/>
            <w:vAlign w:val="center"/>
            <w:hideMark/>
          </w:tcPr>
          <w:p w14:paraId="7D4A8417" w14:textId="6774214A" w:rsidR="002C3099" w:rsidRPr="009E1B38" w:rsidRDefault="00107CC2"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System Operation</w:t>
            </w:r>
          </w:p>
        </w:tc>
        <w:tc>
          <w:tcPr>
            <w:tcW w:w="1616"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7D4A8418" w14:textId="71C84A7D" w:rsidR="002C3099" w:rsidRPr="009E1B38" w:rsidRDefault="002C3099"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S</w:t>
            </w:r>
            <w:r w:rsidR="00CF3BFF" w:rsidRPr="009E1B38">
              <w:rPr>
                <w:rFonts w:ascii="Times New Roman" w:eastAsia="Times New Roman" w:hAnsi="Times New Roman"/>
                <w:b/>
                <w:bCs/>
                <w:color w:val="FFFFFF"/>
                <w:lang w:eastAsia="tr-TR"/>
              </w:rPr>
              <w:t>ystem Usage</w:t>
            </w:r>
          </w:p>
        </w:tc>
        <w:tc>
          <w:tcPr>
            <w:tcW w:w="539" w:type="pct"/>
            <w:tcBorders>
              <w:top w:val="nil"/>
              <w:left w:val="nil"/>
              <w:bottom w:val="single" w:sz="8" w:space="0" w:color="BFBFBF"/>
              <w:right w:val="single" w:sz="8" w:space="0" w:color="BFBFBF"/>
            </w:tcBorders>
            <w:shd w:val="clear" w:color="000000" w:fill="6E9ECA"/>
            <w:vAlign w:val="center"/>
            <w:hideMark/>
          </w:tcPr>
          <w:p w14:paraId="7D4A8419" w14:textId="1744B587" w:rsidR="002C3099" w:rsidRPr="009E1B38" w:rsidRDefault="00107CC2"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System Usage</w:t>
            </w:r>
          </w:p>
        </w:tc>
      </w:tr>
      <w:tr w:rsidR="002C3099" w:rsidRPr="009E1B38" w14:paraId="7D4A8422" w14:textId="77777777" w:rsidTr="00107CC2">
        <w:trPr>
          <w:trHeight w:val="20"/>
          <w:jc w:val="center"/>
        </w:trPr>
        <w:tc>
          <w:tcPr>
            <w:tcW w:w="622" w:type="pct"/>
            <w:vMerge/>
            <w:tcBorders>
              <w:top w:val="single" w:sz="8" w:space="0" w:color="BFBFBF"/>
              <w:left w:val="single" w:sz="8" w:space="0" w:color="BFBFBF"/>
              <w:bottom w:val="single" w:sz="4" w:space="0" w:color="auto"/>
              <w:right w:val="single" w:sz="8" w:space="0" w:color="BFBFBF"/>
            </w:tcBorders>
            <w:vAlign w:val="center"/>
            <w:hideMark/>
          </w:tcPr>
          <w:p w14:paraId="7D4A841B" w14:textId="77777777" w:rsidR="002C3099" w:rsidRPr="009E1B38" w:rsidRDefault="002C3099" w:rsidP="002C3099">
            <w:pPr>
              <w:spacing w:after="0" w:line="240" w:lineRule="auto"/>
              <w:jc w:val="left"/>
              <w:rPr>
                <w:rFonts w:ascii="Times New Roman" w:eastAsia="Times New Roman" w:hAnsi="Times New Roman"/>
                <w:b/>
                <w:bCs/>
                <w:color w:val="FFFFFF"/>
                <w:lang w:eastAsia="tr-TR"/>
              </w:rPr>
            </w:pPr>
          </w:p>
        </w:tc>
        <w:tc>
          <w:tcPr>
            <w:tcW w:w="1146" w:type="pct"/>
            <w:tcBorders>
              <w:top w:val="nil"/>
              <w:left w:val="nil"/>
              <w:bottom w:val="single" w:sz="8" w:space="0" w:color="BFBFBF"/>
              <w:right w:val="single" w:sz="8" w:space="0" w:color="BFBFBF"/>
            </w:tcBorders>
            <w:shd w:val="clear" w:color="000000" w:fill="6E9ECA"/>
            <w:vAlign w:val="center"/>
            <w:hideMark/>
          </w:tcPr>
          <w:p w14:paraId="7D4A841C" w14:textId="5418D3A4" w:rsidR="002C3099" w:rsidRPr="009E1B38" w:rsidRDefault="002C3099"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(TL/MW-Y</w:t>
            </w:r>
            <w:r w:rsidR="00CF3BFF" w:rsidRPr="009E1B38">
              <w:rPr>
                <w:rFonts w:ascii="Times New Roman" w:eastAsia="Times New Roman" w:hAnsi="Times New Roman"/>
                <w:b/>
                <w:bCs/>
                <w:color w:val="FFFFFF"/>
                <w:lang w:eastAsia="tr-TR"/>
              </w:rPr>
              <w:t>ear</w:t>
            </w:r>
            <w:r w:rsidRPr="009E1B38">
              <w:rPr>
                <w:rFonts w:ascii="Times New Roman" w:eastAsia="Times New Roman" w:hAnsi="Times New Roman"/>
                <w:b/>
                <w:bCs/>
                <w:color w:val="FFFFFF"/>
                <w:lang w:eastAsia="tr-TR"/>
              </w:rPr>
              <w:t>)</w:t>
            </w:r>
          </w:p>
        </w:tc>
        <w:tc>
          <w:tcPr>
            <w:tcW w:w="539" w:type="pct"/>
            <w:tcBorders>
              <w:top w:val="nil"/>
              <w:left w:val="nil"/>
              <w:bottom w:val="single" w:sz="8" w:space="0" w:color="BFBFBF"/>
              <w:right w:val="single" w:sz="8" w:space="0" w:color="BFBFBF"/>
            </w:tcBorders>
            <w:shd w:val="clear" w:color="000000" w:fill="6E9ECA"/>
            <w:vAlign w:val="center"/>
            <w:hideMark/>
          </w:tcPr>
          <w:p w14:paraId="7D4A841D" w14:textId="77777777" w:rsidR="002C3099" w:rsidRPr="009E1B38" w:rsidRDefault="002C3099"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(TL/MWh)</w:t>
            </w:r>
          </w:p>
        </w:tc>
        <w:tc>
          <w:tcPr>
            <w:tcW w:w="539" w:type="pct"/>
            <w:tcBorders>
              <w:top w:val="nil"/>
              <w:left w:val="nil"/>
              <w:bottom w:val="single" w:sz="8" w:space="0" w:color="BFBFBF"/>
              <w:right w:val="single" w:sz="8" w:space="0" w:color="BFBFBF"/>
            </w:tcBorders>
            <w:shd w:val="clear" w:color="000000" w:fill="6E9ECA"/>
            <w:vAlign w:val="center"/>
            <w:hideMark/>
          </w:tcPr>
          <w:p w14:paraId="7D4A841E" w14:textId="77777777" w:rsidR="002C3099" w:rsidRPr="009E1B38" w:rsidRDefault="002C3099"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(TL/MWh)</w:t>
            </w:r>
          </w:p>
        </w:tc>
        <w:tc>
          <w:tcPr>
            <w:tcW w:w="1077" w:type="pct"/>
            <w:tcBorders>
              <w:top w:val="nil"/>
              <w:left w:val="nil"/>
              <w:bottom w:val="single" w:sz="8" w:space="0" w:color="BFBFBF"/>
              <w:right w:val="single" w:sz="8" w:space="0" w:color="BFBFBF"/>
            </w:tcBorders>
            <w:shd w:val="clear" w:color="000000" w:fill="6E9ECA"/>
            <w:vAlign w:val="center"/>
            <w:hideMark/>
          </w:tcPr>
          <w:p w14:paraId="7D4A841F" w14:textId="5BBA9523" w:rsidR="002C3099" w:rsidRPr="009E1B38" w:rsidRDefault="002C3099"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(TL/MW-Y</w:t>
            </w:r>
            <w:r w:rsidR="00CF3BFF" w:rsidRPr="009E1B38">
              <w:rPr>
                <w:rFonts w:ascii="Times New Roman" w:eastAsia="Times New Roman" w:hAnsi="Times New Roman"/>
                <w:b/>
                <w:bCs/>
                <w:color w:val="FFFFFF"/>
                <w:lang w:eastAsia="tr-TR"/>
              </w:rPr>
              <w:t>ear</w:t>
            </w:r>
            <w:r w:rsidRPr="009E1B38">
              <w:rPr>
                <w:rFonts w:ascii="Times New Roman" w:eastAsia="Times New Roman" w:hAnsi="Times New Roman"/>
                <w:b/>
                <w:bCs/>
                <w:color w:val="FFFFFF"/>
                <w:lang w:eastAsia="tr-TR"/>
              </w:rPr>
              <w:t>)</w:t>
            </w:r>
          </w:p>
        </w:tc>
        <w:tc>
          <w:tcPr>
            <w:tcW w:w="539" w:type="pct"/>
            <w:tcBorders>
              <w:top w:val="nil"/>
              <w:left w:val="nil"/>
              <w:bottom w:val="single" w:sz="8" w:space="0" w:color="BFBFBF"/>
              <w:right w:val="single" w:sz="8" w:space="0" w:color="BFBFBF"/>
            </w:tcBorders>
            <w:shd w:val="clear" w:color="000000" w:fill="6E9ECA"/>
            <w:vAlign w:val="center"/>
            <w:hideMark/>
          </w:tcPr>
          <w:p w14:paraId="7D4A8420" w14:textId="77777777" w:rsidR="002C3099" w:rsidRPr="009E1B38" w:rsidRDefault="002C3099"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(TL/MWh)</w:t>
            </w:r>
          </w:p>
        </w:tc>
        <w:tc>
          <w:tcPr>
            <w:tcW w:w="539" w:type="pct"/>
            <w:tcBorders>
              <w:top w:val="nil"/>
              <w:left w:val="nil"/>
              <w:bottom w:val="single" w:sz="8" w:space="0" w:color="BFBFBF"/>
              <w:right w:val="single" w:sz="8" w:space="0" w:color="BFBFBF"/>
            </w:tcBorders>
            <w:shd w:val="clear" w:color="000000" w:fill="6E9ECA"/>
            <w:vAlign w:val="center"/>
            <w:hideMark/>
          </w:tcPr>
          <w:p w14:paraId="7D4A8421" w14:textId="77777777" w:rsidR="002C3099" w:rsidRPr="009E1B38" w:rsidRDefault="002C3099" w:rsidP="002C3099">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(TL/MWh)</w:t>
            </w:r>
          </w:p>
        </w:tc>
      </w:tr>
      <w:tr w:rsidR="00304AD6" w:rsidRPr="009E1B38" w14:paraId="7D4A842A"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23"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1</w:t>
            </w:r>
          </w:p>
        </w:tc>
        <w:tc>
          <w:tcPr>
            <w:tcW w:w="1146"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7D4A8424"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34.453,69</w:t>
            </w:r>
          </w:p>
        </w:tc>
        <w:tc>
          <w:tcPr>
            <w:tcW w:w="539" w:type="pct"/>
            <w:tcBorders>
              <w:top w:val="single" w:sz="8" w:space="0" w:color="auto"/>
              <w:left w:val="nil"/>
              <w:bottom w:val="single" w:sz="4" w:space="0" w:color="auto"/>
              <w:right w:val="single" w:sz="4" w:space="0" w:color="auto"/>
            </w:tcBorders>
            <w:shd w:val="clear" w:color="auto" w:fill="auto"/>
            <w:vAlign w:val="center"/>
            <w:hideMark/>
          </w:tcPr>
          <w:p w14:paraId="7D4A8425"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single" w:sz="8" w:space="0" w:color="auto"/>
              <w:left w:val="nil"/>
              <w:bottom w:val="single" w:sz="4" w:space="0" w:color="auto"/>
              <w:right w:val="single" w:sz="8" w:space="0" w:color="auto"/>
            </w:tcBorders>
            <w:shd w:val="clear" w:color="auto" w:fill="auto"/>
            <w:vAlign w:val="center"/>
            <w:hideMark/>
          </w:tcPr>
          <w:p w14:paraId="7D4A8426"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single" w:sz="8" w:space="0" w:color="auto"/>
              <w:left w:val="nil"/>
              <w:bottom w:val="single" w:sz="4" w:space="0" w:color="auto"/>
              <w:right w:val="single" w:sz="4" w:space="0" w:color="auto"/>
            </w:tcBorders>
            <w:shd w:val="clear" w:color="auto" w:fill="auto"/>
            <w:vAlign w:val="center"/>
            <w:hideMark/>
          </w:tcPr>
          <w:p w14:paraId="7D4A8427"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70.968,21</w:t>
            </w:r>
          </w:p>
        </w:tc>
        <w:tc>
          <w:tcPr>
            <w:tcW w:w="539" w:type="pct"/>
            <w:tcBorders>
              <w:top w:val="single" w:sz="8" w:space="0" w:color="auto"/>
              <w:left w:val="nil"/>
              <w:bottom w:val="single" w:sz="4" w:space="0" w:color="auto"/>
              <w:right w:val="single" w:sz="4" w:space="0" w:color="auto"/>
            </w:tcBorders>
            <w:shd w:val="clear" w:color="auto" w:fill="auto"/>
            <w:vAlign w:val="center"/>
            <w:hideMark/>
          </w:tcPr>
          <w:p w14:paraId="7D4A8428"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single" w:sz="8" w:space="0" w:color="auto"/>
              <w:left w:val="nil"/>
              <w:bottom w:val="single" w:sz="4" w:space="0" w:color="auto"/>
              <w:right w:val="single" w:sz="8" w:space="0" w:color="auto"/>
            </w:tcBorders>
            <w:shd w:val="clear" w:color="auto" w:fill="auto"/>
            <w:vAlign w:val="center"/>
            <w:hideMark/>
          </w:tcPr>
          <w:p w14:paraId="7D4A8429"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32"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2B"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2</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2C"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40.838,79</w:t>
            </w:r>
          </w:p>
        </w:tc>
        <w:tc>
          <w:tcPr>
            <w:tcW w:w="539" w:type="pct"/>
            <w:tcBorders>
              <w:top w:val="nil"/>
              <w:left w:val="nil"/>
              <w:bottom w:val="single" w:sz="4" w:space="0" w:color="auto"/>
              <w:right w:val="single" w:sz="4" w:space="0" w:color="auto"/>
            </w:tcBorders>
            <w:shd w:val="clear" w:color="auto" w:fill="auto"/>
            <w:vAlign w:val="center"/>
            <w:hideMark/>
          </w:tcPr>
          <w:p w14:paraId="7D4A842D"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2E"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2F"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64.656,17</w:t>
            </w:r>
          </w:p>
        </w:tc>
        <w:tc>
          <w:tcPr>
            <w:tcW w:w="539" w:type="pct"/>
            <w:tcBorders>
              <w:top w:val="nil"/>
              <w:left w:val="nil"/>
              <w:bottom w:val="single" w:sz="4" w:space="0" w:color="auto"/>
              <w:right w:val="single" w:sz="4" w:space="0" w:color="auto"/>
            </w:tcBorders>
            <w:shd w:val="clear" w:color="auto" w:fill="auto"/>
            <w:vAlign w:val="center"/>
            <w:hideMark/>
          </w:tcPr>
          <w:p w14:paraId="7D4A8430"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31"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3A"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33"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3</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34"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39.659,49</w:t>
            </w:r>
          </w:p>
        </w:tc>
        <w:tc>
          <w:tcPr>
            <w:tcW w:w="539" w:type="pct"/>
            <w:tcBorders>
              <w:top w:val="nil"/>
              <w:left w:val="nil"/>
              <w:bottom w:val="single" w:sz="4" w:space="0" w:color="auto"/>
              <w:right w:val="single" w:sz="4" w:space="0" w:color="auto"/>
            </w:tcBorders>
            <w:shd w:val="clear" w:color="auto" w:fill="auto"/>
            <w:vAlign w:val="center"/>
            <w:hideMark/>
          </w:tcPr>
          <w:p w14:paraId="7D4A8435"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36"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37"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66.615,79</w:t>
            </w:r>
          </w:p>
        </w:tc>
        <w:tc>
          <w:tcPr>
            <w:tcW w:w="539" w:type="pct"/>
            <w:tcBorders>
              <w:top w:val="nil"/>
              <w:left w:val="nil"/>
              <w:bottom w:val="single" w:sz="4" w:space="0" w:color="auto"/>
              <w:right w:val="single" w:sz="4" w:space="0" w:color="auto"/>
            </w:tcBorders>
            <w:shd w:val="clear" w:color="auto" w:fill="auto"/>
            <w:vAlign w:val="center"/>
            <w:hideMark/>
          </w:tcPr>
          <w:p w14:paraId="7D4A8438"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39"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42"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3B"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4</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3C"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40.687,61</w:t>
            </w:r>
          </w:p>
        </w:tc>
        <w:tc>
          <w:tcPr>
            <w:tcW w:w="539" w:type="pct"/>
            <w:tcBorders>
              <w:top w:val="nil"/>
              <w:left w:val="nil"/>
              <w:bottom w:val="single" w:sz="4" w:space="0" w:color="auto"/>
              <w:right w:val="single" w:sz="4" w:space="0" w:color="auto"/>
            </w:tcBorders>
            <w:shd w:val="clear" w:color="auto" w:fill="auto"/>
            <w:vAlign w:val="center"/>
            <w:hideMark/>
          </w:tcPr>
          <w:p w14:paraId="7D4A843D"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3E"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3F"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64.414,21</w:t>
            </w:r>
          </w:p>
        </w:tc>
        <w:tc>
          <w:tcPr>
            <w:tcW w:w="539" w:type="pct"/>
            <w:tcBorders>
              <w:top w:val="nil"/>
              <w:left w:val="nil"/>
              <w:bottom w:val="single" w:sz="4" w:space="0" w:color="auto"/>
              <w:right w:val="single" w:sz="4" w:space="0" w:color="auto"/>
            </w:tcBorders>
            <w:shd w:val="clear" w:color="auto" w:fill="auto"/>
            <w:vAlign w:val="center"/>
            <w:hideMark/>
          </w:tcPr>
          <w:p w14:paraId="7D4A8440"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41"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4A"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43"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5</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44"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42.602,50</w:t>
            </w:r>
          </w:p>
        </w:tc>
        <w:tc>
          <w:tcPr>
            <w:tcW w:w="539" w:type="pct"/>
            <w:tcBorders>
              <w:top w:val="nil"/>
              <w:left w:val="nil"/>
              <w:bottom w:val="single" w:sz="4" w:space="0" w:color="auto"/>
              <w:right w:val="single" w:sz="4" w:space="0" w:color="auto"/>
            </w:tcBorders>
            <w:shd w:val="clear" w:color="auto" w:fill="auto"/>
            <w:vAlign w:val="center"/>
            <w:hideMark/>
          </w:tcPr>
          <w:p w14:paraId="7D4A8445"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46"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47"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63.404,74</w:t>
            </w:r>
          </w:p>
        </w:tc>
        <w:tc>
          <w:tcPr>
            <w:tcW w:w="539" w:type="pct"/>
            <w:tcBorders>
              <w:top w:val="nil"/>
              <w:left w:val="nil"/>
              <w:bottom w:val="single" w:sz="4" w:space="0" w:color="auto"/>
              <w:right w:val="single" w:sz="4" w:space="0" w:color="auto"/>
            </w:tcBorders>
            <w:shd w:val="clear" w:color="auto" w:fill="auto"/>
            <w:vAlign w:val="center"/>
            <w:hideMark/>
          </w:tcPr>
          <w:p w14:paraId="7D4A8448"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49"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52"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4B"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6</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4C"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44.038,72</w:t>
            </w:r>
          </w:p>
        </w:tc>
        <w:tc>
          <w:tcPr>
            <w:tcW w:w="539" w:type="pct"/>
            <w:tcBorders>
              <w:top w:val="nil"/>
              <w:left w:val="nil"/>
              <w:bottom w:val="single" w:sz="4" w:space="0" w:color="auto"/>
              <w:right w:val="single" w:sz="4" w:space="0" w:color="auto"/>
            </w:tcBorders>
            <w:shd w:val="clear" w:color="auto" w:fill="auto"/>
            <w:vAlign w:val="center"/>
            <w:hideMark/>
          </w:tcPr>
          <w:p w14:paraId="7D4A844D"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4E"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4F"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64.022,04</w:t>
            </w:r>
          </w:p>
        </w:tc>
        <w:tc>
          <w:tcPr>
            <w:tcW w:w="539" w:type="pct"/>
            <w:tcBorders>
              <w:top w:val="nil"/>
              <w:left w:val="nil"/>
              <w:bottom w:val="single" w:sz="4" w:space="0" w:color="auto"/>
              <w:right w:val="single" w:sz="4" w:space="0" w:color="auto"/>
            </w:tcBorders>
            <w:shd w:val="clear" w:color="auto" w:fill="auto"/>
            <w:vAlign w:val="center"/>
            <w:hideMark/>
          </w:tcPr>
          <w:p w14:paraId="7D4A8450"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51"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5A"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53"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7</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54"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46.373,88</w:t>
            </w:r>
          </w:p>
        </w:tc>
        <w:tc>
          <w:tcPr>
            <w:tcW w:w="539" w:type="pct"/>
            <w:tcBorders>
              <w:top w:val="nil"/>
              <w:left w:val="nil"/>
              <w:bottom w:val="single" w:sz="4" w:space="0" w:color="auto"/>
              <w:right w:val="single" w:sz="4" w:space="0" w:color="auto"/>
            </w:tcBorders>
            <w:shd w:val="clear" w:color="auto" w:fill="auto"/>
            <w:vAlign w:val="center"/>
            <w:hideMark/>
          </w:tcPr>
          <w:p w14:paraId="7D4A8455"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56"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57"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59.564,15</w:t>
            </w:r>
          </w:p>
        </w:tc>
        <w:tc>
          <w:tcPr>
            <w:tcW w:w="539" w:type="pct"/>
            <w:tcBorders>
              <w:top w:val="nil"/>
              <w:left w:val="nil"/>
              <w:bottom w:val="single" w:sz="4" w:space="0" w:color="auto"/>
              <w:right w:val="single" w:sz="4" w:space="0" w:color="auto"/>
            </w:tcBorders>
            <w:shd w:val="clear" w:color="auto" w:fill="auto"/>
            <w:vAlign w:val="center"/>
            <w:hideMark/>
          </w:tcPr>
          <w:p w14:paraId="7D4A8458"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59"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62"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5B"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8</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5C"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49.085,81</w:t>
            </w:r>
          </w:p>
        </w:tc>
        <w:tc>
          <w:tcPr>
            <w:tcW w:w="539" w:type="pct"/>
            <w:tcBorders>
              <w:top w:val="nil"/>
              <w:left w:val="nil"/>
              <w:bottom w:val="single" w:sz="4" w:space="0" w:color="auto"/>
              <w:right w:val="single" w:sz="4" w:space="0" w:color="auto"/>
            </w:tcBorders>
            <w:shd w:val="clear" w:color="auto" w:fill="auto"/>
            <w:vAlign w:val="center"/>
            <w:hideMark/>
          </w:tcPr>
          <w:p w14:paraId="7D4A845D"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5E"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5F"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59.280,74</w:t>
            </w:r>
          </w:p>
        </w:tc>
        <w:tc>
          <w:tcPr>
            <w:tcW w:w="539" w:type="pct"/>
            <w:tcBorders>
              <w:top w:val="nil"/>
              <w:left w:val="nil"/>
              <w:bottom w:val="single" w:sz="4" w:space="0" w:color="auto"/>
              <w:right w:val="single" w:sz="4" w:space="0" w:color="auto"/>
            </w:tcBorders>
            <w:shd w:val="clear" w:color="auto" w:fill="auto"/>
            <w:vAlign w:val="center"/>
            <w:hideMark/>
          </w:tcPr>
          <w:p w14:paraId="7D4A8460"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61"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6A"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63"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9</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64"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50.917,99</w:t>
            </w:r>
          </w:p>
        </w:tc>
        <w:tc>
          <w:tcPr>
            <w:tcW w:w="539" w:type="pct"/>
            <w:tcBorders>
              <w:top w:val="nil"/>
              <w:left w:val="nil"/>
              <w:bottom w:val="single" w:sz="4" w:space="0" w:color="auto"/>
              <w:right w:val="single" w:sz="4" w:space="0" w:color="auto"/>
            </w:tcBorders>
            <w:shd w:val="clear" w:color="auto" w:fill="auto"/>
            <w:vAlign w:val="center"/>
            <w:hideMark/>
          </w:tcPr>
          <w:p w14:paraId="7D4A8465"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66"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67"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57.885,09</w:t>
            </w:r>
          </w:p>
        </w:tc>
        <w:tc>
          <w:tcPr>
            <w:tcW w:w="539" w:type="pct"/>
            <w:tcBorders>
              <w:top w:val="nil"/>
              <w:left w:val="nil"/>
              <w:bottom w:val="single" w:sz="4" w:space="0" w:color="auto"/>
              <w:right w:val="single" w:sz="4" w:space="0" w:color="auto"/>
            </w:tcBorders>
            <w:shd w:val="clear" w:color="auto" w:fill="auto"/>
            <w:vAlign w:val="center"/>
            <w:hideMark/>
          </w:tcPr>
          <w:p w14:paraId="7D4A8468"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69"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72"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6B"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10</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6C"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60.194,22</w:t>
            </w:r>
          </w:p>
        </w:tc>
        <w:tc>
          <w:tcPr>
            <w:tcW w:w="539" w:type="pct"/>
            <w:tcBorders>
              <w:top w:val="nil"/>
              <w:left w:val="nil"/>
              <w:bottom w:val="single" w:sz="4" w:space="0" w:color="auto"/>
              <w:right w:val="single" w:sz="4" w:space="0" w:color="auto"/>
            </w:tcBorders>
            <w:shd w:val="clear" w:color="auto" w:fill="auto"/>
            <w:vAlign w:val="center"/>
            <w:hideMark/>
          </w:tcPr>
          <w:p w14:paraId="7D4A846D"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6E"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6F"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51.028,81</w:t>
            </w:r>
          </w:p>
        </w:tc>
        <w:tc>
          <w:tcPr>
            <w:tcW w:w="539" w:type="pct"/>
            <w:tcBorders>
              <w:top w:val="nil"/>
              <w:left w:val="nil"/>
              <w:bottom w:val="single" w:sz="4" w:space="0" w:color="auto"/>
              <w:right w:val="single" w:sz="4" w:space="0" w:color="auto"/>
            </w:tcBorders>
            <w:shd w:val="clear" w:color="auto" w:fill="auto"/>
            <w:vAlign w:val="center"/>
            <w:hideMark/>
          </w:tcPr>
          <w:p w14:paraId="7D4A8470"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71"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7A"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73"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11</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74"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61.933,68</w:t>
            </w:r>
          </w:p>
        </w:tc>
        <w:tc>
          <w:tcPr>
            <w:tcW w:w="539" w:type="pct"/>
            <w:tcBorders>
              <w:top w:val="nil"/>
              <w:left w:val="nil"/>
              <w:bottom w:val="single" w:sz="4" w:space="0" w:color="auto"/>
              <w:right w:val="single" w:sz="4" w:space="0" w:color="auto"/>
            </w:tcBorders>
            <w:shd w:val="clear" w:color="auto" w:fill="auto"/>
            <w:vAlign w:val="center"/>
            <w:hideMark/>
          </w:tcPr>
          <w:p w14:paraId="7D4A8475"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76"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77"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51.473,20</w:t>
            </w:r>
          </w:p>
        </w:tc>
        <w:tc>
          <w:tcPr>
            <w:tcW w:w="539" w:type="pct"/>
            <w:tcBorders>
              <w:top w:val="nil"/>
              <w:left w:val="nil"/>
              <w:bottom w:val="single" w:sz="4" w:space="0" w:color="auto"/>
              <w:right w:val="single" w:sz="4" w:space="0" w:color="auto"/>
            </w:tcBorders>
            <w:shd w:val="clear" w:color="auto" w:fill="auto"/>
            <w:vAlign w:val="center"/>
            <w:hideMark/>
          </w:tcPr>
          <w:p w14:paraId="7D4A8478"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79"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82"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7B"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12</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7C"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63.539,64</w:t>
            </w:r>
          </w:p>
        </w:tc>
        <w:tc>
          <w:tcPr>
            <w:tcW w:w="539" w:type="pct"/>
            <w:tcBorders>
              <w:top w:val="nil"/>
              <w:left w:val="nil"/>
              <w:bottom w:val="single" w:sz="4" w:space="0" w:color="auto"/>
              <w:right w:val="single" w:sz="4" w:space="0" w:color="auto"/>
            </w:tcBorders>
            <w:shd w:val="clear" w:color="auto" w:fill="auto"/>
            <w:vAlign w:val="center"/>
            <w:hideMark/>
          </w:tcPr>
          <w:p w14:paraId="7D4A847D"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7E"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7F"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49.778,58</w:t>
            </w:r>
          </w:p>
        </w:tc>
        <w:tc>
          <w:tcPr>
            <w:tcW w:w="539" w:type="pct"/>
            <w:tcBorders>
              <w:top w:val="nil"/>
              <w:left w:val="nil"/>
              <w:bottom w:val="single" w:sz="4" w:space="0" w:color="auto"/>
              <w:right w:val="single" w:sz="4" w:space="0" w:color="auto"/>
            </w:tcBorders>
            <w:shd w:val="clear" w:color="auto" w:fill="auto"/>
            <w:vAlign w:val="center"/>
            <w:hideMark/>
          </w:tcPr>
          <w:p w14:paraId="7D4A8480"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81"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8A"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83"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13</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84"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64.623,10</w:t>
            </w:r>
          </w:p>
        </w:tc>
        <w:tc>
          <w:tcPr>
            <w:tcW w:w="539" w:type="pct"/>
            <w:tcBorders>
              <w:top w:val="nil"/>
              <w:left w:val="nil"/>
              <w:bottom w:val="single" w:sz="4" w:space="0" w:color="auto"/>
              <w:right w:val="single" w:sz="4" w:space="0" w:color="auto"/>
            </w:tcBorders>
            <w:shd w:val="clear" w:color="auto" w:fill="auto"/>
            <w:vAlign w:val="center"/>
            <w:hideMark/>
          </w:tcPr>
          <w:p w14:paraId="7D4A8485"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86"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87"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50.418,40</w:t>
            </w:r>
          </w:p>
        </w:tc>
        <w:tc>
          <w:tcPr>
            <w:tcW w:w="539" w:type="pct"/>
            <w:tcBorders>
              <w:top w:val="nil"/>
              <w:left w:val="nil"/>
              <w:bottom w:val="single" w:sz="4" w:space="0" w:color="auto"/>
              <w:right w:val="single" w:sz="4" w:space="0" w:color="auto"/>
            </w:tcBorders>
            <w:shd w:val="clear" w:color="auto" w:fill="auto"/>
            <w:vAlign w:val="center"/>
            <w:hideMark/>
          </w:tcPr>
          <w:p w14:paraId="7D4A8488"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89"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92"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8B"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14</w:t>
            </w:r>
          </w:p>
        </w:tc>
        <w:tc>
          <w:tcPr>
            <w:tcW w:w="1146" w:type="pct"/>
            <w:tcBorders>
              <w:top w:val="nil"/>
              <w:left w:val="single" w:sz="4" w:space="0" w:color="auto"/>
              <w:bottom w:val="single" w:sz="4" w:space="0" w:color="auto"/>
              <w:right w:val="single" w:sz="4" w:space="0" w:color="auto"/>
            </w:tcBorders>
            <w:shd w:val="clear" w:color="auto" w:fill="auto"/>
            <w:vAlign w:val="center"/>
            <w:hideMark/>
          </w:tcPr>
          <w:p w14:paraId="7D4A848C"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69.696,42</w:t>
            </w:r>
          </w:p>
        </w:tc>
        <w:tc>
          <w:tcPr>
            <w:tcW w:w="539" w:type="pct"/>
            <w:tcBorders>
              <w:top w:val="nil"/>
              <w:left w:val="nil"/>
              <w:bottom w:val="single" w:sz="4" w:space="0" w:color="auto"/>
              <w:right w:val="single" w:sz="4" w:space="0" w:color="auto"/>
            </w:tcBorders>
            <w:shd w:val="clear" w:color="auto" w:fill="auto"/>
            <w:vAlign w:val="center"/>
            <w:hideMark/>
          </w:tcPr>
          <w:p w14:paraId="7D4A848D"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14:paraId="7D4A848E"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4" w:space="0" w:color="auto"/>
              <w:right w:val="single" w:sz="4" w:space="0" w:color="auto"/>
            </w:tcBorders>
            <w:shd w:val="clear" w:color="auto" w:fill="auto"/>
            <w:vAlign w:val="center"/>
            <w:hideMark/>
          </w:tcPr>
          <w:p w14:paraId="7D4A848F"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45.035,16</w:t>
            </w:r>
          </w:p>
        </w:tc>
        <w:tc>
          <w:tcPr>
            <w:tcW w:w="539" w:type="pct"/>
            <w:tcBorders>
              <w:top w:val="nil"/>
              <w:left w:val="nil"/>
              <w:bottom w:val="single" w:sz="4" w:space="0" w:color="auto"/>
              <w:right w:val="single" w:sz="4" w:space="0" w:color="auto"/>
            </w:tcBorders>
            <w:shd w:val="clear" w:color="auto" w:fill="auto"/>
            <w:vAlign w:val="center"/>
            <w:hideMark/>
          </w:tcPr>
          <w:p w14:paraId="7D4A8490"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14:paraId="7D4A8491"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r w:rsidR="00304AD6" w:rsidRPr="009E1B38" w14:paraId="7D4A849A" w14:textId="77777777" w:rsidTr="00107CC2">
        <w:trPr>
          <w:trHeight w:val="20"/>
          <w:jc w:val="center"/>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8493" w14:textId="77777777" w:rsidR="00304AD6" w:rsidRPr="009E1B38" w:rsidRDefault="00304AD6" w:rsidP="00304AD6">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15</w:t>
            </w:r>
          </w:p>
        </w:tc>
        <w:tc>
          <w:tcPr>
            <w:tcW w:w="1146" w:type="pct"/>
            <w:tcBorders>
              <w:top w:val="nil"/>
              <w:left w:val="single" w:sz="4" w:space="0" w:color="auto"/>
              <w:bottom w:val="single" w:sz="8" w:space="0" w:color="auto"/>
              <w:right w:val="single" w:sz="4" w:space="0" w:color="auto"/>
            </w:tcBorders>
            <w:shd w:val="clear" w:color="auto" w:fill="auto"/>
            <w:vAlign w:val="center"/>
            <w:hideMark/>
          </w:tcPr>
          <w:p w14:paraId="7D4A8494"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73.364,18</w:t>
            </w:r>
          </w:p>
        </w:tc>
        <w:tc>
          <w:tcPr>
            <w:tcW w:w="539" w:type="pct"/>
            <w:tcBorders>
              <w:top w:val="nil"/>
              <w:left w:val="nil"/>
              <w:bottom w:val="single" w:sz="8" w:space="0" w:color="auto"/>
              <w:right w:val="single" w:sz="4" w:space="0" w:color="auto"/>
            </w:tcBorders>
            <w:shd w:val="clear" w:color="auto" w:fill="auto"/>
            <w:vAlign w:val="center"/>
            <w:hideMark/>
          </w:tcPr>
          <w:p w14:paraId="7D4A8495"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17,02</w:t>
            </w:r>
          </w:p>
        </w:tc>
        <w:tc>
          <w:tcPr>
            <w:tcW w:w="539" w:type="pct"/>
            <w:tcBorders>
              <w:top w:val="nil"/>
              <w:left w:val="nil"/>
              <w:bottom w:val="single" w:sz="8" w:space="0" w:color="auto"/>
              <w:right w:val="single" w:sz="8" w:space="0" w:color="auto"/>
            </w:tcBorders>
            <w:shd w:val="clear" w:color="auto" w:fill="auto"/>
            <w:vAlign w:val="center"/>
            <w:hideMark/>
          </w:tcPr>
          <w:p w14:paraId="7D4A8496"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7,66</w:t>
            </w:r>
          </w:p>
        </w:tc>
        <w:tc>
          <w:tcPr>
            <w:tcW w:w="1077" w:type="pct"/>
            <w:tcBorders>
              <w:top w:val="nil"/>
              <w:left w:val="nil"/>
              <w:bottom w:val="single" w:sz="8" w:space="0" w:color="auto"/>
              <w:right w:val="single" w:sz="4" w:space="0" w:color="auto"/>
            </w:tcBorders>
            <w:shd w:val="clear" w:color="auto" w:fill="auto"/>
            <w:vAlign w:val="center"/>
            <w:hideMark/>
          </w:tcPr>
          <w:p w14:paraId="7D4A8497"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43.502,81</w:t>
            </w:r>
          </w:p>
        </w:tc>
        <w:tc>
          <w:tcPr>
            <w:tcW w:w="539" w:type="pct"/>
            <w:tcBorders>
              <w:top w:val="nil"/>
              <w:left w:val="nil"/>
              <w:bottom w:val="single" w:sz="8" w:space="0" w:color="auto"/>
              <w:right w:val="single" w:sz="4" w:space="0" w:color="auto"/>
            </w:tcBorders>
            <w:shd w:val="clear" w:color="auto" w:fill="auto"/>
            <w:vAlign w:val="center"/>
            <w:hideMark/>
          </w:tcPr>
          <w:p w14:paraId="7D4A8498"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16,39</w:t>
            </w:r>
          </w:p>
        </w:tc>
        <w:tc>
          <w:tcPr>
            <w:tcW w:w="539" w:type="pct"/>
            <w:tcBorders>
              <w:top w:val="nil"/>
              <w:left w:val="nil"/>
              <w:bottom w:val="single" w:sz="8" w:space="0" w:color="auto"/>
              <w:right w:val="single" w:sz="8" w:space="0" w:color="auto"/>
            </w:tcBorders>
            <w:shd w:val="clear" w:color="auto" w:fill="auto"/>
            <w:vAlign w:val="center"/>
            <w:hideMark/>
          </w:tcPr>
          <w:p w14:paraId="7D4A8499" w14:textId="77777777" w:rsidR="00304AD6" w:rsidRPr="009E1B38" w:rsidRDefault="00304AD6" w:rsidP="00304AD6">
            <w:pPr>
              <w:spacing w:after="0" w:line="240" w:lineRule="auto"/>
              <w:jc w:val="center"/>
              <w:rPr>
                <w:rFonts w:ascii="Times New Roman" w:eastAsia="Times New Roman" w:hAnsi="Times New Roman"/>
                <w:color w:val="000000"/>
                <w:lang w:eastAsia="tr-TR"/>
              </w:rPr>
            </w:pPr>
            <w:r w:rsidRPr="009E1B38">
              <w:rPr>
                <w:rFonts w:ascii="Times New Roman" w:hAnsi="Times New Roman"/>
                <w:color w:val="000000"/>
              </w:rPr>
              <w:t>7,94</w:t>
            </w:r>
          </w:p>
        </w:tc>
      </w:tr>
    </w:tbl>
    <w:p w14:paraId="3E1C2A28" w14:textId="77777777" w:rsidR="00107CC2" w:rsidRPr="009E1B38" w:rsidRDefault="00107CC2" w:rsidP="00107CC2">
      <w:pPr>
        <w:spacing w:after="0"/>
        <w:rPr>
          <w:rFonts w:ascii="Times New Roman" w:hAnsi="Times New Roman"/>
          <w:sz w:val="16"/>
          <w:szCs w:val="16"/>
        </w:rPr>
      </w:pPr>
      <w:bookmarkStart w:id="156" w:name="_Toc66267372"/>
      <w:r w:rsidRPr="009E1B38">
        <w:rPr>
          <w:rFonts w:ascii="Times New Roman" w:hAnsi="Times New Roman"/>
          <w:sz w:val="16"/>
          <w:szCs w:val="16"/>
        </w:rPr>
        <w:t>1) Transmission surcharge is not included.</w:t>
      </w:r>
    </w:p>
    <w:p w14:paraId="7D4A849D" w14:textId="6BB35B47" w:rsidR="00304AD6" w:rsidRPr="009E1B38" w:rsidRDefault="00107CC2" w:rsidP="003C5E4D">
      <w:pPr>
        <w:pStyle w:val="Balk4"/>
        <w:numPr>
          <w:ilvl w:val="3"/>
          <w:numId w:val="61"/>
        </w:numPr>
        <w:rPr>
          <w:rFonts w:cs="Times New Roman"/>
          <w:i w:val="0"/>
          <w:color w:val="000000" w:themeColor="text1"/>
        </w:rPr>
      </w:pPr>
      <w:bookmarkStart w:id="157" w:name="_Toc113615349"/>
      <w:bookmarkEnd w:id="156"/>
      <w:r w:rsidRPr="009E1B38">
        <w:rPr>
          <w:rFonts w:cs="Times New Roman"/>
          <w:i w:val="0"/>
          <w:color w:val="000000" w:themeColor="text1"/>
        </w:rPr>
        <w:lastRenderedPageBreak/>
        <w:t>Transmission Surcharge</w:t>
      </w:r>
      <w:bookmarkEnd w:id="157"/>
    </w:p>
    <w:p w14:paraId="7D4A849E" w14:textId="52D70952" w:rsidR="00801036" w:rsidRPr="009E1B38" w:rsidRDefault="00107CC2" w:rsidP="002D3E19">
      <w:pPr>
        <w:rPr>
          <w:rFonts w:ascii="Times New Roman" w:hAnsi="Times New Roman"/>
          <w:color w:val="000000" w:themeColor="text1"/>
        </w:rPr>
      </w:pPr>
      <w:r w:rsidRPr="009E1B38">
        <w:rPr>
          <w:rFonts w:ascii="Times New Roman" w:hAnsi="Times New Roman"/>
        </w:rPr>
        <w:t>With the Board Decision dated 16.09.2021 and numbered 10419 published in the Official Gazette dated 18.09.2021 and numbered 31602, subparagraph (h) of the seventh paragraph of Article 5 of the Law No. 4628 and subparagraph (e) of the paragraph (1-A) of the 10th article of the same Law In accordance with this, the transmission surcharge to be applied in 2022 has been determined as 0.5% (five per thousand) of TEİAŞ's transmission tariffication.</w:t>
      </w:r>
    </w:p>
    <w:p w14:paraId="7D4A849F" w14:textId="2E07E92B" w:rsidR="00BA13C3" w:rsidRPr="009E1B38" w:rsidRDefault="002C3099" w:rsidP="003C5E4D">
      <w:pPr>
        <w:pStyle w:val="Balk3"/>
        <w:numPr>
          <w:ilvl w:val="2"/>
          <w:numId w:val="61"/>
        </w:numPr>
        <w:spacing w:before="0" w:after="240"/>
        <w:rPr>
          <w:rFonts w:ascii="Times New Roman" w:hAnsi="Times New Roman" w:cs="Times New Roman"/>
        </w:rPr>
      </w:pPr>
      <w:bookmarkStart w:id="158" w:name="_Toc66267373"/>
      <w:bookmarkStart w:id="159" w:name="_Toc113615350"/>
      <w:r w:rsidRPr="009E1B38">
        <w:rPr>
          <w:rFonts w:ascii="Times New Roman" w:hAnsi="Times New Roman" w:cs="Times New Roman"/>
        </w:rPr>
        <w:t>D</w:t>
      </w:r>
      <w:bookmarkEnd w:id="158"/>
      <w:r w:rsidR="00107CC2" w:rsidRPr="009E1B38">
        <w:rPr>
          <w:rFonts w:ascii="Times New Roman" w:hAnsi="Times New Roman" w:cs="Times New Roman"/>
        </w:rPr>
        <w:t>istribution and Retail Tariffication</w:t>
      </w:r>
      <w:bookmarkEnd w:id="159"/>
      <w:r w:rsidR="00107CC2" w:rsidRPr="009E1B38">
        <w:rPr>
          <w:rFonts w:ascii="Times New Roman" w:hAnsi="Times New Roman" w:cs="Times New Roman"/>
        </w:rPr>
        <w:t xml:space="preserve"> </w:t>
      </w:r>
    </w:p>
    <w:p w14:paraId="2A0C8FC3" w14:textId="77777777" w:rsidR="00267D73" w:rsidRPr="009E1B38" w:rsidRDefault="00267D73" w:rsidP="00267D73">
      <w:pPr>
        <w:rPr>
          <w:rFonts w:ascii="Times New Roman" w:hAnsi="Times New Roman"/>
        </w:rPr>
      </w:pPr>
      <w:r w:rsidRPr="009E1B38">
        <w:rPr>
          <w:rFonts w:ascii="Times New Roman" w:hAnsi="Times New Roman"/>
        </w:rPr>
        <w:t>With the Board Decision dated 25.07.2019 and numbered 8750 published in the Official Gazette dated 27.07.2019 and numbered 30844, the fourth implementation period, 01.01.2021(included)- It has been determined as 31.12.2025 (included).</w:t>
      </w:r>
    </w:p>
    <w:p w14:paraId="37DFDCAF" w14:textId="77777777" w:rsidR="00267D73" w:rsidRPr="009E1B38" w:rsidRDefault="00267D73" w:rsidP="00267D73">
      <w:pPr>
        <w:rPr>
          <w:rFonts w:ascii="Times New Roman" w:hAnsi="Times New Roman"/>
        </w:rPr>
      </w:pPr>
      <w:r w:rsidRPr="009E1B38">
        <w:rPr>
          <w:rFonts w:ascii="Times New Roman" w:hAnsi="Times New Roman"/>
        </w:rPr>
        <w:t>By distribution companies, distribution system users and general lighting sub-subscriber consumers; for each tariff period of 2020 and the first tariff period of 2021, defined by the assigned supply companies within the scope of the Communiqué on the Regulation of the Last Source Supply Tariff published in the Official Gazette dated 20.01.2018 and numbered 30307 and who do not choose their supplier despite being eligible consumers and non-eligible consumers. Board Decisions regarding the approval of the tariff tables applied are shown in Table 4.3.</w:t>
      </w:r>
    </w:p>
    <w:p w14:paraId="0B46AB38" w14:textId="0FA92E65" w:rsidR="00267D73" w:rsidRPr="009E1B38" w:rsidRDefault="0082470D" w:rsidP="002F3B01">
      <w:pPr>
        <w:pStyle w:val="Balk5"/>
        <w:jc w:val="center"/>
        <w:rPr>
          <w:rStyle w:val="Gl"/>
          <w:rFonts w:ascii="Times New Roman" w:hAnsi="Times New Roman" w:cs="Times New Roman"/>
          <w:b/>
          <w:bCs w:val="0"/>
        </w:rPr>
      </w:pPr>
      <w:bookmarkStart w:id="160" w:name="_Toc107499510"/>
      <w:r w:rsidRPr="009E1B38">
        <w:rPr>
          <w:rStyle w:val="Gl"/>
          <w:rFonts w:ascii="Times New Roman" w:hAnsi="Times New Roman" w:cs="Times New Roman"/>
          <w:b/>
          <w:bCs w:val="0"/>
        </w:rPr>
        <w:t>Table</w:t>
      </w:r>
      <w:r w:rsidR="00267D73" w:rsidRPr="009E1B38">
        <w:rPr>
          <w:rStyle w:val="Gl"/>
          <w:rFonts w:ascii="Times New Roman" w:hAnsi="Times New Roman" w:cs="Times New Roman"/>
          <w:b/>
          <w:bCs w:val="0"/>
        </w:rPr>
        <w:t xml:space="preserve"> 4.3: Board Decisions on Tariff Tables of Distribution and İncumbent Supply Companies</w:t>
      </w:r>
      <w:bookmarkEnd w:id="160"/>
    </w:p>
    <w:tbl>
      <w:tblPr>
        <w:tblStyle w:val="TableNormal1"/>
        <w:tblW w:w="0" w:type="auto"/>
        <w:jc w:val="center"/>
        <w:tblLook w:val="01E0" w:firstRow="1" w:lastRow="1" w:firstColumn="1" w:lastColumn="1" w:noHBand="0" w:noVBand="0"/>
      </w:tblPr>
      <w:tblGrid>
        <w:gridCol w:w="2690"/>
        <w:gridCol w:w="1520"/>
        <w:gridCol w:w="1910"/>
        <w:gridCol w:w="2829"/>
      </w:tblGrid>
      <w:tr w:rsidR="002C3099" w:rsidRPr="009E1B38" w14:paraId="7D4A84A9" w14:textId="77777777" w:rsidTr="009D20D3">
        <w:trPr>
          <w:trHeight w:hRule="exact" w:val="624"/>
          <w:jc w:val="center"/>
        </w:trPr>
        <w:tc>
          <w:tcPr>
            <w:tcW w:w="2690" w:type="dxa"/>
            <w:tcBorders>
              <w:top w:val="single" w:sz="4" w:space="0" w:color="BFBFBF"/>
              <w:left w:val="single" w:sz="4" w:space="0" w:color="BFBFBF"/>
              <w:bottom w:val="single" w:sz="4" w:space="0" w:color="BFBFBF"/>
              <w:right w:val="single" w:sz="4" w:space="0" w:color="BFBFBF"/>
            </w:tcBorders>
            <w:shd w:val="clear" w:color="auto" w:fill="6E9ECA"/>
          </w:tcPr>
          <w:p w14:paraId="7D4A84A3" w14:textId="77777777" w:rsidR="002C3099" w:rsidRPr="009E1B38" w:rsidRDefault="002C3099" w:rsidP="002C3099">
            <w:pPr>
              <w:pStyle w:val="TableParagraph"/>
              <w:spacing w:before="2"/>
              <w:rPr>
                <w:rFonts w:ascii="Times New Roman" w:eastAsia="Calibri" w:hAnsi="Times New Roman" w:cs="Times New Roman"/>
                <w:b/>
                <w:bCs/>
              </w:rPr>
            </w:pPr>
          </w:p>
          <w:p w14:paraId="7D4A84A4" w14:textId="4F6BB044" w:rsidR="002C3099" w:rsidRPr="009E1B38" w:rsidRDefault="00267D73" w:rsidP="002C3099">
            <w:pPr>
              <w:jc w:val="center"/>
              <w:rPr>
                <w:rFonts w:ascii="Times New Roman" w:hAnsi="Times New Roman"/>
              </w:rPr>
            </w:pPr>
            <w:r w:rsidRPr="009E1B38">
              <w:rPr>
                <w:rFonts w:ascii="Times New Roman" w:hAnsi="Times New Roman"/>
                <w:b/>
                <w:bCs/>
                <w:color w:val="FFFFFF" w:themeColor="background1"/>
              </w:rPr>
              <w:t>Board Decision Date</w:t>
            </w:r>
          </w:p>
        </w:tc>
        <w:tc>
          <w:tcPr>
            <w:tcW w:w="1520" w:type="dxa"/>
            <w:tcBorders>
              <w:top w:val="single" w:sz="4" w:space="0" w:color="BFBFBF"/>
              <w:left w:val="single" w:sz="4" w:space="0" w:color="BFBFBF"/>
              <w:bottom w:val="single" w:sz="4" w:space="0" w:color="BFBFBF"/>
              <w:right w:val="single" w:sz="4" w:space="0" w:color="BFBFBF"/>
            </w:tcBorders>
            <w:shd w:val="clear" w:color="auto" w:fill="6E9ECA"/>
          </w:tcPr>
          <w:p w14:paraId="7D4A84A5" w14:textId="09AD785B" w:rsidR="002C3099" w:rsidRPr="009E1B38" w:rsidRDefault="00267D73" w:rsidP="00A449EE">
            <w:pPr>
              <w:jc w:val="center"/>
              <w:rPr>
                <w:rFonts w:ascii="Times New Roman" w:hAnsi="Times New Roman"/>
                <w:b/>
                <w:bCs/>
                <w:color w:val="FFFFFF" w:themeColor="background1"/>
              </w:rPr>
            </w:pPr>
            <w:r w:rsidRPr="009E1B38">
              <w:rPr>
                <w:rFonts w:ascii="Times New Roman" w:hAnsi="Times New Roman"/>
                <w:b/>
                <w:bCs/>
                <w:color w:val="FFFFFF" w:themeColor="background1"/>
                <w:sz w:val="20"/>
                <w:szCs w:val="20"/>
              </w:rPr>
              <w:t>Number of Board Decisions</w:t>
            </w:r>
          </w:p>
        </w:tc>
        <w:tc>
          <w:tcPr>
            <w:tcW w:w="1910" w:type="dxa"/>
            <w:tcBorders>
              <w:top w:val="single" w:sz="4" w:space="0" w:color="BFBFBF"/>
              <w:left w:val="single" w:sz="4" w:space="0" w:color="BFBFBF"/>
              <w:bottom w:val="single" w:sz="4" w:space="0" w:color="BFBFBF"/>
              <w:right w:val="single" w:sz="4" w:space="0" w:color="BFBFBF"/>
            </w:tcBorders>
            <w:shd w:val="clear" w:color="auto" w:fill="6E9ECA"/>
          </w:tcPr>
          <w:p w14:paraId="7D4A84A6" w14:textId="77777777" w:rsidR="002C3099" w:rsidRPr="009E1B38" w:rsidRDefault="002C3099" w:rsidP="002C3099">
            <w:pPr>
              <w:pStyle w:val="TableParagraph"/>
              <w:spacing w:before="2"/>
              <w:rPr>
                <w:rFonts w:ascii="Times New Roman" w:eastAsia="Calibri" w:hAnsi="Times New Roman" w:cs="Times New Roman"/>
                <w:b/>
                <w:bCs/>
                <w:color w:val="FFFFFF" w:themeColor="background1"/>
              </w:rPr>
            </w:pPr>
          </w:p>
          <w:p w14:paraId="7D4A84A7" w14:textId="58A90E02" w:rsidR="002C3099" w:rsidRPr="009E1B38" w:rsidRDefault="00267D73" w:rsidP="002C3099">
            <w:pPr>
              <w:pStyle w:val="TableParagraph"/>
              <w:ind w:left="353"/>
              <w:rPr>
                <w:rFonts w:ascii="Times New Roman" w:eastAsia="Calibri" w:hAnsi="Times New Roman" w:cs="Times New Roman"/>
                <w:b/>
                <w:bCs/>
                <w:color w:val="FFFFFF" w:themeColor="background1"/>
              </w:rPr>
            </w:pPr>
            <w:r w:rsidRPr="009E1B38">
              <w:rPr>
                <w:rFonts w:ascii="Times New Roman" w:eastAsia="Calibri" w:hAnsi="Times New Roman" w:cs="Times New Roman"/>
                <w:b/>
                <w:bCs/>
                <w:color w:val="FFFFFF" w:themeColor="background1"/>
              </w:rPr>
              <w:t>Effective date</w:t>
            </w:r>
          </w:p>
        </w:tc>
        <w:tc>
          <w:tcPr>
            <w:tcW w:w="2829" w:type="dxa"/>
            <w:tcBorders>
              <w:top w:val="single" w:sz="4" w:space="0" w:color="BFBFBF"/>
              <w:left w:val="single" w:sz="4" w:space="0" w:color="BFBFBF"/>
              <w:bottom w:val="single" w:sz="4" w:space="0" w:color="BFBFBF"/>
              <w:right w:val="single" w:sz="4" w:space="0" w:color="BFBFBF"/>
            </w:tcBorders>
            <w:shd w:val="clear" w:color="auto" w:fill="6E9ECA"/>
          </w:tcPr>
          <w:p w14:paraId="7D4A84A8" w14:textId="44230FDE" w:rsidR="002C3099" w:rsidRPr="009E1B38" w:rsidRDefault="00267D73" w:rsidP="002C3099">
            <w:pPr>
              <w:pStyle w:val="TableParagraph"/>
              <w:ind w:left="139"/>
              <w:jc w:val="center"/>
              <w:rPr>
                <w:rFonts w:ascii="Times New Roman" w:eastAsia="Calibri" w:hAnsi="Times New Roman" w:cs="Times New Roman"/>
                <w:b/>
                <w:bCs/>
                <w:color w:val="FFFFFF" w:themeColor="background1"/>
              </w:rPr>
            </w:pPr>
            <w:r w:rsidRPr="009E1B38">
              <w:rPr>
                <w:rFonts w:ascii="Times New Roman" w:eastAsia="Calibri" w:hAnsi="Times New Roman" w:cs="Times New Roman"/>
                <w:b/>
                <w:bCs/>
                <w:color w:val="FFFFFF" w:themeColor="background1"/>
              </w:rPr>
              <w:t>Date and Number of the Official Gazette Published</w:t>
            </w:r>
          </w:p>
        </w:tc>
      </w:tr>
      <w:tr w:rsidR="002C3099" w:rsidRPr="009E1B38" w14:paraId="7D4A84AE" w14:textId="77777777" w:rsidTr="00A449EE">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7D4A84AA" w14:textId="77777777" w:rsidR="002C3099" w:rsidRPr="009E1B38" w:rsidRDefault="002C3099" w:rsidP="002C3099">
            <w:pPr>
              <w:jc w:val="center"/>
              <w:rPr>
                <w:rFonts w:ascii="Times New Roman" w:hAnsi="Times New Roman"/>
              </w:rPr>
            </w:pPr>
            <w:r w:rsidRPr="009E1B38">
              <w:rPr>
                <w:rFonts w:ascii="Times New Roman" w:hAnsi="Times New Roman"/>
              </w:rPr>
              <w:t>30.12.2020</w:t>
            </w:r>
          </w:p>
        </w:tc>
        <w:tc>
          <w:tcPr>
            <w:tcW w:w="1520" w:type="dxa"/>
            <w:tcBorders>
              <w:top w:val="single" w:sz="4" w:space="0" w:color="BFBFBF"/>
              <w:left w:val="single" w:sz="4" w:space="0" w:color="BFBFBF"/>
              <w:bottom w:val="single" w:sz="4" w:space="0" w:color="BFBFBF"/>
              <w:right w:val="single" w:sz="4" w:space="0" w:color="BFBFBF"/>
            </w:tcBorders>
            <w:vAlign w:val="center"/>
          </w:tcPr>
          <w:p w14:paraId="7D4A84AB" w14:textId="77777777" w:rsidR="002C3099" w:rsidRPr="009E1B38" w:rsidRDefault="002C3099" w:rsidP="002C3099">
            <w:pPr>
              <w:jc w:val="center"/>
              <w:rPr>
                <w:rFonts w:ascii="Times New Roman" w:hAnsi="Times New Roman"/>
              </w:rPr>
            </w:pPr>
            <w:r w:rsidRPr="009E1B38">
              <w:rPr>
                <w:rFonts w:ascii="Times New Roman" w:hAnsi="Times New Roman"/>
              </w:rPr>
              <w:t>9954</w:t>
            </w:r>
          </w:p>
        </w:tc>
        <w:tc>
          <w:tcPr>
            <w:tcW w:w="1910" w:type="dxa"/>
            <w:tcBorders>
              <w:top w:val="single" w:sz="4" w:space="0" w:color="BFBFBF"/>
              <w:left w:val="single" w:sz="4" w:space="0" w:color="BFBFBF"/>
              <w:bottom w:val="single" w:sz="4" w:space="0" w:color="BFBFBF"/>
              <w:right w:val="single" w:sz="4" w:space="0" w:color="BFBFBF"/>
            </w:tcBorders>
            <w:vAlign w:val="center"/>
          </w:tcPr>
          <w:p w14:paraId="7D4A84AC" w14:textId="77777777" w:rsidR="002C3099" w:rsidRPr="009E1B38" w:rsidRDefault="002C3099" w:rsidP="002C3099">
            <w:pPr>
              <w:jc w:val="center"/>
              <w:rPr>
                <w:rFonts w:ascii="Times New Roman" w:hAnsi="Times New Roman"/>
              </w:rPr>
            </w:pPr>
            <w:r w:rsidRPr="009E1B38">
              <w:rPr>
                <w:rFonts w:ascii="Times New Roman" w:hAnsi="Times New Roman"/>
              </w:rPr>
              <w:t>01.01.2021</w:t>
            </w:r>
          </w:p>
        </w:tc>
        <w:tc>
          <w:tcPr>
            <w:tcW w:w="2829" w:type="dxa"/>
            <w:tcBorders>
              <w:top w:val="single" w:sz="4" w:space="0" w:color="BFBFBF"/>
              <w:left w:val="single" w:sz="4" w:space="0" w:color="BFBFBF"/>
              <w:bottom w:val="single" w:sz="4" w:space="0" w:color="BFBFBF"/>
              <w:right w:val="single" w:sz="4" w:space="0" w:color="BFBFBF"/>
            </w:tcBorders>
            <w:vAlign w:val="center"/>
          </w:tcPr>
          <w:p w14:paraId="7D4A84AD" w14:textId="77777777" w:rsidR="002C3099" w:rsidRPr="009E1B38" w:rsidRDefault="002C3099" w:rsidP="002C3099">
            <w:pPr>
              <w:jc w:val="center"/>
              <w:rPr>
                <w:rFonts w:ascii="Times New Roman" w:hAnsi="Times New Roman"/>
              </w:rPr>
            </w:pPr>
            <w:r w:rsidRPr="009E1B38">
              <w:rPr>
                <w:rFonts w:ascii="Times New Roman" w:hAnsi="Times New Roman"/>
              </w:rPr>
              <w:t>31.12.2020-31351</w:t>
            </w:r>
          </w:p>
        </w:tc>
      </w:tr>
      <w:tr w:rsidR="00711911" w:rsidRPr="009E1B38" w14:paraId="7D4A84B3" w14:textId="77777777" w:rsidTr="00A449EE">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7D4A84AF" w14:textId="77777777" w:rsidR="00711911" w:rsidRPr="009E1B38" w:rsidRDefault="00711911" w:rsidP="002C3099">
            <w:pPr>
              <w:jc w:val="center"/>
              <w:rPr>
                <w:rFonts w:ascii="Times New Roman" w:hAnsi="Times New Roman"/>
              </w:rPr>
            </w:pPr>
            <w:r w:rsidRPr="009E1B38">
              <w:rPr>
                <w:rFonts w:ascii="Times New Roman" w:hAnsi="Times New Roman"/>
              </w:rPr>
              <w:t>25.03.2021</w:t>
            </w:r>
          </w:p>
        </w:tc>
        <w:tc>
          <w:tcPr>
            <w:tcW w:w="1520" w:type="dxa"/>
            <w:tcBorders>
              <w:top w:val="single" w:sz="4" w:space="0" w:color="BFBFBF"/>
              <w:left w:val="single" w:sz="4" w:space="0" w:color="BFBFBF"/>
              <w:bottom w:val="single" w:sz="4" w:space="0" w:color="BFBFBF"/>
              <w:right w:val="single" w:sz="4" w:space="0" w:color="BFBFBF"/>
            </w:tcBorders>
            <w:vAlign w:val="center"/>
          </w:tcPr>
          <w:p w14:paraId="7D4A84B0" w14:textId="77777777" w:rsidR="00711911" w:rsidRPr="009E1B38" w:rsidRDefault="00711911" w:rsidP="002C3099">
            <w:pPr>
              <w:jc w:val="center"/>
              <w:rPr>
                <w:rFonts w:ascii="Times New Roman" w:hAnsi="Times New Roman"/>
              </w:rPr>
            </w:pPr>
            <w:r w:rsidRPr="009E1B38">
              <w:rPr>
                <w:rFonts w:ascii="Times New Roman" w:hAnsi="Times New Roman"/>
              </w:rPr>
              <w:t>10115</w:t>
            </w:r>
          </w:p>
        </w:tc>
        <w:tc>
          <w:tcPr>
            <w:tcW w:w="1910" w:type="dxa"/>
            <w:tcBorders>
              <w:top w:val="single" w:sz="4" w:space="0" w:color="BFBFBF"/>
              <w:left w:val="single" w:sz="4" w:space="0" w:color="BFBFBF"/>
              <w:bottom w:val="single" w:sz="4" w:space="0" w:color="BFBFBF"/>
              <w:right w:val="single" w:sz="4" w:space="0" w:color="BFBFBF"/>
            </w:tcBorders>
            <w:vAlign w:val="center"/>
          </w:tcPr>
          <w:p w14:paraId="7D4A84B1" w14:textId="77777777" w:rsidR="00711911" w:rsidRPr="009E1B38" w:rsidRDefault="00711911" w:rsidP="002C3099">
            <w:pPr>
              <w:jc w:val="center"/>
              <w:rPr>
                <w:rFonts w:ascii="Times New Roman" w:hAnsi="Times New Roman"/>
              </w:rPr>
            </w:pPr>
            <w:r w:rsidRPr="009E1B38">
              <w:rPr>
                <w:rFonts w:ascii="Times New Roman" w:hAnsi="Times New Roman"/>
              </w:rPr>
              <w:t>01.04.2021</w:t>
            </w:r>
          </w:p>
        </w:tc>
        <w:tc>
          <w:tcPr>
            <w:tcW w:w="2829" w:type="dxa"/>
            <w:tcBorders>
              <w:top w:val="single" w:sz="4" w:space="0" w:color="BFBFBF"/>
              <w:left w:val="single" w:sz="4" w:space="0" w:color="BFBFBF"/>
              <w:bottom w:val="single" w:sz="4" w:space="0" w:color="BFBFBF"/>
              <w:right w:val="single" w:sz="4" w:space="0" w:color="BFBFBF"/>
            </w:tcBorders>
            <w:vAlign w:val="center"/>
          </w:tcPr>
          <w:p w14:paraId="7D4A84B2" w14:textId="77777777" w:rsidR="00711911" w:rsidRPr="009E1B38" w:rsidRDefault="00711911" w:rsidP="002C3099">
            <w:pPr>
              <w:jc w:val="center"/>
              <w:rPr>
                <w:rFonts w:ascii="Times New Roman" w:hAnsi="Times New Roman"/>
              </w:rPr>
            </w:pPr>
            <w:r w:rsidRPr="009E1B38">
              <w:rPr>
                <w:rFonts w:ascii="Times New Roman" w:hAnsi="Times New Roman"/>
              </w:rPr>
              <w:t>26.03.2021-31435</w:t>
            </w:r>
          </w:p>
        </w:tc>
      </w:tr>
      <w:tr w:rsidR="00711911" w:rsidRPr="009E1B38" w14:paraId="7D4A84B8" w14:textId="77777777" w:rsidTr="00A449EE">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7D4A84B4" w14:textId="77777777" w:rsidR="00711911" w:rsidRPr="009E1B38" w:rsidRDefault="00711911" w:rsidP="002C3099">
            <w:pPr>
              <w:jc w:val="center"/>
              <w:rPr>
                <w:rFonts w:ascii="Times New Roman" w:hAnsi="Times New Roman"/>
              </w:rPr>
            </w:pPr>
            <w:r w:rsidRPr="009E1B38">
              <w:rPr>
                <w:rFonts w:ascii="Times New Roman" w:hAnsi="Times New Roman"/>
              </w:rPr>
              <w:t>30.06.2021</w:t>
            </w:r>
          </w:p>
        </w:tc>
        <w:tc>
          <w:tcPr>
            <w:tcW w:w="1520" w:type="dxa"/>
            <w:tcBorders>
              <w:top w:val="single" w:sz="4" w:space="0" w:color="BFBFBF"/>
              <w:left w:val="single" w:sz="4" w:space="0" w:color="BFBFBF"/>
              <w:bottom w:val="single" w:sz="4" w:space="0" w:color="BFBFBF"/>
              <w:right w:val="single" w:sz="4" w:space="0" w:color="BFBFBF"/>
            </w:tcBorders>
            <w:vAlign w:val="center"/>
          </w:tcPr>
          <w:p w14:paraId="7D4A84B5" w14:textId="77777777" w:rsidR="00711911" w:rsidRPr="009E1B38" w:rsidRDefault="00711911" w:rsidP="002C3099">
            <w:pPr>
              <w:jc w:val="center"/>
              <w:rPr>
                <w:rFonts w:ascii="Times New Roman" w:hAnsi="Times New Roman"/>
              </w:rPr>
            </w:pPr>
            <w:r w:rsidRPr="009E1B38">
              <w:rPr>
                <w:rFonts w:ascii="Times New Roman" w:hAnsi="Times New Roman"/>
              </w:rPr>
              <w:t>10301</w:t>
            </w:r>
          </w:p>
        </w:tc>
        <w:tc>
          <w:tcPr>
            <w:tcW w:w="1910" w:type="dxa"/>
            <w:tcBorders>
              <w:top w:val="single" w:sz="4" w:space="0" w:color="BFBFBF"/>
              <w:left w:val="single" w:sz="4" w:space="0" w:color="BFBFBF"/>
              <w:bottom w:val="single" w:sz="4" w:space="0" w:color="BFBFBF"/>
              <w:right w:val="single" w:sz="4" w:space="0" w:color="BFBFBF"/>
            </w:tcBorders>
            <w:vAlign w:val="center"/>
          </w:tcPr>
          <w:p w14:paraId="7D4A84B6" w14:textId="77777777" w:rsidR="00711911" w:rsidRPr="009E1B38" w:rsidRDefault="00711911" w:rsidP="002C3099">
            <w:pPr>
              <w:jc w:val="center"/>
              <w:rPr>
                <w:rFonts w:ascii="Times New Roman" w:hAnsi="Times New Roman"/>
              </w:rPr>
            </w:pPr>
            <w:r w:rsidRPr="009E1B38">
              <w:rPr>
                <w:rFonts w:ascii="Times New Roman" w:hAnsi="Times New Roman"/>
              </w:rPr>
              <w:t>01.07.2021</w:t>
            </w:r>
          </w:p>
        </w:tc>
        <w:tc>
          <w:tcPr>
            <w:tcW w:w="2829" w:type="dxa"/>
            <w:tcBorders>
              <w:top w:val="single" w:sz="4" w:space="0" w:color="BFBFBF"/>
              <w:left w:val="single" w:sz="4" w:space="0" w:color="BFBFBF"/>
              <w:bottom w:val="single" w:sz="4" w:space="0" w:color="BFBFBF"/>
              <w:right w:val="single" w:sz="4" w:space="0" w:color="BFBFBF"/>
            </w:tcBorders>
            <w:vAlign w:val="center"/>
          </w:tcPr>
          <w:p w14:paraId="7D4A84B7" w14:textId="77777777" w:rsidR="00711911" w:rsidRPr="009E1B38" w:rsidRDefault="00711911" w:rsidP="002C3099">
            <w:pPr>
              <w:jc w:val="center"/>
              <w:rPr>
                <w:rFonts w:ascii="Times New Roman" w:hAnsi="Times New Roman"/>
              </w:rPr>
            </w:pPr>
            <w:r w:rsidRPr="009E1B38">
              <w:rPr>
                <w:rFonts w:ascii="Times New Roman" w:hAnsi="Times New Roman"/>
              </w:rPr>
              <w:t>01.07.2021-31528</w:t>
            </w:r>
          </w:p>
        </w:tc>
      </w:tr>
      <w:tr w:rsidR="00711911" w:rsidRPr="009E1B38" w14:paraId="7D4A84BD" w14:textId="77777777" w:rsidTr="00A449EE">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7D4A84B9" w14:textId="77777777" w:rsidR="00711911" w:rsidRPr="009E1B38" w:rsidRDefault="00711911" w:rsidP="002C3099">
            <w:pPr>
              <w:jc w:val="center"/>
              <w:rPr>
                <w:rFonts w:ascii="Times New Roman" w:hAnsi="Times New Roman"/>
              </w:rPr>
            </w:pPr>
            <w:r w:rsidRPr="009E1B38">
              <w:rPr>
                <w:rFonts w:ascii="Times New Roman" w:hAnsi="Times New Roman"/>
              </w:rPr>
              <w:t>31.12.2021</w:t>
            </w:r>
          </w:p>
        </w:tc>
        <w:tc>
          <w:tcPr>
            <w:tcW w:w="1520" w:type="dxa"/>
            <w:tcBorders>
              <w:top w:val="single" w:sz="4" w:space="0" w:color="BFBFBF"/>
              <w:left w:val="single" w:sz="4" w:space="0" w:color="BFBFBF"/>
              <w:bottom w:val="single" w:sz="4" w:space="0" w:color="BFBFBF"/>
              <w:right w:val="single" w:sz="4" w:space="0" w:color="BFBFBF"/>
            </w:tcBorders>
            <w:vAlign w:val="center"/>
          </w:tcPr>
          <w:p w14:paraId="7D4A84BA" w14:textId="77777777" w:rsidR="00711911" w:rsidRPr="009E1B38" w:rsidRDefault="00711911" w:rsidP="002C3099">
            <w:pPr>
              <w:jc w:val="center"/>
              <w:rPr>
                <w:rFonts w:ascii="Times New Roman" w:hAnsi="Times New Roman"/>
              </w:rPr>
            </w:pPr>
            <w:r w:rsidRPr="009E1B38">
              <w:rPr>
                <w:rFonts w:ascii="Times New Roman" w:hAnsi="Times New Roman"/>
              </w:rPr>
              <w:t>10708</w:t>
            </w:r>
          </w:p>
        </w:tc>
        <w:tc>
          <w:tcPr>
            <w:tcW w:w="1910" w:type="dxa"/>
            <w:tcBorders>
              <w:top w:val="single" w:sz="4" w:space="0" w:color="BFBFBF"/>
              <w:left w:val="single" w:sz="4" w:space="0" w:color="BFBFBF"/>
              <w:bottom w:val="single" w:sz="4" w:space="0" w:color="BFBFBF"/>
              <w:right w:val="single" w:sz="4" w:space="0" w:color="BFBFBF"/>
            </w:tcBorders>
            <w:vAlign w:val="center"/>
          </w:tcPr>
          <w:p w14:paraId="7D4A84BB" w14:textId="77777777" w:rsidR="00711911" w:rsidRPr="009E1B38" w:rsidRDefault="00711911" w:rsidP="002C3099">
            <w:pPr>
              <w:jc w:val="center"/>
              <w:rPr>
                <w:rFonts w:ascii="Times New Roman" w:hAnsi="Times New Roman"/>
              </w:rPr>
            </w:pPr>
            <w:r w:rsidRPr="009E1B38">
              <w:rPr>
                <w:rFonts w:ascii="Times New Roman" w:hAnsi="Times New Roman"/>
              </w:rPr>
              <w:t>01.01.2022</w:t>
            </w:r>
          </w:p>
        </w:tc>
        <w:tc>
          <w:tcPr>
            <w:tcW w:w="2829" w:type="dxa"/>
            <w:tcBorders>
              <w:top w:val="single" w:sz="4" w:space="0" w:color="BFBFBF"/>
              <w:left w:val="single" w:sz="4" w:space="0" w:color="BFBFBF"/>
              <w:bottom w:val="single" w:sz="4" w:space="0" w:color="BFBFBF"/>
              <w:right w:val="single" w:sz="4" w:space="0" w:color="BFBFBF"/>
            </w:tcBorders>
            <w:vAlign w:val="center"/>
          </w:tcPr>
          <w:p w14:paraId="7D4A84BC" w14:textId="77777777" w:rsidR="00711911" w:rsidRPr="009E1B38" w:rsidRDefault="00711911" w:rsidP="002C3099">
            <w:pPr>
              <w:jc w:val="center"/>
              <w:rPr>
                <w:rFonts w:ascii="Times New Roman" w:hAnsi="Times New Roman"/>
              </w:rPr>
            </w:pPr>
            <w:r w:rsidRPr="009E1B38">
              <w:rPr>
                <w:rFonts w:ascii="Times New Roman" w:hAnsi="Times New Roman"/>
              </w:rPr>
              <w:t>31.12.2021-31706</w:t>
            </w:r>
          </w:p>
        </w:tc>
      </w:tr>
    </w:tbl>
    <w:p w14:paraId="7D4A84BE" w14:textId="77777777" w:rsidR="002C3099" w:rsidRPr="009E1B38" w:rsidRDefault="002C3099" w:rsidP="002C3099">
      <w:pPr>
        <w:spacing w:after="120"/>
        <w:rPr>
          <w:rFonts w:ascii="Times New Roman" w:hAnsi="Times New Roman"/>
          <w:highlight w:val="yellow"/>
        </w:rPr>
      </w:pPr>
    </w:p>
    <w:p w14:paraId="302253EC" w14:textId="77777777" w:rsidR="00267D73" w:rsidRPr="009E1B38" w:rsidRDefault="00267D73" w:rsidP="00267D73">
      <w:pPr>
        <w:rPr>
          <w:rFonts w:ascii="Times New Roman" w:hAnsi="Times New Roman"/>
        </w:rPr>
      </w:pPr>
      <w:r w:rsidRPr="009E1B38">
        <w:rPr>
          <w:rFonts w:ascii="Times New Roman" w:hAnsi="Times New Roman"/>
        </w:rPr>
        <w:t>The system operating income requirements and related parameters of the distribution companies for the fourth implementation period of 2021-2025 have been approved by the Board Decisions specified in the table below.</w:t>
      </w:r>
    </w:p>
    <w:p w14:paraId="7D4A84BF" w14:textId="15199B74" w:rsidR="002C3099" w:rsidRPr="009E1B38" w:rsidRDefault="002C3099" w:rsidP="002C3099">
      <w:pPr>
        <w:spacing w:after="120"/>
        <w:rPr>
          <w:rFonts w:ascii="Times New Roman" w:hAnsi="Times New Roman"/>
        </w:rPr>
      </w:pPr>
    </w:p>
    <w:p w14:paraId="7D4A84C0" w14:textId="77777777" w:rsidR="00D3422D" w:rsidRPr="009E1B38" w:rsidRDefault="00D3422D" w:rsidP="002C3099">
      <w:pPr>
        <w:spacing w:after="120"/>
        <w:rPr>
          <w:rFonts w:ascii="Times New Roman" w:hAnsi="Times New Roman"/>
        </w:rPr>
      </w:pPr>
    </w:p>
    <w:p w14:paraId="7D4A84C1" w14:textId="77777777" w:rsidR="00D3422D" w:rsidRPr="009E1B38" w:rsidRDefault="00D3422D" w:rsidP="002C3099">
      <w:pPr>
        <w:spacing w:after="120"/>
        <w:rPr>
          <w:rFonts w:ascii="Times New Roman" w:hAnsi="Times New Roman"/>
        </w:rPr>
      </w:pPr>
    </w:p>
    <w:p w14:paraId="7D4A84C2" w14:textId="77777777" w:rsidR="00D3422D" w:rsidRPr="009E1B38" w:rsidRDefault="00D3422D" w:rsidP="002C3099">
      <w:pPr>
        <w:spacing w:after="120"/>
        <w:rPr>
          <w:rFonts w:ascii="Times New Roman" w:hAnsi="Times New Roman"/>
        </w:rPr>
      </w:pPr>
    </w:p>
    <w:p w14:paraId="7D4A84C3" w14:textId="77777777" w:rsidR="00D3422D" w:rsidRPr="009E1B38" w:rsidRDefault="00D3422D" w:rsidP="002C3099">
      <w:pPr>
        <w:spacing w:after="120"/>
        <w:rPr>
          <w:rFonts w:ascii="Times New Roman" w:hAnsi="Times New Roman"/>
        </w:rPr>
      </w:pPr>
    </w:p>
    <w:p w14:paraId="7D4A84C4" w14:textId="77777777" w:rsidR="00D3422D" w:rsidRPr="009E1B38" w:rsidRDefault="00D3422D" w:rsidP="002C3099">
      <w:pPr>
        <w:spacing w:after="120"/>
        <w:rPr>
          <w:rFonts w:ascii="Times New Roman" w:hAnsi="Times New Roman"/>
        </w:rPr>
      </w:pPr>
    </w:p>
    <w:p w14:paraId="7D4A84C5" w14:textId="77777777" w:rsidR="00D3422D" w:rsidRPr="009E1B38" w:rsidRDefault="00D3422D" w:rsidP="002C3099">
      <w:pPr>
        <w:spacing w:after="120"/>
        <w:rPr>
          <w:rFonts w:ascii="Times New Roman" w:hAnsi="Times New Roman"/>
        </w:rPr>
      </w:pPr>
    </w:p>
    <w:p w14:paraId="7D4A84C6" w14:textId="77777777" w:rsidR="00D3422D" w:rsidRPr="009E1B38" w:rsidRDefault="00D3422D" w:rsidP="002C3099">
      <w:pPr>
        <w:spacing w:after="120"/>
        <w:rPr>
          <w:rFonts w:ascii="Times New Roman" w:hAnsi="Times New Roman"/>
        </w:rPr>
      </w:pPr>
    </w:p>
    <w:p w14:paraId="6D7463B8" w14:textId="5C21CC8E" w:rsidR="00267D73" w:rsidRPr="009E1B38" w:rsidRDefault="0082470D" w:rsidP="002F3B01">
      <w:pPr>
        <w:pStyle w:val="Balk5"/>
        <w:jc w:val="center"/>
        <w:rPr>
          <w:rStyle w:val="Gl"/>
          <w:rFonts w:ascii="Times New Roman" w:hAnsi="Times New Roman" w:cs="Times New Roman"/>
          <w:b/>
          <w:bCs w:val="0"/>
        </w:rPr>
      </w:pPr>
      <w:bookmarkStart w:id="161" w:name="_Toc107499511"/>
      <w:r w:rsidRPr="009E1B38">
        <w:rPr>
          <w:rStyle w:val="Gl"/>
          <w:rFonts w:ascii="Times New Roman" w:hAnsi="Times New Roman" w:cs="Times New Roman"/>
          <w:b/>
          <w:bCs w:val="0"/>
        </w:rPr>
        <w:t>Table</w:t>
      </w:r>
      <w:r w:rsidR="00267D73" w:rsidRPr="009E1B38">
        <w:rPr>
          <w:rStyle w:val="Gl"/>
          <w:rFonts w:ascii="Times New Roman" w:hAnsi="Times New Roman" w:cs="Times New Roman"/>
          <w:b/>
          <w:bCs w:val="0"/>
        </w:rPr>
        <w:t xml:space="preserve"> 4.4: Board Decisions on Approval of Distribution Companies' 2021-2025 Fourth İmplementation Period System Operating Revenue Requirements and Related Parameters</w:t>
      </w:r>
      <w:bookmarkEnd w:id="161"/>
    </w:p>
    <w:tbl>
      <w:tblPr>
        <w:tblW w:w="4002"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314"/>
        <w:gridCol w:w="2052"/>
        <w:gridCol w:w="2713"/>
      </w:tblGrid>
      <w:tr w:rsidR="002C3099" w:rsidRPr="009E1B38" w14:paraId="7D4A84CB" w14:textId="77777777" w:rsidTr="0081162D">
        <w:trPr>
          <w:trHeight w:val="300"/>
          <w:tblHeader/>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14:paraId="7D4A84C8" w14:textId="76951612" w:rsidR="002C3099" w:rsidRPr="009E1B38" w:rsidRDefault="0081162D" w:rsidP="002C3099">
            <w:pPr>
              <w:pStyle w:val="TableParagraph"/>
              <w:spacing w:before="152"/>
              <w:jc w:val="center"/>
              <w:rPr>
                <w:rFonts w:ascii="Times New Roman" w:hAnsi="Times New Roman" w:cs="Times New Roman"/>
                <w:b/>
                <w:color w:val="FFFFFF"/>
                <w:spacing w:val="-1"/>
              </w:rPr>
            </w:pPr>
            <w:r w:rsidRPr="009E1B38">
              <w:rPr>
                <w:rFonts w:ascii="Times New Roman" w:hAnsi="Times New Roman" w:cs="Times New Roman"/>
                <w:b/>
                <w:color w:val="FFFFFF"/>
                <w:spacing w:val="-1"/>
              </w:rPr>
              <w:t>Distribution Company Title</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14:paraId="7D4A84C9" w14:textId="5C080A03" w:rsidR="002C3099" w:rsidRPr="009E1B38" w:rsidRDefault="0081162D" w:rsidP="002C3099">
            <w:pPr>
              <w:pStyle w:val="TableParagraph"/>
              <w:spacing w:before="152"/>
              <w:jc w:val="center"/>
              <w:rPr>
                <w:rFonts w:ascii="Times New Roman" w:hAnsi="Times New Roman" w:cs="Times New Roman"/>
                <w:b/>
                <w:color w:val="FFFFFF"/>
                <w:spacing w:val="-1"/>
              </w:rPr>
            </w:pPr>
            <w:r w:rsidRPr="009E1B38">
              <w:rPr>
                <w:rFonts w:ascii="Times New Roman" w:hAnsi="Times New Roman" w:cs="Times New Roman"/>
                <w:b/>
                <w:color w:val="FFFFFF"/>
                <w:spacing w:val="-1"/>
              </w:rPr>
              <w:t>Board Decision Date</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14:paraId="7D4A84CA" w14:textId="10BF8979" w:rsidR="002C3099" w:rsidRPr="009E1B38" w:rsidRDefault="0081162D" w:rsidP="002C3099">
            <w:pPr>
              <w:pStyle w:val="TableParagraph"/>
              <w:spacing w:before="152"/>
              <w:jc w:val="center"/>
              <w:rPr>
                <w:rFonts w:ascii="Times New Roman" w:hAnsi="Times New Roman" w:cs="Times New Roman"/>
                <w:b/>
                <w:color w:val="FFFFFF"/>
                <w:spacing w:val="-1"/>
              </w:rPr>
            </w:pPr>
            <w:r w:rsidRPr="009E1B38">
              <w:rPr>
                <w:rFonts w:ascii="Times New Roman" w:hAnsi="Times New Roman" w:cs="Times New Roman"/>
                <w:b/>
                <w:color w:val="FFFFFF"/>
                <w:spacing w:val="-1"/>
              </w:rPr>
              <w:t>Number of Board Decisions</w:t>
            </w:r>
          </w:p>
        </w:tc>
      </w:tr>
      <w:tr w:rsidR="00466FB6" w:rsidRPr="009E1B38" w14:paraId="7D4A84CF" w14:textId="77777777" w:rsidTr="0081162D">
        <w:trPr>
          <w:trHeight w:val="227"/>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CC" w14:textId="77777777" w:rsidR="00466FB6" w:rsidRPr="009E1B38" w:rsidRDefault="00466FB6" w:rsidP="00466FB6">
            <w:pPr>
              <w:rPr>
                <w:rFonts w:ascii="Times New Roman" w:hAnsi="Times New Roman"/>
              </w:rPr>
            </w:pPr>
            <w:r w:rsidRPr="009E1B38">
              <w:rPr>
                <w:rFonts w:ascii="Times New Roman" w:hAnsi="Times New Roman"/>
              </w:rPr>
              <w:t>ADM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CD"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CE" w14:textId="77777777" w:rsidR="00466FB6" w:rsidRPr="009E1B38" w:rsidRDefault="00466FB6" w:rsidP="00466FB6">
            <w:pPr>
              <w:jc w:val="center"/>
              <w:rPr>
                <w:rFonts w:ascii="Times New Roman" w:hAnsi="Times New Roman"/>
              </w:rPr>
            </w:pPr>
            <w:r w:rsidRPr="009E1B38">
              <w:rPr>
                <w:rFonts w:ascii="Times New Roman" w:hAnsi="Times New Roman"/>
              </w:rPr>
              <w:t>10450</w:t>
            </w:r>
          </w:p>
        </w:tc>
      </w:tr>
      <w:tr w:rsidR="00466FB6" w:rsidRPr="009E1B38" w14:paraId="7D4A84D3"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D0" w14:textId="77777777" w:rsidR="00466FB6" w:rsidRPr="009E1B38" w:rsidRDefault="00466FB6" w:rsidP="00466FB6">
            <w:pPr>
              <w:rPr>
                <w:rFonts w:ascii="Times New Roman" w:hAnsi="Times New Roman"/>
              </w:rPr>
            </w:pPr>
            <w:r w:rsidRPr="009E1B38">
              <w:rPr>
                <w:rFonts w:ascii="Times New Roman" w:hAnsi="Times New Roman"/>
              </w:rPr>
              <w:lastRenderedPageBreak/>
              <w:t>Akdeniz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D1"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D2" w14:textId="77777777" w:rsidR="00466FB6" w:rsidRPr="009E1B38" w:rsidRDefault="00466FB6" w:rsidP="00466FB6">
            <w:pPr>
              <w:jc w:val="center"/>
              <w:rPr>
                <w:rFonts w:ascii="Times New Roman" w:hAnsi="Times New Roman"/>
              </w:rPr>
            </w:pPr>
            <w:r w:rsidRPr="009E1B38">
              <w:rPr>
                <w:rFonts w:ascii="Times New Roman" w:hAnsi="Times New Roman"/>
              </w:rPr>
              <w:t>10451</w:t>
            </w:r>
          </w:p>
        </w:tc>
      </w:tr>
      <w:tr w:rsidR="00466FB6" w:rsidRPr="009E1B38" w14:paraId="7D4A84D7"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D4" w14:textId="77777777" w:rsidR="00466FB6" w:rsidRPr="009E1B38" w:rsidRDefault="00466FB6" w:rsidP="00466FB6">
            <w:pPr>
              <w:rPr>
                <w:rFonts w:ascii="Times New Roman" w:hAnsi="Times New Roman"/>
              </w:rPr>
            </w:pPr>
            <w:r w:rsidRPr="009E1B38">
              <w:rPr>
                <w:rFonts w:ascii="Times New Roman" w:hAnsi="Times New Roman"/>
              </w:rPr>
              <w:t>Akedaş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D5"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D6" w14:textId="77777777" w:rsidR="00466FB6" w:rsidRPr="009E1B38" w:rsidRDefault="00466FB6" w:rsidP="00466FB6">
            <w:pPr>
              <w:jc w:val="center"/>
              <w:rPr>
                <w:rFonts w:ascii="Times New Roman" w:hAnsi="Times New Roman"/>
              </w:rPr>
            </w:pPr>
            <w:r w:rsidRPr="009E1B38">
              <w:rPr>
                <w:rFonts w:ascii="Times New Roman" w:hAnsi="Times New Roman"/>
              </w:rPr>
              <w:t>10452</w:t>
            </w:r>
          </w:p>
        </w:tc>
      </w:tr>
      <w:tr w:rsidR="00466FB6" w:rsidRPr="009E1B38" w14:paraId="7D4A84DB"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D8" w14:textId="77777777" w:rsidR="00466FB6" w:rsidRPr="009E1B38" w:rsidRDefault="00466FB6" w:rsidP="00466FB6">
            <w:pPr>
              <w:rPr>
                <w:rFonts w:ascii="Times New Roman" w:hAnsi="Times New Roman"/>
              </w:rPr>
            </w:pPr>
            <w:r w:rsidRPr="009E1B38">
              <w:rPr>
                <w:rFonts w:ascii="Times New Roman" w:hAnsi="Times New Roman"/>
              </w:rPr>
              <w:t>Aras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D9"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DA" w14:textId="77777777" w:rsidR="00466FB6" w:rsidRPr="009E1B38" w:rsidRDefault="00466FB6" w:rsidP="00466FB6">
            <w:pPr>
              <w:jc w:val="center"/>
              <w:rPr>
                <w:rFonts w:ascii="Times New Roman" w:hAnsi="Times New Roman"/>
              </w:rPr>
            </w:pPr>
            <w:r w:rsidRPr="009E1B38">
              <w:rPr>
                <w:rFonts w:ascii="Times New Roman" w:hAnsi="Times New Roman"/>
              </w:rPr>
              <w:t>10453</w:t>
            </w:r>
          </w:p>
        </w:tc>
      </w:tr>
      <w:tr w:rsidR="00466FB6" w:rsidRPr="009E1B38" w14:paraId="7D4A84DF"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DC" w14:textId="77777777" w:rsidR="00466FB6" w:rsidRPr="009E1B38" w:rsidRDefault="00466FB6" w:rsidP="00466FB6">
            <w:pPr>
              <w:rPr>
                <w:rFonts w:ascii="Times New Roman" w:hAnsi="Times New Roman"/>
              </w:rPr>
            </w:pPr>
            <w:r w:rsidRPr="009E1B38">
              <w:rPr>
                <w:rFonts w:ascii="Times New Roman" w:hAnsi="Times New Roman"/>
              </w:rPr>
              <w:t>Başkent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DD"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DE" w14:textId="77777777" w:rsidR="00466FB6" w:rsidRPr="009E1B38" w:rsidRDefault="00466FB6" w:rsidP="00466FB6">
            <w:pPr>
              <w:jc w:val="center"/>
              <w:rPr>
                <w:rFonts w:ascii="Times New Roman" w:hAnsi="Times New Roman"/>
              </w:rPr>
            </w:pPr>
            <w:r w:rsidRPr="009E1B38">
              <w:rPr>
                <w:rFonts w:ascii="Times New Roman" w:hAnsi="Times New Roman"/>
              </w:rPr>
              <w:t>10455</w:t>
            </w:r>
          </w:p>
        </w:tc>
      </w:tr>
      <w:tr w:rsidR="00466FB6" w:rsidRPr="009E1B38" w14:paraId="7D4A84E3"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E0" w14:textId="77777777" w:rsidR="00466FB6" w:rsidRPr="009E1B38" w:rsidRDefault="00466FB6" w:rsidP="00466FB6">
            <w:pPr>
              <w:rPr>
                <w:rFonts w:ascii="Times New Roman" w:hAnsi="Times New Roman"/>
              </w:rPr>
            </w:pPr>
            <w:r w:rsidRPr="009E1B38">
              <w:rPr>
                <w:rFonts w:ascii="Times New Roman" w:hAnsi="Times New Roman"/>
              </w:rPr>
              <w:t>Boğaziçi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E1"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E2" w14:textId="77777777" w:rsidR="00466FB6" w:rsidRPr="009E1B38" w:rsidRDefault="00466FB6" w:rsidP="00466FB6">
            <w:pPr>
              <w:jc w:val="center"/>
              <w:rPr>
                <w:rFonts w:ascii="Times New Roman" w:hAnsi="Times New Roman"/>
              </w:rPr>
            </w:pPr>
            <w:r w:rsidRPr="009E1B38">
              <w:rPr>
                <w:rFonts w:ascii="Times New Roman" w:hAnsi="Times New Roman"/>
              </w:rPr>
              <w:t>10456</w:t>
            </w:r>
          </w:p>
        </w:tc>
      </w:tr>
      <w:tr w:rsidR="00466FB6" w:rsidRPr="009E1B38" w14:paraId="7D4A84E7"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E4" w14:textId="77777777" w:rsidR="00466FB6" w:rsidRPr="009E1B38" w:rsidRDefault="00466FB6" w:rsidP="00466FB6">
            <w:pPr>
              <w:rPr>
                <w:rFonts w:ascii="Times New Roman" w:hAnsi="Times New Roman"/>
              </w:rPr>
            </w:pPr>
            <w:r w:rsidRPr="009E1B38">
              <w:rPr>
                <w:rFonts w:ascii="Times New Roman" w:hAnsi="Times New Roman"/>
              </w:rPr>
              <w:t>Çamlıbel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E5"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E6" w14:textId="77777777" w:rsidR="00466FB6" w:rsidRPr="009E1B38" w:rsidRDefault="00466FB6" w:rsidP="00466FB6">
            <w:pPr>
              <w:jc w:val="center"/>
              <w:rPr>
                <w:rFonts w:ascii="Times New Roman" w:hAnsi="Times New Roman"/>
              </w:rPr>
            </w:pPr>
            <w:r w:rsidRPr="009E1B38">
              <w:rPr>
                <w:rFonts w:ascii="Times New Roman" w:hAnsi="Times New Roman"/>
              </w:rPr>
              <w:t>10457</w:t>
            </w:r>
          </w:p>
        </w:tc>
      </w:tr>
      <w:tr w:rsidR="00466FB6" w:rsidRPr="009E1B38" w14:paraId="7D4A84EB"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E8" w14:textId="77777777" w:rsidR="00466FB6" w:rsidRPr="009E1B38" w:rsidRDefault="00466FB6" w:rsidP="00466FB6">
            <w:pPr>
              <w:rPr>
                <w:rFonts w:ascii="Times New Roman" w:hAnsi="Times New Roman"/>
              </w:rPr>
            </w:pPr>
            <w:r w:rsidRPr="009E1B38">
              <w:rPr>
                <w:rFonts w:ascii="Times New Roman" w:hAnsi="Times New Roman"/>
              </w:rPr>
              <w:t>Çoruh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E9"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EA" w14:textId="77777777" w:rsidR="00466FB6" w:rsidRPr="009E1B38" w:rsidRDefault="00466FB6" w:rsidP="00466FB6">
            <w:pPr>
              <w:jc w:val="center"/>
              <w:rPr>
                <w:rFonts w:ascii="Times New Roman" w:hAnsi="Times New Roman"/>
              </w:rPr>
            </w:pPr>
            <w:r w:rsidRPr="009E1B38">
              <w:rPr>
                <w:rFonts w:ascii="Times New Roman" w:hAnsi="Times New Roman"/>
              </w:rPr>
              <w:t>10458</w:t>
            </w:r>
          </w:p>
        </w:tc>
      </w:tr>
      <w:tr w:rsidR="00466FB6" w:rsidRPr="009E1B38" w14:paraId="7D4A84EF"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EC" w14:textId="77777777" w:rsidR="00466FB6" w:rsidRPr="009E1B38" w:rsidRDefault="00466FB6" w:rsidP="00466FB6">
            <w:pPr>
              <w:rPr>
                <w:rFonts w:ascii="Times New Roman" w:hAnsi="Times New Roman"/>
              </w:rPr>
            </w:pPr>
            <w:r w:rsidRPr="009E1B38">
              <w:rPr>
                <w:rFonts w:ascii="Times New Roman" w:hAnsi="Times New Roman"/>
              </w:rPr>
              <w:t>Dicle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ED"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EE" w14:textId="77777777" w:rsidR="00466FB6" w:rsidRPr="009E1B38" w:rsidRDefault="00466FB6" w:rsidP="00466FB6">
            <w:pPr>
              <w:jc w:val="center"/>
              <w:rPr>
                <w:rFonts w:ascii="Times New Roman" w:hAnsi="Times New Roman"/>
              </w:rPr>
            </w:pPr>
            <w:r w:rsidRPr="009E1B38">
              <w:rPr>
                <w:rFonts w:ascii="Times New Roman" w:hAnsi="Times New Roman"/>
              </w:rPr>
              <w:t>10459</w:t>
            </w:r>
          </w:p>
        </w:tc>
      </w:tr>
      <w:tr w:rsidR="00466FB6" w:rsidRPr="009E1B38" w14:paraId="7D4A84F3"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F0" w14:textId="77777777" w:rsidR="00466FB6" w:rsidRPr="009E1B38" w:rsidRDefault="00466FB6" w:rsidP="00466FB6">
            <w:pPr>
              <w:rPr>
                <w:rFonts w:ascii="Times New Roman" w:hAnsi="Times New Roman"/>
              </w:rPr>
            </w:pPr>
            <w:r w:rsidRPr="009E1B38">
              <w:rPr>
                <w:rFonts w:ascii="Times New Roman" w:hAnsi="Times New Roman"/>
              </w:rPr>
              <w:t>Fırat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F1"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F2" w14:textId="77777777" w:rsidR="00466FB6" w:rsidRPr="009E1B38" w:rsidRDefault="00466FB6" w:rsidP="00466FB6">
            <w:pPr>
              <w:jc w:val="center"/>
              <w:rPr>
                <w:rFonts w:ascii="Times New Roman" w:hAnsi="Times New Roman"/>
              </w:rPr>
            </w:pPr>
            <w:r w:rsidRPr="009E1B38">
              <w:rPr>
                <w:rFonts w:ascii="Times New Roman" w:hAnsi="Times New Roman"/>
              </w:rPr>
              <w:t>10460</w:t>
            </w:r>
          </w:p>
        </w:tc>
      </w:tr>
      <w:tr w:rsidR="00466FB6" w:rsidRPr="009E1B38" w14:paraId="7D4A84F7"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F4" w14:textId="77777777" w:rsidR="00466FB6" w:rsidRPr="009E1B38" w:rsidRDefault="00466FB6" w:rsidP="00466FB6">
            <w:pPr>
              <w:rPr>
                <w:rFonts w:ascii="Times New Roman" w:hAnsi="Times New Roman"/>
              </w:rPr>
            </w:pPr>
            <w:r w:rsidRPr="009E1B38">
              <w:rPr>
                <w:rFonts w:ascii="Times New Roman" w:hAnsi="Times New Roman"/>
              </w:rPr>
              <w:t>GDZ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F5"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F6" w14:textId="77777777" w:rsidR="00466FB6" w:rsidRPr="009E1B38" w:rsidRDefault="00466FB6" w:rsidP="00466FB6">
            <w:pPr>
              <w:jc w:val="center"/>
              <w:rPr>
                <w:rFonts w:ascii="Times New Roman" w:hAnsi="Times New Roman"/>
              </w:rPr>
            </w:pPr>
            <w:r w:rsidRPr="009E1B38">
              <w:rPr>
                <w:rFonts w:ascii="Times New Roman" w:hAnsi="Times New Roman"/>
              </w:rPr>
              <w:t>10461</w:t>
            </w:r>
          </w:p>
        </w:tc>
      </w:tr>
      <w:tr w:rsidR="00466FB6" w:rsidRPr="009E1B38" w14:paraId="7D4A84FB"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F8" w14:textId="77777777" w:rsidR="00466FB6" w:rsidRPr="009E1B38" w:rsidRDefault="00466FB6" w:rsidP="00466FB6">
            <w:pPr>
              <w:rPr>
                <w:rFonts w:ascii="Times New Roman" w:hAnsi="Times New Roman"/>
              </w:rPr>
            </w:pPr>
            <w:r w:rsidRPr="009E1B38">
              <w:rPr>
                <w:rFonts w:ascii="Times New Roman" w:hAnsi="Times New Roman"/>
              </w:rPr>
              <w:t>İstanbul Anadolu Yakası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F9"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FA" w14:textId="77777777" w:rsidR="00466FB6" w:rsidRPr="009E1B38" w:rsidRDefault="00466FB6" w:rsidP="00466FB6">
            <w:pPr>
              <w:jc w:val="center"/>
              <w:rPr>
                <w:rFonts w:ascii="Times New Roman" w:hAnsi="Times New Roman"/>
              </w:rPr>
            </w:pPr>
            <w:r w:rsidRPr="009E1B38">
              <w:rPr>
                <w:rFonts w:ascii="Times New Roman" w:hAnsi="Times New Roman"/>
              </w:rPr>
              <w:t>10454</w:t>
            </w:r>
          </w:p>
        </w:tc>
      </w:tr>
      <w:tr w:rsidR="00466FB6" w:rsidRPr="009E1B38" w14:paraId="7D4A84FF"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4FC" w14:textId="77777777" w:rsidR="00466FB6" w:rsidRPr="009E1B38" w:rsidRDefault="00466FB6" w:rsidP="00466FB6">
            <w:pPr>
              <w:rPr>
                <w:rFonts w:ascii="Times New Roman" w:hAnsi="Times New Roman"/>
              </w:rPr>
            </w:pPr>
            <w:r w:rsidRPr="009E1B38">
              <w:rPr>
                <w:rFonts w:ascii="Times New Roman" w:hAnsi="Times New Roman"/>
              </w:rPr>
              <w:t>Kayseri ve Civarı Elektrik Türk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FD"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4FE" w14:textId="77777777" w:rsidR="00466FB6" w:rsidRPr="009E1B38" w:rsidRDefault="00466FB6" w:rsidP="00466FB6">
            <w:pPr>
              <w:jc w:val="center"/>
              <w:rPr>
                <w:rFonts w:ascii="Times New Roman" w:hAnsi="Times New Roman"/>
              </w:rPr>
            </w:pPr>
            <w:r w:rsidRPr="009E1B38">
              <w:rPr>
                <w:rFonts w:ascii="Times New Roman" w:hAnsi="Times New Roman"/>
              </w:rPr>
              <w:t>10462</w:t>
            </w:r>
          </w:p>
        </w:tc>
      </w:tr>
      <w:tr w:rsidR="00466FB6" w:rsidRPr="009E1B38" w14:paraId="7D4A8503"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500" w14:textId="77777777" w:rsidR="00466FB6" w:rsidRPr="009E1B38" w:rsidRDefault="00466FB6" w:rsidP="00466FB6">
            <w:pPr>
              <w:rPr>
                <w:rFonts w:ascii="Times New Roman" w:hAnsi="Times New Roman"/>
              </w:rPr>
            </w:pPr>
            <w:r w:rsidRPr="009E1B38">
              <w:rPr>
                <w:rFonts w:ascii="Times New Roman" w:hAnsi="Times New Roman"/>
              </w:rPr>
              <w:t>Meram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01"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02" w14:textId="77777777" w:rsidR="00466FB6" w:rsidRPr="009E1B38" w:rsidRDefault="00466FB6" w:rsidP="00466FB6">
            <w:pPr>
              <w:jc w:val="center"/>
              <w:rPr>
                <w:rFonts w:ascii="Times New Roman" w:hAnsi="Times New Roman"/>
              </w:rPr>
            </w:pPr>
            <w:r w:rsidRPr="009E1B38">
              <w:rPr>
                <w:rFonts w:ascii="Times New Roman" w:hAnsi="Times New Roman"/>
              </w:rPr>
              <w:t>10463</w:t>
            </w:r>
          </w:p>
        </w:tc>
      </w:tr>
      <w:tr w:rsidR="00466FB6" w:rsidRPr="009E1B38" w14:paraId="7D4A8507"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504" w14:textId="77777777" w:rsidR="00466FB6" w:rsidRPr="009E1B38" w:rsidRDefault="00466FB6" w:rsidP="00466FB6">
            <w:pPr>
              <w:rPr>
                <w:rFonts w:ascii="Times New Roman" w:hAnsi="Times New Roman"/>
              </w:rPr>
            </w:pPr>
            <w:r w:rsidRPr="009E1B38">
              <w:rPr>
                <w:rFonts w:ascii="Times New Roman" w:hAnsi="Times New Roman"/>
              </w:rPr>
              <w:t>Osmangazi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05"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06" w14:textId="77777777" w:rsidR="00466FB6" w:rsidRPr="009E1B38" w:rsidRDefault="00466FB6" w:rsidP="00466FB6">
            <w:pPr>
              <w:jc w:val="center"/>
              <w:rPr>
                <w:rFonts w:ascii="Times New Roman" w:hAnsi="Times New Roman"/>
              </w:rPr>
            </w:pPr>
            <w:r w:rsidRPr="009E1B38">
              <w:rPr>
                <w:rFonts w:ascii="Times New Roman" w:hAnsi="Times New Roman"/>
              </w:rPr>
              <w:t>10464</w:t>
            </w:r>
          </w:p>
        </w:tc>
      </w:tr>
      <w:tr w:rsidR="00466FB6" w:rsidRPr="009E1B38" w14:paraId="7D4A850B"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508" w14:textId="77777777" w:rsidR="00466FB6" w:rsidRPr="009E1B38" w:rsidRDefault="00466FB6" w:rsidP="00466FB6">
            <w:pPr>
              <w:rPr>
                <w:rFonts w:ascii="Times New Roman" w:hAnsi="Times New Roman"/>
              </w:rPr>
            </w:pPr>
            <w:r w:rsidRPr="009E1B38">
              <w:rPr>
                <w:rFonts w:ascii="Times New Roman" w:hAnsi="Times New Roman"/>
              </w:rPr>
              <w:t>Sakarya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09"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0A" w14:textId="77777777" w:rsidR="00466FB6" w:rsidRPr="009E1B38" w:rsidRDefault="00466FB6" w:rsidP="00466FB6">
            <w:pPr>
              <w:jc w:val="center"/>
              <w:rPr>
                <w:rFonts w:ascii="Times New Roman" w:hAnsi="Times New Roman"/>
              </w:rPr>
            </w:pPr>
            <w:r w:rsidRPr="009E1B38">
              <w:rPr>
                <w:rFonts w:ascii="Times New Roman" w:hAnsi="Times New Roman"/>
              </w:rPr>
              <w:t>10465</w:t>
            </w:r>
          </w:p>
        </w:tc>
      </w:tr>
      <w:tr w:rsidR="00466FB6" w:rsidRPr="009E1B38" w14:paraId="7D4A850F"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50C" w14:textId="77777777" w:rsidR="00466FB6" w:rsidRPr="009E1B38" w:rsidRDefault="00466FB6" w:rsidP="00466FB6">
            <w:pPr>
              <w:rPr>
                <w:rFonts w:ascii="Times New Roman" w:hAnsi="Times New Roman"/>
              </w:rPr>
            </w:pPr>
            <w:r w:rsidRPr="009E1B38">
              <w:rPr>
                <w:rFonts w:ascii="Times New Roman" w:hAnsi="Times New Roman"/>
              </w:rPr>
              <w:t>Toroslar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0D"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0E" w14:textId="77777777" w:rsidR="00466FB6" w:rsidRPr="009E1B38" w:rsidRDefault="00466FB6" w:rsidP="00466FB6">
            <w:pPr>
              <w:jc w:val="center"/>
              <w:rPr>
                <w:rFonts w:ascii="Times New Roman" w:hAnsi="Times New Roman"/>
              </w:rPr>
            </w:pPr>
            <w:r w:rsidRPr="009E1B38">
              <w:rPr>
                <w:rFonts w:ascii="Times New Roman" w:hAnsi="Times New Roman"/>
              </w:rPr>
              <w:t>10466</w:t>
            </w:r>
          </w:p>
        </w:tc>
      </w:tr>
      <w:tr w:rsidR="00466FB6" w:rsidRPr="009E1B38" w14:paraId="7D4A8513"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510" w14:textId="77777777" w:rsidR="00466FB6" w:rsidRPr="009E1B38" w:rsidRDefault="00466FB6" w:rsidP="00466FB6">
            <w:pPr>
              <w:rPr>
                <w:rFonts w:ascii="Times New Roman" w:hAnsi="Times New Roman"/>
              </w:rPr>
            </w:pPr>
            <w:r w:rsidRPr="009E1B38">
              <w:rPr>
                <w:rFonts w:ascii="Times New Roman" w:hAnsi="Times New Roman"/>
              </w:rPr>
              <w:t>Trakya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11"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12" w14:textId="77777777" w:rsidR="00466FB6" w:rsidRPr="009E1B38" w:rsidRDefault="00466FB6" w:rsidP="00466FB6">
            <w:pPr>
              <w:jc w:val="center"/>
              <w:rPr>
                <w:rFonts w:ascii="Times New Roman" w:hAnsi="Times New Roman"/>
              </w:rPr>
            </w:pPr>
            <w:r w:rsidRPr="009E1B38">
              <w:rPr>
                <w:rFonts w:ascii="Times New Roman" w:hAnsi="Times New Roman"/>
              </w:rPr>
              <w:t>10467</w:t>
            </w:r>
          </w:p>
        </w:tc>
      </w:tr>
      <w:tr w:rsidR="00466FB6" w:rsidRPr="009E1B38" w14:paraId="7D4A8517"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514" w14:textId="77777777" w:rsidR="00466FB6" w:rsidRPr="009E1B38" w:rsidRDefault="00466FB6" w:rsidP="00466FB6">
            <w:pPr>
              <w:rPr>
                <w:rFonts w:ascii="Times New Roman" w:hAnsi="Times New Roman"/>
              </w:rPr>
            </w:pPr>
            <w:r w:rsidRPr="009E1B38">
              <w:rPr>
                <w:rFonts w:ascii="Times New Roman" w:hAnsi="Times New Roman"/>
              </w:rPr>
              <w:t>Uludağ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15"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16" w14:textId="77777777" w:rsidR="00466FB6" w:rsidRPr="009E1B38" w:rsidRDefault="00466FB6" w:rsidP="00466FB6">
            <w:pPr>
              <w:jc w:val="center"/>
              <w:rPr>
                <w:rFonts w:ascii="Times New Roman" w:hAnsi="Times New Roman"/>
              </w:rPr>
            </w:pPr>
            <w:r w:rsidRPr="009E1B38">
              <w:rPr>
                <w:rFonts w:ascii="Times New Roman" w:hAnsi="Times New Roman"/>
              </w:rPr>
              <w:t>10468</w:t>
            </w:r>
          </w:p>
        </w:tc>
      </w:tr>
      <w:tr w:rsidR="00466FB6" w:rsidRPr="009E1B38" w14:paraId="7D4A851B"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518" w14:textId="77777777" w:rsidR="00466FB6" w:rsidRPr="009E1B38" w:rsidRDefault="00466FB6" w:rsidP="00466FB6">
            <w:pPr>
              <w:rPr>
                <w:rFonts w:ascii="Times New Roman" w:hAnsi="Times New Roman"/>
              </w:rPr>
            </w:pPr>
            <w:r w:rsidRPr="009E1B38">
              <w:rPr>
                <w:rFonts w:ascii="Times New Roman" w:hAnsi="Times New Roman"/>
              </w:rPr>
              <w:t>Vangölü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19"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1A" w14:textId="77777777" w:rsidR="00466FB6" w:rsidRPr="009E1B38" w:rsidRDefault="00466FB6" w:rsidP="00466FB6">
            <w:pPr>
              <w:jc w:val="center"/>
              <w:rPr>
                <w:rFonts w:ascii="Times New Roman" w:hAnsi="Times New Roman"/>
              </w:rPr>
            </w:pPr>
            <w:r w:rsidRPr="009E1B38">
              <w:rPr>
                <w:rFonts w:ascii="Times New Roman" w:hAnsi="Times New Roman"/>
              </w:rPr>
              <w:t>10469</w:t>
            </w:r>
          </w:p>
        </w:tc>
      </w:tr>
      <w:tr w:rsidR="00466FB6" w:rsidRPr="009E1B38" w14:paraId="7D4A851F" w14:textId="77777777" w:rsidTr="0081162D">
        <w:trPr>
          <w:trHeight w:val="300"/>
          <w:jc w:val="center"/>
        </w:trPr>
        <w:tc>
          <w:tcPr>
            <w:tcW w:w="25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14:paraId="7D4A851C" w14:textId="77777777" w:rsidR="00466FB6" w:rsidRPr="009E1B38" w:rsidRDefault="00466FB6" w:rsidP="00466FB6">
            <w:pPr>
              <w:rPr>
                <w:rFonts w:ascii="Times New Roman" w:hAnsi="Times New Roman"/>
              </w:rPr>
            </w:pPr>
            <w:r w:rsidRPr="009E1B38">
              <w:rPr>
                <w:rFonts w:ascii="Times New Roman" w:hAnsi="Times New Roman"/>
              </w:rPr>
              <w:t>Yeşilırmak Elektrik Dağıtım A.Ş.</w:t>
            </w:r>
          </w:p>
        </w:tc>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1D" w14:textId="77777777" w:rsidR="00466FB6" w:rsidRPr="009E1B38" w:rsidRDefault="00466FB6" w:rsidP="00466FB6">
            <w:pPr>
              <w:jc w:val="center"/>
              <w:rPr>
                <w:rFonts w:ascii="Times New Roman" w:hAnsi="Times New Roman"/>
              </w:rPr>
            </w:pPr>
            <w:r w:rsidRPr="009E1B38">
              <w:rPr>
                <w:rFonts w:ascii="Times New Roman" w:hAnsi="Times New Roman"/>
              </w:rPr>
              <w:t>30.09.2021</w:t>
            </w:r>
          </w:p>
        </w:tc>
        <w:tc>
          <w:tcPr>
            <w:tcW w:w="10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D4A851E" w14:textId="77777777" w:rsidR="00466FB6" w:rsidRPr="009E1B38" w:rsidRDefault="00466FB6" w:rsidP="00466FB6">
            <w:pPr>
              <w:jc w:val="center"/>
              <w:rPr>
                <w:rFonts w:ascii="Times New Roman" w:hAnsi="Times New Roman"/>
              </w:rPr>
            </w:pPr>
            <w:r w:rsidRPr="009E1B38">
              <w:rPr>
                <w:rFonts w:ascii="Times New Roman" w:hAnsi="Times New Roman"/>
              </w:rPr>
              <w:t>10470</w:t>
            </w:r>
          </w:p>
        </w:tc>
      </w:tr>
    </w:tbl>
    <w:p w14:paraId="7D4A8520" w14:textId="77777777" w:rsidR="002C3099" w:rsidRPr="009E1B38" w:rsidRDefault="002C3099" w:rsidP="002C3099">
      <w:pPr>
        <w:spacing w:after="0"/>
        <w:rPr>
          <w:rFonts w:ascii="Times New Roman" w:hAnsi="Times New Roman"/>
          <w:color w:val="000000"/>
        </w:rPr>
      </w:pPr>
    </w:p>
    <w:p w14:paraId="7D4A8521" w14:textId="77777777" w:rsidR="00D3422D" w:rsidRPr="009E1B38" w:rsidRDefault="00D3422D" w:rsidP="002C3099">
      <w:pPr>
        <w:spacing w:after="0"/>
        <w:rPr>
          <w:rFonts w:ascii="Times New Roman" w:hAnsi="Times New Roman"/>
          <w:color w:val="000000"/>
        </w:rPr>
      </w:pPr>
    </w:p>
    <w:p w14:paraId="7D4A8522" w14:textId="77777777" w:rsidR="00D3422D" w:rsidRPr="009E1B38" w:rsidRDefault="00D3422D" w:rsidP="002C3099">
      <w:pPr>
        <w:spacing w:after="0"/>
        <w:rPr>
          <w:rFonts w:ascii="Times New Roman" w:hAnsi="Times New Roman"/>
          <w:color w:val="000000"/>
        </w:rPr>
      </w:pPr>
    </w:p>
    <w:p w14:paraId="7D4A8523" w14:textId="77777777" w:rsidR="00D3422D" w:rsidRPr="009E1B38" w:rsidRDefault="00D3422D" w:rsidP="002C3099">
      <w:pPr>
        <w:spacing w:after="0"/>
        <w:rPr>
          <w:rFonts w:ascii="Times New Roman" w:hAnsi="Times New Roman"/>
          <w:color w:val="000000"/>
        </w:rPr>
      </w:pPr>
    </w:p>
    <w:p w14:paraId="7D4A8524" w14:textId="77777777" w:rsidR="00D3422D" w:rsidRPr="009E1B38" w:rsidRDefault="00D3422D" w:rsidP="002C3099">
      <w:pPr>
        <w:spacing w:after="0"/>
        <w:rPr>
          <w:rFonts w:ascii="Times New Roman" w:hAnsi="Times New Roman"/>
          <w:color w:val="000000"/>
        </w:rPr>
      </w:pPr>
    </w:p>
    <w:p w14:paraId="7D4A8525" w14:textId="77777777" w:rsidR="00D3422D" w:rsidRPr="009E1B38" w:rsidRDefault="00D3422D" w:rsidP="002C3099">
      <w:pPr>
        <w:spacing w:after="0"/>
        <w:rPr>
          <w:rFonts w:ascii="Times New Roman" w:hAnsi="Times New Roman"/>
          <w:color w:val="000000"/>
        </w:rPr>
      </w:pPr>
    </w:p>
    <w:p w14:paraId="7D4A8526" w14:textId="77777777" w:rsidR="00D3422D" w:rsidRPr="009E1B38" w:rsidRDefault="00D3422D" w:rsidP="002C3099">
      <w:pPr>
        <w:spacing w:after="0"/>
        <w:rPr>
          <w:rFonts w:ascii="Times New Roman" w:hAnsi="Times New Roman"/>
          <w:color w:val="000000"/>
        </w:rPr>
      </w:pPr>
    </w:p>
    <w:p w14:paraId="7D4A8527" w14:textId="77777777" w:rsidR="00D3422D" w:rsidRPr="009E1B38" w:rsidRDefault="00D3422D" w:rsidP="002C3099">
      <w:pPr>
        <w:spacing w:after="0"/>
        <w:rPr>
          <w:rFonts w:ascii="Times New Roman" w:hAnsi="Times New Roman"/>
          <w:color w:val="000000"/>
        </w:rPr>
      </w:pPr>
    </w:p>
    <w:p w14:paraId="19EF421E" w14:textId="77777777" w:rsidR="0081162D" w:rsidRPr="009E1B38" w:rsidRDefault="0081162D" w:rsidP="003F0CCE">
      <w:pPr>
        <w:rPr>
          <w:rFonts w:ascii="Times New Roman" w:hAnsi="Times New Roman"/>
        </w:rPr>
      </w:pPr>
      <w:r w:rsidRPr="009E1B38">
        <w:rPr>
          <w:rFonts w:ascii="Times New Roman" w:hAnsi="Times New Roman"/>
        </w:rPr>
        <w:t>With the Board Decisions specified in Table 4.5, the system operating income ceilings of the distribution companies for 2022 have been approved.</w:t>
      </w:r>
    </w:p>
    <w:p w14:paraId="037762FB" w14:textId="77777777" w:rsidR="0081162D" w:rsidRPr="009E1B38" w:rsidRDefault="0081162D" w:rsidP="002C3099">
      <w:pPr>
        <w:pStyle w:val="Balk5"/>
        <w:spacing w:before="0" w:line="269" w:lineRule="auto"/>
        <w:jc w:val="center"/>
        <w:rPr>
          <w:rStyle w:val="Gl"/>
          <w:rFonts w:ascii="Times New Roman" w:hAnsi="Times New Roman" w:cs="Times New Roman"/>
          <w:color w:val="auto"/>
        </w:rPr>
      </w:pPr>
    </w:p>
    <w:p w14:paraId="7AAB4170" w14:textId="77777777" w:rsidR="0081162D" w:rsidRPr="009E1B38" w:rsidRDefault="0081162D" w:rsidP="003F0CCE">
      <w:pPr>
        <w:pStyle w:val="Balk5"/>
        <w:jc w:val="center"/>
        <w:rPr>
          <w:rStyle w:val="Gl"/>
          <w:rFonts w:ascii="Times New Roman" w:hAnsi="Times New Roman" w:cs="Times New Roman"/>
          <w:b/>
          <w:bCs w:val="0"/>
        </w:rPr>
      </w:pPr>
      <w:bookmarkStart w:id="162" w:name="_Toc77092369"/>
      <w:bookmarkStart w:id="163" w:name="_Toc107499512"/>
      <w:r w:rsidRPr="009E1B38">
        <w:rPr>
          <w:rStyle w:val="Gl"/>
          <w:rFonts w:ascii="Times New Roman" w:hAnsi="Times New Roman" w:cs="Times New Roman"/>
          <w:b/>
          <w:bCs w:val="0"/>
        </w:rPr>
        <w:t>Table 4.5: Board Decisions Regarding the Approval of 2021 System Operation Revenue Ceilings of Distribution Companies</w:t>
      </w:r>
      <w:bookmarkEnd w:id="162"/>
      <w:bookmarkEnd w:id="163"/>
    </w:p>
    <w:tbl>
      <w:tblPr>
        <w:tblStyle w:val="TableNormal1"/>
        <w:tblW w:w="0" w:type="auto"/>
        <w:jc w:val="center"/>
        <w:tblLook w:val="01E0" w:firstRow="1" w:lastRow="1" w:firstColumn="1" w:lastColumn="1" w:noHBand="0" w:noVBand="0"/>
      </w:tblPr>
      <w:tblGrid>
        <w:gridCol w:w="4430"/>
        <w:gridCol w:w="2487"/>
        <w:gridCol w:w="2009"/>
      </w:tblGrid>
      <w:tr w:rsidR="00466FB6" w:rsidRPr="009E1B38" w14:paraId="7D4A852D"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shd w:val="clear" w:color="auto" w:fill="6E9ECA"/>
          </w:tcPr>
          <w:p w14:paraId="7D4A852A" w14:textId="1EC9D095" w:rsidR="00466FB6" w:rsidRPr="009E1B38" w:rsidRDefault="0081162D" w:rsidP="00466FB6">
            <w:pPr>
              <w:pStyle w:val="TableParagraph"/>
              <w:spacing w:before="152"/>
              <w:rPr>
                <w:rFonts w:ascii="Times New Roman" w:eastAsia="Calibri" w:hAnsi="Times New Roman" w:cs="Times New Roman"/>
              </w:rPr>
            </w:pPr>
            <w:r w:rsidRPr="009E1B38">
              <w:rPr>
                <w:rFonts w:ascii="Times New Roman" w:hAnsi="Times New Roman" w:cs="Times New Roman"/>
                <w:b/>
                <w:color w:val="FFFFFF"/>
                <w:spacing w:val="-1"/>
              </w:rPr>
              <w:t>Distribution Company Title</w:t>
            </w:r>
          </w:p>
        </w:tc>
        <w:tc>
          <w:tcPr>
            <w:tcW w:w="2487" w:type="dxa"/>
            <w:tcBorders>
              <w:top w:val="single" w:sz="4" w:space="0" w:color="BFBFBF"/>
              <w:left w:val="single" w:sz="4" w:space="0" w:color="BFBFBF"/>
              <w:bottom w:val="single" w:sz="4" w:space="0" w:color="BFBFBF"/>
              <w:right w:val="single" w:sz="4" w:space="0" w:color="BFBFBF"/>
            </w:tcBorders>
            <w:shd w:val="clear" w:color="auto" w:fill="6E9ECA"/>
          </w:tcPr>
          <w:p w14:paraId="7D4A852B" w14:textId="094734CE" w:rsidR="00466FB6" w:rsidRPr="009E1B38" w:rsidRDefault="0081162D" w:rsidP="00466FB6">
            <w:pPr>
              <w:pStyle w:val="TableParagraph"/>
              <w:spacing w:before="152"/>
              <w:ind w:left="379"/>
              <w:rPr>
                <w:rFonts w:ascii="Times New Roman" w:eastAsia="Calibri" w:hAnsi="Times New Roman" w:cs="Times New Roman"/>
              </w:rPr>
            </w:pPr>
            <w:r w:rsidRPr="009E1B38">
              <w:rPr>
                <w:rFonts w:ascii="Times New Roman" w:hAnsi="Times New Roman" w:cs="Times New Roman"/>
                <w:b/>
                <w:color w:val="FFFFFF"/>
                <w:spacing w:val="-1"/>
              </w:rPr>
              <w:t>Board Decision Date</w:t>
            </w:r>
          </w:p>
        </w:tc>
        <w:tc>
          <w:tcPr>
            <w:tcW w:w="2009" w:type="dxa"/>
            <w:tcBorders>
              <w:top w:val="single" w:sz="4" w:space="0" w:color="BFBFBF"/>
              <w:left w:val="single" w:sz="4" w:space="0" w:color="BFBFBF"/>
              <w:bottom w:val="single" w:sz="4" w:space="0" w:color="BFBFBF"/>
              <w:right w:val="single" w:sz="4" w:space="0" w:color="BFBFBF"/>
            </w:tcBorders>
            <w:shd w:val="clear" w:color="auto" w:fill="6E9ECA"/>
          </w:tcPr>
          <w:p w14:paraId="7D4A852C" w14:textId="19AAD84E" w:rsidR="00466FB6" w:rsidRPr="009E1B38" w:rsidRDefault="0081162D" w:rsidP="00466FB6">
            <w:pPr>
              <w:pStyle w:val="TableParagraph"/>
              <w:spacing w:before="152"/>
              <w:ind w:left="119"/>
              <w:rPr>
                <w:rFonts w:ascii="Times New Roman" w:eastAsia="Calibri" w:hAnsi="Times New Roman" w:cs="Times New Roman"/>
              </w:rPr>
            </w:pPr>
            <w:r w:rsidRPr="009E1B38">
              <w:rPr>
                <w:rFonts w:ascii="Times New Roman" w:hAnsi="Times New Roman" w:cs="Times New Roman"/>
                <w:b/>
                <w:color w:val="FFFFFF"/>
                <w:spacing w:val="-1"/>
              </w:rPr>
              <w:t>Number of Board</w:t>
            </w:r>
          </w:p>
        </w:tc>
      </w:tr>
      <w:tr w:rsidR="00466FB6" w:rsidRPr="009E1B38" w14:paraId="7D4A8531"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2E"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ADM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2F" w14:textId="77777777" w:rsidR="00466FB6" w:rsidRPr="009E1B38" w:rsidRDefault="00466FB6" w:rsidP="00466FB6">
            <w:pPr>
              <w:pStyle w:val="TableParagraph"/>
              <w:spacing w:before="40"/>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30"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10703-1</w:t>
            </w:r>
          </w:p>
        </w:tc>
      </w:tr>
      <w:tr w:rsidR="00466FB6" w:rsidRPr="009E1B38" w14:paraId="7D4A8535"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32"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Akdeniz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33"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34"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10703-2</w:t>
            </w:r>
          </w:p>
        </w:tc>
      </w:tr>
      <w:tr w:rsidR="00466FB6" w:rsidRPr="009E1B38" w14:paraId="7D4A8539"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36"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Akedaş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37"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38"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10703-3</w:t>
            </w:r>
          </w:p>
        </w:tc>
      </w:tr>
      <w:tr w:rsidR="00466FB6" w:rsidRPr="009E1B38" w14:paraId="7D4A853D"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3A"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Aras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3B"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3C"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10703-4</w:t>
            </w:r>
          </w:p>
        </w:tc>
      </w:tr>
      <w:tr w:rsidR="00466FB6" w:rsidRPr="009E1B38" w14:paraId="7D4A8541"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3E"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Başkent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3F"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40"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10703-5</w:t>
            </w:r>
          </w:p>
        </w:tc>
      </w:tr>
      <w:tr w:rsidR="00466FB6" w:rsidRPr="009E1B38" w14:paraId="7D4A8545"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42"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Boğaziçi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43"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44"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10703-6</w:t>
            </w:r>
          </w:p>
        </w:tc>
      </w:tr>
      <w:tr w:rsidR="00466FB6" w:rsidRPr="009E1B38" w14:paraId="7D4A8549"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46"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Çamlıbel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47"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48"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10703-7</w:t>
            </w:r>
          </w:p>
        </w:tc>
      </w:tr>
      <w:tr w:rsidR="00466FB6" w:rsidRPr="009E1B38" w14:paraId="7D4A854D"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4A"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Çoruh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4B"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4C"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10703-8</w:t>
            </w:r>
          </w:p>
        </w:tc>
      </w:tr>
      <w:tr w:rsidR="00466FB6" w:rsidRPr="009E1B38" w14:paraId="7D4A8551"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4E"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Dicle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4F"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50"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10703-9</w:t>
            </w:r>
          </w:p>
        </w:tc>
      </w:tr>
      <w:tr w:rsidR="00466FB6" w:rsidRPr="009E1B38" w14:paraId="7D4A8555"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52"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Fırat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53"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54"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10703-10</w:t>
            </w:r>
          </w:p>
        </w:tc>
      </w:tr>
      <w:tr w:rsidR="00466FB6" w:rsidRPr="009E1B38" w14:paraId="7D4A8559"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56"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GDZ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57"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58"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10703-11</w:t>
            </w:r>
          </w:p>
        </w:tc>
      </w:tr>
      <w:tr w:rsidR="00466FB6" w:rsidRPr="009E1B38" w14:paraId="7D4A855D"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5A"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İstanbul Anadolu Yakası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5B"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5C"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10703-12</w:t>
            </w:r>
          </w:p>
        </w:tc>
      </w:tr>
      <w:tr w:rsidR="00466FB6" w:rsidRPr="009E1B38" w14:paraId="7D4A8561"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5E"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Kayseri ve Civarı Elektrik Türk A.Ş.</w:t>
            </w:r>
          </w:p>
        </w:tc>
        <w:tc>
          <w:tcPr>
            <w:tcW w:w="2487" w:type="dxa"/>
            <w:tcBorders>
              <w:top w:val="single" w:sz="4" w:space="0" w:color="BFBFBF"/>
              <w:left w:val="single" w:sz="4" w:space="0" w:color="BFBFBF"/>
              <w:bottom w:val="single" w:sz="4" w:space="0" w:color="BFBFBF"/>
              <w:right w:val="single" w:sz="4" w:space="0" w:color="BFBFBF"/>
            </w:tcBorders>
          </w:tcPr>
          <w:p w14:paraId="7D4A855F"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60"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10703-13</w:t>
            </w:r>
          </w:p>
        </w:tc>
      </w:tr>
      <w:tr w:rsidR="00466FB6" w:rsidRPr="009E1B38" w14:paraId="7D4A8565"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62"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Meram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63"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64"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10703-14</w:t>
            </w:r>
          </w:p>
        </w:tc>
      </w:tr>
      <w:tr w:rsidR="00466FB6" w:rsidRPr="009E1B38" w14:paraId="7D4A8569"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66"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Osmangazi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67"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68"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10703-15</w:t>
            </w:r>
          </w:p>
        </w:tc>
      </w:tr>
      <w:tr w:rsidR="00466FB6" w:rsidRPr="009E1B38" w14:paraId="7D4A856D"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6A"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Sakarya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6B"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6C"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10703-16</w:t>
            </w:r>
          </w:p>
        </w:tc>
      </w:tr>
      <w:tr w:rsidR="00466FB6" w:rsidRPr="009E1B38" w14:paraId="7D4A8571"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6E"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Toroslar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6F"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70"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10703-17</w:t>
            </w:r>
          </w:p>
        </w:tc>
      </w:tr>
      <w:tr w:rsidR="00466FB6" w:rsidRPr="009E1B38" w14:paraId="7D4A8575"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72"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Trakya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73"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74"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10703-18</w:t>
            </w:r>
          </w:p>
        </w:tc>
      </w:tr>
      <w:tr w:rsidR="00466FB6" w:rsidRPr="009E1B38" w14:paraId="7D4A8579"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76"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Uludağ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77"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78"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10703-19</w:t>
            </w:r>
          </w:p>
        </w:tc>
      </w:tr>
      <w:tr w:rsidR="00466FB6" w:rsidRPr="009E1B38" w14:paraId="7D4A857D"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7A"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Vangölü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7B"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7C"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10703-20</w:t>
            </w:r>
          </w:p>
        </w:tc>
      </w:tr>
      <w:tr w:rsidR="00466FB6" w:rsidRPr="009E1B38" w14:paraId="7D4A8581" w14:textId="7777777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A857E"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Yeşilırmak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D4A857F" w14:textId="77777777" w:rsidR="00466FB6" w:rsidRPr="009E1B38" w:rsidRDefault="00466FB6" w:rsidP="00466FB6">
            <w:pPr>
              <w:pStyle w:val="TableParagraph"/>
              <w:ind w:left="653"/>
              <w:rPr>
                <w:rFonts w:ascii="Times New Roman" w:eastAsia="Calibri" w:hAnsi="Times New Roman" w:cs="Times New Roman"/>
              </w:rPr>
            </w:pPr>
            <w:r w:rsidRPr="009E1B38">
              <w:rPr>
                <w:rFonts w:ascii="Times New Roman" w:eastAsia="Calibri" w:hAnsi="Times New Roman" w:cs="Times New Roman"/>
              </w:rPr>
              <w:t>30.12.2021</w:t>
            </w:r>
          </w:p>
        </w:tc>
        <w:tc>
          <w:tcPr>
            <w:tcW w:w="2009" w:type="dxa"/>
            <w:tcBorders>
              <w:top w:val="single" w:sz="4" w:space="0" w:color="BFBFBF"/>
              <w:left w:val="single" w:sz="4" w:space="0" w:color="BFBFBF"/>
              <w:bottom w:val="single" w:sz="4" w:space="0" w:color="BFBFBF"/>
              <w:right w:val="single" w:sz="4" w:space="0" w:color="BFBFBF"/>
            </w:tcBorders>
          </w:tcPr>
          <w:p w14:paraId="7D4A8580" w14:textId="77777777" w:rsidR="00466FB6" w:rsidRPr="009E1B38" w:rsidRDefault="00466FB6" w:rsidP="00466FB6">
            <w:pPr>
              <w:pStyle w:val="TableParagraph"/>
              <w:spacing w:before="40"/>
              <w:ind w:left="560"/>
              <w:rPr>
                <w:rFonts w:ascii="Times New Roman" w:eastAsia="Calibri" w:hAnsi="Times New Roman" w:cs="Times New Roman"/>
              </w:rPr>
            </w:pPr>
            <w:r w:rsidRPr="009E1B38">
              <w:rPr>
                <w:rFonts w:ascii="Times New Roman" w:eastAsia="Calibri" w:hAnsi="Times New Roman" w:cs="Times New Roman"/>
              </w:rPr>
              <w:t>10703-21</w:t>
            </w:r>
          </w:p>
        </w:tc>
      </w:tr>
    </w:tbl>
    <w:p w14:paraId="7D4A8587" w14:textId="77777777" w:rsidR="00D3422D" w:rsidRPr="009E1B38" w:rsidRDefault="00D3422D" w:rsidP="002C3099">
      <w:pPr>
        <w:spacing w:before="120" w:after="0"/>
        <w:rPr>
          <w:rFonts w:ascii="Times New Roman" w:hAnsi="Times New Roman"/>
          <w:color w:val="000000" w:themeColor="text1"/>
          <w:highlight w:val="yellow"/>
        </w:rPr>
      </w:pPr>
    </w:p>
    <w:p w14:paraId="3F3514BE" w14:textId="77777777" w:rsidR="0081162D" w:rsidRPr="009E1B38" w:rsidRDefault="0081162D" w:rsidP="0081162D">
      <w:pPr>
        <w:pStyle w:val="AralkYok"/>
        <w:spacing w:line="276" w:lineRule="auto"/>
        <w:jc w:val="both"/>
        <w:rPr>
          <w:rFonts w:ascii="Times New Roman" w:eastAsia="Calibri" w:hAnsi="Times New Roman" w:cs="Times New Roman"/>
          <w:color w:val="000000" w:themeColor="text1"/>
          <w:lang w:val="en-US" w:eastAsia="en-US"/>
        </w:rPr>
      </w:pPr>
      <w:r w:rsidRPr="009E1B38">
        <w:rPr>
          <w:rFonts w:ascii="Times New Roman" w:eastAsia="Calibri" w:hAnsi="Times New Roman" w:cs="Times New Roman"/>
          <w:color w:val="000000" w:themeColor="text1"/>
          <w:lang w:val="en-US" w:eastAsia="en-US"/>
        </w:rPr>
        <w:t>With the Board Decisions stated in the table below, the retail sales revenue ceilings of the assigned supply companies for 2022 have been approved.</w:t>
      </w:r>
    </w:p>
    <w:p w14:paraId="7D4A8589" w14:textId="77777777" w:rsidR="002C3099" w:rsidRPr="009E1B38" w:rsidRDefault="002C3099" w:rsidP="002C3099">
      <w:pPr>
        <w:pStyle w:val="AralkYok"/>
        <w:rPr>
          <w:rStyle w:val="Gl"/>
          <w:rFonts w:ascii="Times New Roman" w:hAnsi="Times New Roman" w:cs="Times New Roman"/>
          <w:lang w:val="en-US"/>
        </w:rPr>
      </w:pPr>
    </w:p>
    <w:p w14:paraId="76B105E8" w14:textId="77777777" w:rsidR="0081162D" w:rsidRPr="009E1B38" w:rsidRDefault="0081162D" w:rsidP="002F3B01">
      <w:pPr>
        <w:pStyle w:val="Balk5"/>
        <w:jc w:val="center"/>
        <w:rPr>
          <w:rStyle w:val="Gl"/>
          <w:rFonts w:ascii="Times New Roman" w:hAnsi="Times New Roman" w:cs="Times New Roman"/>
          <w:b/>
          <w:bCs w:val="0"/>
        </w:rPr>
      </w:pPr>
      <w:bookmarkStart w:id="164" w:name="_Toc66267472"/>
      <w:bookmarkStart w:id="165" w:name="_Toc77092370"/>
      <w:bookmarkStart w:id="166" w:name="_Toc107499513"/>
      <w:r w:rsidRPr="009E1B38">
        <w:rPr>
          <w:rStyle w:val="Gl"/>
          <w:rFonts w:ascii="Times New Roman" w:hAnsi="Times New Roman" w:cs="Times New Roman"/>
          <w:b/>
          <w:bCs w:val="0"/>
        </w:rPr>
        <w:t xml:space="preserve">Table 4.6: </w:t>
      </w:r>
      <w:bookmarkEnd w:id="164"/>
      <w:r w:rsidRPr="009E1B38">
        <w:rPr>
          <w:rStyle w:val="Gl"/>
          <w:rFonts w:ascii="Times New Roman" w:hAnsi="Times New Roman" w:cs="Times New Roman"/>
          <w:b/>
          <w:bCs w:val="0"/>
        </w:rPr>
        <w:t>Board Decisions Regarding the Approval of Retail Sales Revenue Ceilings for the Year 2022 of the Incumbent Supply Companies</w:t>
      </w:r>
      <w:bookmarkEnd w:id="165"/>
      <w:bookmarkEnd w:id="166"/>
    </w:p>
    <w:tbl>
      <w:tblPr>
        <w:tblW w:w="0" w:type="auto"/>
        <w:jc w:val="center"/>
        <w:tblLook w:val="01E0" w:firstRow="1" w:lastRow="1" w:firstColumn="1" w:lastColumn="1" w:noHBand="0" w:noVBand="0"/>
      </w:tblPr>
      <w:tblGrid>
        <w:gridCol w:w="5243"/>
        <w:gridCol w:w="2139"/>
        <w:gridCol w:w="1988"/>
      </w:tblGrid>
      <w:tr w:rsidR="002C3099" w:rsidRPr="009E1B38" w14:paraId="7D4A858E" w14:textId="77777777" w:rsidTr="00265C20">
        <w:trPr>
          <w:trHeight w:hRule="exact" w:val="654"/>
          <w:tblHeader/>
          <w:jc w:val="center"/>
        </w:trPr>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7D4A858B" w14:textId="774BE4B5" w:rsidR="002C3099" w:rsidRPr="009E1B38" w:rsidRDefault="0081162D" w:rsidP="008A71D6">
            <w:pPr>
              <w:pStyle w:val="TableParagraph"/>
              <w:spacing w:before="48"/>
              <w:ind w:left="22"/>
              <w:rPr>
                <w:rFonts w:ascii="Times New Roman" w:eastAsia="Calibri" w:hAnsi="Times New Roman" w:cs="Times New Roman"/>
              </w:rPr>
            </w:pPr>
            <w:bookmarkStart w:id="167" w:name="_Hlk67494078"/>
            <w:r w:rsidRPr="009E1B38">
              <w:rPr>
                <w:rFonts w:ascii="Times New Roman" w:hAnsi="Times New Roman" w:cs="Times New Roman"/>
                <w:b/>
                <w:color w:val="FFFFFF"/>
                <w:spacing w:val="-1"/>
              </w:rPr>
              <w:t xml:space="preserve"> Incumbent Supply Company Title</w:t>
            </w:r>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7D4A858C" w14:textId="38FB8A57" w:rsidR="002C3099" w:rsidRPr="009E1B38" w:rsidRDefault="0081162D" w:rsidP="002C3099">
            <w:pPr>
              <w:pStyle w:val="TableParagraph"/>
              <w:spacing w:before="48"/>
              <w:ind w:left="11"/>
              <w:rPr>
                <w:rFonts w:ascii="Times New Roman" w:eastAsia="Calibri" w:hAnsi="Times New Roman" w:cs="Times New Roman"/>
              </w:rPr>
            </w:pPr>
            <w:r w:rsidRPr="009E1B38">
              <w:rPr>
                <w:rFonts w:ascii="Times New Roman" w:hAnsi="Times New Roman" w:cs="Times New Roman"/>
                <w:b/>
                <w:color w:val="FFFFFF"/>
                <w:spacing w:val="-1"/>
              </w:rPr>
              <w:t>Board Decision Date</w:t>
            </w:r>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7D4A858D" w14:textId="2FFE019A" w:rsidR="002C3099" w:rsidRPr="009E1B38" w:rsidRDefault="0081162D" w:rsidP="002C3099">
            <w:pPr>
              <w:pStyle w:val="TableParagraph"/>
              <w:spacing w:before="48"/>
              <w:ind w:left="124"/>
              <w:rPr>
                <w:rFonts w:ascii="Times New Roman" w:eastAsia="Calibri" w:hAnsi="Times New Roman" w:cs="Times New Roman"/>
              </w:rPr>
            </w:pPr>
            <w:r w:rsidRPr="009E1B38">
              <w:rPr>
                <w:rFonts w:ascii="Times New Roman" w:hAnsi="Times New Roman" w:cs="Times New Roman"/>
                <w:b/>
                <w:color w:val="FFFFFF"/>
                <w:spacing w:val="-1"/>
              </w:rPr>
              <w:t>Number of Board</w:t>
            </w:r>
          </w:p>
        </w:tc>
      </w:tr>
      <w:tr w:rsidR="00466FB6" w:rsidRPr="009E1B38" w14:paraId="7D4A8592"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8F"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lastRenderedPageBreak/>
              <w:t>Akedaş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90"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91"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10705-1</w:t>
            </w:r>
          </w:p>
        </w:tc>
      </w:tr>
      <w:tr w:rsidR="00466FB6" w:rsidRPr="009E1B38" w14:paraId="7D4A8596"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93"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Aras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94"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95"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10705-2</w:t>
            </w:r>
          </w:p>
        </w:tc>
      </w:tr>
      <w:tr w:rsidR="00466FB6" w:rsidRPr="009E1B38" w14:paraId="7D4A859A"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97"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Aydem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98"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99"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10705-3</w:t>
            </w:r>
          </w:p>
        </w:tc>
      </w:tr>
      <w:tr w:rsidR="00466FB6" w:rsidRPr="009E1B38" w14:paraId="7D4A859E"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9B"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CK Akdeniz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9C"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9D"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10705-4</w:t>
            </w:r>
          </w:p>
        </w:tc>
      </w:tr>
      <w:tr w:rsidR="00466FB6" w:rsidRPr="009E1B38" w14:paraId="7D4A85A2"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9F"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CK Boğaziçi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A0"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A1"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10705-5</w:t>
            </w:r>
          </w:p>
        </w:tc>
      </w:tr>
      <w:tr w:rsidR="00466FB6" w:rsidRPr="009E1B38" w14:paraId="7D4A85A6"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A3"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CK Çamlıbel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A4"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A5"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10705-6</w:t>
            </w:r>
          </w:p>
        </w:tc>
      </w:tr>
      <w:tr w:rsidR="00466FB6" w:rsidRPr="009E1B38" w14:paraId="7D4A85AA"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A7"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Çoruh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A8"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A9"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10705-7</w:t>
            </w:r>
          </w:p>
        </w:tc>
      </w:tr>
      <w:tr w:rsidR="00466FB6" w:rsidRPr="009E1B38" w14:paraId="7D4A85AE"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AB"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Dicle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AC"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AD"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10705-8</w:t>
            </w:r>
          </w:p>
        </w:tc>
      </w:tr>
      <w:tr w:rsidR="00466FB6" w:rsidRPr="009E1B38" w14:paraId="7D4A85B2"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AF"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Enerjisa Başkent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B0"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B1"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10705-9</w:t>
            </w:r>
          </w:p>
        </w:tc>
      </w:tr>
      <w:tr w:rsidR="00466FB6" w:rsidRPr="009E1B38" w14:paraId="7D4A85B6"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B3"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Enerjisa İstanbul Anadolu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B4"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B5"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10705-10</w:t>
            </w:r>
          </w:p>
        </w:tc>
      </w:tr>
      <w:tr w:rsidR="00466FB6" w:rsidRPr="009E1B38" w14:paraId="7D4A85BA"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B7"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Enerjisa Toroslar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B8"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B9"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10705-11</w:t>
            </w:r>
          </w:p>
        </w:tc>
      </w:tr>
      <w:tr w:rsidR="00466FB6" w:rsidRPr="009E1B38" w14:paraId="7D4A85BE"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BB"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Fırat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BC"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BD"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10705-12</w:t>
            </w:r>
          </w:p>
        </w:tc>
      </w:tr>
      <w:tr w:rsidR="00466FB6" w:rsidRPr="009E1B38" w14:paraId="7D4A85C2"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BF"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Gediz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C0"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C1"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10705-13</w:t>
            </w:r>
          </w:p>
        </w:tc>
      </w:tr>
      <w:tr w:rsidR="00466FB6" w:rsidRPr="009E1B38" w14:paraId="7D4A85C6"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C3"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Kayseri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C4"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C5"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10705-14</w:t>
            </w:r>
          </w:p>
        </w:tc>
      </w:tr>
      <w:tr w:rsidR="00466FB6" w:rsidRPr="009E1B38" w14:paraId="7D4A85CA"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C7"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Limak Uludağ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C8"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C9"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10705-15</w:t>
            </w:r>
          </w:p>
        </w:tc>
      </w:tr>
      <w:tr w:rsidR="00466FB6" w:rsidRPr="009E1B38" w14:paraId="7D4A85CE"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CB"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Meram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CC"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CD"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10705-16</w:t>
            </w:r>
          </w:p>
        </w:tc>
      </w:tr>
      <w:tr w:rsidR="00466FB6" w:rsidRPr="009E1B38" w14:paraId="7D4A85D2"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CF"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Osmangazi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D0"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D1"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10705-17</w:t>
            </w:r>
          </w:p>
        </w:tc>
      </w:tr>
      <w:tr w:rsidR="00466FB6" w:rsidRPr="009E1B38" w14:paraId="7D4A85D6"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D3"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Sakarya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D4"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D5"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10705-18</w:t>
            </w:r>
          </w:p>
        </w:tc>
      </w:tr>
      <w:tr w:rsidR="00466FB6" w:rsidRPr="009E1B38" w14:paraId="7D4A85DA"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D7"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Trakya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D8"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D9"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10705-19</w:t>
            </w:r>
          </w:p>
        </w:tc>
      </w:tr>
      <w:tr w:rsidR="00466FB6" w:rsidRPr="009E1B38" w14:paraId="7D4A85DE"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DB"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Türkerler Vangölü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DC"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DD"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10705-20</w:t>
            </w:r>
          </w:p>
        </w:tc>
      </w:tr>
      <w:tr w:rsidR="00466FB6" w:rsidRPr="009E1B38" w14:paraId="7D4A85E2" w14:textId="7777777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4A85DF" w14:textId="77777777" w:rsidR="00466FB6" w:rsidRPr="009E1B38" w:rsidRDefault="00466FB6" w:rsidP="00466FB6">
            <w:pPr>
              <w:pStyle w:val="TableParagraph"/>
              <w:spacing w:before="20"/>
              <w:ind w:left="65"/>
              <w:rPr>
                <w:rFonts w:ascii="Times New Roman" w:eastAsia="Calibri" w:hAnsi="Times New Roman" w:cs="Times New Roman"/>
              </w:rPr>
            </w:pPr>
            <w:r w:rsidRPr="009E1B38">
              <w:rPr>
                <w:rFonts w:ascii="Times New Roman" w:eastAsia="Calibri" w:hAnsi="Times New Roman" w:cs="Times New Roman"/>
              </w:rPr>
              <w:t>Yeşilırmak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D4A85E0" w14:textId="77777777" w:rsidR="00466FB6" w:rsidRPr="009E1B38" w:rsidRDefault="00466FB6" w:rsidP="00265C20">
            <w:pPr>
              <w:pStyle w:val="TableParagraph"/>
              <w:spacing w:before="20"/>
              <w:ind w:left="153"/>
              <w:jc w:val="center"/>
              <w:rPr>
                <w:rFonts w:ascii="Times New Roman" w:eastAsia="Calibri" w:hAnsi="Times New Roman" w:cs="Times New Roman"/>
              </w:rPr>
            </w:pPr>
            <w:r w:rsidRPr="009E1B38">
              <w:rPr>
                <w:rFonts w:ascii="Times New Roman" w:eastAsia="Calibri" w:hAnsi="Times New Roman" w:cs="Times New Roman"/>
              </w:rPr>
              <w:t>30.12.2021</w:t>
            </w:r>
          </w:p>
        </w:tc>
        <w:tc>
          <w:tcPr>
            <w:tcW w:w="0" w:type="auto"/>
            <w:tcBorders>
              <w:top w:val="single" w:sz="4" w:space="0" w:color="BFBFBF"/>
              <w:left w:val="single" w:sz="4" w:space="0" w:color="BFBFBF"/>
              <w:bottom w:val="single" w:sz="4" w:space="0" w:color="BFBFBF"/>
              <w:right w:val="single" w:sz="4" w:space="0" w:color="BFBFBF"/>
            </w:tcBorders>
          </w:tcPr>
          <w:p w14:paraId="7D4A85E1" w14:textId="77777777" w:rsidR="00466FB6" w:rsidRPr="009E1B38" w:rsidRDefault="00466FB6" w:rsidP="00466FB6">
            <w:pPr>
              <w:pStyle w:val="TableParagraph"/>
              <w:spacing w:before="20"/>
              <w:jc w:val="center"/>
              <w:rPr>
                <w:rFonts w:ascii="Times New Roman" w:eastAsia="Calibri" w:hAnsi="Times New Roman" w:cs="Times New Roman"/>
              </w:rPr>
            </w:pPr>
            <w:r w:rsidRPr="009E1B38">
              <w:rPr>
                <w:rFonts w:ascii="Times New Roman" w:eastAsia="Calibri" w:hAnsi="Times New Roman" w:cs="Times New Roman"/>
              </w:rPr>
              <w:t>10705-21</w:t>
            </w:r>
          </w:p>
        </w:tc>
      </w:tr>
      <w:bookmarkEnd w:id="167"/>
    </w:tbl>
    <w:p w14:paraId="7D4A85E3" w14:textId="77777777" w:rsidR="002C3099" w:rsidRPr="009E1B38" w:rsidRDefault="002C3099" w:rsidP="002C3099">
      <w:pPr>
        <w:pStyle w:val="GvdeMetni"/>
        <w:spacing w:before="55" w:line="276" w:lineRule="auto"/>
        <w:ind w:left="0" w:right="103"/>
        <w:rPr>
          <w:rFonts w:eastAsia="Calibri" w:cs="Times New Roman"/>
          <w:color w:val="000000" w:themeColor="text1"/>
          <w:sz w:val="22"/>
          <w:szCs w:val="22"/>
        </w:rPr>
      </w:pPr>
    </w:p>
    <w:p w14:paraId="3EAC1F44" w14:textId="77777777" w:rsidR="002E2FD0" w:rsidRPr="009E1B38" w:rsidRDefault="002E2FD0" w:rsidP="002E2FD0">
      <w:pPr>
        <w:pStyle w:val="GvdeMetni"/>
        <w:spacing w:before="55" w:line="276" w:lineRule="auto"/>
        <w:ind w:left="0" w:right="103"/>
        <w:rPr>
          <w:rFonts w:eastAsia="Calibri" w:cs="Times New Roman"/>
          <w:color w:val="000000" w:themeColor="text1"/>
          <w:sz w:val="22"/>
          <w:szCs w:val="22"/>
        </w:rPr>
      </w:pPr>
      <w:r w:rsidRPr="009E1B38">
        <w:rPr>
          <w:rFonts w:eastAsia="Calibri" w:cs="Times New Roman"/>
          <w:color w:val="000000" w:themeColor="text1"/>
          <w:sz w:val="22"/>
          <w:szCs w:val="22"/>
        </w:rPr>
        <w:t>Moreover; As shown in Table 4.7, with the Board Decisions dated 10/12/2020, the investment plans of electricity distribution companies for the years 2021-2025 for the fourth implementation period that started on 01/01/2021 were approved and some electricity distribution companies' investment plans for the years 2021-2025 were approved by the Board Decisions taken later. Investment plans were revised.</w:t>
      </w:r>
    </w:p>
    <w:p w14:paraId="3F39AB09" w14:textId="77777777" w:rsidR="0027490C" w:rsidRPr="009E1B38" w:rsidRDefault="0027490C" w:rsidP="002E2FD0">
      <w:pPr>
        <w:pStyle w:val="GvdeMetni"/>
        <w:spacing w:before="55" w:line="276" w:lineRule="auto"/>
        <w:ind w:left="0" w:right="103"/>
        <w:rPr>
          <w:rFonts w:eastAsia="Calibri" w:cs="Times New Roman"/>
          <w:color w:val="000000" w:themeColor="text1"/>
          <w:sz w:val="22"/>
          <w:szCs w:val="22"/>
        </w:rPr>
      </w:pPr>
    </w:p>
    <w:p w14:paraId="5765ECF0" w14:textId="77777777" w:rsidR="0027490C" w:rsidRPr="009E1B38" w:rsidRDefault="0027490C" w:rsidP="002E2FD0">
      <w:pPr>
        <w:pStyle w:val="GvdeMetni"/>
        <w:spacing w:before="55" w:line="276" w:lineRule="auto"/>
        <w:ind w:left="0" w:right="103"/>
        <w:rPr>
          <w:rFonts w:eastAsia="Calibri" w:cs="Times New Roman"/>
          <w:color w:val="000000" w:themeColor="text1"/>
          <w:sz w:val="22"/>
          <w:szCs w:val="22"/>
        </w:rPr>
      </w:pPr>
    </w:p>
    <w:p w14:paraId="2E6DE791" w14:textId="77777777" w:rsidR="0027490C" w:rsidRPr="009E1B38" w:rsidRDefault="0027490C" w:rsidP="002E2FD0">
      <w:pPr>
        <w:pStyle w:val="GvdeMetni"/>
        <w:spacing w:before="55" w:line="276" w:lineRule="auto"/>
        <w:ind w:left="0" w:right="103"/>
        <w:rPr>
          <w:rFonts w:eastAsia="Calibri" w:cs="Times New Roman"/>
          <w:color w:val="000000" w:themeColor="text1"/>
          <w:sz w:val="22"/>
          <w:szCs w:val="22"/>
        </w:rPr>
      </w:pPr>
    </w:p>
    <w:p w14:paraId="09723D25" w14:textId="77777777" w:rsidR="0027490C" w:rsidRPr="009E1B38" w:rsidRDefault="0027490C" w:rsidP="002E2FD0">
      <w:pPr>
        <w:pStyle w:val="GvdeMetni"/>
        <w:spacing w:before="55" w:line="276" w:lineRule="auto"/>
        <w:ind w:left="0" w:right="103"/>
        <w:rPr>
          <w:rFonts w:eastAsia="Calibri" w:cs="Times New Roman"/>
          <w:color w:val="000000" w:themeColor="text1"/>
          <w:sz w:val="22"/>
          <w:szCs w:val="22"/>
        </w:rPr>
      </w:pPr>
    </w:p>
    <w:p w14:paraId="7D4A85E7" w14:textId="77777777" w:rsidR="00DB1D44" w:rsidRPr="009E1B38" w:rsidRDefault="00DB1D44" w:rsidP="002C3099">
      <w:pPr>
        <w:pStyle w:val="GvdeMetni"/>
        <w:spacing w:before="55" w:line="276" w:lineRule="auto"/>
        <w:ind w:left="0" w:right="103"/>
        <w:rPr>
          <w:rFonts w:eastAsia="Calibri" w:cs="Times New Roman"/>
          <w:color w:val="000000" w:themeColor="text1"/>
          <w:sz w:val="22"/>
          <w:szCs w:val="22"/>
        </w:rPr>
      </w:pPr>
    </w:p>
    <w:p w14:paraId="1421D3DD" w14:textId="77777777" w:rsidR="002E2FD0" w:rsidRPr="009E1B38" w:rsidRDefault="002E2FD0" w:rsidP="002F3B01">
      <w:pPr>
        <w:pStyle w:val="Balk5"/>
        <w:jc w:val="center"/>
        <w:rPr>
          <w:rStyle w:val="Gl"/>
          <w:rFonts w:ascii="Times New Roman" w:hAnsi="Times New Roman" w:cs="Times New Roman"/>
          <w:b/>
          <w:bCs w:val="0"/>
        </w:rPr>
      </w:pPr>
      <w:bookmarkStart w:id="168" w:name="_bookmark77"/>
      <w:bookmarkStart w:id="169" w:name="_Toc77092371"/>
      <w:bookmarkStart w:id="170" w:name="_Toc107499514"/>
      <w:bookmarkEnd w:id="168"/>
      <w:r w:rsidRPr="009E1B38">
        <w:rPr>
          <w:rStyle w:val="Gl"/>
          <w:rFonts w:ascii="Times New Roman" w:hAnsi="Times New Roman" w:cs="Times New Roman"/>
          <w:b/>
          <w:bCs w:val="0"/>
        </w:rPr>
        <w:t>Table 4.7: Board Decisions Regarding the Revision of the Investment Plans for the Years 20</w:t>
      </w:r>
      <w:bookmarkEnd w:id="169"/>
      <w:r w:rsidRPr="009E1B38">
        <w:rPr>
          <w:rStyle w:val="Gl"/>
          <w:rFonts w:ascii="Times New Roman" w:hAnsi="Times New Roman" w:cs="Times New Roman"/>
          <w:b/>
          <w:bCs w:val="0"/>
        </w:rPr>
        <w:t>21-2025</w:t>
      </w:r>
      <w:bookmarkEnd w:id="170"/>
    </w:p>
    <w:tbl>
      <w:tblPr>
        <w:tblW w:w="8642" w:type="dxa"/>
        <w:jc w:val="center"/>
        <w:tblLayout w:type="fixed"/>
        <w:tblLook w:val="01E0" w:firstRow="1" w:lastRow="1" w:firstColumn="1" w:lastColumn="1" w:noHBand="0" w:noVBand="0"/>
      </w:tblPr>
      <w:tblGrid>
        <w:gridCol w:w="4390"/>
        <w:gridCol w:w="2590"/>
        <w:gridCol w:w="1662"/>
      </w:tblGrid>
      <w:tr w:rsidR="007E7375" w:rsidRPr="009E1B38" w14:paraId="7D4A85EC" w14:textId="77777777" w:rsidTr="000E0722">
        <w:trPr>
          <w:trHeight w:hRule="exact" w:val="690"/>
          <w:tblHeader/>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tcPr>
          <w:p w14:paraId="7D4A85E9" w14:textId="4AAC45C0" w:rsidR="007E7375" w:rsidRPr="009E1B38" w:rsidRDefault="002E2FD0" w:rsidP="007E7375">
            <w:pPr>
              <w:widowControl w:val="0"/>
              <w:spacing w:before="48" w:after="0" w:line="240" w:lineRule="auto"/>
              <w:ind w:left="164"/>
              <w:jc w:val="left"/>
              <w:rPr>
                <w:rFonts w:ascii="Times New Roman" w:hAnsi="Times New Roman"/>
              </w:rPr>
            </w:pPr>
            <w:r w:rsidRPr="009E1B38">
              <w:rPr>
                <w:rFonts w:ascii="Times New Roman" w:hAnsi="Times New Roman"/>
                <w:b/>
                <w:color w:val="FFFFFF"/>
                <w:spacing w:val="-1"/>
              </w:rPr>
              <w:t>Distribution Company Title</w:t>
            </w:r>
          </w:p>
        </w:tc>
        <w:tc>
          <w:tcPr>
            <w:tcW w:w="2590" w:type="dxa"/>
            <w:tcBorders>
              <w:top w:val="single" w:sz="4" w:space="0" w:color="D9D9D9"/>
              <w:left w:val="single" w:sz="4" w:space="0" w:color="D9D9D9"/>
              <w:bottom w:val="single" w:sz="4" w:space="0" w:color="D9D9D9"/>
              <w:right w:val="single" w:sz="4" w:space="0" w:color="D9D9D9"/>
            </w:tcBorders>
            <w:shd w:val="clear" w:color="auto" w:fill="6E9ECA"/>
          </w:tcPr>
          <w:p w14:paraId="7D4A85EA" w14:textId="73AA7008" w:rsidR="007E7375" w:rsidRPr="009E1B38" w:rsidRDefault="002E2FD0" w:rsidP="007E7375">
            <w:pPr>
              <w:widowControl w:val="0"/>
              <w:spacing w:before="48" w:after="0" w:line="240" w:lineRule="auto"/>
              <w:ind w:left="512"/>
              <w:jc w:val="left"/>
              <w:rPr>
                <w:rFonts w:ascii="Times New Roman" w:hAnsi="Times New Roman"/>
              </w:rPr>
            </w:pPr>
            <w:r w:rsidRPr="009E1B38">
              <w:rPr>
                <w:rFonts w:ascii="Times New Roman" w:hAnsi="Times New Roman"/>
                <w:b/>
                <w:color w:val="FFFFFF"/>
                <w:spacing w:val="-1"/>
              </w:rPr>
              <w:t>Board Decision Date</w:t>
            </w:r>
          </w:p>
        </w:tc>
        <w:tc>
          <w:tcPr>
            <w:tcW w:w="1662" w:type="dxa"/>
            <w:tcBorders>
              <w:top w:val="single" w:sz="4" w:space="0" w:color="D9D9D9"/>
              <w:left w:val="single" w:sz="4" w:space="0" w:color="D9D9D9"/>
              <w:bottom w:val="single" w:sz="4" w:space="0" w:color="D9D9D9"/>
              <w:right w:val="single" w:sz="4" w:space="0" w:color="D9D9D9"/>
            </w:tcBorders>
            <w:shd w:val="clear" w:color="auto" w:fill="6E9ECA"/>
          </w:tcPr>
          <w:p w14:paraId="7D4A85EB" w14:textId="3E28738C" w:rsidR="007E7375" w:rsidRPr="009E1B38" w:rsidRDefault="002E2FD0" w:rsidP="007E7375">
            <w:pPr>
              <w:widowControl w:val="0"/>
              <w:spacing w:before="48" w:after="0" w:line="240" w:lineRule="auto"/>
              <w:ind w:left="-6"/>
              <w:jc w:val="center"/>
              <w:rPr>
                <w:rFonts w:ascii="Times New Roman" w:hAnsi="Times New Roman"/>
              </w:rPr>
            </w:pPr>
            <w:r w:rsidRPr="009E1B38">
              <w:rPr>
                <w:rFonts w:ascii="Times New Roman" w:hAnsi="Times New Roman"/>
                <w:b/>
                <w:color w:val="FFFFFF"/>
                <w:spacing w:val="-1"/>
              </w:rPr>
              <w:t>Number of Board</w:t>
            </w:r>
          </w:p>
        </w:tc>
      </w:tr>
      <w:tr w:rsidR="007E7375" w:rsidRPr="009E1B38" w14:paraId="7D4A85F0"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5ED"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rPr>
              <w:t>ADM</w:t>
            </w:r>
            <w:r w:rsidRPr="009E1B38">
              <w:rPr>
                <w:rFonts w:ascii="Times New Roman" w:eastAsiaTheme="minorHAnsi" w:hAnsi="Times New Roman"/>
                <w:spacing w:val="-2"/>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rPr>
              <w:t>Dağıtım</w:t>
            </w:r>
            <w:r w:rsidRPr="009E1B38">
              <w:rPr>
                <w:rFonts w:ascii="Times New Roman" w:eastAsiaTheme="minorHAnsi" w:hAnsi="Times New Roman"/>
                <w:spacing w:val="-3"/>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5EE"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5EF"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9768</w:t>
            </w:r>
          </w:p>
        </w:tc>
      </w:tr>
      <w:tr w:rsidR="007E7375" w:rsidRPr="009E1B38" w14:paraId="7D4A85F4"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5F1"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spacing w:val="-1"/>
              </w:rPr>
              <w:lastRenderedPageBreak/>
              <w:t>Akdeniz</w:t>
            </w:r>
            <w:r w:rsidRPr="009E1B38">
              <w:rPr>
                <w:rFonts w:ascii="Times New Roman" w:eastAsiaTheme="minorHAnsi" w:hAnsi="Times New Roman"/>
                <w:spacing w:val="-2"/>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spacing w:val="-1"/>
              </w:rPr>
              <w:t xml:space="preserve">Dağıtım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5F2"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5F3"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9769</w:t>
            </w:r>
          </w:p>
        </w:tc>
      </w:tr>
      <w:tr w:rsidR="007E7375" w:rsidRPr="009E1B38" w14:paraId="7D4A85F8"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5F5"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spacing w:val="-1"/>
              </w:rPr>
              <w:t>AKEDAŞ</w:t>
            </w:r>
            <w:r w:rsidRPr="009E1B38">
              <w:rPr>
                <w:rFonts w:ascii="Times New Roman" w:eastAsiaTheme="minorHAnsi" w:hAnsi="Times New Roman"/>
                <w:spacing w:val="-2"/>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spacing w:val="-1"/>
              </w:rPr>
              <w:t>Dağıtım</w:t>
            </w:r>
            <w:r w:rsidRPr="009E1B38">
              <w:rPr>
                <w:rFonts w:ascii="Times New Roman" w:eastAsiaTheme="minorHAnsi" w:hAnsi="Times New Roman"/>
                <w:spacing w:val="-2"/>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5F6"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5F7"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9770</w:t>
            </w:r>
          </w:p>
        </w:tc>
      </w:tr>
      <w:tr w:rsidR="007E7375" w:rsidRPr="009E1B38" w14:paraId="7D4A85FC"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5F9"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spacing w:val="-1"/>
              </w:rPr>
              <w:t>Aras</w:t>
            </w:r>
            <w:r w:rsidRPr="009E1B38">
              <w:rPr>
                <w:rFonts w:ascii="Times New Roman" w:eastAsiaTheme="minorHAnsi" w:hAnsi="Times New Roman"/>
                <w:spacing w:val="-4"/>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spacing w:val="-1"/>
              </w:rPr>
              <w:t>Dağıtım</w:t>
            </w:r>
            <w:r w:rsidRPr="009E1B38">
              <w:rPr>
                <w:rFonts w:ascii="Times New Roman" w:eastAsiaTheme="minorHAnsi" w:hAnsi="Times New Roman"/>
                <w:spacing w:val="-4"/>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5FA"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17.06.2021</w:t>
            </w:r>
          </w:p>
        </w:tc>
        <w:tc>
          <w:tcPr>
            <w:tcW w:w="1662" w:type="dxa"/>
            <w:tcBorders>
              <w:top w:val="single" w:sz="4" w:space="0" w:color="D9D9D9"/>
              <w:left w:val="single" w:sz="4" w:space="0" w:color="D9D9D9"/>
              <w:bottom w:val="single" w:sz="4" w:space="0" w:color="D9D9D9"/>
              <w:right w:val="single" w:sz="4" w:space="0" w:color="D9D9D9"/>
            </w:tcBorders>
          </w:tcPr>
          <w:p w14:paraId="7D4A85FB"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10266</w:t>
            </w:r>
          </w:p>
        </w:tc>
      </w:tr>
      <w:tr w:rsidR="007E7375" w:rsidRPr="009E1B38" w14:paraId="7D4A8600"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5FD"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spacing w:val="-1"/>
              </w:rPr>
              <w:t>Başkent</w:t>
            </w:r>
            <w:r w:rsidRPr="009E1B38">
              <w:rPr>
                <w:rFonts w:ascii="Times New Roman" w:eastAsiaTheme="minorHAnsi" w:hAnsi="Times New Roman"/>
                <w:spacing w:val="-2"/>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2"/>
              </w:rPr>
              <w:t xml:space="preserve"> </w:t>
            </w:r>
            <w:r w:rsidRPr="009E1B38">
              <w:rPr>
                <w:rFonts w:ascii="Times New Roman" w:eastAsiaTheme="minorHAnsi" w:hAnsi="Times New Roman"/>
                <w:spacing w:val="-1"/>
              </w:rPr>
              <w:t>Dağıtım</w:t>
            </w:r>
            <w:r w:rsidRPr="009E1B38">
              <w:rPr>
                <w:rFonts w:ascii="Times New Roman" w:eastAsiaTheme="minorHAnsi" w:hAnsi="Times New Roman"/>
                <w:spacing w:val="-2"/>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5FE"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5FF"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9775</w:t>
            </w:r>
          </w:p>
        </w:tc>
      </w:tr>
      <w:tr w:rsidR="007E7375" w:rsidRPr="009E1B38" w14:paraId="7D4A8604"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01"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spacing w:val="-1"/>
              </w:rPr>
              <w:t>Boğaziçi</w:t>
            </w:r>
            <w:r w:rsidR="005D72AA" w:rsidRPr="009E1B38">
              <w:rPr>
                <w:rFonts w:ascii="Times New Roman" w:eastAsiaTheme="minorHAnsi" w:hAnsi="Times New Roman"/>
                <w:spacing w:val="-1"/>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rPr>
              <w:t>Dağıtım</w:t>
            </w:r>
            <w:r w:rsidRPr="009E1B38">
              <w:rPr>
                <w:rFonts w:ascii="Times New Roman" w:eastAsiaTheme="minorHAnsi" w:hAnsi="Times New Roman"/>
                <w:spacing w:val="-2"/>
              </w:rPr>
              <w:t xml:space="preserve"> </w:t>
            </w:r>
            <w:r w:rsidRPr="009E1B38">
              <w:rPr>
                <w:rFonts w:ascii="Times New Roman" w:eastAsiaTheme="minorHAnsi" w:hAnsi="Times New Roman"/>
                <w:spacing w:val="-1"/>
              </w:rPr>
              <w:t>A.Ş.</w:t>
            </w:r>
          </w:p>
        </w:tc>
        <w:tc>
          <w:tcPr>
            <w:tcW w:w="2590" w:type="dxa"/>
            <w:tcBorders>
              <w:top w:val="single" w:sz="4" w:space="0" w:color="D9D9D9"/>
              <w:left w:val="single" w:sz="4" w:space="0" w:color="D9D9D9"/>
              <w:bottom w:val="single" w:sz="4" w:space="0" w:color="D9D9D9"/>
              <w:right w:val="single" w:sz="4" w:space="0" w:color="D9D9D9"/>
            </w:tcBorders>
          </w:tcPr>
          <w:p w14:paraId="7D4A8602"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03"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9776</w:t>
            </w:r>
          </w:p>
        </w:tc>
      </w:tr>
      <w:tr w:rsidR="007E7375" w:rsidRPr="009E1B38" w14:paraId="7D4A8608"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05"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rPr>
              <w:t>Çamlıbel</w:t>
            </w:r>
            <w:r w:rsidRPr="009E1B38">
              <w:rPr>
                <w:rFonts w:ascii="Times New Roman" w:eastAsiaTheme="minorHAnsi" w:hAnsi="Times New Roman"/>
                <w:spacing w:val="-2"/>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2"/>
              </w:rPr>
              <w:t xml:space="preserve"> </w:t>
            </w:r>
            <w:r w:rsidRPr="009E1B38">
              <w:rPr>
                <w:rFonts w:ascii="Times New Roman" w:eastAsiaTheme="minorHAnsi" w:hAnsi="Times New Roman"/>
                <w:spacing w:val="-1"/>
              </w:rPr>
              <w:t>Dağıtım</w:t>
            </w:r>
            <w:r w:rsidRPr="009E1B38">
              <w:rPr>
                <w:rFonts w:ascii="Times New Roman" w:eastAsiaTheme="minorHAnsi" w:hAnsi="Times New Roman"/>
                <w:spacing w:val="-2"/>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606"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07"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9777</w:t>
            </w:r>
          </w:p>
        </w:tc>
      </w:tr>
      <w:tr w:rsidR="007E7375" w:rsidRPr="009E1B38" w14:paraId="7D4A860C"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09"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spacing w:val="-1"/>
              </w:rPr>
              <w:t>Çoruh</w:t>
            </w:r>
            <w:r w:rsidRPr="009E1B38">
              <w:rPr>
                <w:rFonts w:ascii="Times New Roman" w:eastAsiaTheme="minorHAnsi" w:hAnsi="Times New Roman"/>
                <w:spacing w:val="-4"/>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rPr>
              <w:t>Dağıtım</w:t>
            </w:r>
            <w:r w:rsidRPr="009E1B38">
              <w:rPr>
                <w:rFonts w:ascii="Times New Roman" w:eastAsiaTheme="minorHAnsi" w:hAnsi="Times New Roman"/>
                <w:spacing w:val="-3"/>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60A"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0B"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9778</w:t>
            </w:r>
          </w:p>
        </w:tc>
      </w:tr>
      <w:tr w:rsidR="007E7375" w:rsidRPr="009E1B38" w14:paraId="7D4A8610"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0D"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spacing w:val="-1"/>
              </w:rPr>
              <w:t>Dicle</w:t>
            </w:r>
            <w:r w:rsidRPr="009E1B38">
              <w:rPr>
                <w:rFonts w:ascii="Times New Roman" w:eastAsiaTheme="minorHAnsi" w:hAnsi="Times New Roman"/>
                <w:spacing w:val="-3"/>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rPr>
              <w:t>Dağıtım</w:t>
            </w:r>
            <w:r w:rsidRPr="009E1B38">
              <w:rPr>
                <w:rFonts w:ascii="Times New Roman" w:eastAsiaTheme="minorHAnsi" w:hAnsi="Times New Roman"/>
                <w:spacing w:val="-2"/>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60E"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0F"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9779</w:t>
            </w:r>
          </w:p>
        </w:tc>
      </w:tr>
      <w:tr w:rsidR="007E7375" w:rsidRPr="009E1B38" w14:paraId="7D4A8614"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11"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rPr>
              <w:t>Fırat</w:t>
            </w:r>
            <w:r w:rsidRPr="009E1B38">
              <w:rPr>
                <w:rFonts w:ascii="Times New Roman" w:eastAsiaTheme="minorHAnsi" w:hAnsi="Times New Roman"/>
                <w:spacing w:val="-2"/>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spacing w:val="-1"/>
              </w:rPr>
              <w:t>Dağıtım</w:t>
            </w:r>
            <w:r w:rsidRPr="009E1B38">
              <w:rPr>
                <w:rFonts w:ascii="Times New Roman" w:eastAsiaTheme="minorHAnsi" w:hAnsi="Times New Roman"/>
                <w:spacing w:val="-2"/>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612"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13"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9780</w:t>
            </w:r>
          </w:p>
        </w:tc>
      </w:tr>
      <w:tr w:rsidR="007E7375" w:rsidRPr="009E1B38" w14:paraId="7D4A8618"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15"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rPr>
              <w:t>GDZ</w:t>
            </w:r>
            <w:r w:rsidRPr="009E1B38" w:rsidDel="008941C0">
              <w:rPr>
                <w:rFonts w:ascii="Times New Roman" w:eastAsiaTheme="minorHAnsi" w:hAnsi="Times New Roman"/>
                <w:spacing w:val="-1"/>
              </w:rPr>
              <w:t xml:space="preserve"> </w:t>
            </w:r>
            <w:r w:rsidRPr="009E1B38">
              <w:rPr>
                <w:rFonts w:ascii="Times New Roman" w:eastAsiaTheme="minorHAnsi" w:hAnsi="Times New Roman"/>
                <w:spacing w:val="-4"/>
              </w:rPr>
              <w:t>Elektrik</w:t>
            </w:r>
            <w:r w:rsidRPr="009E1B38">
              <w:rPr>
                <w:rFonts w:ascii="Times New Roman" w:eastAsiaTheme="minorHAnsi" w:hAnsi="Times New Roman"/>
                <w:spacing w:val="-5"/>
              </w:rPr>
              <w:t xml:space="preserve"> </w:t>
            </w:r>
            <w:r w:rsidRPr="009E1B38">
              <w:rPr>
                <w:rFonts w:ascii="Times New Roman" w:eastAsiaTheme="minorHAnsi" w:hAnsi="Times New Roman"/>
              </w:rPr>
              <w:t>Dağıtım</w:t>
            </w:r>
            <w:r w:rsidRPr="009E1B38">
              <w:rPr>
                <w:rFonts w:ascii="Times New Roman" w:eastAsiaTheme="minorHAnsi" w:hAnsi="Times New Roman"/>
                <w:spacing w:val="-3"/>
              </w:rPr>
              <w:t xml:space="preserve"> </w:t>
            </w:r>
            <w:r w:rsidRPr="009E1B38">
              <w:rPr>
                <w:rFonts w:ascii="Times New Roman" w:eastAsiaTheme="minorHAnsi" w:hAnsi="Times New Roman"/>
                <w:spacing w:val="-1"/>
              </w:rPr>
              <w:t>A.Ş.</w:t>
            </w:r>
          </w:p>
        </w:tc>
        <w:tc>
          <w:tcPr>
            <w:tcW w:w="2590" w:type="dxa"/>
            <w:tcBorders>
              <w:top w:val="single" w:sz="4" w:space="0" w:color="D9D9D9"/>
              <w:left w:val="single" w:sz="4" w:space="0" w:color="D9D9D9"/>
              <w:bottom w:val="single" w:sz="4" w:space="0" w:color="D9D9D9"/>
              <w:right w:val="single" w:sz="4" w:space="0" w:color="D9D9D9"/>
            </w:tcBorders>
          </w:tcPr>
          <w:p w14:paraId="7D4A8616"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17"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spacing w:val="-1"/>
              </w:rPr>
              <w:t>9781</w:t>
            </w:r>
          </w:p>
        </w:tc>
      </w:tr>
      <w:tr w:rsidR="007E7375" w:rsidRPr="009E1B38" w14:paraId="7D4A861C"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19"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rPr>
              <w:t>İstanbul</w:t>
            </w:r>
            <w:r w:rsidRPr="009E1B38">
              <w:rPr>
                <w:rFonts w:ascii="Times New Roman" w:eastAsiaTheme="minorHAnsi" w:hAnsi="Times New Roman"/>
                <w:spacing w:val="-2"/>
              </w:rPr>
              <w:t xml:space="preserve"> </w:t>
            </w:r>
            <w:r w:rsidRPr="009E1B38">
              <w:rPr>
                <w:rFonts w:ascii="Times New Roman" w:eastAsiaTheme="minorHAnsi" w:hAnsi="Times New Roman"/>
                <w:spacing w:val="-1"/>
              </w:rPr>
              <w:t>Anadolu Yakası Elektrik</w:t>
            </w:r>
            <w:r w:rsidRPr="009E1B38">
              <w:rPr>
                <w:rFonts w:ascii="Times New Roman" w:eastAsiaTheme="minorHAnsi" w:hAnsi="Times New Roman"/>
                <w:spacing w:val="-2"/>
              </w:rPr>
              <w:t xml:space="preserve"> </w:t>
            </w:r>
            <w:r w:rsidRPr="009E1B38">
              <w:rPr>
                <w:rFonts w:ascii="Times New Roman" w:eastAsiaTheme="minorHAnsi" w:hAnsi="Times New Roman"/>
              </w:rPr>
              <w:t>Dağıtım A.Ş.</w:t>
            </w:r>
            <w:r w:rsidRPr="009E1B38">
              <w:rPr>
                <w:rFonts w:ascii="Times New Roman" w:eastAsiaTheme="minorHAnsi" w:hAnsi="Times New Roman"/>
                <w:spacing w:val="-1"/>
              </w:rPr>
              <w:t xml:space="preserve"> </w:t>
            </w:r>
          </w:p>
        </w:tc>
        <w:tc>
          <w:tcPr>
            <w:tcW w:w="2590" w:type="dxa"/>
            <w:tcBorders>
              <w:top w:val="single" w:sz="4" w:space="0" w:color="D9D9D9"/>
              <w:left w:val="single" w:sz="4" w:space="0" w:color="D9D9D9"/>
              <w:bottom w:val="single" w:sz="4" w:space="0" w:color="D9D9D9"/>
              <w:right w:val="single" w:sz="4" w:space="0" w:color="D9D9D9"/>
            </w:tcBorders>
          </w:tcPr>
          <w:p w14:paraId="7D4A861A"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1B"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9783</w:t>
            </w:r>
          </w:p>
        </w:tc>
      </w:tr>
      <w:tr w:rsidR="007E7375" w:rsidRPr="009E1B38" w14:paraId="7D4A8620"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1D"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spacing w:val="-1"/>
              </w:rPr>
              <w:t>Kayseri</w:t>
            </w:r>
            <w:r w:rsidRPr="009E1B38">
              <w:rPr>
                <w:rFonts w:ascii="Times New Roman" w:eastAsiaTheme="minorHAnsi" w:hAnsi="Times New Roman"/>
                <w:spacing w:val="-4"/>
              </w:rPr>
              <w:t xml:space="preserve"> </w:t>
            </w:r>
            <w:r w:rsidRPr="009E1B38">
              <w:rPr>
                <w:rFonts w:ascii="Times New Roman" w:eastAsiaTheme="minorHAnsi" w:hAnsi="Times New Roman"/>
              </w:rPr>
              <w:t>ve</w:t>
            </w:r>
            <w:r w:rsidRPr="009E1B38">
              <w:rPr>
                <w:rFonts w:ascii="Times New Roman" w:eastAsiaTheme="minorHAnsi" w:hAnsi="Times New Roman"/>
                <w:spacing w:val="-4"/>
              </w:rPr>
              <w:t xml:space="preserve"> </w:t>
            </w:r>
            <w:r w:rsidRPr="009E1B38">
              <w:rPr>
                <w:rFonts w:ascii="Times New Roman" w:eastAsiaTheme="minorHAnsi" w:hAnsi="Times New Roman"/>
                <w:spacing w:val="-1"/>
              </w:rPr>
              <w:t>Civarı</w:t>
            </w:r>
            <w:r w:rsidRPr="009E1B38">
              <w:rPr>
                <w:rFonts w:ascii="Times New Roman" w:eastAsiaTheme="minorHAnsi" w:hAnsi="Times New Roman"/>
                <w:spacing w:val="-3"/>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4"/>
              </w:rPr>
              <w:t xml:space="preserve"> </w:t>
            </w:r>
            <w:r w:rsidRPr="009E1B38">
              <w:rPr>
                <w:rFonts w:ascii="Times New Roman" w:eastAsiaTheme="minorHAnsi" w:hAnsi="Times New Roman"/>
                <w:spacing w:val="-1"/>
              </w:rPr>
              <w:t>Türk</w:t>
            </w:r>
            <w:r w:rsidRPr="009E1B38">
              <w:rPr>
                <w:rFonts w:ascii="Times New Roman" w:eastAsiaTheme="minorHAnsi" w:hAnsi="Times New Roman"/>
                <w:spacing w:val="-3"/>
              </w:rPr>
              <w:t xml:space="preserve"> </w:t>
            </w:r>
            <w:r w:rsidRPr="009E1B38">
              <w:rPr>
                <w:rFonts w:ascii="Times New Roman" w:eastAsiaTheme="minorHAnsi" w:hAnsi="Times New Roman"/>
                <w:spacing w:val="-1"/>
              </w:rPr>
              <w:t>A.Ş.</w:t>
            </w:r>
          </w:p>
        </w:tc>
        <w:tc>
          <w:tcPr>
            <w:tcW w:w="2590" w:type="dxa"/>
            <w:tcBorders>
              <w:top w:val="single" w:sz="4" w:space="0" w:color="D9D9D9"/>
              <w:left w:val="single" w:sz="4" w:space="0" w:color="D9D9D9"/>
              <w:bottom w:val="single" w:sz="4" w:space="0" w:color="D9D9D9"/>
              <w:right w:val="single" w:sz="4" w:space="0" w:color="D9D9D9"/>
            </w:tcBorders>
          </w:tcPr>
          <w:p w14:paraId="7D4A861E" w14:textId="77777777" w:rsidR="007E7375" w:rsidRPr="009E1B38" w:rsidRDefault="007E7375" w:rsidP="007E7375">
            <w:pPr>
              <w:widowControl w:val="0"/>
              <w:spacing w:before="19"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1F" w14:textId="77777777" w:rsidR="007E7375" w:rsidRPr="009E1B38" w:rsidRDefault="007E7375" w:rsidP="007E7375">
            <w:pPr>
              <w:widowControl w:val="0"/>
              <w:spacing w:before="19" w:after="0" w:line="240" w:lineRule="auto"/>
              <w:jc w:val="center"/>
              <w:rPr>
                <w:rFonts w:ascii="Times New Roman" w:hAnsi="Times New Roman"/>
              </w:rPr>
            </w:pPr>
            <w:r w:rsidRPr="009E1B38">
              <w:rPr>
                <w:rFonts w:ascii="Times New Roman" w:eastAsiaTheme="minorHAnsi" w:hAnsi="Times New Roman"/>
              </w:rPr>
              <w:t>9785</w:t>
            </w:r>
          </w:p>
        </w:tc>
      </w:tr>
      <w:tr w:rsidR="007E7375" w:rsidRPr="009E1B38" w14:paraId="7D4A8624"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21"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rPr>
              <w:t>Meram</w:t>
            </w:r>
            <w:r w:rsidRPr="009E1B38">
              <w:rPr>
                <w:rFonts w:ascii="Times New Roman" w:eastAsiaTheme="minorHAnsi" w:hAnsi="Times New Roman"/>
                <w:spacing w:val="-2"/>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2"/>
              </w:rPr>
              <w:t xml:space="preserve"> </w:t>
            </w:r>
            <w:r w:rsidRPr="009E1B38">
              <w:rPr>
                <w:rFonts w:ascii="Times New Roman" w:eastAsiaTheme="minorHAnsi" w:hAnsi="Times New Roman"/>
              </w:rPr>
              <w:t>Dağıtım</w:t>
            </w:r>
            <w:r w:rsidRPr="009E1B38">
              <w:rPr>
                <w:rFonts w:ascii="Times New Roman" w:eastAsiaTheme="minorHAnsi" w:hAnsi="Times New Roman"/>
                <w:spacing w:val="-2"/>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622"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23"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9786</w:t>
            </w:r>
          </w:p>
        </w:tc>
      </w:tr>
      <w:tr w:rsidR="007E7375" w:rsidRPr="009E1B38" w14:paraId="7D4A8628"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25"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rPr>
              <w:t>Osmangazi</w:t>
            </w:r>
            <w:r w:rsidRPr="009E1B38">
              <w:rPr>
                <w:rFonts w:ascii="Times New Roman" w:eastAsiaTheme="minorHAnsi" w:hAnsi="Times New Roman"/>
                <w:spacing w:val="-2"/>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spacing w:val="-1"/>
              </w:rPr>
              <w:t>Dağıtım</w:t>
            </w:r>
            <w:r w:rsidRPr="009E1B38">
              <w:rPr>
                <w:rFonts w:ascii="Times New Roman" w:eastAsiaTheme="minorHAnsi" w:hAnsi="Times New Roman"/>
                <w:spacing w:val="-2"/>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626"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08.07.2021</w:t>
            </w:r>
          </w:p>
        </w:tc>
        <w:tc>
          <w:tcPr>
            <w:tcW w:w="1662" w:type="dxa"/>
            <w:tcBorders>
              <w:top w:val="single" w:sz="4" w:space="0" w:color="D9D9D9"/>
              <w:left w:val="single" w:sz="4" w:space="0" w:color="D9D9D9"/>
              <w:bottom w:val="single" w:sz="4" w:space="0" w:color="D9D9D9"/>
              <w:right w:val="single" w:sz="4" w:space="0" w:color="D9D9D9"/>
            </w:tcBorders>
          </w:tcPr>
          <w:p w14:paraId="7D4A8627"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10319</w:t>
            </w:r>
          </w:p>
        </w:tc>
      </w:tr>
      <w:tr w:rsidR="007E7375" w:rsidRPr="009E1B38" w14:paraId="7D4A862C"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29"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spacing w:val="-1"/>
              </w:rPr>
              <w:t>Sakarya</w:t>
            </w:r>
            <w:r w:rsidRPr="009E1B38">
              <w:rPr>
                <w:rFonts w:ascii="Times New Roman" w:eastAsiaTheme="minorHAnsi" w:hAnsi="Times New Roman"/>
                <w:spacing w:val="-3"/>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rPr>
              <w:t>Dağıtım</w:t>
            </w:r>
            <w:r w:rsidRPr="009E1B38">
              <w:rPr>
                <w:rFonts w:ascii="Times New Roman" w:eastAsiaTheme="minorHAnsi" w:hAnsi="Times New Roman"/>
                <w:spacing w:val="-2"/>
              </w:rPr>
              <w:t xml:space="preserve"> </w:t>
            </w:r>
            <w:r w:rsidRPr="009E1B38">
              <w:rPr>
                <w:rFonts w:ascii="Times New Roman" w:eastAsiaTheme="minorHAnsi" w:hAnsi="Times New Roman"/>
                <w:spacing w:val="-1"/>
              </w:rPr>
              <w:t>A.Ş.</w:t>
            </w:r>
          </w:p>
        </w:tc>
        <w:tc>
          <w:tcPr>
            <w:tcW w:w="2590" w:type="dxa"/>
            <w:tcBorders>
              <w:top w:val="single" w:sz="4" w:space="0" w:color="D9D9D9"/>
              <w:left w:val="single" w:sz="4" w:space="0" w:color="D9D9D9"/>
              <w:bottom w:val="single" w:sz="4" w:space="0" w:color="D9D9D9"/>
              <w:right w:val="single" w:sz="4" w:space="0" w:color="D9D9D9"/>
            </w:tcBorders>
          </w:tcPr>
          <w:p w14:paraId="7D4A862A"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2B"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9788</w:t>
            </w:r>
          </w:p>
        </w:tc>
      </w:tr>
      <w:tr w:rsidR="007E7375" w:rsidRPr="009E1B38" w14:paraId="7D4A8630"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2D"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spacing w:val="-1"/>
              </w:rPr>
              <w:t>Toroslar</w:t>
            </w:r>
            <w:r w:rsidRPr="009E1B38">
              <w:rPr>
                <w:rFonts w:ascii="Times New Roman" w:eastAsiaTheme="minorHAnsi" w:hAnsi="Times New Roman"/>
                <w:spacing w:val="-4"/>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4"/>
              </w:rPr>
              <w:t xml:space="preserve"> </w:t>
            </w:r>
            <w:r w:rsidRPr="009E1B38">
              <w:rPr>
                <w:rFonts w:ascii="Times New Roman" w:eastAsiaTheme="minorHAnsi" w:hAnsi="Times New Roman"/>
                <w:spacing w:val="-1"/>
              </w:rPr>
              <w:t>Dağıtım</w:t>
            </w:r>
            <w:r w:rsidRPr="009E1B38">
              <w:rPr>
                <w:rFonts w:ascii="Times New Roman" w:eastAsiaTheme="minorHAnsi" w:hAnsi="Times New Roman"/>
                <w:spacing w:val="-2"/>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62E"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2F"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9790</w:t>
            </w:r>
          </w:p>
        </w:tc>
      </w:tr>
      <w:tr w:rsidR="007E7375" w:rsidRPr="009E1B38" w14:paraId="7D4A8634"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31"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rPr>
              <w:t>Trakya</w:t>
            </w:r>
            <w:r w:rsidRPr="009E1B38">
              <w:rPr>
                <w:rFonts w:ascii="Times New Roman" w:eastAsiaTheme="minorHAnsi" w:hAnsi="Times New Roman"/>
                <w:spacing w:val="-2"/>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spacing w:val="-1"/>
              </w:rPr>
              <w:t xml:space="preserve">Dağıtım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632"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33"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9791</w:t>
            </w:r>
          </w:p>
        </w:tc>
      </w:tr>
      <w:tr w:rsidR="007E7375" w:rsidRPr="009E1B38" w14:paraId="7D4A8638"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35" w14:textId="77777777" w:rsidR="007E7375" w:rsidRPr="009E1B38" w:rsidRDefault="007E7375" w:rsidP="007E7375">
            <w:pPr>
              <w:widowControl w:val="0"/>
              <w:spacing w:after="0" w:line="240" w:lineRule="auto"/>
              <w:ind w:left="103"/>
              <w:jc w:val="left"/>
              <w:rPr>
                <w:rFonts w:ascii="Times New Roman" w:hAnsi="Times New Roman"/>
              </w:rPr>
            </w:pPr>
            <w:r w:rsidRPr="009E1B38">
              <w:rPr>
                <w:rFonts w:ascii="Times New Roman" w:eastAsiaTheme="minorHAnsi" w:hAnsi="Times New Roman"/>
                <w:spacing w:val="-1"/>
              </w:rPr>
              <w:t>Uludağ</w:t>
            </w:r>
            <w:r w:rsidRPr="009E1B38">
              <w:rPr>
                <w:rFonts w:ascii="Times New Roman" w:eastAsiaTheme="minorHAnsi" w:hAnsi="Times New Roman"/>
                <w:spacing w:val="-2"/>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rPr>
              <w:t>Dağıtım</w:t>
            </w:r>
            <w:r w:rsidRPr="009E1B38">
              <w:rPr>
                <w:rFonts w:ascii="Times New Roman" w:eastAsiaTheme="minorHAnsi" w:hAnsi="Times New Roman"/>
                <w:spacing w:val="-2"/>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636" w14:textId="77777777" w:rsidR="007E7375" w:rsidRPr="009E1B38" w:rsidRDefault="007E7375" w:rsidP="007E7375">
            <w:pPr>
              <w:widowControl w:val="0"/>
              <w:spacing w:after="0" w:line="240" w:lineRule="auto"/>
              <w:ind w:left="786"/>
              <w:jc w:val="left"/>
              <w:rPr>
                <w:rFonts w:ascii="Times New Roman"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37" w14:textId="77777777" w:rsidR="007E7375" w:rsidRPr="009E1B38" w:rsidRDefault="007E7375" w:rsidP="007E7375">
            <w:pPr>
              <w:widowControl w:val="0"/>
              <w:spacing w:after="0" w:line="240" w:lineRule="auto"/>
              <w:jc w:val="center"/>
              <w:rPr>
                <w:rFonts w:ascii="Times New Roman" w:hAnsi="Times New Roman"/>
              </w:rPr>
            </w:pPr>
            <w:r w:rsidRPr="009E1B38">
              <w:rPr>
                <w:rFonts w:ascii="Times New Roman" w:eastAsiaTheme="minorHAnsi" w:hAnsi="Times New Roman"/>
              </w:rPr>
              <w:t>9792</w:t>
            </w:r>
          </w:p>
        </w:tc>
      </w:tr>
      <w:tr w:rsidR="007E7375" w:rsidRPr="009E1B38" w14:paraId="7D4A863C"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39" w14:textId="77777777" w:rsidR="007E7375" w:rsidRPr="009E1B38" w:rsidRDefault="007E7375" w:rsidP="007E7375">
            <w:pPr>
              <w:widowControl w:val="0"/>
              <w:spacing w:after="0" w:line="240" w:lineRule="auto"/>
              <w:ind w:left="103"/>
              <w:jc w:val="left"/>
              <w:rPr>
                <w:rFonts w:ascii="Times New Roman" w:eastAsiaTheme="minorHAnsi" w:hAnsi="Times New Roman"/>
                <w:spacing w:val="-1"/>
              </w:rPr>
            </w:pPr>
            <w:r w:rsidRPr="009E1B38">
              <w:rPr>
                <w:rFonts w:ascii="Times New Roman" w:eastAsiaTheme="minorHAnsi" w:hAnsi="Times New Roman"/>
                <w:spacing w:val="-1"/>
              </w:rPr>
              <w:t>Vangölü</w:t>
            </w:r>
            <w:r w:rsidRPr="009E1B38">
              <w:rPr>
                <w:rFonts w:ascii="Times New Roman" w:eastAsiaTheme="minorHAnsi" w:hAnsi="Times New Roman"/>
                <w:spacing w:val="-4"/>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rPr>
              <w:t>Dağıtım</w:t>
            </w:r>
            <w:r w:rsidRPr="009E1B38">
              <w:rPr>
                <w:rFonts w:ascii="Times New Roman" w:eastAsiaTheme="minorHAnsi" w:hAnsi="Times New Roman"/>
                <w:spacing w:val="-3"/>
              </w:rPr>
              <w:t xml:space="preserve"> </w:t>
            </w:r>
            <w:r w:rsidRPr="009E1B38">
              <w:rPr>
                <w:rFonts w:ascii="Times New Roman" w:eastAsiaTheme="minorHAnsi" w:hAnsi="Times New Roman"/>
                <w:spacing w:val="-1"/>
              </w:rPr>
              <w:t>A.Ş.</w:t>
            </w:r>
          </w:p>
        </w:tc>
        <w:tc>
          <w:tcPr>
            <w:tcW w:w="2590" w:type="dxa"/>
            <w:tcBorders>
              <w:top w:val="single" w:sz="4" w:space="0" w:color="D9D9D9"/>
              <w:left w:val="single" w:sz="4" w:space="0" w:color="D9D9D9"/>
              <w:bottom w:val="single" w:sz="4" w:space="0" w:color="D9D9D9"/>
              <w:right w:val="single" w:sz="4" w:space="0" w:color="D9D9D9"/>
            </w:tcBorders>
          </w:tcPr>
          <w:p w14:paraId="7D4A863A" w14:textId="77777777" w:rsidR="007E7375" w:rsidRPr="009E1B38" w:rsidRDefault="007E7375" w:rsidP="007E7375">
            <w:pPr>
              <w:widowControl w:val="0"/>
              <w:spacing w:after="0" w:line="240" w:lineRule="auto"/>
              <w:ind w:left="786"/>
              <w:jc w:val="left"/>
              <w:rPr>
                <w:rFonts w:ascii="Times New Roman" w:eastAsiaTheme="minorHAnsi" w:hAnsi="Times New Roman"/>
              </w:rPr>
            </w:pPr>
            <w:r w:rsidRPr="009E1B38">
              <w:rPr>
                <w:rFonts w:ascii="Times New Roman" w:eastAsiaTheme="minorHAnsi" w:hAnsi="Times New Roman"/>
              </w:rPr>
              <w:t>26.08.2021</w:t>
            </w:r>
          </w:p>
        </w:tc>
        <w:tc>
          <w:tcPr>
            <w:tcW w:w="1662" w:type="dxa"/>
            <w:tcBorders>
              <w:top w:val="single" w:sz="4" w:space="0" w:color="D9D9D9"/>
              <w:left w:val="single" w:sz="4" w:space="0" w:color="D9D9D9"/>
              <w:bottom w:val="single" w:sz="4" w:space="0" w:color="D9D9D9"/>
              <w:right w:val="single" w:sz="4" w:space="0" w:color="D9D9D9"/>
            </w:tcBorders>
          </w:tcPr>
          <w:p w14:paraId="7D4A863B" w14:textId="77777777" w:rsidR="007E7375" w:rsidRPr="009E1B38" w:rsidRDefault="007E7375" w:rsidP="007E7375">
            <w:pPr>
              <w:widowControl w:val="0"/>
              <w:spacing w:after="0" w:line="240" w:lineRule="auto"/>
              <w:jc w:val="center"/>
              <w:rPr>
                <w:rFonts w:ascii="Times New Roman" w:eastAsiaTheme="minorHAnsi" w:hAnsi="Times New Roman"/>
              </w:rPr>
            </w:pPr>
            <w:r w:rsidRPr="009E1B38">
              <w:rPr>
                <w:rFonts w:ascii="Times New Roman" w:eastAsiaTheme="minorHAnsi" w:hAnsi="Times New Roman"/>
              </w:rPr>
              <w:t>10382</w:t>
            </w:r>
          </w:p>
        </w:tc>
      </w:tr>
      <w:tr w:rsidR="007E7375" w:rsidRPr="009E1B38" w14:paraId="7D4A8640" w14:textId="7777777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3D" w14:textId="77777777" w:rsidR="007E7375" w:rsidRPr="009E1B38" w:rsidRDefault="007E7375" w:rsidP="007E7375">
            <w:pPr>
              <w:widowControl w:val="0"/>
              <w:spacing w:after="0" w:line="240" w:lineRule="auto"/>
              <w:ind w:left="103"/>
              <w:jc w:val="left"/>
              <w:rPr>
                <w:rFonts w:ascii="Times New Roman" w:eastAsiaTheme="minorHAnsi" w:hAnsi="Times New Roman"/>
                <w:spacing w:val="-1"/>
              </w:rPr>
            </w:pPr>
            <w:r w:rsidRPr="009E1B38">
              <w:rPr>
                <w:rFonts w:ascii="Times New Roman" w:eastAsiaTheme="minorHAnsi" w:hAnsi="Times New Roman"/>
                <w:spacing w:val="-1"/>
              </w:rPr>
              <w:t>Yeşilırmak</w:t>
            </w:r>
            <w:r w:rsidRPr="009E1B38">
              <w:rPr>
                <w:rFonts w:ascii="Times New Roman" w:eastAsiaTheme="minorHAnsi" w:hAnsi="Times New Roman"/>
                <w:spacing w:val="-2"/>
              </w:rPr>
              <w:t xml:space="preserve"> </w:t>
            </w:r>
            <w:r w:rsidRPr="009E1B38">
              <w:rPr>
                <w:rFonts w:ascii="Times New Roman" w:eastAsiaTheme="minorHAnsi" w:hAnsi="Times New Roman"/>
                <w:spacing w:val="-1"/>
              </w:rPr>
              <w:t>Elektrik</w:t>
            </w:r>
            <w:r w:rsidRPr="009E1B38">
              <w:rPr>
                <w:rFonts w:ascii="Times New Roman" w:eastAsiaTheme="minorHAnsi" w:hAnsi="Times New Roman"/>
                <w:spacing w:val="-3"/>
              </w:rPr>
              <w:t xml:space="preserve"> </w:t>
            </w:r>
            <w:r w:rsidRPr="009E1B38">
              <w:rPr>
                <w:rFonts w:ascii="Times New Roman" w:eastAsiaTheme="minorHAnsi" w:hAnsi="Times New Roman"/>
                <w:spacing w:val="-1"/>
              </w:rPr>
              <w:t>Dağıtım</w:t>
            </w:r>
            <w:r w:rsidRPr="009E1B38">
              <w:rPr>
                <w:rFonts w:ascii="Times New Roman" w:eastAsiaTheme="minorHAnsi" w:hAnsi="Times New Roman"/>
                <w:spacing w:val="-2"/>
              </w:rPr>
              <w:t xml:space="preserve"> </w:t>
            </w:r>
            <w:r w:rsidRPr="009E1B38">
              <w:rPr>
                <w:rFonts w:ascii="Times New Roman" w:eastAsiaTheme="minorHAnsi" w:hAnsi="Times New Roman"/>
              </w:rPr>
              <w:t>A.Ş.</w:t>
            </w:r>
          </w:p>
        </w:tc>
        <w:tc>
          <w:tcPr>
            <w:tcW w:w="2590" w:type="dxa"/>
            <w:tcBorders>
              <w:top w:val="single" w:sz="4" w:space="0" w:color="D9D9D9"/>
              <w:left w:val="single" w:sz="4" w:space="0" w:color="D9D9D9"/>
              <w:bottom w:val="single" w:sz="4" w:space="0" w:color="D9D9D9"/>
              <w:right w:val="single" w:sz="4" w:space="0" w:color="D9D9D9"/>
            </w:tcBorders>
          </w:tcPr>
          <w:p w14:paraId="7D4A863E" w14:textId="77777777" w:rsidR="007E7375" w:rsidRPr="009E1B38" w:rsidRDefault="007E7375" w:rsidP="007E7375">
            <w:pPr>
              <w:widowControl w:val="0"/>
              <w:spacing w:after="0" w:line="240" w:lineRule="auto"/>
              <w:ind w:left="786"/>
              <w:jc w:val="left"/>
              <w:rPr>
                <w:rFonts w:ascii="Times New Roman" w:eastAsiaTheme="minorHAnsi" w:hAnsi="Times New Roman"/>
              </w:rPr>
            </w:pPr>
            <w:r w:rsidRPr="009E1B38">
              <w:rPr>
                <w:rFonts w:ascii="Times New Roman" w:eastAsiaTheme="minorHAnsi" w:hAnsi="Times New Roman"/>
              </w:rPr>
              <w:t>10.12.2020</w:t>
            </w:r>
          </w:p>
        </w:tc>
        <w:tc>
          <w:tcPr>
            <w:tcW w:w="1662" w:type="dxa"/>
            <w:tcBorders>
              <w:top w:val="single" w:sz="4" w:space="0" w:color="D9D9D9"/>
              <w:left w:val="single" w:sz="4" w:space="0" w:color="D9D9D9"/>
              <w:bottom w:val="single" w:sz="4" w:space="0" w:color="D9D9D9"/>
              <w:right w:val="single" w:sz="4" w:space="0" w:color="D9D9D9"/>
            </w:tcBorders>
          </w:tcPr>
          <w:p w14:paraId="7D4A863F" w14:textId="77777777" w:rsidR="007E7375" w:rsidRPr="009E1B38" w:rsidRDefault="007E7375" w:rsidP="007E7375">
            <w:pPr>
              <w:widowControl w:val="0"/>
              <w:spacing w:after="0" w:line="240" w:lineRule="auto"/>
              <w:jc w:val="center"/>
              <w:rPr>
                <w:rFonts w:ascii="Times New Roman" w:eastAsiaTheme="minorHAnsi" w:hAnsi="Times New Roman"/>
              </w:rPr>
            </w:pPr>
            <w:r w:rsidRPr="009E1B38">
              <w:rPr>
                <w:rFonts w:ascii="Times New Roman" w:eastAsiaTheme="minorHAnsi" w:hAnsi="Times New Roman"/>
              </w:rPr>
              <w:t>9794</w:t>
            </w:r>
          </w:p>
        </w:tc>
      </w:tr>
    </w:tbl>
    <w:p w14:paraId="7D4A864C" w14:textId="77777777" w:rsidR="00D3422D" w:rsidRPr="009E1B38" w:rsidRDefault="00D3422D" w:rsidP="002C3099">
      <w:pPr>
        <w:spacing w:before="10"/>
        <w:rPr>
          <w:rFonts w:ascii="Times New Roman" w:hAnsi="Times New Roman"/>
          <w:b/>
          <w:bCs/>
          <w:sz w:val="11"/>
          <w:szCs w:val="11"/>
        </w:rPr>
      </w:pPr>
    </w:p>
    <w:p w14:paraId="4C9B89F9" w14:textId="77777777" w:rsidR="002E2FD0" w:rsidRPr="009E1B38" w:rsidRDefault="002E2FD0" w:rsidP="009C057D">
      <w:pPr>
        <w:rPr>
          <w:rFonts w:ascii="Times New Roman" w:hAnsi="Times New Roman"/>
        </w:rPr>
      </w:pPr>
      <w:bookmarkStart w:id="171" w:name="_Toc107499515"/>
      <w:r w:rsidRPr="009E1B38">
        <w:rPr>
          <w:rFonts w:ascii="Times New Roman" w:hAnsi="Times New Roman"/>
        </w:rPr>
        <w:t>Table 4.8 shows the electricity distribution investment amounts made on the basis of electricity distribution region in 2021.</w:t>
      </w:r>
      <w:bookmarkEnd w:id="171"/>
    </w:p>
    <w:p w14:paraId="3B58B3EE" w14:textId="77777777" w:rsidR="002E2FD0" w:rsidRPr="009E1B38" w:rsidRDefault="002E2FD0" w:rsidP="00DB1D44">
      <w:pPr>
        <w:pStyle w:val="Balk5"/>
        <w:spacing w:before="0" w:line="269" w:lineRule="auto"/>
        <w:jc w:val="center"/>
        <w:rPr>
          <w:rStyle w:val="Gl"/>
          <w:rFonts w:ascii="Times New Roman" w:hAnsi="Times New Roman" w:cs="Times New Roman"/>
          <w:color w:val="auto"/>
          <w:sz w:val="20"/>
          <w:szCs w:val="20"/>
        </w:rPr>
      </w:pPr>
    </w:p>
    <w:p w14:paraId="33163897" w14:textId="77777777" w:rsidR="002E2FD0" w:rsidRPr="009E1B38" w:rsidRDefault="002E2FD0" w:rsidP="002F3B01">
      <w:pPr>
        <w:pStyle w:val="Balk5"/>
        <w:jc w:val="center"/>
        <w:rPr>
          <w:rStyle w:val="Gl"/>
          <w:rFonts w:ascii="Times New Roman" w:hAnsi="Times New Roman" w:cs="Times New Roman"/>
          <w:b/>
          <w:bCs w:val="0"/>
        </w:rPr>
      </w:pPr>
      <w:bookmarkStart w:id="172" w:name="_Toc77092372"/>
      <w:bookmarkStart w:id="173" w:name="_Toc107499516"/>
      <w:r w:rsidRPr="009E1B38">
        <w:rPr>
          <w:rStyle w:val="Gl"/>
          <w:rFonts w:ascii="Times New Roman" w:hAnsi="Times New Roman" w:cs="Times New Roman"/>
          <w:b/>
          <w:bCs w:val="0"/>
        </w:rPr>
        <w:t>Table 4.8: Investment Amounts Based on Distribution Region in 2020 (Current Prices-TL)</w:t>
      </w:r>
      <w:bookmarkEnd w:id="172"/>
      <w:bookmarkEnd w:id="173"/>
    </w:p>
    <w:tbl>
      <w:tblPr>
        <w:tblStyle w:val="TableNormal3"/>
        <w:tblW w:w="0" w:type="auto"/>
        <w:jc w:val="center"/>
        <w:tblLayout w:type="fixed"/>
        <w:tblLook w:val="01E0" w:firstRow="1" w:lastRow="1" w:firstColumn="1" w:lastColumn="1" w:noHBand="0" w:noVBand="0"/>
      </w:tblPr>
      <w:tblGrid>
        <w:gridCol w:w="4390"/>
        <w:gridCol w:w="2126"/>
      </w:tblGrid>
      <w:tr w:rsidR="007E7375" w:rsidRPr="009E1B38" w14:paraId="7D4A8652" w14:textId="77777777" w:rsidTr="000E0722">
        <w:trPr>
          <w:trHeight w:hRule="exact" w:val="460"/>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vAlign w:val="center"/>
          </w:tcPr>
          <w:p w14:paraId="7D4A8650" w14:textId="1EEEF1E3" w:rsidR="007E7375" w:rsidRPr="009E1B38" w:rsidRDefault="002E2FD0" w:rsidP="00941B4A">
            <w:pPr>
              <w:jc w:val="left"/>
              <w:rPr>
                <w:rFonts w:ascii="Times New Roman" w:hAnsi="Times New Roman"/>
              </w:rPr>
            </w:pPr>
            <w:bookmarkStart w:id="174" w:name="_bookmark78"/>
            <w:bookmarkEnd w:id="174"/>
            <w:r w:rsidRPr="009E1B38">
              <w:rPr>
                <w:rFonts w:ascii="Times New Roman" w:eastAsiaTheme="minorHAnsi" w:hAnsi="Times New Roman"/>
                <w:b/>
                <w:color w:val="FFFFFF"/>
                <w:spacing w:val="-1"/>
              </w:rPr>
              <w:t xml:space="preserve">  </w:t>
            </w:r>
            <w:r w:rsidRPr="009E1B38">
              <w:rPr>
                <w:rFonts w:ascii="Times New Roman" w:hAnsi="Times New Roman"/>
                <w:b/>
                <w:color w:val="FFFFFF"/>
                <w:spacing w:val="-1"/>
              </w:rPr>
              <w:t>Distribution Region</w:t>
            </w:r>
          </w:p>
        </w:tc>
        <w:tc>
          <w:tcPr>
            <w:tcW w:w="2126" w:type="dxa"/>
            <w:tcBorders>
              <w:top w:val="single" w:sz="4" w:space="0" w:color="D9D9D9"/>
              <w:left w:val="single" w:sz="4" w:space="0" w:color="D9D9D9"/>
              <w:bottom w:val="single" w:sz="4" w:space="0" w:color="D9D9D9"/>
              <w:right w:val="single" w:sz="4" w:space="0" w:color="D9D9D9"/>
            </w:tcBorders>
            <w:shd w:val="clear" w:color="auto" w:fill="6E9ECA"/>
            <w:vAlign w:val="center"/>
          </w:tcPr>
          <w:p w14:paraId="7D4A8651" w14:textId="6B31DF57" w:rsidR="007E7375" w:rsidRPr="009E1B38" w:rsidRDefault="002E2FD0" w:rsidP="00941B4A">
            <w:pPr>
              <w:jc w:val="center"/>
              <w:rPr>
                <w:rFonts w:ascii="Times New Roman" w:hAnsi="Times New Roman"/>
              </w:rPr>
            </w:pPr>
            <w:r w:rsidRPr="009E1B38">
              <w:rPr>
                <w:rFonts w:ascii="Times New Roman" w:hAnsi="Times New Roman"/>
                <w:b/>
                <w:color w:val="FFFFFF"/>
              </w:rPr>
              <w:t>Investment Amount</w:t>
            </w:r>
          </w:p>
        </w:tc>
      </w:tr>
      <w:tr w:rsidR="007E7375" w:rsidRPr="009E1B38" w14:paraId="7D4A8655"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53"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Toroslar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54"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1.486.197.658</w:t>
            </w:r>
          </w:p>
        </w:tc>
      </w:tr>
      <w:tr w:rsidR="007E7375" w:rsidRPr="009E1B38" w14:paraId="7D4A8658"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56"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Başkent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57"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1.352.785.670</w:t>
            </w:r>
          </w:p>
        </w:tc>
      </w:tr>
      <w:tr w:rsidR="007E7375" w:rsidRPr="009E1B38" w14:paraId="7D4A865B"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59"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Dicle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5A"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1.348.227.344</w:t>
            </w:r>
          </w:p>
        </w:tc>
      </w:tr>
      <w:tr w:rsidR="007E7375" w:rsidRPr="009E1B38" w14:paraId="7D4A865E"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5C"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Boğaziçi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5D"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1.176.829.106</w:t>
            </w:r>
          </w:p>
        </w:tc>
      </w:tr>
      <w:tr w:rsidR="007E7375" w:rsidRPr="009E1B38" w14:paraId="7D4A8661"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5F"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GDZ</w:t>
            </w:r>
            <w:r w:rsidRPr="009E1B38" w:rsidDel="008941C0">
              <w:rPr>
                <w:rFonts w:ascii="Times New Roman" w:eastAsiaTheme="minorHAnsi" w:hAnsi="Times New Roman"/>
              </w:rPr>
              <w:t xml:space="preserve"> </w:t>
            </w:r>
            <w:r w:rsidRPr="009E1B38">
              <w:rPr>
                <w:rFonts w:ascii="Times New Roman" w:eastAsiaTheme="minorHAnsi" w:hAnsi="Times New Roman"/>
              </w:rPr>
              <w:t>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60"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1.042.189.037</w:t>
            </w:r>
          </w:p>
        </w:tc>
      </w:tr>
      <w:tr w:rsidR="007E7375" w:rsidRPr="009E1B38" w14:paraId="7D4A8664"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62"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Meram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63"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1.028.006.214</w:t>
            </w:r>
          </w:p>
        </w:tc>
      </w:tr>
      <w:tr w:rsidR="007E7375" w:rsidRPr="009E1B38" w14:paraId="7D4A8667"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65"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ADM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66"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847.217.080</w:t>
            </w:r>
          </w:p>
        </w:tc>
      </w:tr>
      <w:tr w:rsidR="007E7375" w:rsidRPr="009E1B38" w14:paraId="7D4A866A"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68"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lastRenderedPageBreak/>
              <w:t>Trakya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69"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631.011.534</w:t>
            </w:r>
          </w:p>
        </w:tc>
      </w:tr>
      <w:tr w:rsidR="007E7375" w:rsidRPr="009E1B38" w14:paraId="7D4A866D"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6B"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Vangölü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6C"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613.098.334</w:t>
            </w:r>
          </w:p>
        </w:tc>
      </w:tr>
      <w:tr w:rsidR="007E7375" w:rsidRPr="009E1B38" w14:paraId="7D4A8670"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6E"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Yeşilırmak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6F"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574.199.261</w:t>
            </w:r>
          </w:p>
        </w:tc>
      </w:tr>
      <w:tr w:rsidR="007E7375" w:rsidRPr="009E1B38" w14:paraId="7D4A8673"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71"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Osmangazi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72"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561.174.751</w:t>
            </w:r>
          </w:p>
        </w:tc>
      </w:tr>
      <w:tr w:rsidR="007E7375" w:rsidRPr="009E1B38" w14:paraId="7D4A8676" w14:textId="77777777" w:rsidTr="00941B4A">
        <w:trPr>
          <w:trHeigh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74"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İstanbul Anadolu Yakası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75"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550.779.917</w:t>
            </w:r>
          </w:p>
        </w:tc>
      </w:tr>
      <w:tr w:rsidR="007E7375" w:rsidRPr="009E1B38" w14:paraId="7D4A8679"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77"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Sakarya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78"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518.481.869</w:t>
            </w:r>
          </w:p>
        </w:tc>
      </w:tr>
      <w:tr w:rsidR="007E7375" w:rsidRPr="009E1B38" w14:paraId="7D4A867C"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7A"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Aras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7B"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502.988.583</w:t>
            </w:r>
          </w:p>
        </w:tc>
      </w:tr>
      <w:tr w:rsidR="007E7375" w:rsidRPr="009E1B38" w14:paraId="7D4A867F"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7D"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Akdeniz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7E"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447.392.997</w:t>
            </w:r>
          </w:p>
        </w:tc>
      </w:tr>
      <w:tr w:rsidR="007E7375" w:rsidRPr="009E1B38" w14:paraId="7D4A8682"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80"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Uludağ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81"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402.744.920</w:t>
            </w:r>
          </w:p>
        </w:tc>
      </w:tr>
      <w:tr w:rsidR="007E7375" w:rsidRPr="009E1B38" w14:paraId="7D4A8685"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83"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Çamlıbel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84"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359.326.608</w:t>
            </w:r>
          </w:p>
        </w:tc>
      </w:tr>
      <w:tr w:rsidR="007E7375" w:rsidRPr="009E1B38" w14:paraId="7D4A8688"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86"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Fırat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87"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357.722.988</w:t>
            </w:r>
          </w:p>
        </w:tc>
      </w:tr>
      <w:tr w:rsidR="007E7375" w:rsidRPr="009E1B38" w14:paraId="7D4A868B"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89"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Çoruh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8A"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350.322.456</w:t>
            </w:r>
          </w:p>
        </w:tc>
      </w:tr>
      <w:tr w:rsidR="007E7375" w:rsidRPr="009E1B38" w14:paraId="7D4A868E"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8C" w14:textId="77777777" w:rsidR="007E7375" w:rsidRPr="009E1B38" w:rsidRDefault="00B02047" w:rsidP="007E7375">
            <w:pPr>
              <w:ind w:left="65"/>
              <w:jc w:val="left"/>
              <w:rPr>
                <w:rFonts w:ascii="Times New Roman" w:hAnsi="Times New Roman"/>
              </w:rPr>
            </w:pPr>
            <w:r w:rsidRPr="009E1B38">
              <w:rPr>
                <w:rFonts w:ascii="Times New Roman" w:eastAsiaTheme="minorHAnsi" w:hAnsi="Times New Roman"/>
              </w:rPr>
              <w:t>Kayseri ve Civarı Elektrik Türk A.Ş.</w:t>
            </w:r>
          </w:p>
        </w:tc>
        <w:tc>
          <w:tcPr>
            <w:tcW w:w="2126" w:type="dxa"/>
            <w:tcBorders>
              <w:top w:val="single" w:sz="4" w:space="0" w:color="D9D9D9"/>
              <w:left w:val="single" w:sz="4" w:space="0" w:color="D9D9D9"/>
              <w:bottom w:val="single" w:sz="4" w:space="0" w:color="D9D9D9"/>
              <w:right w:val="single" w:sz="4" w:space="0" w:color="D9D9D9"/>
            </w:tcBorders>
          </w:tcPr>
          <w:p w14:paraId="7D4A868D"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294.088.105</w:t>
            </w:r>
          </w:p>
        </w:tc>
      </w:tr>
      <w:tr w:rsidR="007E7375" w:rsidRPr="009E1B38" w14:paraId="7D4A8691"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8F" w14:textId="77777777" w:rsidR="007E7375" w:rsidRPr="009E1B38" w:rsidRDefault="00941B4A" w:rsidP="007E7375">
            <w:pPr>
              <w:ind w:left="65"/>
              <w:jc w:val="left"/>
              <w:rPr>
                <w:rFonts w:ascii="Times New Roman" w:hAnsi="Times New Roman"/>
              </w:rPr>
            </w:pPr>
            <w:r w:rsidRPr="009E1B38">
              <w:rPr>
                <w:rFonts w:ascii="Times New Roman" w:eastAsiaTheme="minorHAnsi" w:hAnsi="Times New Roman"/>
              </w:rPr>
              <w:t>AKEDAŞ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D4A8690" w14:textId="77777777" w:rsidR="007E7375" w:rsidRPr="009E1B38" w:rsidRDefault="007E7375" w:rsidP="007E7375">
            <w:pPr>
              <w:ind w:left="786"/>
              <w:jc w:val="right"/>
              <w:rPr>
                <w:rFonts w:ascii="Times New Roman" w:eastAsiaTheme="minorHAnsi" w:hAnsi="Times New Roman"/>
              </w:rPr>
            </w:pPr>
            <w:r w:rsidRPr="009E1B38">
              <w:rPr>
                <w:rFonts w:ascii="Times New Roman" w:eastAsiaTheme="minorHAnsi" w:hAnsi="Times New Roman"/>
              </w:rPr>
              <w:t>274.313.205</w:t>
            </w:r>
          </w:p>
        </w:tc>
      </w:tr>
      <w:tr w:rsidR="007E7375" w:rsidRPr="009E1B38" w14:paraId="7D4A8694" w14:textId="77777777"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D4A8692" w14:textId="5E7ED990" w:rsidR="007E7375" w:rsidRPr="009E1B38" w:rsidRDefault="007E7375" w:rsidP="007E7375">
            <w:pPr>
              <w:ind w:left="65"/>
              <w:jc w:val="left"/>
              <w:rPr>
                <w:rFonts w:ascii="Times New Roman" w:hAnsi="Times New Roman"/>
              </w:rPr>
            </w:pPr>
            <w:r w:rsidRPr="009E1B38">
              <w:rPr>
                <w:rFonts w:ascii="Times New Roman" w:eastAsiaTheme="minorHAnsi" w:hAnsi="Times New Roman"/>
                <w:b/>
                <w:spacing w:val="-1"/>
              </w:rPr>
              <w:t>TO</w:t>
            </w:r>
            <w:r w:rsidR="002E2FD0" w:rsidRPr="009E1B38">
              <w:rPr>
                <w:rFonts w:ascii="Times New Roman" w:eastAsiaTheme="minorHAnsi" w:hAnsi="Times New Roman"/>
                <w:b/>
                <w:spacing w:val="-1"/>
              </w:rPr>
              <w:t>TAL</w:t>
            </w:r>
          </w:p>
        </w:tc>
        <w:tc>
          <w:tcPr>
            <w:tcW w:w="2126" w:type="dxa"/>
            <w:tcBorders>
              <w:top w:val="single" w:sz="4" w:space="0" w:color="D9D9D9"/>
              <w:left w:val="single" w:sz="4" w:space="0" w:color="D9D9D9"/>
              <w:bottom w:val="single" w:sz="4" w:space="0" w:color="D9D9D9"/>
              <w:right w:val="single" w:sz="4" w:space="0" w:color="D9D9D9"/>
            </w:tcBorders>
          </w:tcPr>
          <w:p w14:paraId="7D4A8693" w14:textId="77777777" w:rsidR="007E7375" w:rsidRPr="009E1B38" w:rsidRDefault="007E7375" w:rsidP="000E0722">
            <w:pPr>
              <w:ind w:left="567"/>
              <w:jc w:val="right"/>
              <w:rPr>
                <w:rFonts w:ascii="Times New Roman" w:eastAsiaTheme="minorHAnsi" w:hAnsi="Times New Roman"/>
                <w:b/>
              </w:rPr>
            </w:pPr>
            <w:r w:rsidRPr="009E1B38">
              <w:rPr>
                <w:rFonts w:ascii="Times New Roman" w:eastAsiaTheme="minorHAnsi" w:hAnsi="Times New Roman"/>
                <w:b/>
              </w:rPr>
              <w:t>14.719.097.637</w:t>
            </w:r>
          </w:p>
        </w:tc>
      </w:tr>
    </w:tbl>
    <w:p w14:paraId="5E9AC863" w14:textId="0AB7E0B2" w:rsidR="002E2FD0" w:rsidRPr="009E1B38" w:rsidRDefault="002E2FD0" w:rsidP="002C3099">
      <w:pPr>
        <w:ind w:left="118"/>
        <w:rPr>
          <w:rFonts w:ascii="Times New Roman" w:hAnsi="Times New Roman"/>
          <w:spacing w:val="-1"/>
          <w:sz w:val="20"/>
        </w:rPr>
      </w:pPr>
      <w:r w:rsidRPr="009E1B38">
        <w:rPr>
          <w:rFonts w:ascii="Times New Roman" w:hAnsi="Times New Roman"/>
          <w:sz w:val="20"/>
          <w:szCs w:val="20"/>
        </w:rPr>
        <w:t>Note: It has been prepared by the Electricity Distribution Companies, taking into account the 2021 investment estimation declarations reported on EBIS as of 31/12/2021. III. The realization amounts related to the ongoing investments from the implementation period are also included.</w:t>
      </w:r>
    </w:p>
    <w:p w14:paraId="1B19F9DB" w14:textId="77777777" w:rsidR="0027490C" w:rsidRPr="009E1B38" w:rsidRDefault="0027490C" w:rsidP="0027490C">
      <w:pPr>
        <w:ind w:left="118"/>
        <w:rPr>
          <w:rFonts w:ascii="Times New Roman" w:hAnsi="Times New Roman"/>
          <w:spacing w:val="-1"/>
          <w:sz w:val="20"/>
        </w:rPr>
      </w:pPr>
    </w:p>
    <w:p w14:paraId="7D4A8696" w14:textId="3E7A68DD" w:rsidR="002C3099" w:rsidRPr="009E1B38" w:rsidRDefault="002C3099" w:rsidP="003C5E4D">
      <w:pPr>
        <w:pStyle w:val="Balk4"/>
        <w:numPr>
          <w:ilvl w:val="3"/>
          <w:numId w:val="61"/>
        </w:numPr>
        <w:spacing w:after="240"/>
        <w:rPr>
          <w:rFonts w:cs="Times New Roman"/>
          <w:i w:val="0"/>
          <w:color w:val="000000" w:themeColor="text1"/>
        </w:rPr>
      </w:pPr>
      <w:bookmarkStart w:id="175" w:name="_Toc66267374"/>
      <w:bookmarkStart w:id="176" w:name="_Toc113615351"/>
      <w:r w:rsidRPr="009E1B38">
        <w:rPr>
          <w:rFonts w:cs="Times New Roman"/>
          <w:i w:val="0"/>
          <w:color w:val="000000" w:themeColor="text1"/>
        </w:rPr>
        <w:t>D</w:t>
      </w:r>
      <w:r w:rsidR="00E53601" w:rsidRPr="009E1B38">
        <w:rPr>
          <w:rFonts w:cs="Times New Roman"/>
          <w:i w:val="0"/>
          <w:color w:val="000000" w:themeColor="text1"/>
        </w:rPr>
        <w:t>istribution System Connection Fee</w:t>
      </w:r>
      <w:bookmarkEnd w:id="175"/>
      <w:bookmarkEnd w:id="176"/>
    </w:p>
    <w:p w14:paraId="6C3C510E" w14:textId="77777777" w:rsidR="00E53601" w:rsidRPr="009E1B38" w:rsidRDefault="00E53601" w:rsidP="00E53601">
      <w:pPr>
        <w:spacing w:after="0" w:line="240" w:lineRule="auto"/>
        <w:rPr>
          <w:rFonts w:ascii="Times New Roman" w:hAnsi="Times New Roman"/>
        </w:rPr>
      </w:pPr>
      <w:r w:rsidRPr="009E1B38">
        <w:rPr>
          <w:rFonts w:ascii="Times New Roman" w:hAnsi="Times New Roman"/>
          <w:color w:val="000000" w:themeColor="text1"/>
        </w:rPr>
        <w:t>With the Board Decision dated 30.12.2021 and numbered 10687-11 published in the Official Gazette dated 31.12.2021 and numbered 31706 (6.repeated)</w:t>
      </w:r>
    </w:p>
    <w:p w14:paraId="60FE6D69" w14:textId="77777777" w:rsidR="00E53601" w:rsidRPr="009E1B38" w:rsidRDefault="00E53601" w:rsidP="003C5E4D">
      <w:pPr>
        <w:pStyle w:val="ListeParagraf"/>
        <w:numPr>
          <w:ilvl w:val="0"/>
          <w:numId w:val="8"/>
        </w:numPr>
        <w:spacing w:after="0" w:line="240" w:lineRule="auto"/>
        <w:rPr>
          <w:rFonts w:ascii="Times New Roman" w:hAnsi="Times New Roman"/>
        </w:rPr>
      </w:pPr>
      <w:r w:rsidRPr="009E1B38">
        <w:rPr>
          <w:rFonts w:ascii="Times New Roman" w:hAnsi="Times New Roman"/>
        </w:rPr>
        <w:t>In case both overhead and underground cables are used in the connection line, the length of each of the overhead and underground lines should be taken into account separately when calculating the unit price,</w:t>
      </w:r>
    </w:p>
    <w:p w14:paraId="1BB84191" w14:textId="77777777" w:rsidR="00E53601" w:rsidRPr="009E1B38" w:rsidRDefault="00E53601" w:rsidP="003C5E4D">
      <w:pPr>
        <w:pStyle w:val="ListeParagraf"/>
        <w:numPr>
          <w:ilvl w:val="0"/>
          <w:numId w:val="8"/>
        </w:numPr>
        <w:rPr>
          <w:rFonts w:ascii="Times New Roman" w:hAnsi="Times New Roman"/>
        </w:rPr>
      </w:pPr>
      <w:r w:rsidRPr="009E1B38">
        <w:rPr>
          <w:rFonts w:ascii="Times New Roman" w:hAnsi="Times New Roman"/>
        </w:rPr>
        <w:t>When calculating the connection fee for lines over 100 kW, the price of 149,25 TL/meter up to 100 kW is calculated by adding the price found by multiplying each kW over 100 kW by 0.6 TL/m,</w:t>
      </w:r>
    </w:p>
    <w:p w14:paraId="06B82B26" w14:textId="77777777" w:rsidR="00E53601" w:rsidRPr="009E1B38" w:rsidRDefault="00E53601" w:rsidP="003C5E4D">
      <w:pPr>
        <w:pStyle w:val="ListeParagraf"/>
        <w:numPr>
          <w:ilvl w:val="0"/>
          <w:numId w:val="8"/>
        </w:numPr>
        <w:rPr>
          <w:rFonts w:ascii="Times New Roman" w:hAnsi="Times New Roman"/>
        </w:rPr>
      </w:pPr>
      <w:r w:rsidRPr="009E1B38">
        <w:rPr>
          <w:rFonts w:ascii="Times New Roman" w:hAnsi="Times New Roman"/>
        </w:rPr>
        <w:t>Not to apply any fee under a name other than the TL/meter-based prices below to the consumer who receives connection service by the company,</w:t>
      </w:r>
    </w:p>
    <w:p w14:paraId="625C119E" w14:textId="77777777" w:rsidR="00E53601" w:rsidRPr="009E1B38" w:rsidRDefault="00E53601" w:rsidP="003C5E4D">
      <w:pPr>
        <w:pStyle w:val="ListeParagraf"/>
        <w:numPr>
          <w:ilvl w:val="0"/>
          <w:numId w:val="8"/>
        </w:numPr>
        <w:rPr>
          <w:rFonts w:ascii="Times New Roman" w:hAnsi="Times New Roman"/>
        </w:rPr>
      </w:pPr>
      <w:r w:rsidRPr="009E1B38">
        <w:rPr>
          <w:rFonts w:ascii="Times New Roman" w:hAnsi="Times New Roman"/>
        </w:rPr>
        <w:t>Based on the power specified within the scope of the relevant legislation in the first paragraph of Article 3 of the Distribution System Connection Agreement, as the base power for the connection fee,</w:t>
      </w:r>
    </w:p>
    <w:p w14:paraId="7D4A869D" w14:textId="3C7CDC53" w:rsidR="00D76AC2" w:rsidRPr="009E1B38" w:rsidRDefault="00E53601" w:rsidP="003C5E4D">
      <w:pPr>
        <w:pStyle w:val="ListeParagraf"/>
        <w:numPr>
          <w:ilvl w:val="0"/>
          <w:numId w:val="8"/>
        </w:numPr>
        <w:rPr>
          <w:rFonts w:ascii="Times New Roman" w:hAnsi="Times New Roman"/>
        </w:rPr>
      </w:pPr>
      <w:r w:rsidRPr="009E1B38">
        <w:rPr>
          <w:rFonts w:ascii="Times New Roman" w:hAnsi="Times New Roman"/>
        </w:rPr>
        <w:t>In this context, it has been decided to apply the prices in the table 4.9 below as the Distribution Connection Fee for 2022 as of the effective date of the Decision</w:t>
      </w:r>
      <w:r w:rsidR="00FC7164" w:rsidRPr="009E1B38">
        <w:rPr>
          <w:rFonts w:ascii="Times New Roman" w:hAnsi="Times New Roman"/>
        </w:rPr>
        <w:t>.</w:t>
      </w:r>
    </w:p>
    <w:p w14:paraId="704100A7" w14:textId="77777777" w:rsidR="0027490C" w:rsidRPr="009E1B38" w:rsidRDefault="0027490C" w:rsidP="0027490C">
      <w:pPr>
        <w:rPr>
          <w:rStyle w:val="Gl"/>
          <w:rFonts w:ascii="Times New Roman" w:hAnsi="Times New Roman"/>
          <w:b w:val="0"/>
        </w:rPr>
      </w:pPr>
    </w:p>
    <w:p w14:paraId="2B45DE04" w14:textId="77777777" w:rsidR="0027490C" w:rsidRPr="009E1B38" w:rsidRDefault="0027490C" w:rsidP="0027490C">
      <w:pPr>
        <w:rPr>
          <w:rStyle w:val="Gl"/>
          <w:rFonts w:ascii="Times New Roman" w:hAnsi="Times New Roman"/>
          <w:b w:val="0"/>
        </w:rPr>
      </w:pPr>
    </w:p>
    <w:p w14:paraId="2A3732C7" w14:textId="5F2D3442" w:rsidR="00E53601" w:rsidRPr="009E1B38" w:rsidRDefault="00E53601" w:rsidP="002F3B01">
      <w:pPr>
        <w:pStyle w:val="Balk5"/>
        <w:jc w:val="center"/>
        <w:rPr>
          <w:rStyle w:val="Gl"/>
          <w:rFonts w:ascii="Times New Roman" w:hAnsi="Times New Roman" w:cs="Times New Roman"/>
          <w:b/>
          <w:bCs w:val="0"/>
        </w:rPr>
      </w:pPr>
      <w:bookmarkStart w:id="177" w:name="_Toc107499517"/>
      <w:r w:rsidRPr="009E1B38">
        <w:rPr>
          <w:rStyle w:val="Gl"/>
          <w:rFonts w:ascii="Times New Roman" w:hAnsi="Times New Roman" w:cs="Times New Roman"/>
          <w:b/>
          <w:bCs w:val="0"/>
        </w:rPr>
        <w:t>Table 4.9: Distribution System Connection Fees</w:t>
      </w:r>
      <w:bookmarkEnd w:id="177"/>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225"/>
        <w:gridCol w:w="3225"/>
      </w:tblGrid>
      <w:tr w:rsidR="002C3099" w:rsidRPr="009E1B38" w14:paraId="7D4A86A1" w14:textId="77777777" w:rsidTr="002C3099">
        <w:trPr>
          <w:trHeight w:val="340"/>
          <w:jc w:val="center"/>
        </w:trPr>
        <w:tc>
          <w:tcPr>
            <w:tcW w:w="2500" w:type="pct"/>
            <w:shd w:val="clear" w:color="auto" w:fill="6E9ECA"/>
            <w:noWrap/>
            <w:vAlign w:val="center"/>
            <w:hideMark/>
          </w:tcPr>
          <w:p w14:paraId="7D4A869F" w14:textId="682A3F68" w:rsidR="002C3099" w:rsidRPr="009E1B38" w:rsidRDefault="00E53601" w:rsidP="002C3099">
            <w:pPr>
              <w:spacing w:after="0"/>
              <w:rPr>
                <w:rFonts w:ascii="Times New Roman" w:hAnsi="Times New Roman"/>
                <w:b/>
                <w:color w:val="FFFFFF" w:themeColor="background1"/>
              </w:rPr>
            </w:pPr>
            <w:r w:rsidRPr="009E1B38">
              <w:rPr>
                <w:rFonts w:ascii="Times New Roman" w:hAnsi="Times New Roman"/>
                <w:b/>
                <w:color w:val="FFFFFF" w:themeColor="background1"/>
              </w:rPr>
              <w:t>Connection Fee</w:t>
            </w:r>
          </w:p>
        </w:tc>
        <w:tc>
          <w:tcPr>
            <w:tcW w:w="2500" w:type="pct"/>
            <w:shd w:val="clear" w:color="auto" w:fill="6E9ECA"/>
            <w:noWrap/>
            <w:vAlign w:val="center"/>
            <w:hideMark/>
          </w:tcPr>
          <w:p w14:paraId="7D4A86A0" w14:textId="6FBE719E" w:rsidR="002C3099" w:rsidRPr="009E1B38" w:rsidRDefault="002C3099" w:rsidP="00301040">
            <w:pPr>
              <w:spacing w:after="0"/>
              <w:rPr>
                <w:rFonts w:ascii="Times New Roman" w:hAnsi="Times New Roman"/>
                <w:b/>
                <w:color w:val="FFFFFF" w:themeColor="background1"/>
              </w:rPr>
            </w:pPr>
            <w:r w:rsidRPr="009E1B38">
              <w:rPr>
                <w:rFonts w:ascii="Times New Roman" w:hAnsi="Times New Roman"/>
                <w:b/>
                <w:color w:val="FFFFFF" w:themeColor="background1"/>
              </w:rPr>
              <w:t>TL/</w:t>
            </w:r>
            <w:r w:rsidR="00301040">
              <w:rPr>
                <w:rFonts w:ascii="Times New Roman" w:hAnsi="Times New Roman"/>
                <w:b/>
                <w:color w:val="FFFFFF" w:themeColor="background1"/>
              </w:rPr>
              <w:t>meter</w:t>
            </w:r>
          </w:p>
        </w:tc>
      </w:tr>
      <w:tr w:rsidR="002C3099" w:rsidRPr="009E1B38" w14:paraId="7D4A86A3" w14:textId="77777777" w:rsidTr="002C3099">
        <w:trPr>
          <w:trHeight w:val="340"/>
          <w:jc w:val="center"/>
        </w:trPr>
        <w:tc>
          <w:tcPr>
            <w:tcW w:w="5000" w:type="pct"/>
            <w:gridSpan w:val="2"/>
            <w:shd w:val="clear" w:color="auto" w:fill="D9D9D9" w:themeFill="background1" w:themeFillShade="D9"/>
            <w:noWrap/>
            <w:vAlign w:val="center"/>
            <w:hideMark/>
          </w:tcPr>
          <w:p w14:paraId="7D4A86A2" w14:textId="77777777" w:rsidR="002C3099" w:rsidRPr="009E1B38" w:rsidRDefault="002C3099" w:rsidP="002C3099">
            <w:pPr>
              <w:spacing w:after="0"/>
              <w:jc w:val="center"/>
              <w:rPr>
                <w:rFonts w:ascii="Times New Roman" w:hAnsi="Times New Roman"/>
                <w:b/>
              </w:rPr>
            </w:pPr>
            <w:r w:rsidRPr="009E1B38">
              <w:rPr>
                <w:rFonts w:ascii="Times New Roman" w:hAnsi="Times New Roman"/>
                <w:b/>
              </w:rPr>
              <w:t>AG</w:t>
            </w:r>
          </w:p>
        </w:tc>
      </w:tr>
      <w:tr w:rsidR="002C3099" w:rsidRPr="009E1B38" w14:paraId="7D4A86A5" w14:textId="77777777" w:rsidTr="002C3099">
        <w:trPr>
          <w:trHeight w:val="340"/>
          <w:jc w:val="center"/>
        </w:trPr>
        <w:tc>
          <w:tcPr>
            <w:tcW w:w="5000" w:type="pct"/>
            <w:gridSpan w:val="2"/>
            <w:noWrap/>
            <w:vAlign w:val="center"/>
            <w:hideMark/>
          </w:tcPr>
          <w:p w14:paraId="7D4A86A4" w14:textId="6A927C48" w:rsidR="002C3099" w:rsidRPr="009E1B38" w:rsidRDefault="002C3099" w:rsidP="002C3099">
            <w:pPr>
              <w:spacing w:after="0"/>
              <w:rPr>
                <w:rFonts w:ascii="Times New Roman" w:hAnsi="Times New Roman"/>
                <w:b/>
              </w:rPr>
            </w:pPr>
            <w:r w:rsidRPr="009E1B38">
              <w:rPr>
                <w:rFonts w:ascii="Times New Roman" w:hAnsi="Times New Roman"/>
                <w:b/>
              </w:rPr>
              <w:t>0-15 kW (</w:t>
            </w:r>
            <w:r w:rsidR="00E53601" w:rsidRPr="009E1B38">
              <w:rPr>
                <w:rFonts w:ascii="Times New Roman" w:hAnsi="Times New Roman"/>
                <w:b/>
              </w:rPr>
              <w:t>included</w:t>
            </w:r>
            <w:r w:rsidRPr="009E1B38">
              <w:rPr>
                <w:rFonts w:ascii="Times New Roman" w:hAnsi="Times New Roman"/>
                <w:b/>
              </w:rPr>
              <w:t>)</w:t>
            </w:r>
          </w:p>
        </w:tc>
      </w:tr>
      <w:tr w:rsidR="002C3099" w:rsidRPr="009E1B38" w14:paraId="7D4A86A8" w14:textId="77777777" w:rsidTr="002C3099">
        <w:trPr>
          <w:trHeight w:val="340"/>
          <w:jc w:val="center"/>
        </w:trPr>
        <w:tc>
          <w:tcPr>
            <w:tcW w:w="2500" w:type="pct"/>
            <w:shd w:val="clear" w:color="auto" w:fill="FFFFFF"/>
            <w:noWrap/>
            <w:vAlign w:val="center"/>
            <w:hideMark/>
          </w:tcPr>
          <w:p w14:paraId="7D4A86A6" w14:textId="4C8A6FCC" w:rsidR="002C3099" w:rsidRPr="009E1B38" w:rsidRDefault="00E53601" w:rsidP="002C3099">
            <w:pPr>
              <w:spacing w:after="0"/>
              <w:rPr>
                <w:rFonts w:ascii="Times New Roman" w:hAnsi="Times New Roman"/>
              </w:rPr>
            </w:pPr>
            <w:r w:rsidRPr="009E1B38">
              <w:rPr>
                <w:rFonts w:ascii="Times New Roman" w:hAnsi="Times New Roman"/>
              </w:rPr>
              <w:lastRenderedPageBreak/>
              <w:t>Underground</w:t>
            </w:r>
          </w:p>
        </w:tc>
        <w:tc>
          <w:tcPr>
            <w:tcW w:w="2500" w:type="pct"/>
            <w:shd w:val="clear" w:color="auto" w:fill="FFFFFF"/>
            <w:noWrap/>
            <w:vAlign w:val="center"/>
            <w:hideMark/>
          </w:tcPr>
          <w:p w14:paraId="7D4A86A7" w14:textId="77777777" w:rsidR="002C3099" w:rsidRPr="009E1B38" w:rsidRDefault="00891000" w:rsidP="002C3099">
            <w:pPr>
              <w:spacing w:after="0"/>
              <w:jc w:val="right"/>
              <w:rPr>
                <w:rFonts w:ascii="Times New Roman" w:hAnsi="Times New Roman"/>
              </w:rPr>
            </w:pPr>
            <w:r w:rsidRPr="009E1B38">
              <w:rPr>
                <w:rFonts w:ascii="Times New Roman" w:hAnsi="Times New Roman"/>
              </w:rPr>
              <w:t>80</w:t>
            </w:r>
            <w:r w:rsidR="002C3099" w:rsidRPr="009E1B38">
              <w:rPr>
                <w:rFonts w:ascii="Times New Roman" w:hAnsi="Times New Roman"/>
              </w:rPr>
              <w:t>,</w:t>
            </w:r>
            <w:r w:rsidRPr="009E1B38">
              <w:rPr>
                <w:rFonts w:ascii="Times New Roman" w:hAnsi="Times New Roman"/>
              </w:rPr>
              <w:t>75</w:t>
            </w:r>
          </w:p>
        </w:tc>
      </w:tr>
      <w:tr w:rsidR="002C3099" w:rsidRPr="009E1B38" w14:paraId="7D4A86AB" w14:textId="77777777" w:rsidTr="002C3099">
        <w:trPr>
          <w:trHeight w:val="340"/>
          <w:jc w:val="center"/>
        </w:trPr>
        <w:tc>
          <w:tcPr>
            <w:tcW w:w="2500" w:type="pct"/>
            <w:shd w:val="clear" w:color="auto" w:fill="FFFFFF"/>
            <w:noWrap/>
            <w:vAlign w:val="center"/>
            <w:hideMark/>
          </w:tcPr>
          <w:p w14:paraId="7D4A86A9" w14:textId="0BF2C5A1" w:rsidR="002C3099" w:rsidRPr="009E1B38" w:rsidRDefault="00E53601" w:rsidP="002C3099">
            <w:pPr>
              <w:spacing w:after="0"/>
              <w:rPr>
                <w:rFonts w:ascii="Times New Roman" w:hAnsi="Times New Roman"/>
              </w:rPr>
            </w:pPr>
            <w:r w:rsidRPr="009E1B38">
              <w:rPr>
                <w:rFonts w:ascii="Times New Roman" w:hAnsi="Times New Roman"/>
              </w:rPr>
              <w:t>Overhead</w:t>
            </w:r>
          </w:p>
        </w:tc>
        <w:tc>
          <w:tcPr>
            <w:tcW w:w="2500" w:type="pct"/>
            <w:shd w:val="clear" w:color="auto" w:fill="FFFFFF"/>
            <w:noWrap/>
            <w:vAlign w:val="center"/>
            <w:hideMark/>
          </w:tcPr>
          <w:p w14:paraId="7D4A86AA" w14:textId="77777777" w:rsidR="002C3099" w:rsidRPr="009E1B38" w:rsidRDefault="002C3099" w:rsidP="002C3099">
            <w:pPr>
              <w:spacing w:after="0"/>
              <w:jc w:val="right"/>
              <w:rPr>
                <w:rFonts w:ascii="Times New Roman" w:hAnsi="Times New Roman"/>
              </w:rPr>
            </w:pPr>
            <w:r w:rsidRPr="009E1B38">
              <w:rPr>
                <w:rFonts w:ascii="Times New Roman" w:hAnsi="Times New Roman"/>
              </w:rPr>
              <w:t>3</w:t>
            </w:r>
            <w:r w:rsidR="00891000" w:rsidRPr="009E1B38">
              <w:rPr>
                <w:rFonts w:ascii="Times New Roman" w:hAnsi="Times New Roman"/>
              </w:rPr>
              <w:t>7</w:t>
            </w:r>
            <w:r w:rsidRPr="009E1B38">
              <w:rPr>
                <w:rFonts w:ascii="Times New Roman" w:hAnsi="Times New Roman"/>
              </w:rPr>
              <w:t>,</w:t>
            </w:r>
            <w:r w:rsidR="00891000" w:rsidRPr="009E1B38">
              <w:rPr>
                <w:rFonts w:ascii="Times New Roman" w:hAnsi="Times New Roman"/>
              </w:rPr>
              <w:t>5</w:t>
            </w:r>
            <w:r w:rsidRPr="009E1B38">
              <w:rPr>
                <w:rFonts w:ascii="Times New Roman" w:hAnsi="Times New Roman"/>
              </w:rPr>
              <w:t>4</w:t>
            </w:r>
          </w:p>
        </w:tc>
      </w:tr>
      <w:tr w:rsidR="002C3099" w:rsidRPr="009E1B38" w14:paraId="7D4A86AD" w14:textId="77777777" w:rsidTr="002C3099">
        <w:trPr>
          <w:trHeight w:val="340"/>
          <w:jc w:val="center"/>
        </w:trPr>
        <w:tc>
          <w:tcPr>
            <w:tcW w:w="5000" w:type="pct"/>
            <w:gridSpan w:val="2"/>
            <w:noWrap/>
            <w:vAlign w:val="center"/>
            <w:hideMark/>
          </w:tcPr>
          <w:p w14:paraId="7D4A86AC" w14:textId="77777777" w:rsidR="002C3099" w:rsidRPr="009E1B38" w:rsidRDefault="002C3099" w:rsidP="002C3099">
            <w:pPr>
              <w:spacing w:after="0"/>
              <w:rPr>
                <w:rFonts w:ascii="Times New Roman" w:hAnsi="Times New Roman"/>
                <w:b/>
              </w:rPr>
            </w:pPr>
            <w:r w:rsidRPr="009E1B38">
              <w:rPr>
                <w:rFonts w:ascii="Times New Roman" w:hAnsi="Times New Roman"/>
                <w:b/>
              </w:rPr>
              <w:t>15-50 kW </w:t>
            </w:r>
          </w:p>
        </w:tc>
      </w:tr>
      <w:tr w:rsidR="002C3099" w:rsidRPr="009E1B38" w14:paraId="7D4A86B0" w14:textId="77777777" w:rsidTr="002C3099">
        <w:trPr>
          <w:trHeight w:val="340"/>
          <w:jc w:val="center"/>
        </w:trPr>
        <w:tc>
          <w:tcPr>
            <w:tcW w:w="2500" w:type="pct"/>
            <w:shd w:val="clear" w:color="auto" w:fill="FFFFFF"/>
            <w:noWrap/>
            <w:vAlign w:val="center"/>
            <w:hideMark/>
          </w:tcPr>
          <w:p w14:paraId="7D4A86AE" w14:textId="0B7BBCB0" w:rsidR="002C3099" w:rsidRPr="009E1B38" w:rsidRDefault="00E53601" w:rsidP="002C3099">
            <w:pPr>
              <w:spacing w:after="0"/>
              <w:rPr>
                <w:rFonts w:ascii="Times New Roman" w:hAnsi="Times New Roman"/>
              </w:rPr>
            </w:pPr>
            <w:r w:rsidRPr="009E1B38">
              <w:rPr>
                <w:rFonts w:ascii="Times New Roman" w:hAnsi="Times New Roman"/>
              </w:rPr>
              <w:t>Underground</w:t>
            </w:r>
          </w:p>
        </w:tc>
        <w:tc>
          <w:tcPr>
            <w:tcW w:w="2500" w:type="pct"/>
            <w:shd w:val="clear" w:color="auto" w:fill="FFFFFF"/>
            <w:noWrap/>
            <w:vAlign w:val="center"/>
            <w:hideMark/>
          </w:tcPr>
          <w:p w14:paraId="7D4A86AF" w14:textId="77777777" w:rsidR="002C3099" w:rsidRPr="009E1B38" w:rsidRDefault="00891000" w:rsidP="002C3099">
            <w:pPr>
              <w:spacing w:after="0"/>
              <w:jc w:val="right"/>
              <w:rPr>
                <w:rFonts w:ascii="Times New Roman" w:hAnsi="Times New Roman"/>
              </w:rPr>
            </w:pPr>
            <w:r w:rsidRPr="009E1B38">
              <w:rPr>
                <w:rFonts w:ascii="Times New Roman" w:hAnsi="Times New Roman"/>
              </w:rPr>
              <w:t>109</w:t>
            </w:r>
            <w:r w:rsidR="002C3099" w:rsidRPr="009E1B38">
              <w:rPr>
                <w:rFonts w:ascii="Times New Roman" w:hAnsi="Times New Roman"/>
              </w:rPr>
              <w:t>,</w:t>
            </w:r>
            <w:r w:rsidRPr="009E1B38">
              <w:rPr>
                <w:rFonts w:ascii="Times New Roman" w:hAnsi="Times New Roman"/>
              </w:rPr>
              <w:t>3</w:t>
            </w:r>
            <w:r w:rsidR="002C3099" w:rsidRPr="009E1B38">
              <w:rPr>
                <w:rFonts w:ascii="Times New Roman" w:hAnsi="Times New Roman"/>
              </w:rPr>
              <w:t>0</w:t>
            </w:r>
          </w:p>
        </w:tc>
      </w:tr>
      <w:tr w:rsidR="002C3099" w:rsidRPr="009E1B38" w14:paraId="7D4A86B3" w14:textId="77777777" w:rsidTr="002C3099">
        <w:trPr>
          <w:trHeight w:val="340"/>
          <w:jc w:val="center"/>
        </w:trPr>
        <w:tc>
          <w:tcPr>
            <w:tcW w:w="2500" w:type="pct"/>
            <w:noWrap/>
            <w:vAlign w:val="center"/>
            <w:hideMark/>
          </w:tcPr>
          <w:p w14:paraId="7D4A86B1" w14:textId="65D70567" w:rsidR="002C3099" w:rsidRPr="009E1B38" w:rsidRDefault="00E53601" w:rsidP="002C3099">
            <w:pPr>
              <w:spacing w:after="0"/>
              <w:rPr>
                <w:rFonts w:ascii="Times New Roman" w:hAnsi="Times New Roman"/>
              </w:rPr>
            </w:pPr>
            <w:r w:rsidRPr="009E1B38">
              <w:rPr>
                <w:rFonts w:ascii="Times New Roman" w:hAnsi="Times New Roman"/>
              </w:rPr>
              <w:t>Overhead</w:t>
            </w:r>
          </w:p>
        </w:tc>
        <w:tc>
          <w:tcPr>
            <w:tcW w:w="2500" w:type="pct"/>
            <w:shd w:val="clear" w:color="auto" w:fill="FFFFFF"/>
            <w:noWrap/>
            <w:vAlign w:val="center"/>
            <w:hideMark/>
          </w:tcPr>
          <w:p w14:paraId="7D4A86B2" w14:textId="77777777" w:rsidR="002C3099" w:rsidRPr="009E1B38" w:rsidRDefault="00891000" w:rsidP="002C3099">
            <w:pPr>
              <w:spacing w:after="0"/>
              <w:jc w:val="right"/>
              <w:rPr>
                <w:rFonts w:ascii="Times New Roman" w:hAnsi="Times New Roman"/>
              </w:rPr>
            </w:pPr>
            <w:r w:rsidRPr="009E1B38">
              <w:rPr>
                <w:rFonts w:ascii="Times New Roman" w:hAnsi="Times New Roman"/>
              </w:rPr>
              <w:t>63</w:t>
            </w:r>
            <w:r w:rsidR="002C3099" w:rsidRPr="009E1B38">
              <w:rPr>
                <w:rFonts w:ascii="Times New Roman" w:hAnsi="Times New Roman"/>
              </w:rPr>
              <w:t>,</w:t>
            </w:r>
            <w:r w:rsidRPr="009E1B38">
              <w:rPr>
                <w:rFonts w:ascii="Times New Roman" w:hAnsi="Times New Roman"/>
              </w:rPr>
              <w:t>71</w:t>
            </w:r>
          </w:p>
        </w:tc>
      </w:tr>
      <w:tr w:rsidR="002C3099" w:rsidRPr="009E1B38" w14:paraId="7D4A86B5" w14:textId="77777777" w:rsidTr="002C3099">
        <w:trPr>
          <w:trHeight w:val="340"/>
          <w:jc w:val="center"/>
        </w:trPr>
        <w:tc>
          <w:tcPr>
            <w:tcW w:w="5000" w:type="pct"/>
            <w:gridSpan w:val="2"/>
            <w:shd w:val="clear" w:color="auto" w:fill="FFFFFF"/>
            <w:noWrap/>
            <w:vAlign w:val="center"/>
            <w:hideMark/>
          </w:tcPr>
          <w:p w14:paraId="7D4A86B4" w14:textId="77777777" w:rsidR="002C3099" w:rsidRPr="009E1B38" w:rsidRDefault="002C3099" w:rsidP="002C3099">
            <w:pPr>
              <w:spacing w:after="0"/>
              <w:rPr>
                <w:rFonts w:ascii="Times New Roman" w:hAnsi="Times New Roman"/>
                <w:b/>
              </w:rPr>
            </w:pPr>
            <w:r w:rsidRPr="009E1B38">
              <w:rPr>
                <w:rFonts w:ascii="Times New Roman" w:hAnsi="Times New Roman"/>
                <w:b/>
              </w:rPr>
              <w:t>50-100 kW </w:t>
            </w:r>
          </w:p>
        </w:tc>
      </w:tr>
      <w:tr w:rsidR="002C3099" w:rsidRPr="009E1B38" w14:paraId="7D4A86B8" w14:textId="77777777" w:rsidTr="002C3099">
        <w:trPr>
          <w:trHeight w:val="340"/>
          <w:jc w:val="center"/>
        </w:trPr>
        <w:tc>
          <w:tcPr>
            <w:tcW w:w="2500" w:type="pct"/>
            <w:shd w:val="clear" w:color="auto" w:fill="FFFFFF"/>
            <w:noWrap/>
            <w:vAlign w:val="center"/>
            <w:hideMark/>
          </w:tcPr>
          <w:p w14:paraId="7D4A86B6" w14:textId="06BB626F" w:rsidR="002C3099" w:rsidRPr="009E1B38" w:rsidRDefault="00E53601" w:rsidP="002C3099">
            <w:pPr>
              <w:spacing w:after="0"/>
              <w:rPr>
                <w:rFonts w:ascii="Times New Roman" w:hAnsi="Times New Roman"/>
              </w:rPr>
            </w:pPr>
            <w:r w:rsidRPr="009E1B38">
              <w:rPr>
                <w:rFonts w:ascii="Times New Roman" w:hAnsi="Times New Roman"/>
              </w:rPr>
              <w:t>Underground</w:t>
            </w:r>
          </w:p>
        </w:tc>
        <w:tc>
          <w:tcPr>
            <w:tcW w:w="2500" w:type="pct"/>
            <w:shd w:val="clear" w:color="auto" w:fill="FFFFFF"/>
            <w:noWrap/>
            <w:vAlign w:val="center"/>
            <w:hideMark/>
          </w:tcPr>
          <w:p w14:paraId="7D4A86B7" w14:textId="77777777" w:rsidR="002C3099" w:rsidRPr="009E1B38" w:rsidRDefault="002C3099" w:rsidP="002C3099">
            <w:pPr>
              <w:spacing w:after="0"/>
              <w:jc w:val="right"/>
              <w:rPr>
                <w:rFonts w:ascii="Times New Roman" w:hAnsi="Times New Roman"/>
              </w:rPr>
            </w:pPr>
            <w:r w:rsidRPr="009E1B38">
              <w:rPr>
                <w:rFonts w:ascii="Times New Roman" w:hAnsi="Times New Roman"/>
              </w:rPr>
              <w:t>1</w:t>
            </w:r>
            <w:r w:rsidR="00891000" w:rsidRPr="009E1B38">
              <w:rPr>
                <w:rFonts w:ascii="Times New Roman" w:hAnsi="Times New Roman"/>
              </w:rPr>
              <w:t>49</w:t>
            </w:r>
            <w:r w:rsidRPr="009E1B38">
              <w:rPr>
                <w:rFonts w:ascii="Times New Roman" w:hAnsi="Times New Roman"/>
              </w:rPr>
              <w:t>,</w:t>
            </w:r>
            <w:r w:rsidR="00891000" w:rsidRPr="009E1B38">
              <w:rPr>
                <w:rFonts w:ascii="Times New Roman" w:hAnsi="Times New Roman"/>
              </w:rPr>
              <w:t>25</w:t>
            </w:r>
          </w:p>
        </w:tc>
      </w:tr>
      <w:tr w:rsidR="002C3099" w:rsidRPr="009E1B38" w14:paraId="7D4A86BB" w14:textId="77777777" w:rsidTr="002C3099">
        <w:trPr>
          <w:trHeight w:val="340"/>
          <w:jc w:val="center"/>
        </w:trPr>
        <w:tc>
          <w:tcPr>
            <w:tcW w:w="2500" w:type="pct"/>
            <w:shd w:val="clear" w:color="auto" w:fill="FFFFFF"/>
            <w:noWrap/>
            <w:vAlign w:val="center"/>
            <w:hideMark/>
          </w:tcPr>
          <w:p w14:paraId="7D4A86B9" w14:textId="0CD76990" w:rsidR="002C3099" w:rsidRPr="009E1B38" w:rsidRDefault="00E53601" w:rsidP="002C3099">
            <w:pPr>
              <w:spacing w:after="0"/>
              <w:rPr>
                <w:rFonts w:ascii="Times New Roman" w:hAnsi="Times New Roman"/>
              </w:rPr>
            </w:pPr>
            <w:r w:rsidRPr="009E1B38">
              <w:rPr>
                <w:rFonts w:ascii="Times New Roman" w:hAnsi="Times New Roman"/>
              </w:rPr>
              <w:t>Overhead</w:t>
            </w:r>
          </w:p>
        </w:tc>
        <w:tc>
          <w:tcPr>
            <w:tcW w:w="2500" w:type="pct"/>
            <w:shd w:val="clear" w:color="auto" w:fill="FFFFFF"/>
            <w:noWrap/>
            <w:vAlign w:val="center"/>
            <w:hideMark/>
          </w:tcPr>
          <w:p w14:paraId="7D4A86BA" w14:textId="77777777" w:rsidR="002C3099" w:rsidRPr="009E1B38" w:rsidRDefault="00891000" w:rsidP="002C3099">
            <w:pPr>
              <w:spacing w:after="0"/>
              <w:jc w:val="right"/>
              <w:rPr>
                <w:rFonts w:ascii="Times New Roman" w:hAnsi="Times New Roman"/>
              </w:rPr>
            </w:pPr>
            <w:r w:rsidRPr="009E1B38">
              <w:rPr>
                <w:rFonts w:ascii="Times New Roman" w:hAnsi="Times New Roman"/>
              </w:rPr>
              <w:t>79</w:t>
            </w:r>
            <w:r w:rsidR="002C3099" w:rsidRPr="009E1B38">
              <w:rPr>
                <w:rFonts w:ascii="Times New Roman" w:hAnsi="Times New Roman"/>
              </w:rPr>
              <w:t>,</w:t>
            </w:r>
            <w:r w:rsidRPr="009E1B38">
              <w:rPr>
                <w:rFonts w:ascii="Times New Roman" w:hAnsi="Times New Roman"/>
              </w:rPr>
              <w:t>36</w:t>
            </w:r>
          </w:p>
        </w:tc>
      </w:tr>
      <w:tr w:rsidR="002C3099" w:rsidRPr="009E1B38" w14:paraId="7D4A86BD" w14:textId="77777777" w:rsidTr="002C3099">
        <w:trPr>
          <w:trHeight w:val="340"/>
          <w:jc w:val="center"/>
        </w:trPr>
        <w:tc>
          <w:tcPr>
            <w:tcW w:w="5000" w:type="pct"/>
            <w:gridSpan w:val="2"/>
            <w:noWrap/>
            <w:vAlign w:val="center"/>
            <w:hideMark/>
          </w:tcPr>
          <w:p w14:paraId="7D4A86BC" w14:textId="6E19F835" w:rsidR="002C3099" w:rsidRPr="009E1B38" w:rsidRDefault="00CF3BFF" w:rsidP="002C3099">
            <w:pPr>
              <w:spacing w:after="0"/>
              <w:rPr>
                <w:rFonts w:ascii="Times New Roman" w:hAnsi="Times New Roman"/>
                <w:b/>
              </w:rPr>
            </w:pPr>
            <w:r w:rsidRPr="009E1B38">
              <w:rPr>
                <w:rFonts w:ascii="Times New Roman" w:hAnsi="Times New Roman"/>
                <w:b/>
              </w:rPr>
              <w:t xml:space="preserve">Above </w:t>
            </w:r>
            <w:r w:rsidR="002C3099" w:rsidRPr="009E1B38">
              <w:rPr>
                <w:rFonts w:ascii="Times New Roman" w:hAnsi="Times New Roman"/>
                <w:b/>
              </w:rPr>
              <w:t>100 kW</w:t>
            </w:r>
          </w:p>
        </w:tc>
      </w:tr>
      <w:tr w:rsidR="002C3099" w:rsidRPr="009E1B38" w14:paraId="7D4A86C0" w14:textId="77777777" w:rsidTr="002C3099">
        <w:trPr>
          <w:trHeight w:val="340"/>
          <w:jc w:val="center"/>
        </w:trPr>
        <w:tc>
          <w:tcPr>
            <w:tcW w:w="2500" w:type="pct"/>
            <w:shd w:val="clear" w:color="auto" w:fill="FFFFFF"/>
            <w:noWrap/>
            <w:vAlign w:val="center"/>
            <w:hideMark/>
          </w:tcPr>
          <w:p w14:paraId="7D4A86BE" w14:textId="0C706AC6" w:rsidR="002C3099" w:rsidRPr="009E1B38" w:rsidRDefault="00E53601" w:rsidP="002C3099">
            <w:pPr>
              <w:spacing w:after="0"/>
              <w:rPr>
                <w:rFonts w:ascii="Times New Roman" w:hAnsi="Times New Roman"/>
              </w:rPr>
            </w:pPr>
            <w:r w:rsidRPr="009E1B38">
              <w:rPr>
                <w:rFonts w:ascii="Times New Roman" w:hAnsi="Times New Roman"/>
              </w:rPr>
              <w:t>Underground</w:t>
            </w:r>
          </w:p>
        </w:tc>
        <w:tc>
          <w:tcPr>
            <w:tcW w:w="2500" w:type="pct"/>
            <w:shd w:val="clear" w:color="auto" w:fill="FFFFFF"/>
            <w:noWrap/>
            <w:vAlign w:val="center"/>
            <w:hideMark/>
          </w:tcPr>
          <w:p w14:paraId="7D4A86BF" w14:textId="77777777" w:rsidR="002C3099" w:rsidRPr="009E1B38" w:rsidRDefault="002C3099" w:rsidP="002C3099">
            <w:pPr>
              <w:spacing w:after="0"/>
              <w:jc w:val="right"/>
              <w:rPr>
                <w:rFonts w:ascii="Times New Roman" w:hAnsi="Times New Roman"/>
              </w:rPr>
            </w:pPr>
            <w:r w:rsidRPr="009E1B38">
              <w:rPr>
                <w:rFonts w:ascii="Times New Roman" w:hAnsi="Times New Roman"/>
              </w:rPr>
              <w:t>1</w:t>
            </w:r>
            <w:r w:rsidR="00891000" w:rsidRPr="009E1B38">
              <w:rPr>
                <w:rFonts w:ascii="Times New Roman" w:hAnsi="Times New Roman"/>
              </w:rPr>
              <w:t>49</w:t>
            </w:r>
            <w:r w:rsidRPr="009E1B38">
              <w:rPr>
                <w:rFonts w:ascii="Times New Roman" w:hAnsi="Times New Roman"/>
              </w:rPr>
              <w:t>,</w:t>
            </w:r>
            <w:r w:rsidR="00891000" w:rsidRPr="009E1B38">
              <w:rPr>
                <w:rFonts w:ascii="Times New Roman" w:hAnsi="Times New Roman"/>
              </w:rPr>
              <w:t>25</w:t>
            </w:r>
            <w:r w:rsidRPr="009E1B38">
              <w:rPr>
                <w:rFonts w:ascii="Times New Roman" w:hAnsi="Times New Roman"/>
              </w:rPr>
              <w:t>+0,6×(Güç-100)</w:t>
            </w:r>
          </w:p>
        </w:tc>
      </w:tr>
      <w:tr w:rsidR="002C3099" w:rsidRPr="009E1B38" w14:paraId="7D4A86C2" w14:textId="77777777" w:rsidTr="002C3099">
        <w:trPr>
          <w:trHeight w:val="340"/>
          <w:jc w:val="center"/>
        </w:trPr>
        <w:tc>
          <w:tcPr>
            <w:tcW w:w="5000" w:type="pct"/>
            <w:gridSpan w:val="2"/>
            <w:shd w:val="clear" w:color="auto" w:fill="D9D9D9" w:themeFill="background1" w:themeFillShade="D9"/>
            <w:noWrap/>
            <w:vAlign w:val="center"/>
            <w:hideMark/>
          </w:tcPr>
          <w:p w14:paraId="7D4A86C1" w14:textId="77777777" w:rsidR="002C3099" w:rsidRPr="009E1B38" w:rsidRDefault="002C3099" w:rsidP="002C3099">
            <w:pPr>
              <w:spacing w:after="0"/>
              <w:jc w:val="center"/>
              <w:rPr>
                <w:rFonts w:ascii="Times New Roman" w:hAnsi="Times New Roman"/>
                <w:b/>
              </w:rPr>
            </w:pPr>
            <w:r w:rsidRPr="009E1B38">
              <w:rPr>
                <w:rFonts w:ascii="Times New Roman" w:hAnsi="Times New Roman"/>
                <w:b/>
              </w:rPr>
              <w:t>OG</w:t>
            </w:r>
          </w:p>
        </w:tc>
      </w:tr>
      <w:tr w:rsidR="002C3099" w:rsidRPr="009E1B38" w14:paraId="7D4A86C5" w14:textId="77777777" w:rsidTr="002C3099">
        <w:trPr>
          <w:trHeight w:val="340"/>
          <w:jc w:val="center"/>
        </w:trPr>
        <w:tc>
          <w:tcPr>
            <w:tcW w:w="2500" w:type="pct"/>
            <w:shd w:val="clear" w:color="auto" w:fill="FFFFFF"/>
            <w:noWrap/>
            <w:vAlign w:val="center"/>
            <w:hideMark/>
          </w:tcPr>
          <w:p w14:paraId="7D4A86C3" w14:textId="63667622" w:rsidR="002C3099" w:rsidRPr="009E1B38" w:rsidRDefault="00E53601" w:rsidP="002C3099">
            <w:pPr>
              <w:spacing w:after="0"/>
              <w:rPr>
                <w:rFonts w:ascii="Times New Roman" w:hAnsi="Times New Roman"/>
              </w:rPr>
            </w:pPr>
            <w:r w:rsidRPr="009E1B38">
              <w:rPr>
                <w:rFonts w:ascii="Times New Roman" w:hAnsi="Times New Roman"/>
              </w:rPr>
              <w:t>Underground</w:t>
            </w:r>
          </w:p>
        </w:tc>
        <w:tc>
          <w:tcPr>
            <w:tcW w:w="2500" w:type="pct"/>
            <w:shd w:val="clear" w:color="auto" w:fill="FFFFFF"/>
            <w:noWrap/>
            <w:vAlign w:val="center"/>
            <w:hideMark/>
          </w:tcPr>
          <w:p w14:paraId="7D4A86C4" w14:textId="77777777" w:rsidR="002C3099" w:rsidRPr="009E1B38" w:rsidRDefault="002C3099" w:rsidP="002C3099">
            <w:pPr>
              <w:spacing w:after="0"/>
              <w:jc w:val="right"/>
              <w:rPr>
                <w:rFonts w:ascii="Times New Roman" w:hAnsi="Times New Roman"/>
              </w:rPr>
            </w:pPr>
            <w:r w:rsidRPr="009E1B38">
              <w:rPr>
                <w:rFonts w:ascii="Times New Roman" w:hAnsi="Times New Roman"/>
              </w:rPr>
              <w:t>3</w:t>
            </w:r>
            <w:r w:rsidR="00891000" w:rsidRPr="009E1B38">
              <w:rPr>
                <w:rFonts w:ascii="Times New Roman" w:hAnsi="Times New Roman"/>
              </w:rPr>
              <w:t>81</w:t>
            </w:r>
            <w:r w:rsidRPr="009E1B38">
              <w:rPr>
                <w:rFonts w:ascii="Times New Roman" w:hAnsi="Times New Roman"/>
              </w:rPr>
              <w:t>,5</w:t>
            </w:r>
            <w:r w:rsidR="00891000" w:rsidRPr="009E1B38">
              <w:rPr>
                <w:rFonts w:ascii="Times New Roman" w:hAnsi="Times New Roman"/>
              </w:rPr>
              <w:t>6</w:t>
            </w:r>
          </w:p>
        </w:tc>
      </w:tr>
      <w:tr w:rsidR="002C3099" w:rsidRPr="009E1B38" w14:paraId="7D4A86C8" w14:textId="77777777" w:rsidTr="002C3099">
        <w:trPr>
          <w:trHeight w:val="340"/>
          <w:jc w:val="center"/>
        </w:trPr>
        <w:tc>
          <w:tcPr>
            <w:tcW w:w="2500" w:type="pct"/>
            <w:noWrap/>
            <w:vAlign w:val="center"/>
            <w:hideMark/>
          </w:tcPr>
          <w:p w14:paraId="7D4A86C6" w14:textId="56E77B86" w:rsidR="002C3099" w:rsidRPr="009E1B38" w:rsidRDefault="00E53601" w:rsidP="002C3099">
            <w:pPr>
              <w:spacing w:after="0"/>
              <w:rPr>
                <w:rFonts w:ascii="Times New Roman" w:hAnsi="Times New Roman"/>
              </w:rPr>
            </w:pPr>
            <w:r w:rsidRPr="009E1B38">
              <w:rPr>
                <w:rFonts w:ascii="Times New Roman" w:hAnsi="Times New Roman"/>
              </w:rPr>
              <w:t>Overhead</w:t>
            </w:r>
          </w:p>
        </w:tc>
        <w:tc>
          <w:tcPr>
            <w:tcW w:w="2500" w:type="pct"/>
            <w:shd w:val="clear" w:color="auto" w:fill="FFFFFF"/>
            <w:noWrap/>
            <w:vAlign w:val="center"/>
            <w:hideMark/>
          </w:tcPr>
          <w:p w14:paraId="7D4A86C7" w14:textId="77777777" w:rsidR="002C3099" w:rsidRPr="009E1B38" w:rsidRDefault="00891000" w:rsidP="002C3099">
            <w:pPr>
              <w:spacing w:after="0"/>
              <w:jc w:val="right"/>
              <w:rPr>
                <w:rFonts w:ascii="Times New Roman" w:hAnsi="Times New Roman"/>
              </w:rPr>
            </w:pPr>
            <w:r w:rsidRPr="009E1B38">
              <w:rPr>
                <w:rFonts w:ascii="Times New Roman" w:hAnsi="Times New Roman"/>
              </w:rPr>
              <w:t>102</w:t>
            </w:r>
            <w:r w:rsidR="002C3099" w:rsidRPr="009E1B38">
              <w:rPr>
                <w:rFonts w:ascii="Times New Roman" w:hAnsi="Times New Roman"/>
              </w:rPr>
              <w:t>,0</w:t>
            </w:r>
            <w:r w:rsidRPr="009E1B38">
              <w:rPr>
                <w:rFonts w:ascii="Times New Roman" w:hAnsi="Times New Roman"/>
              </w:rPr>
              <w:t>0</w:t>
            </w:r>
          </w:p>
        </w:tc>
      </w:tr>
    </w:tbl>
    <w:p w14:paraId="7D4A86C9" w14:textId="77777777" w:rsidR="002C3099" w:rsidRPr="009E1B38" w:rsidRDefault="002C3099" w:rsidP="002C3099">
      <w:pPr>
        <w:spacing w:after="0"/>
        <w:rPr>
          <w:rFonts w:ascii="Times New Roman" w:hAnsi="Times New Roman"/>
          <w:color w:val="000000" w:themeColor="text1"/>
        </w:rPr>
      </w:pPr>
    </w:p>
    <w:p w14:paraId="7D4A86CA" w14:textId="4780806B" w:rsidR="002C3099" w:rsidRPr="009E1B38" w:rsidRDefault="00FC7164" w:rsidP="003C5E4D">
      <w:pPr>
        <w:pStyle w:val="Balk4"/>
        <w:numPr>
          <w:ilvl w:val="3"/>
          <w:numId w:val="61"/>
        </w:numPr>
        <w:spacing w:before="0" w:after="240"/>
        <w:rPr>
          <w:rFonts w:cs="Times New Roman"/>
          <w:i w:val="0"/>
          <w:color w:val="000000" w:themeColor="text1"/>
        </w:rPr>
      </w:pPr>
      <w:bookmarkStart w:id="178" w:name="_Toc113615352"/>
      <w:r w:rsidRPr="009E1B38">
        <w:rPr>
          <w:rFonts w:cs="Times New Roman"/>
          <w:i w:val="0"/>
          <w:color w:val="000000" w:themeColor="text1"/>
        </w:rPr>
        <w:t>Cutting-Connecting Fee</w:t>
      </w:r>
      <w:bookmarkEnd w:id="178"/>
    </w:p>
    <w:p w14:paraId="5F0D80D7" w14:textId="77777777" w:rsidR="00FC7164" w:rsidRPr="009E1B38" w:rsidRDefault="00FC7164" w:rsidP="003F0CCE">
      <w:pPr>
        <w:rPr>
          <w:rFonts w:ascii="Times New Roman" w:hAnsi="Times New Roman"/>
          <w:color w:val="000000" w:themeColor="text1"/>
        </w:rPr>
      </w:pPr>
      <w:r w:rsidRPr="009E1B38">
        <w:rPr>
          <w:rFonts w:ascii="Times New Roman" w:hAnsi="Times New Roman"/>
        </w:rPr>
        <w:t>With the Board Decision dated 30.12.2021 and numbered 10687-2, published in the Official Gazette dated 31.12.2021 and numbered 31706 (6.repeated), it was decided to apply the cutting-connecting fees in Table 4.10 as of 01.01.2022</w:t>
      </w:r>
      <w:r w:rsidRPr="009E1B38">
        <w:rPr>
          <w:rFonts w:ascii="Times New Roman" w:hAnsi="Times New Roman"/>
          <w:color w:val="000000" w:themeColor="text1"/>
        </w:rPr>
        <w:t>.</w:t>
      </w:r>
    </w:p>
    <w:p w14:paraId="7D4A86CC" w14:textId="4F9FA615" w:rsidR="002C3099" w:rsidRPr="009E1B38" w:rsidRDefault="0082470D" w:rsidP="002F3B01">
      <w:pPr>
        <w:pStyle w:val="Balk5"/>
        <w:jc w:val="center"/>
        <w:rPr>
          <w:rStyle w:val="Gl"/>
          <w:rFonts w:ascii="Times New Roman" w:hAnsi="Times New Roman" w:cs="Times New Roman"/>
          <w:b/>
          <w:bCs w:val="0"/>
        </w:rPr>
      </w:pPr>
      <w:bookmarkStart w:id="179" w:name="_Toc66267476"/>
      <w:bookmarkStart w:id="180" w:name="_Toc107499518"/>
      <w:r w:rsidRPr="009E1B38">
        <w:rPr>
          <w:rStyle w:val="Gl"/>
          <w:rFonts w:ascii="Times New Roman" w:hAnsi="Times New Roman" w:cs="Times New Roman"/>
          <w:b/>
          <w:bCs w:val="0"/>
        </w:rPr>
        <w:t>Table</w:t>
      </w:r>
      <w:r w:rsidR="002C3099" w:rsidRPr="009E1B38">
        <w:rPr>
          <w:rStyle w:val="Gl"/>
          <w:rFonts w:ascii="Times New Roman" w:hAnsi="Times New Roman" w:cs="Times New Roman"/>
          <w:b/>
          <w:bCs w:val="0"/>
        </w:rPr>
        <w:t xml:space="preserve"> 4.1</w:t>
      </w:r>
      <w:r w:rsidR="00040B6A" w:rsidRPr="009E1B38">
        <w:rPr>
          <w:rStyle w:val="Gl"/>
          <w:rFonts w:ascii="Times New Roman" w:hAnsi="Times New Roman" w:cs="Times New Roman"/>
          <w:b/>
          <w:bCs w:val="0"/>
        </w:rPr>
        <w:t>0</w:t>
      </w:r>
      <w:r w:rsidR="002C3099" w:rsidRPr="009E1B38">
        <w:rPr>
          <w:rStyle w:val="Gl"/>
          <w:rFonts w:ascii="Times New Roman" w:hAnsi="Times New Roman" w:cs="Times New Roman"/>
          <w:b/>
          <w:bCs w:val="0"/>
        </w:rPr>
        <w:t xml:space="preserve">: </w:t>
      </w:r>
      <w:r w:rsidR="00FC7164" w:rsidRPr="009E1B38">
        <w:rPr>
          <w:rStyle w:val="Gl"/>
          <w:rFonts w:ascii="Times New Roman" w:hAnsi="Times New Roman" w:cs="Times New Roman"/>
          <w:b/>
          <w:bCs w:val="0"/>
        </w:rPr>
        <w:t>Cutting-Connecting Fee</w:t>
      </w:r>
      <w:bookmarkEnd w:id="179"/>
      <w:bookmarkEnd w:id="180"/>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2C3099" w:rsidRPr="009E1B38" w14:paraId="7D4A86CF" w14:textId="77777777" w:rsidTr="002C3099">
        <w:trPr>
          <w:jc w:val="center"/>
        </w:trPr>
        <w:tc>
          <w:tcPr>
            <w:tcW w:w="3314" w:type="dxa"/>
            <w:shd w:val="clear" w:color="auto" w:fill="6E9ECA"/>
            <w:hideMark/>
          </w:tcPr>
          <w:p w14:paraId="7D4A86CD" w14:textId="2F424A4E" w:rsidR="002C3099" w:rsidRPr="009E1B38" w:rsidRDefault="00FC7164" w:rsidP="002C3099">
            <w:pPr>
              <w:spacing w:after="0"/>
              <w:jc w:val="center"/>
              <w:rPr>
                <w:rFonts w:ascii="Times New Roman" w:hAnsi="Times New Roman"/>
                <w:b/>
                <w:color w:val="FFFFFF" w:themeColor="background1"/>
              </w:rPr>
            </w:pPr>
            <w:r w:rsidRPr="009E1B38">
              <w:rPr>
                <w:rFonts w:ascii="Times New Roman" w:hAnsi="Times New Roman"/>
                <w:b/>
                <w:color w:val="FFFFFF" w:themeColor="background1"/>
              </w:rPr>
              <w:t>Connection Level</w:t>
            </w:r>
          </w:p>
        </w:tc>
        <w:tc>
          <w:tcPr>
            <w:tcW w:w="3202" w:type="dxa"/>
            <w:shd w:val="clear" w:color="auto" w:fill="6E9ECA"/>
            <w:hideMark/>
          </w:tcPr>
          <w:p w14:paraId="7D4A86CE" w14:textId="5889B322" w:rsidR="002C3099" w:rsidRPr="009E1B38" w:rsidRDefault="00FC7164" w:rsidP="002C3099">
            <w:pPr>
              <w:spacing w:after="0"/>
              <w:jc w:val="center"/>
              <w:rPr>
                <w:rFonts w:ascii="Times New Roman" w:hAnsi="Times New Roman"/>
                <w:b/>
                <w:color w:val="FFFFFF" w:themeColor="background1"/>
              </w:rPr>
            </w:pPr>
            <w:r w:rsidRPr="009E1B38">
              <w:rPr>
                <w:rFonts w:ascii="Times New Roman" w:hAnsi="Times New Roman"/>
                <w:b/>
                <w:color w:val="FFFFFF" w:themeColor="background1"/>
              </w:rPr>
              <w:t>Cutting-Connecting Fee (TL)</w:t>
            </w:r>
          </w:p>
        </w:tc>
      </w:tr>
      <w:tr w:rsidR="002C3099" w:rsidRPr="009E1B38" w14:paraId="7D4A86D2" w14:textId="77777777" w:rsidTr="002C3099">
        <w:trPr>
          <w:jc w:val="center"/>
        </w:trPr>
        <w:tc>
          <w:tcPr>
            <w:tcW w:w="3314" w:type="dxa"/>
            <w:hideMark/>
          </w:tcPr>
          <w:p w14:paraId="7D4A86D0" w14:textId="77777777" w:rsidR="002C3099" w:rsidRPr="009E1B38" w:rsidRDefault="002C3099" w:rsidP="002C3099">
            <w:pPr>
              <w:spacing w:after="0"/>
              <w:rPr>
                <w:rFonts w:ascii="Times New Roman" w:hAnsi="Times New Roman"/>
                <w:color w:val="000000" w:themeColor="text1"/>
              </w:rPr>
            </w:pPr>
            <w:r w:rsidRPr="009E1B38">
              <w:rPr>
                <w:rFonts w:ascii="Times New Roman" w:hAnsi="Times New Roman"/>
                <w:color w:val="000000" w:themeColor="text1"/>
              </w:rPr>
              <w:t>AG</w:t>
            </w:r>
          </w:p>
        </w:tc>
        <w:tc>
          <w:tcPr>
            <w:tcW w:w="3202" w:type="dxa"/>
            <w:hideMark/>
          </w:tcPr>
          <w:p w14:paraId="7D4A86D1" w14:textId="77777777" w:rsidR="002C3099" w:rsidRPr="009E1B38" w:rsidRDefault="002C3099" w:rsidP="002C3099">
            <w:pPr>
              <w:spacing w:after="0"/>
              <w:jc w:val="right"/>
              <w:rPr>
                <w:rFonts w:ascii="Times New Roman" w:hAnsi="Times New Roman"/>
                <w:color w:val="000000" w:themeColor="text1"/>
              </w:rPr>
            </w:pPr>
            <w:r w:rsidRPr="009E1B38">
              <w:rPr>
                <w:rFonts w:ascii="Times New Roman" w:hAnsi="Times New Roman"/>
                <w:color w:val="000000" w:themeColor="text1"/>
              </w:rPr>
              <w:t>2</w:t>
            </w:r>
            <w:r w:rsidR="003576CC" w:rsidRPr="009E1B38">
              <w:rPr>
                <w:rFonts w:ascii="Times New Roman" w:hAnsi="Times New Roman"/>
                <w:color w:val="000000" w:themeColor="text1"/>
              </w:rPr>
              <w:t>4,3</w:t>
            </w:r>
          </w:p>
        </w:tc>
      </w:tr>
      <w:tr w:rsidR="002C3099" w:rsidRPr="009E1B38" w14:paraId="7D4A86D5" w14:textId="77777777" w:rsidTr="002C3099">
        <w:trPr>
          <w:jc w:val="center"/>
        </w:trPr>
        <w:tc>
          <w:tcPr>
            <w:tcW w:w="3314" w:type="dxa"/>
            <w:hideMark/>
          </w:tcPr>
          <w:p w14:paraId="7D4A86D3" w14:textId="77777777" w:rsidR="002C3099" w:rsidRPr="009E1B38" w:rsidRDefault="002C3099" w:rsidP="002C3099">
            <w:pPr>
              <w:spacing w:after="0"/>
              <w:rPr>
                <w:rFonts w:ascii="Times New Roman" w:hAnsi="Times New Roman"/>
                <w:color w:val="000000" w:themeColor="text1"/>
              </w:rPr>
            </w:pPr>
            <w:r w:rsidRPr="009E1B38">
              <w:rPr>
                <w:rFonts w:ascii="Times New Roman" w:hAnsi="Times New Roman"/>
                <w:color w:val="000000" w:themeColor="text1"/>
              </w:rPr>
              <w:t>OG</w:t>
            </w:r>
          </w:p>
        </w:tc>
        <w:tc>
          <w:tcPr>
            <w:tcW w:w="3202" w:type="dxa"/>
            <w:hideMark/>
          </w:tcPr>
          <w:p w14:paraId="7D4A86D4" w14:textId="77777777" w:rsidR="002C3099" w:rsidRPr="009E1B38" w:rsidRDefault="002C3099" w:rsidP="002C3099">
            <w:pPr>
              <w:spacing w:after="0"/>
              <w:jc w:val="right"/>
              <w:rPr>
                <w:rFonts w:ascii="Times New Roman" w:hAnsi="Times New Roman"/>
                <w:color w:val="000000" w:themeColor="text1"/>
              </w:rPr>
            </w:pPr>
            <w:r w:rsidRPr="009E1B38">
              <w:rPr>
                <w:rFonts w:ascii="Times New Roman" w:hAnsi="Times New Roman"/>
                <w:color w:val="000000" w:themeColor="text1"/>
              </w:rPr>
              <w:t>1</w:t>
            </w:r>
            <w:r w:rsidR="003576CC" w:rsidRPr="009E1B38">
              <w:rPr>
                <w:rFonts w:ascii="Times New Roman" w:hAnsi="Times New Roman"/>
                <w:color w:val="000000" w:themeColor="text1"/>
              </w:rPr>
              <w:t>82</w:t>
            </w:r>
          </w:p>
        </w:tc>
      </w:tr>
    </w:tbl>
    <w:p w14:paraId="7D4A86D6" w14:textId="77777777" w:rsidR="002C3099" w:rsidRPr="009E1B38" w:rsidRDefault="002C3099" w:rsidP="002C3099">
      <w:pPr>
        <w:pStyle w:val="AralkYok"/>
        <w:rPr>
          <w:rFonts w:ascii="Times New Roman" w:hAnsi="Times New Roman" w:cs="Times New Roman"/>
          <w:lang w:val="en-US"/>
        </w:rPr>
      </w:pPr>
    </w:p>
    <w:p w14:paraId="7D4A86D7" w14:textId="7D907EB1" w:rsidR="002C3099" w:rsidRPr="009E1B38" w:rsidRDefault="00FC7164" w:rsidP="003C5E4D">
      <w:pPr>
        <w:pStyle w:val="Balk4"/>
        <w:numPr>
          <w:ilvl w:val="3"/>
          <w:numId w:val="61"/>
        </w:numPr>
        <w:spacing w:before="0" w:after="240"/>
        <w:rPr>
          <w:rFonts w:cs="Times New Roman"/>
          <w:i w:val="0"/>
          <w:color w:val="FFC000"/>
        </w:rPr>
      </w:pPr>
      <w:bookmarkStart w:id="181" w:name="_Toc113615353"/>
      <w:r w:rsidRPr="009E1B38">
        <w:rPr>
          <w:rFonts w:cs="Times New Roman"/>
          <w:i w:val="0"/>
          <w:color w:val="000000" w:themeColor="text1"/>
        </w:rPr>
        <w:t>Security Deposit</w:t>
      </w:r>
      <w:bookmarkEnd w:id="181"/>
      <w:r w:rsidRPr="009E1B38">
        <w:rPr>
          <w:rFonts w:cs="Times New Roman"/>
          <w:i w:val="0"/>
          <w:color w:val="000000" w:themeColor="text1"/>
        </w:rPr>
        <w:t xml:space="preserve"> </w:t>
      </w:r>
    </w:p>
    <w:p w14:paraId="7D4A86D9" w14:textId="15C717E3" w:rsidR="00D3422D" w:rsidRPr="009E1B38" w:rsidRDefault="00FC7164" w:rsidP="002C3099">
      <w:pPr>
        <w:spacing w:after="0"/>
        <w:rPr>
          <w:rFonts w:ascii="Times New Roman" w:hAnsi="Times New Roman"/>
          <w:color w:val="000000" w:themeColor="text1"/>
        </w:rPr>
      </w:pPr>
      <w:r w:rsidRPr="009E1B38">
        <w:rPr>
          <w:rFonts w:ascii="Times New Roman" w:hAnsi="Times New Roman"/>
          <w:color w:val="000000" w:themeColor="text1"/>
        </w:rPr>
        <w:t>With the Board Decision dated 30.12.2021 and numbered 10687-1 published in the Official Gazette dated 31.12.2021 and numbered 31706 (6.repeated), it was decided to apply the security fees in Table 4.11 as of 01.01.2022.</w:t>
      </w:r>
    </w:p>
    <w:p w14:paraId="7D4A86DA" w14:textId="5725C0FD" w:rsidR="002C3099" w:rsidRPr="009E1B38" w:rsidRDefault="0082470D" w:rsidP="002F3B01">
      <w:pPr>
        <w:pStyle w:val="Balk5"/>
        <w:jc w:val="center"/>
        <w:rPr>
          <w:rStyle w:val="Gl"/>
          <w:rFonts w:ascii="Times New Roman" w:hAnsi="Times New Roman" w:cs="Times New Roman"/>
          <w:b/>
          <w:bCs w:val="0"/>
        </w:rPr>
      </w:pPr>
      <w:bookmarkStart w:id="182" w:name="_Toc66267477"/>
      <w:bookmarkStart w:id="183" w:name="_Toc107499519"/>
      <w:r w:rsidRPr="009E1B38">
        <w:rPr>
          <w:rStyle w:val="Gl"/>
          <w:rFonts w:ascii="Times New Roman" w:hAnsi="Times New Roman" w:cs="Times New Roman"/>
          <w:b/>
          <w:bCs w:val="0"/>
        </w:rPr>
        <w:t>Table</w:t>
      </w:r>
      <w:r w:rsidR="002C3099" w:rsidRPr="009E1B38">
        <w:rPr>
          <w:rStyle w:val="Gl"/>
          <w:rFonts w:ascii="Times New Roman" w:hAnsi="Times New Roman" w:cs="Times New Roman"/>
          <w:b/>
          <w:bCs w:val="0"/>
        </w:rPr>
        <w:t xml:space="preserve"> 4.1</w:t>
      </w:r>
      <w:r w:rsidR="00040B6A" w:rsidRPr="009E1B38">
        <w:rPr>
          <w:rStyle w:val="Gl"/>
          <w:rFonts w:ascii="Times New Roman" w:hAnsi="Times New Roman" w:cs="Times New Roman"/>
          <w:b/>
          <w:bCs w:val="0"/>
        </w:rPr>
        <w:t>1</w:t>
      </w:r>
      <w:r w:rsidR="002C3099" w:rsidRPr="009E1B38">
        <w:rPr>
          <w:rStyle w:val="Gl"/>
          <w:rFonts w:ascii="Times New Roman" w:hAnsi="Times New Roman" w:cs="Times New Roman"/>
          <w:b/>
          <w:bCs w:val="0"/>
        </w:rPr>
        <w:t xml:space="preserve">: </w:t>
      </w:r>
      <w:bookmarkEnd w:id="182"/>
      <w:r w:rsidR="00FC7164" w:rsidRPr="009E1B38">
        <w:rPr>
          <w:rStyle w:val="Gl"/>
          <w:rFonts w:ascii="Times New Roman" w:hAnsi="Times New Roman" w:cs="Times New Roman"/>
          <w:b/>
          <w:bCs w:val="0"/>
        </w:rPr>
        <w:t>Security Deposit</w:t>
      </w:r>
      <w:bookmarkEnd w:id="183"/>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2C3099" w:rsidRPr="009E1B38" w14:paraId="7D4A86DD" w14:textId="77777777" w:rsidTr="002C3099">
        <w:trPr>
          <w:trHeight w:val="377"/>
          <w:jc w:val="center"/>
        </w:trPr>
        <w:tc>
          <w:tcPr>
            <w:tcW w:w="4844" w:type="dxa"/>
            <w:shd w:val="clear" w:color="auto" w:fill="6E9ECA"/>
            <w:vAlign w:val="center"/>
          </w:tcPr>
          <w:p w14:paraId="7D4A86DB" w14:textId="4C71D81E" w:rsidR="002C3099" w:rsidRPr="009E1B38" w:rsidRDefault="00FC7164" w:rsidP="002C3099">
            <w:pPr>
              <w:spacing w:after="0"/>
              <w:jc w:val="center"/>
              <w:rPr>
                <w:rFonts w:ascii="Times New Roman" w:hAnsi="Times New Roman"/>
                <w:b/>
                <w:color w:val="FFFFFF" w:themeColor="background1"/>
              </w:rPr>
            </w:pPr>
            <w:r w:rsidRPr="009E1B38">
              <w:rPr>
                <w:rFonts w:ascii="Times New Roman" w:hAnsi="Times New Roman"/>
                <w:b/>
                <w:color w:val="FFFFFF" w:themeColor="background1"/>
              </w:rPr>
              <w:t>Subscriber Groups</w:t>
            </w:r>
          </w:p>
        </w:tc>
        <w:tc>
          <w:tcPr>
            <w:tcW w:w="3373" w:type="dxa"/>
            <w:shd w:val="clear" w:color="auto" w:fill="6E9ECA"/>
            <w:vAlign w:val="center"/>
          </w:tcPr>
          <w:p w14:paraId="7D4A86DC" w14:textId="40910F9B" w:rsidR="002C3099" w:rsidRPr="009E1B38" w:rsidRDefault="00FC7164" w:rsidP="002C3099">
            <w:pPr>
              <w:spacing w:after="0"/>
              <w:jc w:val="center"/>
              <w:rPr>
                <w:rFonts w:ascii="Times New Roman" w:hAnsi="Times New Roman"/>
                <w:b/>
                <w:color w:val="FFFFFF" w:themeColor="background1"/>
              </w:rPr>
            </w:pPr>
            <w:r w:rsidRPr="009E1B38">
              <w:rPr>
                <w:rFonts w:ascii="Times New Roman" w:hAnsi="Times New Roman"/>
                <w:b/>
                <w:color w:val="FFFFFF" w:themeColor="background1"/>
              </w:rPr>
              <w:t xml:space="preserve">Assurance Unit Fee (TL/kW) </w:t>
            </w:r>
          </w:p>
        </w:tc>
      </w:tr>
      <w:tr w:rsidR="002C3099" w:rsidRPr="009E1B38" w14:paraId="7D4A86E0" w14:textId="77777777" w:rsidTr="002C3099">
        <w:trPr>
          <w:jc w:val="center"/>
        </w:trPr>
        <w:tc>
          <w:tcPr>
            <w:tcW w:w="4844" w:type="dxa"/>
          </w:tcPr>
          <w:p w14:paraId="7D4A86DE" w14:textId="4A20F0E0" w:rsidR="002C3099" w:rsidRPr="009E1B38" w:rsidRDefault="00FC7164" w:rsidP="002C3099">
            <w:pPr>
              <w:spacing w:after="0"/>
              <w:rPr>
                <w:rFonts w:ascii="Times New Roman" w:hAnsi="Times New Roman"/>
                <w:color w:val="000000" w:themeColor="text1"/>
              </w:rPr>
            </w:pPr>
            <w:r w:rsidRPr="009E1B38">
              <w:rPr>
                <w:rFonts w:ascii="Times New Roman" w:hAnsi="Times New Roman"/>
              </w:rPr>
              <w:t>Industry and Commerce</w:t>
            </w:r>
          </w:p>
        </w:tc>
        <w:tc>
          <w:tcPr>
            <w:tcW w:w="3373" w:type="dxa"/>
          </w:tcPr>
          <w:p w14:paraId="7D4A86DF" w14:textId="77777777" w:rsidR="002C3099" w:rsidRPr="009E1B38" w:rsidRDefault="002C3099" w:rsidP="002C3099">
            <w:pPr>
              <w:spacing w:after="0"/>
              <w:jc w:val="center"/>
              <w:rPr>
                <w:rFonts w:ascii="Times New Roman" w:hAnsi="Times New Roman"/>
                <w:color w:val="000000" w:themeColor="text1"/>
                <w:highlight w:val="yellow"/>
              </w:rPr>
            </w:pPr>
            <w:r w:rsidRPr="009E1B38">
              <w:rPr>
                <w:rFonts w:ascii="Times New Roman" w:hAnsi="Times New Roman"/>
                <w:color w:val="000000" w:themeColor="text1"/>
              </w:rPr>
              <w:t>1</w:t>
            </w:r>
            <w:r w:rsidR="003576CC" w:rsidRPr="009E1B38">
              <w:rPr>
                <w:rFonts w:ascii="Times New Roman" w:hAnsi="Times New Roman"/>
                <w:color w:val="000000" w:themeColor="text1"/>
              </w:rPr>
              <w:t>29</w:t>
            </w:r>
            <w:r w:rsidRPr="009E1B38">
              <w:rPr>
                <w:rFonts w:ascii="Times New Roman" w:hAnsi="Times New Roman"/>
                <w:color w:val="000000" w:themeColor="text1"/>
              </w:rPr>
              <w:t>,</w:t>
            </w:r>
            <w:r w:rsidR="003576CC" w:rsidRPr="009E1B38">
              <w:rPr>
                <w:rFonts w:ascii="Times New Roman" w:hAnsi="Times New Roman"/>
                <w:color w:val="000000" w:themeColor="text1"/>
              </w:rPr>
              <w:t>6</w:t>
            </w:r>
          </w:p>
        </w:tc>
      </w:tr>
      <w:tr w:rsidR="002C3099" w:rsidRPr="009E1B38" w14:paraId="7D4A86E3" w14:textId="77777777" w:rsidTr="002C3099">
        <w:trPr>
          <w:jc w:val="center"/>
        </w:trPr>
        <w:tc>
          <w:tcPr>
            <w:tcW w:w="4844" w:type="dxa"/>
          </w:tcPr>
          <w:p w14:paraId="7D4A86E1" w14:textId="0F8135E4" w:rsidR="002C3099" w:rsidRPr="009E1B38" w:rsidRDefault="00FC7164" w:rsidP="002C3099">
            <w:pPr>
              <w:spacing w:after="0"/>
              <w:rPr>
                <w:rFonts w:ascii="Times New Roman" w:hAnsi="Times New Roman"/>
                <w:color w:val="000000" w:themeColor="text1"/>
              </w:rPr>
            </w:pPr>
            <w:r w:rsidRPr="009E1B38">
              <w:rPr>
                <w:rFonts w:ascii="Times New Roman" w:hAnsi="Times New Roman"/>
              </w:rPr>
              <w:t>Domicile</w:t>
            </w:r>
          </w:p>
        </w:tc>
        <w:tc>
          <w:tcPr>
            <w:tcW w:w="3373" w:type="dxa"/>
          </w:tcPr>
          <w:p w14:paraId="7D4A86E2" w14:textId="77777777" w:rsidR="002C3099" w:rsidRPr="009E1B38" w:rsidRDefault="003576CC" w:rsidP="002C3099">
            <w:pPr>
              <w:spacing w:after="0"/>
              <w:jc w:val="center"/>
              <w:rPr>
                <w:rFonts w:ascii="Times New Roman" w:hAnsi="Times New Roman"/>
                <w:color w:val="000000" w:themeColor="text1"/>
              </w:rPr>
            </w:pPr>
            <w:r w:rsidRPr="009E1B38">
              <w:rPr>
                <w:rFonts w:ascii="Times New Roman" w:hAnsi="Times New Roman"/>
                <w:color w:val="000000" w:themeColor="text1"/>
              </w:rPr>
              <w:t>45</w:t>
            </w:r>
            <w:r w:rsidR="002C3099" w:rsidRPr="009E1B38">
              <w:rPr>
                <w:rFonts w:ascii="Times New Roman" w:hAnsi="Times New Roman"/>
                <w:color w:val="000000" w:themeColor="text1"/>
              </w:rPr>
              <w:t>,6</w:t>
            </w:r>
          </w:p>
        </w:tc>
      </w:tr>
      <w:tr w:rsidR="002C3099" w:rsidRPr="009E1B38" w14:paraId="7D4A86E6" w14:textId="77777777" w:rsidTr="002C3099">
        <w:trPr>
          <w:jc w:val="center"/>
        </w:trPr>
        <w:tc>
          <w:tcPr>
            <w:tcW w:w="4844" w:type="dxa"/>
          </w:tcPr>
          <w:p w14:paraId="7D4A86E4" w14:textId="349EA8D3" w:rsidR="002C3099" w:rsidRPr="009E1B38" w:rsidRDefault="00FC7164" w:rsidP="002C3099">
            <w:pPr>
              <w:spacing w:after="0"/>
              <w:rPr>
                <w:rFonts w:ascii="Times New Roman" w:hAnsi="Times New Roman"/>
                <w:color w:val="000000" w:themeColor="text1"/>
              </w:rPr>
            </w:pPr>
            <w:r w:rsidRPr="009E1B38">
              <w:rPr>
                <w:rFonts w:ascii="Times New Roman" w:hAnsi="Times New Roman"/>
              </w:rPr>
              <w:t>Families of Martyrs and Veterans</w:t>
            </w:r>
          </w:p>
        </w:tc>
        <w:tc>
          <w:tcPr>
            <w:tcW w:w="3373" w:type="dxa"/>
          </w:tcPr>
          <w:p w14:paraId="7D4A86E5" w14:textId="77777777" w:rsidR="002C3099" w:rsidRPr="009E1B38" w:rsidRDefault="003576CC" w:rsidP="002C3099">
            <w:pPr>
              <w:spacing w:after="0"/>
              <w:jc w:val="center"/>
              <w:rPr>
                <w:rFonts w:ascii="Times New Roman" w:hAnsi="Times New Roman"/>
                <w:color w:val="000000" w:themeColor="text1"/>
              </w:rPr>
            </w:pPr>
            <w:r w:rsidRPr="009E1B38">
              <w:rPr>
                <w:rFonts w:ascii="Times New Roman" w:hAnsi="Times New Roman"/>
                <w:color w:val="000000" w:themeColor="text1"/>
              </w:rPr>
              <w:t>22</w:t>
            </w:r>
            <w:r w:rsidR="002C3099" w:rsidRPr="009E1B38">
              <w:rPr>
                <w:rFonts w:ascii="Times New Roman" w:hAnsi="Times New Roman"/>
                <w:color w:val="000000" w:themeColor="text1"/>
              </w:rPr>
              <w:t>,8</w:t>
            </w:r>
          </w:p>
        </w:tc>
      </w:tr>
      <w:tr w:rsidR="002C3099" w:rsidRPr="009E1B38" w14:paraId="7D4A86E9" w14:textId="77777777" w:rsidTr="002C3099">
        <w:trPr>
          <w:jc w:val="center"/>
        </w:trPr>
        <w:tc>
          <w:tcPr>
            <w:tcW w:w="4844" w:type="dxa"/>
          </w:tcPr>
          <w:p w14:paraId="7D4A86E7" w14:textId="00D82455" w:rsidR="002C3099" w:rsidRPr="009E1B38" w:rsidRDefault="00FC7164" w:rsidP="002C3099">
            <w:pPr>
              <w:spacing w:after="0"/>
              <w:rPr>
                <w:rFonts w:ascii="Times New Roman" w:hAnsi="Times New Roman"/>
                <w:color w:val="000000" w:themeColor="text1"/>
              </w:rPr>
            </w:pPr>
            <w:r w:rsidRPr="009E1B38">
              <w:rPr>
                <w:rFonts w:ascii="Times New Roman" w:hAnsi="Times New Roman"/>
              </w:rPr>
              <w:t>Agricultural İrrigation, Lighting and Other</w:t>
            </w:r>
          </w:p>
        </w:tc>
        <w:tc>
          <w:tcPr>
            <w:tcW w:w="3373" w:type="dxa"/>
          </w:tcPr>
          <w:p w14:paraId="7D4A86E8" w14:textId="77777777" w:rsidR="002C3099" w:rsidRPr="009E1B38" w:rsidRDefault="003576CC" w:rsidP="002C3099">
            <w:pPr>
              <w:spacing w:after="0"/>
              <w:jc w:val="center"/>
              <w:rPr>
                <w:rFonts w:ascii="Times New Roman" w:hAnsi="Times New Roman"/>
                <w:color w:val="000000" w:themeColor="text1"/>
              </w:rPr>
            </w:pPr>
            <w:r w:rsidRPr="009E1B38">
              <w:rPr>
                <w:rFonts w:ascii="Times New Roman" w:hAnsi="Times New Roman"/>
                <w:color w:val="000000" w:themeColor="text1"/>
              </w:rPr>
              <w:t>61</w:t>
            </w:r>
            <w:r w:rsidR="002C3099" w:rsidRPr="009E1B38">
              <w:rPr>
                <w:rFonts w:ascii="Times New Roman" w:hAnsi="Times New Roman"/>
                <w:color w:val="000000" w:themeColor="text1"/>
              </w:rPr>
              <w:t>,</w:t>
            </w:r>
            <w:r w:rsidRPr="009E1B38">
              <w:rPr>
                <w:rFonts w:ascii="Times New Roman" w:hAnsi="Times New Roman"/>
                <w:color w:val="000000" w:themeColor="text1"/>
              </w:rPr>
              <w:t>5</w:t>
            </w:r>
          </w:p>
        </w:tc>
      </w:tr>
    </w:tbl>
    <w:p w14:paraId="7D4A86EA" w14:textId="77777777" w:rsidR="002C3099" w:rsidRPr="009E1B38" w:rsidRDefault="002C3099" w:rsidP="002C3099">
      <w:pPr>
        <w:spacing w:after="240"/>
        <w:rPr>
          <w:rFonts w:ascii="Times New Roman" w:hAnsi="Times New Roman"/>
        </w:rPr>
      </w:pPr>
    </w:p>
    <w:p w14:paraId="7D4A86EB" w14:textId="498162B0" w:rsidR="002C3099" w:rsidRPr="009E1B38" w:rsidRDefault="00FC7164" w:rsidP="003C5E4D">
      <w:pPr>
        <w:pStyle w:val="Balk4"/>
        <w:numPr>
          <w:ilvl w:val="3"/>
          <w:numId w:val="61"/>
        </w:numPr>
        <w:spacing w:before="0" w:after="240"/>
        <w:rPr>
          <w:rFonts w:cs="Times New Roman"/>
          <w:i w:val="0"/>
          <w:color w:val="000000" w:themeColor="text1"/>
        </w:rPr>
      </w:pPr>
      <w:bookmarkStart w:id="184" w:name="_Toc113615354"/>
      <w:r w:rsidRPr="009E1B38">
        <w:rPr>
          <w:rFonts w:cs="Times New Roman"/>
          <w:i w:val="0"/>
          <w:color w:val="000000" w:themeColor="text1"/>
        </w:rPr>
        <w:t xml:space="preserve">Meter Check </w:t>
      </w:r>
      <w:r w:rsidR="00B66248" w:rsidRPr="009E1B38">
        <w:rPr>
          <w:rFonts w:cs="Times New Roman"/>
          <w:i w:val="0"/>
          <w:color w:val="000000" w:themeColor="text1"/>
        </w:rPr>
        <w:t>Fee</w:t>
      </w:r>
      <w:bookmarkEnd w:id="184"/>
    </w:p>
    <w:p w14:paraId="161AFBE2" w14:textId="77777777" w:rsidR="00B66248" w:rsidRPr="009E1B38" w:rsidRDefault="00B66248" w:rsidP="003F0CCE">
      <w:pPr>
        <w:rPr>
          <w:rFonts w:ascii="Times New Roman" w:hAnsi="Times New Roman"/>
        </w:rPr>
      </w:pPr>
      <w:r w:rsidRPr="009E1B38">
        <w:rPr>
          <w:rFonts w:ascii="Times New Roman" w:hAnsi="Times New Roman"/>
        </w:rPr>
        <w:t>With the Board Decision dated 30.12.2021 and numbered 10687-3 published in the Official Gazette dated 31.12.2021 and numbered 31706 (6.repeated), it was decided to apply the meter control fees in Table 4.12 as of 01.01.2022.</w:t>
      </w:r>
    </w:p>
    <w:p w14:paraId="7D4A86ED" w14:textId="1FA7254E" w:rsidR="002C3099" w:rsidRPr="009E1B38" w:rsidRDefault="0082470D" w:rsidP="002F3B01">
      <w:pPr>
        <w:pStyle w:val="Balk5"/>
        <w:jc w:val="center"/>
        <w:rPr>
          <w:rStyle w:val="Gl"/>
          <w:rFonts w:ascii="Times New Roman" w:hAnsi="Times New Roman" w:cs="Times New Roman"/>
          <w:b/>
          <w:bCs w:val="0"/>
        </w:rPr>
      </w:pPr>
      <w:bookmarkStart w:id="185" w:name="_Toc66267478"/>
      <w:bookmarkStart w:id="186" w:name="_Toc107499520"/>
      <w:r w:rsidRPr="009E1B38">
        <w:rPr>
          <w:rStyle w:val="Gl"/>
          <w:rFonts w:ascii="Times New Roman" w:hAnsi="Times New Roman" w:cs="Times New Roman"/>
          <w:b/>
          <w:bCs w:val="0"/>
        </w:rPr>
        <w:lastRenderedPageBreak/>
        <w:t>Table</w:t>
      </w:r>
      <w:r w:rsidR="002C3099" w:rsidRPr="009E1B38">
        <w:rPr>
          <w:rStyle w:val="Gl"/>
          <w:rFonts w:ascii="Times New Roman" w:hAnsi="Times New Roman" w:cs="Times New Roman"/>
          <w:b/>
          <w:bCs w:val="0"/>
        </w:rPr>
        <w:t xml:space="preserve"> 4.1</w:t>
      </w:r>
      <w:r w:rsidR="00040B6A" w:rsidRPr="009E1B38">
        <w:rPr>
          <w:rStyle w:val="Gl"/>
          <w:rFonts w:ascii="Times New Roman" w:hAnsi="Times New Roman" w:cs="Times New Roman"/>
          <w:b/>
          <w:bCs w:val="0"/>
        </w:rPr>
        <w:t>2</w:t>
      </w:r>
      <w:r w:rsidR="002C3099" w:rsidRPr="009E1B38">
        <w:rPr>
          <w:rStyle w:val="Gl"/>
          <w:rFonts w:ascii="Times New Roman" w:hAnsi="Times New Roman" w:cs="Times New Roman"/>
          <w:b/>
          <w:bCs w:val="0"/>
        </w:rPr>
        <w:t xml:space="preserve">: </w:t>
      </w:r>
      <w:r w:rsidR="00B66248" w:rsidRPr="009E1B38">
        <w:rPr>
          <w:rStyle w:val="Gl"/>
          <w:rFonts w:ascii="Times New Roman" w:hAnsi="Times New Roman" w:cs="Times New Roman"/>
          <w:b/>
          <w:bCs w:val="0"/>
        </w:rPr>
        <w:t>Meter Check Fee</w:t>
      </w:r>
      <w:bookmarkEnd w:id="185"/>
      <w:bookmarkEnd w:id="186"/>
    </w:p>
    <w:tbl>
      <w:tblPr>
        <w:tblW w:w="935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16"/>
        <w:gridCol w:w="2839"/>
      </w:tblGrid>
      <w:tr w:rsidR="002C3099" w:rsidRPr="009E1B38" w14:paraId="7D4A86F0" w14:textId="77777777" w:rsidTr="002C3099">
        <w:trPr>
          <w:jc w:val="center"/>
        </w:trPr>
        <w:tc>
          <w:tcPr>
            <w:tcW w:w="6516" w:type="dxa"/>
            <w:shd w:val="clear" w:color="auto" w:fill="6E9ECA"/>
            <w:vAlign w:val="center"/>
          </w:tcPr>
          <w:p w14:paraId="7D4A86EE" w14:textId="4F6F2C8E" w:rsidR="002C3099" w:rsidRPr="009E1B38" w:rsidRDefault="00B66248" w:rsidP="002C3099">
            <w:pPr>
              <w:tabs>
                <w:tab w:val="left" w:pos="6828"/>
              </w:tabs>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C</w:t>
            </w:r>
            <w:r w:rsidRPr="009E1B38">
              <w:rPr>
                <w:rFonts w:ascii="Times New Roman" w:hAnsi="Times New Roman"/>
                <w:color w:val="FFFFFF" w:themeColor="background1"/>
                <w:sz w:val="20"/>
                <w:szCs w:val="20"/>
              </w:rPr>
              <w:t>ounter Type</w:t>
            </w:r>
          </w:p>
        </w:tc>
        <w:tc>
          <w:tcPr>
            <w:tcW w:w="2839" w:type="dxa"/>
            <w:shd w:val="clear" w:color="auto" w:fill="6E9ECA"/>
            <w:vAlign w:val="center"/>
          </w:tcPr>
          <w:p w14:paraId="7D4A86EF" w14:textId="4CDB5405" w:rsidR="002C3099" w:rsidRPr="009E1B38" w:rsidRDefault="00B66248" w:rsidP="002C3099">
            <w:pPr>
              <w:tabs>
                <w:tab w:val="left" w:pos="6828"/>
              </w:tabs>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M</w:t>
            </w:r>
            <w:r w:rsidRPr="009E1B38">
              <w:rPr>
                <w:rFonts w:ascii="Times New Roman" w:hAnsi="Times New Roman"/>
                <w:color w:val="FFFFFF" w:themeColor="background1"/>
                <w:sz w:val="20"/>
                <w:szCs w:val="20"/>
              </w:rPr>
              <w:t>eter Check Fee</w:t>
            </w:r>
            <w:r w:rsidRPr="009E1B38">
              <w:rPr>
                <w:rFonts w:ascii="Times New Roman" w:hAnsi="Times New Roman"/>
                <w:b/>
                <w:color w:val="FFFFFF" w:themeColor="background1"/>
                <w:sz w:val="20"/>
                <w:szCs w:val="20"/>
              </w:rPr>
              <w:t xml:space="preserve"> (TL)</w:t>
            </w:r>
          </w:p>
        </w:tc>
      </w:tr>
      <w:tr w:rsidR="002C3099" w:rsidRPr="009E1B38" w14:paraId="7D4A86F3" w14:textId="77777777" w:rsidTr="002C3099">
        <w:trPr>
          <w:jc w:val="center"/>
        </w:trPr>
        <w:tc>
          <w:tcPr>
            <w:tcW w:w="6516" w:type="dxa"/>
          </w:tcPr>
          <w:p w14:paraId="7D4A86F1" w14:textId="65A0C0B8" w:rsidR="002C3099" w:rsidRPr="009E1B38" w:rsidRDefault="00B66248" w:rsidP="002C3099">
            <w:pPr>
              <w:tabs>
                <w:tab w:val="left" w:pos="6828"/>
              </w:tabs>
              <w:rPr>
                <w:rFonts w:ascii="Times New Roman" w:hAnsi="Times New Roman"/>
                <w:sz w:val="20"/>
                <w:szCs w:val="20"/>
              </w:rPr>
            </w:pPr>
            <w:r w:rsidRPr="009E1B38">
              <w:rPr>
                <w:rFonts w:ascii="Times New Roman" w:hAnsi="Times New Roman"/>
                <w:sz w:val="20"/>
                <w:szCs w:val="20"/>
              </w:rPr>
              <w:t>Directly connected single-phase active or three-phase active and/or reactive meters</w:t>
            </w:r>
          </w:p>
        </w:tc>
        <w:tc>
          <w:tcPr>
            <w:tcW w:w="2839" w:type="dxa"/>
          </w:tcPr>
          <w:p w14:paraId="7D4A86F2" w14:textId="77777777" w:rsidR="002C3099" w:rsidRPr="009E1B38" w:rsidRDefault="009B1414" w:rsidP="002C3099">
            <w:pPr>
              <w:tabs>
                <w:tab w:val="left" w:pos="6828"/>
              </w:tabs>
              <w:jc w:val="center"/>
              <w:rPr>
                <w:rFonts w:ascii="Times New Roman" w:hAnsi="Times New Roman"/>
                <w:sz w:val="20"/>
                <w:szCs w:val="20"/>
              </w:rPr>
            </w:pPr>
            <w:r w:rsidRPr="009E1B38">
              <w:rPr>
                <w:rFonts w:ascii="Times New Roman" w:hAnsi="Times New Roman"/>
                <w:sz w:val="20"/>
                <w:szCs w:val="20"/>
              </w:rPr>
              <w:t>33</w:t>
            </w:r>
            <w:r w:rsidR="002C3099" w:rsidRPr="009E1B38">
              <w:rPr>
                <w:rFonts w:ascii="Times New Roman" w:hAnsi="Times New Roman"/>
                <w:sz w:val="20"/>
                <w:szCs w:val="20"/>
              </w:rPr>
              <w:t>,</w:t>
            </w:r>
            <w:r w:rsidRPr="009E1B38">
              <w:rPr>
                <w:rFonts w:ascii="Times New Roman" w:hAnsi="Times New Roman"/>
                <w:sz w:val="20"/>
                <w:szCs w:val="20"/>
              </w:rPr>
              <w:t>7</w:t>
            </w:r>
          </w:p>
        </w:tc>
      </w:tr>
      <w:tr w:rsidR="002C3099" w:rsidRPr="009E1B38" w14:paraId="7D4A86F6" w14:textId="77777777" w:rsidTr="002C3099">
        <w:trPr>
          <w:jc w:val="center"/>
        </w:trPr>
        <w:tc>
          <w:tcPr>
            <w:tcW w:w="6516" w:type="dxa"/>
          </w:tcPr>
          <w:p w14:paraId="7D4A86F4" w14:textId="1D37E67C" w:rsidR="002C3099" w:rsidRPr="009E1B38" w:rsidRDefault="00B66248" w:rsidP="002C3099">
            <w:pPr>
              <w:tabs>
                <w:tab w:val="left" w:pos="6828"/>
              </w:tabs>
              <w:rPr>
                <w:rFonts w:ascii="Times New Roman" w:hAnsi="Times New Roman"/>
                <w:sz w:val="20"/>
                <w:szCs w:val="20"/>
              </w:rPr>
            </w:pPr>
            <w:r w:rsidRPr="009E1B38">
              <w:rPr>
                <w:rFonts w:ascii="Times New Roman" w:hAnsi="Times New Roman"/>
                <w:sz w:val="20"/>
                <w:szCs w:val="20"/>
              </w:rPr>
              <w:t>Active and/or reactive meters with current transformer and/or voltage transformer</w:t>
            </w:r>
          </w:p>
        </w:tc>
        <w:tc>
          <w:tcPr>
            <w:tcW w:w="2839" w:type="dxa"/>
          </w:tcPr>
          <w:p w14:paraId="7D4A86F5" w14:textId="77777777" w:rsidR="002C3099" w:rsidRPr="009E1B38" w:rsidRDefault="009B1414" w:rsidP="002C3099">
            <w:pPr>
              <w:tabs>
                <w:tab w:val="left" w:pos="6828"/>
              </w:tabs>
              <w:jc w:val="center"/>
              <w:rPr>
                <w:rFonts w:ascii="Times New Roman" w:hAnsi="Times New Roman"/>
                <w:sz w:val="20"/>
                <w:szCs w:val="20"/>
              </w:rPr>
            </w:pPr>
            <w:r w:rsidRPr="009E1B38">
              <w:rPr>
                <w:rFonts w:ascii="Times New Roman" w:hAnsi="Times New Roman"/>
                <w:sz w:val="20"/>
                <w:szCs w:val="20"/>
              </w:rPr>
              <w:t>42</w:t>
            </w:r>
            <w:r w:rsidR="002C3099" w:rsidRPr="009E1B38">
              <w:rPr>
                <w:rFonts w:ascii="Times New Roman" w:hAnsi="Times New Roman"/>
                <w:sz w:val="20"/>
                <w:szCs w:val="20"/>
              </w:rPr>
              <w:t>,</w:t>
            </w:r>
            <w:r w:rsidRPr="009E1B38">
              <w:rPr>
                <w:rFonts w:ascii="Times New Roman" w:hAnsi="Times New Roman"/>
                <w:sz w:val="20"/>
                <w:szCs w:val="20"/>
              </w:rPr>
              <w:t>7</w:t>
            </w:r>
          </w:p>
        </w:tc>
      </w:tr>
    </w:tbl>
    <w:p w14:paraId="7D4A86F7" w14:textId="77777777" w:rsidR="002C3099" w:rsidRPr="009E1B38" w:rsidRDefault="002C3099" w:rsidP="002C3099">
      <w:pPr>
        <w:pStyle w:val="AralkYok"/>
        <w:rPr>
          <w:rFonts w:ascii="Times New Roman" w:hAnsi="Times New Roman" w:cs="Times New Roman"/>
          <w:lang w:val="en-US"/>
        </w:rPr>
      </w:pPr>
    </w:p>
    <w:p w14:paraId="4428F9A1" w14:textId="77777777" w:rsidR="00633812" w:rsidRPr="009E1B38" w:rsidRDefault="00633812" w:rsidP="00633812">
      <w:pPr>
        <w:spacing w:after="240"/>
        <w:rPr>
          <w:rFonts w:ascii="Times New Roman" w:hAnsi="Times New Roman"/>
        </w:rPr>
      </w:pPr>
      <w:r w:rsidRPr="009E1B38">
        <w:rPr>
          <w:rFonts w:ascii="Times New Roman" w:hAnsi="Times New Roman"/>
        </w:rPr>
        <w:t>In addition to the aforementioned regulations;</w:t>
      </w:r>
    </w:p>
    <w:p w14:paraId="72FD6343" w14:textId="77777777" w:rsidR="00633812" w:rsidRPr="009E1B38" w:rsidRDefault="00633812" w:rsidP="00633812">
      <w:pPr>
        <w:tabs>
          <w:tab w:val="left" w:pos="6828"/>
        </w:tabs>
        <w:spacing w:after="0"/>
        <w:rPr>
          <w:rFonts w:ascii="Times New Roman" w:hAnsi="Times New Roman"/>
          <w:highlight w:val="yellow"/>
        </w:rPr>
      </w:pPr>
      <w:r w:rsidRPr="009E1B38">
        <w:rPr>
          <w:rFonts w:ascii="Times New Roman" w:hAnsi="Times New Roman"/>
        </w:rPr>
        <w:t>- According to the Board Decision dated 30.12.2021 and numbered 10687-5 published in the Official Gazette dated 31.12.2021 and numbered 31706 (6.repeated), collection for the year 2022 by the relevant grid operator in accordance with the second paragraph of Article 36 of the Regulation on Unlicensed Electricity Generation in the Electricity Market. The unlicensed production application fee that can be made is determined as follows.</w:t>
      </w:r>
    </w:p>
    <w:p w14:paraId="3DB87126" w14:textId="72B007BE" w:rsidR="00633812" w:rsidRPr="009E1B38" w:rsidRDefault="0082470D" w:rsidP="00127185">
      <w:pPr>
        <w:pStyle w:val="Balk5"/>
        <w:jc w:val="center"/>
        <w:rPr>
          <w:rStyle w:val="Gl"/>
          <w:rFonts w:ascii="Times New Roman" w:hAnsi="Times New Roman" w:cs="Times New Roman"/>
          <w:b/>
          <w:bCs w:val="0"/>
        </w:rPr>
      </w:pPr>
      <w:bookmarkStart w:id="187" w:name="_Toc107499521"/>
      <w:r w:rsidRPr="009E1B38">
        <w:rPr>
          <w:rStyle w:val="Gl"/>
          <w:rFonts w:ascii="Times New Roman" w:hAnsi="Times New Roman" w:cs="Times New Roman"/>
          <w:b/>
          <w:bCs w:val="0"/>
        </w:rPr>
        <w:t>Table</w:t>
      </w:r>
      <w:r w:rsidR="00633812" w:rsidRPr="009E1B38">
        <w:rPr>
          <w:rStyle w:val="Gl"/>
          <w:rFonts w:ascii="Times New Roman" w:hAnsi="Times New Roman" w:cs="Times New Roman"/>
          <w:b/>
          <w:bCs w:val="0"/>
        </w:rPr>
        <w:t xml:space="preserve"> 4.13: Unlicensed Production Application Fee (Distribution Companies)</w:t>
      </w:r>
      <w:bookmarkEnd w:id="187"/>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9E1B38" w14:paraId="7D4A86FD" w14:textId="77777777" w:rsidTr="002C3099">
        <w:trPr>
          <w:jc w:val="center"/>
        </w:trPr>
        <w:tc>
          <w:tcPr>
            <w:tcW w:w="3789" w:type="dxa"/>
            <w:shd w:val="clear" w:color="auto" w:fill="6E9ECA"/>
            <w:vAlign w:val="center"/>
          </w:tcPr>
          <w:p w14:paraId="7D4A86FB" w14:textId="5EA2A477" w:rsidR="002C3099" w:rsidRPr="009E1B38" w:rsidRDefault="00633812" w:rsidP="002C3099">
            <w:pPr>
              <w:tabs>
                <w:tab w:val="left" w:pos="6828"/>
              </w:tabs>
              <w:jc w:val="center"/>
              <w:rPr>
                <w:rFonts w:ascii="Times New Roman" w:hAnsi="Times New Roman"/>
                <w:b/>
                <w:color w:val="FFFFFF" w:themeColor="background1"/>
                <w:sz w:val="20"/>
                <w:szCs w:val="20"/>
              </w:rPr>
            </w:pPr>
            <w:r w:rsidRPr="009E1B38">
              <w:rPr>
                <w:rFonts w:ascii="Times New Roman" w:hAnsi="Times New Roman"/>
                <w:b/>
                <w:color w:val="FFFFFF" w:themeColor="background1"/>
              </w:rPr>
              <w:t>Installed Power</w:t>
            </w:r>
          </w:p>
        </w:tc>
        <w:tc>
          <w:tcPr>
            <w:tcW w:w="3724" w:type="dxa"/>
            <w:shd w:val="clear" w:color="auto" w:fill="6E9ECA"/>
            <w:vAlign w:val="center"/>
          </w:tcPr>
          <w:p w14:paraId="7D4A86FC" w14:textId="73473C2A" w:rsidR="002C3099" w:rsidRPr="009E1B38" w:rsidRDefault="00633812" w:rsidP="002C3099">
            <w:pPr>
              <w:tabs>
                <w:tab w:val="left" w:pos="6828"/>
              </w:tabs>
              <w:jc w:val="center"/>
              <w:rPr>
                <w:rFonts w:ascii="Times New Roman" w:hAnsi="Times New Roman"/>
                <w:b/>
                <w:color w:val="FFFFFF" w:themeColor="background1"/>
                <w:sz w:val="20"/>
                <w:szCs w:val="20"/>
              </w:rPr>
            </w:pPr>
            <w:r w:rsidRPr="009E1B38">
              <w:rPr>
                <w:rFonts w:ascii="Times New Roman" w:hAnsi="Times New Roman"/>
                <w:b/>
                <w:color w:val="FFFFFF" w:themeColor="background1"/>
              </w:rPr>
              <w:t>Application Fee (TL)</w:t>
            </w:r>
          </w:p>
        </w:tc>
      </w:tr>
      <w:tr w:rsidR="002C3099" w:rsidRPr="009E1B38" w14:paraId="7D4A8700" w14:textId="77777777" w:rsidTr="002C3099">
        <w:trPr>
          <w:jc w:val="center"/>
        </w:trPr>
        <w:tc>
          <w:tcPr>
            <w:tcW w:w="3789" w:type="dxa"/>
          </w:tcPr>
          <w:p w14:paraId="7D4A86FE" w14:textId="0C004044" w:rsidR="002C3099" w:rsidRPr="009E1B38" w:rsidRDefault="002C3099" w:rsidP="002C3099">
            <w:pPr>
              <w:tabs>
                <w:tab w:val="left" w:pos="6828"/>
              </w:tabs>
              <w:rPr>
                <w:rFonts w:ascii="Times New Roman" w:hAnsi="Times New Roman"/>
                <w:sz w:val="20"/>
                <w:szCs w:val="20"/>
              </w:rPr>
            </w:pPr>
            <w:r w:rsidRPr="009E1B38">
              <w:rPr>
                <w:rFonts w:ascii="Times New Roman" w:hAnsi="Times New Roman"/>
              </w:rPr>
              <w:t>0-250 kW (</w:t>
            </w:r>
            <w:r w:rsidR="00633812" w:rsidRPr="009E1B38">
              <w:rPr>
                <w:rFonts w:ascii="Times New Roman" w:hAnsi="Times New Roman"/>
              </w:rPr>
              <w:t>included</w:t>
            </w:r>
            <w:r w:rsidRPr="009E1B38">
              <w:rPr>
                <w:rFonts w:ascii="Times New Roman" w:hAnsi="Times New Roman"/>
              </w:rPr>
              <w:t>) TL/</w:t>
            </w:r>
            <w:r w:rsidR="00633812" w:rsidRPr="009E1B38">
              <w:rPr>
                <w:rFonts w:ascii="Times New Roman" w:hAnsi="Times New Roman"/>
              </w:rPr>
              <w:t>Year</w:t>
            </w:r>
          </w:p>
        </w:tc>
        <w:tc>
          <w:tcPr>
            <w:tcW w:w="3724" w:type="dxa"/>
          </w:tcPr>
          <w:p w14:paraId="7D4A86FF" w14:textId="77777777" w:rsidR="002C3099" w:rsidRPr="009E1B38" w:rsidRDefault="002C3099" w:rsidP="002C3099">
            <w:pPr>
              <w:tabs>
                <w:tab w:val="left" w:pos="6828"/>
              </w:tabs>
              <w:jc w:val="right"/>
              <w:rPr>
                <w:rFonts w:ascii="Times New Roman" w:hAnsi="Times New Roman"/>
                <w:sz w:val="20"/>
                <w:szCs w:val="20"/>
              </w:rPr>
            </w:pPr>
            <w:r w:rsidRPr="009E1B38">
              <w:rPr>
                <w:rFonts w:ascii="Times New Roman" w:hAnsi="Times New Roman"/>
              </w:rPr>
              <w:t>0</w:t>
            </w:r>
          </w:p>
        </w:tc>
      </w:tr>
      <w:tr w:rsidR="002C3099" w:rsidRPr="009E1B38" w14:paraId="7D4A8703" w14:textId="77777777" w:rsidTr="002C3099">
        <w:trPr>
          <w:jc w:val="center"/>
        </w:trPr>
        <w:tc>
          <w:tcPr>
            <w:tcW w:w="3789" w:type="dxa"/>
          </w:tcPr>
          <w:p w14:paraId="7D4A8701" w14:textId="2C68913D" w:rsidR="002C3099" w:rsidRPr="009E1B38" w:rsidRDefault="00633812" w:rsidP="002C3099">
            <w:pPr>
              <w:tabs>
                <w:tab w:val="left" w:pos="6828"/>
              </w:tabs>
              <w:rPr>
                <w:rFonts w:ascii="Times New Roman" w:hAnsi="Times New Roman"/>
                <w:sz w:val="20"/>
                <w:szCs w:val="20"/>
              </w:rPr>
            </w:pPr>
            <w:r w:rsidRPr="009E1B38">
              <w:rPr>
                <w:rFonts w:ascii="Times New Roman" w:hAnsi="Times New Roman"/>
              </w:rPr>
              <w:t xml:space="preserve">Above </w:t>
            </w:r>
            <w:r w:rsidR="002C3099" w:rsidRPr="009E1B38">
              <w:rPr>
                <w:rFonts w:ascii="Times New Roman" w:hAnsi="Times New Roman"/>
              </w:rPr>
              <w:t>250 kW TL/</w:t>
            </w:r>
            <w:r w:rsidRPr="009E1B38">
              <w:rPr>
                <w:rFonts w:ascii="Times New Roman" w:hAnsi="Times New Roman"/>
              </w:rPr>
              <w:t>Year</w:t>
            </w:r>
          </w:p>
        </w:tc>
        <w:tc>
          <w:tcPr>
            <w:tcW w:w="3724" w:type="dxa"/>
          </w:tcPr>
          <w:p w14:paraId="7D4A8702" w14:textId="77777777" w:rsidR="002C3099" w:rsidRPr="009E1B38" w:rsidRDefault="005D3D71" w:rsidP="002C3099">
            <w:pPr>
              <w:tabs>
                <w:tab w:val="left" w:pos="6828"/>
              </w:tabs>
              <w:jc w:val="right"/>
              <w:rPr>
                <w:rFonts w:ascii="Times New Roman" w:hAnsi="Times New Roman"/>
                <w:sz w:val="20"/>
                <w:szCs w:val="20"/>
              </w:rPr>
            </w:pPr>
            <w:r w:rsidRPr="009E1B38">
              <w:rPr>
                <w:rFonts w:ascii="Times New Roman" w:hAnsi="Times New Roman"/>
              </w:rPr>
              <w:t>1</w:t>
            </w:r>
            <w:r w:rsidR="009B1414" w:rsidRPr="009E1B38">
              <w:rPr>
                <w:rFonts w:ascii="Times New Roman" w:hAnsi="Times New Roman"/>
              </w:rPr>
              <w:t>.</w:t>
            </w:r>
            <w:r w:rsidRPr="009E1B38">
              <w:rPr>
                <w:rFonts w:ascii="Times New Roman" w:hAnsi="Times New Roman"/>
              </w:rPr>
              <w:t>149</w:t>
            </w:r>
            <w:r w:rsidR="002C3099" w:rsidRPr="009E1B38">
              <w:rPr>
                <w:rFonts w:ascii="Times New Roman" w:hAnsi="Times New Roman"/>
              </w:rPr>
              <w:t>,</w:t>
            </w:r>
            <w:r w:rsidRPr="009E1B38">
              <w:rPr>
                <w:rFonts w:ascii="Times New Roman" w:hAnsi="Times New Roman"/>
              </w:rPr>
              <w:t>4</w:t>
            </w:r>
          </w:p>
        </w:tc>
      </w:tr>
    </w:tbl>
    <w:p w14:paraId="7D4A8704" w14:textId="77777777" w:rsidR="002C3099" w:rsidRPr="009E1B38" w:rsidRDefault="002C3099" w:rsidP="002C3099">
      <w:pPr>
        <w:tabs>
          <w:tab w:val="left" w:pos="6828"/>
        </w:tabs>
        <w:spacing w:after="0"/>
        <w:rPr>
          <w:rFonts w:ascii="Times New Roman" w:hAnsi="Times New Roman"/>
        </w:rPr>
      </w:pPr>
    </w:p>
    <w:p w14:paraId="7D4A8705" w14:textId="08804A60" w:rsidR="002C3099" w:rsidRPr="009E1B38" w:rsidRDefault="002C3099" w:rsidP="002C3099">
      <w:pPr>
        <w:spacing w:after="0"/>
        <w:rPr>
          <w:rFonts w:ascii="Times New Roman" w:hAnsi="Times New Roman"/>
        </w:rPr>
      </w:pPr>
      <w:r w:rsidRPr="009E1B38">
        <w:rPr>
          <w:rFonts w:ascii="Times New Roman" w:hAnsi="Times New Roman"/>
        </w:rPr>
        <w:t xml:space="preserve">- </w:t>
      </w:r>
      <w:r w:rsidR="00633812" w:rsidRPr="009E1B38">
        <w:rPr>
          <w:rFonts w:ascii="Times New Roman" w:hAnsi="Times New Roman"/>
        </w:rPr>
        <w:t>With the Board Decision dated 30.12.2021 and numbered 10687-6 published in the Official Gazette dated 31.12.2021 and numbered 31706 (6.repeated), the assigned supply companies may collect for 2022 pursuant to the second paragraph of Article 36 of the Regulation on Unlicensed Electricity Generation in the Electricity Market. The annual unlicensed production operating cost has been determined as follows.</w:t>
      </w:r>
    </w:p>
    <w:p w14:paraId="381C7441" w14:textId="4F80F80A" w:rsidR="00633812" w:rsidRPr="009E1B38" w:rsidRDefault="0082470D" w:rsidP="00127185">
      <w:pPr>
        <w:pStyle w:val="Balk5"/>
        <w:jc w:val="center"/>
        <w:rPr>
          <w:rFonts w:ascii="Times New Roman" w:hAnsi="Times New Roman" w:cs="Times New Roman"/>
        </w:rPr>
      </w:pPr>
      <w:bookmarkStart w:id="188" w:name="_Toc107499522"/>
      <w:r w:rsidRPr="009E1B38">
        <w:rPr>
          <w:rStyle w:val="Gl"/>
          <w:rFonts w:ascii="Times New Roman" w:hAnsi="Times New Roman" w:cs="Times New Roman"/>
          <w:b/>
          <w:bCs w:val="0"/>
        </w:rPr>
        <w:t>Table</w:t>
      </w:r>
      <w:r w:rsidR="00633812" w:rsidRPr="009E1B38">
        <w:rPr>
          <w:rStyle w:val="Gl"/>
          <w:rFonts w:ascii="Times New Roman" w:hAnsi="Times New Roman" w:cs="Times New Roman"/>
          <w:b/>
          <w:bCs w:val="0"/>
        </w:rPr>
        <w:t xml:space="preserve"> 4.14: Unlicensed Production Operating Cost (Assigned Supply Companies)</w:t>
      </w:r>
      <w:bookmarkEnd w:id="188"/>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9E1B38" w14:paraId="7D4A8709" w14:textId="77777777" w:rsidTr="002C3099">
        <w:trPr>
          <w:jc w:val="center"/>
        </w:trPr>
        <w:tc>
          <w:tcPr>
            <w:tcW w:w="3789" w:type="dxa"/>
            <w:shd w:val="clear" w:color="auto" w:fill="6E9ECA"/>
            <w:vAlign w:val="center"/>
          </w:tcPr>
          <w:p w14:paraId="7D4A8707" w14:textId="5BA55FAD" w:rsidR="002C3099" w:rsidRPr="009E1B38" w:rsidRDefault="00633812" w:rsidP="002C3099">
            <w:pPr>
              <w:tabs>
                <w:tab w:val="left" w:pos="6828"/>
              </w:tabs>
              <w:jc w:val="center"/>
              <w:rPr>
                <w:rFonts w:ascii="Times New Roman" w:hAnsi="Times New Roman"/>
                <w:b/>
                <w:color w:val="FFFFFF" w:themeColor="background1"/>
              </w:rPr>
            </w:pPr>
            <w:r w:rsidRPr="009E1B38">
              <w:rPr>
                <w:rFonts w:ascii="Times New Roman" w:hAnsi="Times New Roman"/>
                <w:b/>
                <w:color w:val="FFFFFF" w:themeColor="background1"/>
              </w:rPr>
              <w:t>Installed Power</w:t>
            </w:r>
          </w:p>
        </w:tc>
        <w:tc>
          <w:tcPr>
            <w:tcW w:w="3724" w:type="dxa"/>
            <w:shd w:val="clear" w:color="auto" w:fill="6E9ECA"/>
            <w:vAlign w:val="center"/>
          </w:tcPr>
          <w:p w14:paraId="7D4A8708" w14:textId="2AA0C850" w:rsidR="002C3099" w:rsidRPr="009E1B38" w:rsidRDefault="00633812" w:rsidP="002C3099">
            <w:pPr>
              <w:tabs>
                <w:tab w:val="left" w:pos="6828"/>
              </w:tabs>
              <w:jc w:val="center"/>
              <w:rPr>
                <w:rFonts w:ascii="Times New Roman" w:hAnsi="Times New Roman"/>
                <w:b/>
                <w:color w:val="FFFFFF" w:themeColor="background1"/>
              </w:rPr>
            </w:pPr>
            <w:r w:rsidRPr="009E1B38">
              <w:rPr>
                <w:rFonts w:ascii="Times New Roman" w:hAnsi="Times New Roman"/>
                <w:b/>
                <w:color w:val="FFFFFF" w:themeColor="background1"/>
              </w:rPr>
              <w:t>Operating Cost (TL/year)</w:t>
            </w:r>
          </w:p>
        </w:tc>
      </w:tr>
      <w:tr w:rsidR="002C3099" w:rsidRPr="009E1B38" w14:paraId="7D4A870C" w14:textId="77777777" w:rsidTr="002C3099">
        <w:trPr>
          <w:jc w:val="center"/>
        </w:trPr>
        <w:tc>
          <w:tcPr>
            <w:tcW w:w="3789" w:type="dxa"/>
          </w:tcPr>
          <w:p w14:paraId="7D4A870A" w14:textId="042C54A2" w:rsidR="002C3099" w:rsidRPr="009E1B38" w:rsidRDefault="002C3099" w:rsidP="002C3099">
            <w:pPr>
              <w:tabs>
                <w:tab w:val="left" w:pos="6828"/>
              </w:tabs>
              <w:rPr>
                <w:rFonts w:ascii="Times New Roman" w:hAnsi="Times New Roman"/>
              </w:rPr>
            </w:pPr>
            <w:r w:rsidRPr="009E1B38">
              <w:rPr>
                <w:rFonts w:ascii="Times New Roman" w:hAnsi="Times New Roman"/>
              </w:rPr>
              <w:t>0-250 kW (</w:t>
            </w:r>
            <w:r w:rsidR="00633812" w:rsidRPr="009E1B38">
              <w:rPr>
                <w:rFonts w:ascii="Times New Roman" w:hAnsi="Times New Roman"/>
              </w:rPr>
              <w:t>included</w:t>
            </w:r>
            <w:r w:rsidRPr="009E1B38">
              <w:rPr>
                <w:rFonts w:ascii="Times New Roman" w:hAnsi="Times New Roman"/>
              </w:rPr>
              <w:t>)</w:t>
            </w:r>
          </w:p>
        </w:tc>
        <w:tc>
          <w:tcPr>
            <w:tcW w:w="3724" w:type="dxa"/>
          </w:tcPr>
          <w:p w14:paraId="7D4A870B" w14:textId="77777777" w:rsidR="002C3099" w:rsidRPr="009E1B38" w:rsidRDefault="002C3099" w:rsidP="002C3099">
            <w:pPr>
              <w:tabs>
                <w:tab w:val="left" w:pos="6828"/>
              </w:tabs>
              <w:jc w:val="right"/>
              <w:rPr>
                <w:rFonts w:ascii="Times New Roman" w:hAnsi="Times New Roman"/>
              </w:rPr>
            </w:pPr>
            <w:r w:rsidRPr="009E1B38">
              <w:rPr>
                <w:rFonts w:ascii="Times New Roman" w:hAnsi="Times New Roman"/>
              </w:rPr>
              <w:t>0</w:t>
            </w:r>
          </w:p>
        </w:tc>
      </w:tr>
      <w:tr w:rsidR="002C3099" w:rsidRPr="009E1B38" w14:paraId="7D4A870F" w14:textId="77777777" w:rsidTr="002C3099">
        <w:trPr>
          <w:jc w:val="center"/>
        </w:trPr>
        <w:tc>
          <w:tcPr>
            <w:tcW w:w="3789" w:type="dxa"/>
          </w:tcPr>
          <w:p w14:paraId="7D4A870D" w14:textId="441BFBB8" w:rsidR="002C3099" w:rsidRPr="009E1B38" w:rsidRDefault="00633812" w:rsidP="002C3099">
            <w:pPr>
              <w:tabs>
                <w:tab w:val="left" w:pos="6828"/>
              </w:tabs>
              <w:rPr>
                <w:rFonts w:ascii="Times New Roman" w:hAnsi="Times New Roman"/>
              </w:rPr>
            </w:pPr>
            <w:r w:rsidRPr="009E1B38">
              <w:rPr>
                <w:rFonts w:ascii="Times New Roman" w:hAnsi="Times New Roman"/>
              </w:rPr>
              <w:t xml:space="preserve">Above </w:t>
            </w:r>
            <w:r w:rsidR="002C3099" w:rsidRPr="009E1B38">
              <w:rPr>
                <w:rFonts w:ascii="Times New Roman" w:hAnsi="Times New Roman"/>
              </w:rPr>
              <w:t xml:space="preserve">250 kW </w:t>
            </w:r>
          </w:p>
        </w:tc>
        <w:tc>
          <w:tcPr>
            <w:tcW w:w="3724" w:type="dxa"/>
          </w:tcPr>
          <w:p w14:paraId="7D4A870E" w14:textId="77777777" w:rsidR="002C3099" w:rsidRPr="009E1B38" w:rsidRDefault="009B1414" w:rsidP="002C3099">
            <w:pPr>
              <w:tabs>
                <w:tab w:val="left" w:pos="6828"/>
              </w:tabs>
              <w:jc w:val="right"/>
              <w:rPr>
                <w:rFonts w:ascii="Times New Roman" w:hAnsi="Times New Roman"/>
              </w:rPr>
            </w:pPr>
            <w:r w:rsidRPr="009E1B38">
              <w:rPr>
                <w:rFonts w:ascii="Times New Roman" w:hAnsi="Times New Roman"/>
              </w:rPr>
              <w:t>2.298</w:t>
            </w:r>
            <w:r w:rsidR="002C3099" w:rsidRPr="009E1B38">
              <w:rPr>
                <w:rFonts w:ascii="Times New Roman" w:hAnsi="Times New Roman"/>
              </w:rPr>
              <w:t>,</w:t>
            </w:r>
            <w:r w:rsidRPr="009E1B38">
              <w:rPr>
                <w:rFonts w:ascii="Times New Roman" w:hAnsi="Times New Roman"/>
              </w:rPr>
              <w:t>8</w:t>
            </w:r>
          </w:p>
        </w:tc>
      </w:tr>
    </w:tbl>
    <w:p w14:paraId="7D4A8710" w14:textId="77777777" w:rsidR="002C3099" w:rsidRPr="009E1B38" w:rsidRDefault="002C3099" w:rsidP="002C3099">
      <w:pPr>
        <w:spacing w:after="0"/>
        <w:rPr>
          <w:rFonts w:ascii="Times New Roman" w:hAnsi="Times New Roman"/>
        </w:rPr>
      </w:pPr>
    </w:p>
    <w:p w14:paraId="0971216F" w14:textId="39BE5808" w:rsidR="00633812" w:rsidRPr="009E1B38" w:rsidRDefault="00633812" w:rsidP="00633812">
      <w:pPr>
        <w:spacing w:after="0"/>
        <w:rPr>
          <w:rStyle w:val="Gl"/>
          <w:rFonts w:ascii="Times New Roman" w:hAnsi="Times New Roman"/>
          <w:b w:val="0"/>
          <w:bCs w:val="0"/>
        </w:rPr>
      </w:pPr>
      <w:r w:rsidRPr="009E1B38">
        <w:rPr>
          <w:rFonts w:ascii="Times New Roman" w:hAnsi="Times New Roman"/>
        </w:rPr>
        <w:t>-</w:t>
      </w:r>
      <w:r w:rsidR="00596BA7" w:rsidRPr="009E1B38">
        <w:rPr>
          <w:rFonts w:ascii="Times New Roman" w:hAnsi="Times New Roman"/>
        </w:rPr>
        <w:t xml:space="preserve"> </w:t>
      </w:r>
      <w:r w:rsidRPr="009E1B38">
        <w:rPr>
          <w:rFonts w:ascii="Times New Roman" w:hAnsi="Times New Roman"/>
        </w:rPr>
        <w:t>With the Board Decision dated 30.12.2021 and numbered 10687-7 published in the Official Gazette dated 31.12.2021 and numbered 31706 (6.repeated), electricity distribution companies may collect for 2022 pursuant to the second paragraph of Article 36 of the Regulation on Unlicensed Electricity Generation in the Electricity Market. The annual unlicensed production operating cost has been determined as follows.</w:t>
      </w:r>
    </w:p>
    <w:p w14:paraId="0970AD7E" w14:textId="30080B77" w:rsidR="00596BA7" w:rsidRPr="009E1B38" w:rsidRDefault="0082470D" w:rsidP="00127185">
      <w:pPr>
        <w:pStyle w:val="Balk5"/>
        <w:jc w:val="center"/>
        <w:rPr>
          <w:rFonts w:ascii="Times New Roman" w:hAnsi="Times New Roman" w:cs="Times New Roman"/>
        </w:rPr>
      </w:pPr>
      <w:bookmarkStart w:id="189" w:name="_Toc107499523"/>
      <w:r w:rsidRPr="009E1B38">
        <w:rPr>
          <w:rStyle w:val="Gl"/>
          <w:rFonts w:ascii="Times New Roman" w:hAnsi="Times New Roman" w:cs="Times New Roman"/>
          <w:b/>
          <w:bCs w:val="0"/>
        </w:rPr>
        <w:t>Table</w:t>
      </w:r>
      <w:r w:rsidR="00596BA7" w:rsidRPr="009E1B38">
        <w:rPr>
          <w:rStyle w:val="Gl"/>
          <w:rFonts w:ascii="Times New Roman" w:hAnsi="Times New Roman" w:cs="Times New Roman"/>
          <w:b/>
          <w:bCs w:val="0"/>
        </w:rPr>
        <w:t xml:space="preserve"> 4.15: Unlicensed Production Operating Cost (Electricity Distribution Companies)</w:t>
      </w:r>
      <w:bookmarkEnd w:id="189"/>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9E1B38" w14:paraId="7D4A8715" w14:textId="77777777" w:rsidTr="002C3099">
        <w:trPr>
          <w:jc w:val="center"/>
        </w:trPr>
        <w:tc>
          <w:tcPr>
            <w:tcW w:w="3789" w:type="dxa"/>
            <w:shd w:val="clear" w:color="auto" w:fill="6E9ECA"/>
            <w:vAlign w:val="center"/>
          </w:tcPr>
          <w:p w14:paraId="7D4A8713" w14:textId="6928AFB1" w:rsidR="002C3099" w:rsidRPr="009E1B38" w:rsidRDefault="00596BA7" w:rsidP="002C3099">
            <w:pPr>
              <w:tabs>
                <w:tab w:val="left" w:pos="6828"/>
              </w:tabs>
              <w:jc w:val="center"/>
              <w:rPr>
                <w:rFonts w:ascii="Times New Roman" w:hAnsi="Times New Roman"/>
                <w:b/>
                <w:color w:val="FFFFFF" w:themeColor="background1"/>
              </w:rPr>
            </w:pPr>
            <w:r w:rsidRPr="009E1B38">
              <w:rPr>
                <w:rFonts w:ascii="Times New Roman" w:hAnsi="Times New Roman"/>
                <w:b/>
                <w:color w:val="FFFFFF" w:themeColor="background1"/>
                <w:sz w:val="21"/>
                <w:szCs w:val="21"/>
              </w:rPr>
              <w:t>Installed Power</w:t>
            </w:r>
          </w:p>
        </w:tc>
        <w:tc>
          <w:tcPr>
            <w:tcW w:w="3724" w:type="dxa"/>
            <w:shd w:val="clear" w:color="auto" w:fill="6E9ECA"/>
            <w:vAlign w:val="center"/>
          </w:tcPr>
          <w:p w14:paraId="7D4A8714" w14:textId="7F62141A" w:rsidR="002C3099" w:rsidRPr="009E1B38" w:rsidRDefault="00596BA7" w:rsidP="002C3099">
            <w:pPr>
              <w:tabs>
                <w:tab w:val="left" w:pos="6828"/>
              </w:tabs>
              <w:jc w:val="center"/>
              <w:rPr>
                <w:rFonts w:ascii="Times New Roman" w:hAnsi="Times New Roman"/>
                <w:b/>
                <w:color w:val="FFFFFF" w:themeColor="background1"/>
              </w:rPr>
            </w:pPr>
            <w:r w:rsidRPr="009E1B38">
              <w:rPr>
                <w:rFonts w:ascii="Times New Roman" w:hAnsi="Times New Roman"/>
                <w:b/>
                <w:color w:val="FFFFFF" w:themeColor="background1"/>
                <w:sz w:val="21"/>
                <w:szCs w:val="21"/>
              </w:rPr>
              <w:t>Operating Cost (TL/year)</w:t>
            </w:r>
          </w:p>
        </w:tc>
      </w:tr>
      <w:tr w:rsidR="002C3099" w:rsidRPr="009E1B38" w14:paraId="7D4A8718" w14:textId="77777777" w:rsidTr="002C3099">
        <w:trPr>
          <w:jc w:val="center"/>
        </w:trPr>
        <w:tc>
          <w:tcPr>
            <w:tcW w:w="3789" w:type="dxa"/>
          </w:tcPr>
          <w:p w14:paraId="7D4A8716" w14:textId="4D56FCAB" w:rsidR="002C3099" w:rsidRPr="009E1B38" w:rsidRDefault="002C3099" w:rsidP="002C3099">
            <w:pPr>
              <w:tabs>
                <w:tab w:val="left" w:pos="6828"/>
              </w:tabs>
              <w:rPr>
                <w:rFonts w:ascii="Times New Roman" w:hAnsi="Times New Roman"/>
              </w:rPr>
            </w:pPr>
            <w:r w:rsidRPr="009E1B38">
              <w:rPr>
                <w:rFonts w:ascii="Times New Roman" w:hAnsi="Times New Roman"/>
                <w:sz w:val="21"/>
                <w:szCs w:val="21"/>
              </w:rPr>
              <w:t>0-10 kW (</w:t>
            </w:r>
            <w:r w:rsidR="00596BA7" w:rsidRPr="009E1B38">
              <w:rPr>
                <w:rFonts w:ascii="Times New Roman" w:hAnsi="Times New Roman"/>
                <w:sz w:val="21"/>
                <w:szCs w:val="21"/>
              </w:rPr>
              <w:t>included</w:t>
            </w:r>
            <w:r w:rsidRPr="009E1B38">
              <w:rPr>
                <w:rFonts w:ascii="Times New Roman" w:hAnsi="Times New Roman"/>
                <w:sz w:val="21"/>
                <w:szCs w:val="21"/>
              </w:rPr>
              <w:t>)</w:t>
            </w:r>
          </w:p>
        </w:tc>
        <w:tc>
          <w:tcPr>
            <w:tcW w:w="3724" w:type="dxa"/>
          </w:tcPr>
          <w:p w14:paraId="7D4A8717" w14:textId="77777777" w:rsidR="002C3099" w:rsidRPr="009E1B38" w:rsidRDefault="002C3099" w:rsidP="002C3099">
            <w:pPr>
              <w:tabs>
                <w:tab w:val="left" w:pos="6828"/>
              </w:tabs>
              <w:jc w:val="right"/>
              <w:rPr>
                <w:rFonts w:ascii="Times New Roman" w:hAnsi="Times New Roman"/>
              </w:rPr>
            </w:pPr>
            <w:r w:rsidRPr="009E1B38">
              <w:rPr>
                <w:rFonts w:ascii="Times New Roman" w:hAnsi="Times New Roman"/>
                <w:sz w:val="21"/>
                <w:szCs w:val="21"/>
              </w:rPr>
              <w:t>0</w:t>
            </w:r>
          </w:p>
        </w:tc>
      </w:tr>
      <w:tr w:rsidR="002C3099" w:rsidRPr="009E1B38" w14:paraId="7D4A871B" w14:textId="77777777" w:rsidTr="002C3099">
        <w:trPr>
          <w:jc w:val="center"/>
        </w:trPr>
        <w:tc>
          <w:tcPr>
            <w:tcW w:w="3789" w:type="dxa"/>
          </w:tcPr>
          <w:p w14:paraId="7D4A8719" w14:textId="51B8E42B" w:rsidR="002C3099" w:rsidRPr="009E1B38" w:rsidRDefault="002C3099" w:rsidP="002C3099">
            <w:pPr>
              <w:tabs>
                <w:tab w:val="left" w:pos="6828"/>
              </w:tabs>
              <w:rPr>
                <w:rFonts w:ascii="Times New Roman" w:hAnsi="Times New Roman"/>
              </w:rPr>
            </w:pPr>
            <w:r w:rsidRPr="009E1B38">
              <w:rPr>
                <w:rFonts w:ascii="Times New Roman" w:hAnsi="Times New Roman"/>
                <w:sz w:val="21"/>
                <w:szCs w:val="21"/>
              </w:rPr>
              <w:t>10-250 kW (</w:t>
            </w:r>
            <w:r w:rsidR="00596BA7" w:rsidRPr="009E1B38">
              <w:rPr>
                <w:rFonts w:ascii="Times New Roman" w:hAnsi="Times New Roman"/>
                <w:sz w:val="21"/>
                <w:szCs w:val="21"/>
              </w:rPr>
              <w:t>included</w:t>
            </w:r>
            <w:r w:rsidRPr="009E1B38">
              <w:rPr>
                <w:rFonts w:ascii="Times New Roman" w:hAnsi="Times New Roman"/>
                <w:sz w:val="21"/>
                <w:szCs w:val="21"/>
              </w:rPr>
              <w:t>)</w:t>
            </w:r>
          </w:p>
        </w:tc>
        <w:tc>
          <w:tcPr>
            <w:tcW w:w="3724" w:type="dxa"/>
          </w:tcPr>
          <w:p w14:paraId="7D4A871A" w14:textId="77777777" w:rsidR="002C3099" w:rsidRPr="009E1B38" w:rsidRDefault="002C3099" w:rsidP="002C3099">
            <w:pPr>
              <w:tabs>
                <w:tab w:val="left" w:pos="6828"/>
              </w:tabs>
              <w:jc w:val="right"/>
              <w:rPr>
                <w:rFonts w:ascii="Times New Roman" w:hAnsi="Times New Roman"/>
              </w:rPr>
            </w:pPr>
            <w:r w:rsidRPr="009E1B38">
              <w:rPr>
                <w:rFonts w:ascii="Times New Roman" w:hAnsi="Times New Roman"/>
                <w:sz w:val="21"/>
                <w:szCs w:val="21"/>
              </w:rPr>
              <w:t>1.</w:t>
            </w:r>
            <w:r w:rsidR="009B1414" w:rsidRPr="009E1B38">
              <w:rPr>
                <w:rFonts w:ascii="Times New Roman" w:hAnsi="Times New Roman"/>
                <w:sz w:val="21"/>
                <w:szCs w:val="21"/>
              </w:rPr>
              <w:t>607</w:t>
            </w:r>
            <w:r w:rsidRPr="009E1B38">
              <w:rPr>
                <w:rFonts w:ascii="Times New Roman" w:hAnsi="Times New Roman"/>
                <w:sz w:val="21"/>
                <w:szCs w:val="21"/>
              </w:rPr>
              <w:t>,</w:t>
            </w:r>
            <w:r w:rsidR="009B1414" w:rsidRPr="009E1B38">
              <w:rPr>
                <w:rFonts w:ascii="Times New Roman" w:hAnsi="Times New Roman"/>
                <w:sz w:val="21"/>
                <w:szCs w:val="21"/>
              </w:rPr>
              <w:t>1</w:t>
            </w:r>
          </w:p>
        </w:tc>
      </w:tr>
      <w:tr w:rsidR="002C3099" w:rsidRPr="009E1B38" w14:paraId="7D4A871E" w14:textId="77777777" w:rsidTr="002C3099">
        <w:trPr>
          <w:jc w:val="center"/>
        </w:trPr>
        <w:tc>
          <w:tcPr>
            <w:tcW w:w="3789" w:type="dxa"/>
          </w:tcPr>
          <w:p w14:paraId="7D4A871C" w14:textId="2D24BE70" w:rsidR="002C3099" w:rsidRPr="009E1B38" w:rsidRDefault="00596BA7" w:rsidP="002C3099">
            <w:pPr>
              <w:tabs>
                <w:tab w:val="left" w:pos="6828"/>
              </w:tabs>
              <w:rPr>
                <w:rFonts w:ascii="Times New Roman" w:hAnsi="Times New Roman"/>
              </w:rPr>
            </w:pPr>
            <w:r w:rsidRPr="009E1B38">
              <w:rPr>
                <w:rFonts w:ascii="Times New Roman" w:hAnsi="Times New Roman"/>
                <w:sz w:val="21"/>
                <w:szCs w:val="21"/>
              </w:rPr>
              <w:t xml:space="preserve">Above </w:t>
            </w:r>
            <w:r w:rsidR="002C3099" w:rsidRPr="009E1B38">
              <w:rPr>
                <w:rFonts w:ascii="Times New Roman" w:hAnsi="Times New Roman"/>
                <w:sz w:val="21"/>
                <w:szCs w:val="21"/>
              </w:rPr>
              <w:t xml:space="preserve">250 kW </w:t>
            </w:r>
          </w:p>
        </w:tc>
        <w:tc>
          <w:tcPr>
            <w:tcW w:w="3724" w:type="dxa"/>
          </w:tcPr>
          <w:p w14:paraId="7D4A871D" w14:textId="77777777" w:rsidR="002C3099" w:rsidRPr="009E1B38" w:rsidRDefault="009B1414" w:rsidP="002C3099">
            <w:pPr>
              <w:tabs>
                <w:tab w:val="left" w:pos="6828"/>
              </w:tabs>
              <w:jc w:val="right"/>
              <w:rPr>
                <w:rFonts w:ascii="Times New Roman" w:hAnsi="Times New Roman"/>
              </w:rPr>
            </w:pPr>
            <w:r w:rsidRPr="009E1B38">
              <w:rPr>
                <w:rFonts w:ascii="Times New Roman" w:hAnsi="Times New Roman"/>
                <w:sz w:val="21"/>
                <w:szCs w:val="21"/>
              </w:rPr>
              <w:t>3</w:t>
            </w:r>
            <w:r w:rsidR="002C3099" w:rsidRPr="009E1B38">
              <w:rPr>
                <w:rFonts w:ascii="Times New Roman" w:hAnsi="Times New Roman"/>
                <w:sz w:val="21"/>
                <w:szCs w:val="21"/>
              </w:rPr>
              <w:t>.</w:t>
            </w:r>
            <w:r w:rsidRPr="009E1B38">
              <w:rPr>
                <w:rFonts w:ascii="Times New Roman" w:hAnsi="Times New Roman"/>
                <w:sz w:val="21"/>
                <w:szCs w:val="21"/>
              </w:rPr>
              <w:t>214</w:t>
            </w:r>
            <w:r w:rsidR="002C3099" w:rsidRPr="009E1B38">
              <w:rPr>
                <w:rFonts w:ascii="Times New Roman" w:hAnsi="Times New Roman"/>
                <w:sz w:val="21"/>
                <w:szCs w:val="21"/>
              </w:rPr>
              <w:t>,</w:t>
            </w:r>
            <w:r w:rsidRPr="009E1B38">
              <w:rPr>
                <w:rFonts w:ascii="Times New Roman" w:hAnsi="Times New Roman"/>
                <w:sz w:val="21"/>
                <w:szCs w:val="21"/>
              </w:rPr>
              <w:t>1</w:t>
            </w:r>
          </w:p>
        </w:tc>
      </w:tr>
    </w:tbl>
    <w:p w14:paraId="7D4A871F" w14:textId="77777777" w:rsidR="002C3099" w:rsidRPr="009E1B38" w:rsidRDefault="002C3099" w:rsidP="002C3099">
      <w:pPr>
        <w:rPr>
          <w:rFonts w:ascii="Times New Roman" w:hAnsi="Times New Roman"/>
        </w:rPr>
      </w:pPr>
    </w:p>
    <w:p w14:paraId="7D4A8720" w14:textId="4C73E577" w:rsidR="002C3099" w:rsidRPr="009E1B38" w:rsidRDefault="00596BA7" w:rsidP="003C5E4D">
      <w:pPr>
        <w:pStyle w:val="Balk3"/>
        <w:numPr>
          <w:ilvl w:val="2"/>
          <w:numId w:val="61"/>
        </w:numPr>
        <w:spacing w:before="0"/>
        <w:rPr>
          <w:rFonts w:ascii="Times New Roman" w:hAnsi="Times New Roman" w:cs="Times New Roman"/>
        </w:rPr>
      </w:pPr>
      <w:bookmarkStart w:id="190" w:name="_Toc113615355"/>
      <w:r w:rsidRPr="009E1B38">
        <w:rPr>
          <w:rFonts w:ascii="Times New Roman" w:hAnsi="Times New Roman" w:cs="Times New Roman"/>
        </w:rPr>
        <w:lastRenderedPageBreak/>
        <w:t>Market Operation Tariffication</w:t>
      </w:r>
      <w:bookmarkEnd w:id="190"/>
    </w:p>
    <w:p w14:paraId="4C844C34" w14:textId="77777777" w:rsidR="00596BA7" w:rsidRPr="009E1B38" w:rsidRDefault="00596BA7" w:rsidP="00596BA7">
      <w:pPr>
        <w:spacing w:before="120" w:after="120"/>
        <w:rPr>
          <w:rFonts w:ascii="Times New Roman" w:hAnsi="Times New Roman"/>
        </w:rPr>
      </w:pPr>
      <w:r w:rsidRPr="009E1B38">
        <w:rPr>
          <w:rFonts w:ascii="Times New Roman" w:eastAsia="Batang" w:hAnsi="Times New Roman"/>
          <w:lang w:eastAsia="ko-KR"/>
        </w:rPr>
        <w:t>With the Board Decision dated 16.12.2021 and numbered 10644 published in the Official Gazette dated 21.12.2021 and numbered 31693, the market operating income ceiling of EPİAŞ for 2022 was determined as in Table 4.16 and</w:t>
      </w:r>
    </w:p>
    <w:p w14:paraId="0A6C57F6" w14:textId="3D9D492D" w:rsidR="00596BA7" w:rsidRPr="009E1B38" w:rsidRDefault="6FD9CB07" w:rsidP="003C5E4D">
      <w:pPr>
        <w:pStyle w:val="ListeParagraf"/>
        <w:numPr>
          <w:ilvl w:val="0"/>
          <w:numId w:val="52"/>
        </w:numPr>
        <w:spacing w:before="120" w:after="120"/>
        <w:rPr>
          <w:rFonts w:ascii="Times New Roman" w:hAnsi="Times New Roman"/>
        </w:rPr>
      </w:pPr>
      <w:r w:rsidRPr="009E1B38">
        <w:rPr>
          <w:rFonts w:ascii="Times New Roman" w:hAnsi="Times New Roman"/>
        </w:rPr>
        <w:t xml:space="preserve">With the Board Decision dated 27.05.2021 and numbered 10232-1 published in the Official Gazette dated       02.06.2021 and numbered 31499, related to the </w:t>
      </w:r>
      <w:r w:rsidR="00301040" w:rsidRPr="009E1B38">
        <w:rPr>
          <w:rFonts w:ascii="Times New Roman" w:hAnsi="Times New Roman"/>
        </w:rPr>
        <w:t>declaration</w:t>
      </w:r>
      <w:r w:rsidRPr="009E1B38">
        <w:rPr>
          <w:rFonts w:ascii="Times New Roman" w:hAnsi="Times New Roman"/>
        </w:rPr>
        <w:t xml:space="preserve"> of the Renewable Energy Resource Guarantee    System and Organized Ye-G Market Operation for the Year 2021 with Fees and Commissions for Meeting the Revenue Ceiling,</w:t>
      </w:r>
    </w:p>
    <w:p w14:paraId="79772F83" w14:textId="77777777" w:rsidR="00596BA7" w:rsidRPr="009E1B38" w:rsidRDefault="00596BA7" w:rsidP="003C5E4D">
      <w:pPr>
        <w:pStyle w:val="ListeParagraf"/>
        <w:numPr>
          <w:ilvl w:val="0"/>
          <w:numId w:val="52"/>
        </w:numPr>
        <w:spacing w:before="120" w:after="120"/>
        <w:rPr>
          <w:rFonts w:ascii="Times New Roman" w:hAnsi="Times New Roman"/>
        </w:rPr>
      </w:pPr>
      <w:r w:rsidRPr="009E1B38">
        <w:rPr>
          <w:rFonts w:ascii="Times New Roman" w:hAnsi="Times New Roman"/>
        </w:rPr>
        <w:t>With the Board Decision dated 27.05.2021 and numbered 10232-2 published in the Official Gazette dated 02.06.2021 and numbered 31499, the Fee and Commissions to be Applied to Meet the Term Electricity Market Operation Revenue Cap for 2021 and the Implementation Method Statement,</w:t>
      </w:r>
    </w:p>
    <w:p w14:paraId="6C66A8CD" w14:textId="77777777" w:rsidR="00596BA7" w:rsidRPr="009E1B38" w:rsidRDefault="00596BA7" w:rsidP="003C5E4D">
      <w:pPr>
        <w:pStyle w:val="ListeParagraf"/>
        <w:numPr>
          <w:ilvl w:val="0"/>
          <w:numId w:val="52"/>
        </w:numPr>
        <w:spacing w:before="120" w:after="120"/>
        <w:rPr>
          <w:rFonts w:ascii="Times New Roman" w:hAnsi="Times New Roman"/>
        </w:rPr>
      </w:pPr>
      <w:r w:rsidRPr="009E1B38">
        <w:rPr>
          <w:rFonts w:ascii="Times New Roman" w:hAnsi="Times New Roman"/>
        </w:rPr>
        <w:t>With the Board Decision dated 27.05.2021 and numbered 10232-3 published in the Official Gazette dated 02.06.2021 and numbered 31499, the Fee and Commissions to be Applied for Meeting the Forward Natural Gas Market Operation Income Cap, and the Implementation Method Statement,</w:t>
      </w:r>
    </w:p>
    <w:p w14:paraId="3966B630" w14:textId="77777777" w:rsidR="00596BA7" w:rsidRPr="009E1B38" w:rsidRDefault="00596BA7" w:rsidP="003C5E4D">
      <w:pPr>
        <w:pStyle w:val="ListeParagraf"/>
        <w:numPr>
          <w:ilvl w:val="0"/>
          <w:numId w:val="52"/>
        </w:numPr>
        <w:spacing w:before="120" w:after="120"/>
        <w:rPr>
          <w:rFonts w:ascii="Times New Roman" w:hAnsi="Times New Roman"/>
        </w:rPr>
      </w:pPr>
      <w:r w:rsidRPr="009E1B38">
        <w:rPr>
          <w:rFonts w:ascii="Times New Roman" w:hAnsi="Times New Roman"/>
        </w:rPr>
        <w:t>With the Board Decision dated 16.12.2021 and numbered 10645-1 published in the Official Gazette dated 18.12.2021 and numbered 31693, the Fees to be Applied for Meeting the Electricity Market Operation Revenue Cap for 2022 and the Notification of the Implementation,</w:t>
      </w:r>
    </w:p>
    <w:p w14:paraId="346810B3" w14:textId="77777777" w:rsidR="00596BA7" w:rsidRPr="009E1B38" w:rsidRDefault="00596BA7" w:rsidP="003C5E4D">
      <w:pPr>
        <w:pStyle w:val="ListeParagraf"/>
        <w:numPr>
          <w:ilvl w:val="0"/>
          <w:numId w:val="52"/>
        </w:numPr>
        <w:spacing w:before="120" w:after="120"/>
        <w:rPr>
          <w:rFonts w:ascii="Times New Roman" w:hAnsi="Times New Roman"/>
        </w:rPr>
      </w:pPr>
      <w:r w:rsidRPr="009E1B38">
        <w:rPr>
          <w:rFonts w:ascii="Times New Roman" w:hAnsi="Times New Roman"/>
        </w:rPr>
        <w:t>With the Board Decision dated 16.12.2021 and numbered 10645-2 published in the Official Gazette dated 18.12.2021 and numbered 31693, the Fee and Commissions to be Applied for the Year 2022 for Meeting the Term Electricity Market Operation Income Cap, and the Statement of Implementation,</w:t>
      </w:r>
    </w:p>
    <w:p w14:paraId="7D4A8728" w14:textId="5E828B69" w:rsidR="005D3D71" w:rsidRPr="00301040" w:rsidRDefault="6FD9CB07" w:rsidP="00C66BC3">
      <w:pPr>
        <w:pStyle w:val="ListeParagraf"/>
        <w:numPr>
          <w:ilvl w:val="0"/>
          <w:numId w:val="52"/>
        </w:numPr>
        <w:spacing w:before="120" w:after="120"/>
        <w:rPr>
          <w:rFonts w:ascii="Times New Roman" w:hAnsi="Times New Roman"/>
        </w:rPr>
      </w:pPr>
      <w:r w:rsidRPr="00301040">
        <w:rPr>
          <w:rFonts w:ascii="Times New Roman" w:hAnsi="Times New Roman"/>
        </w:rPr>
        <w:t>With the Board Decision dated 16.12.2021 and numbered 10645-3 published in the Official Gazette dated 18.12.2021 and numbered 31693, Renewable Energy Resource Guarantee System and Organized Ye-G Market Operation for the Year 2022 with Fees and Commissions to be Appl</w:t>
      </w:r>
      <w:r w:rsidR="00301040" w:rsidRPr="00301040">
        <w:rPr>
          <w:rFonts w:ascii="Times New Roman" w:hAnsi="Times New Roman"/>
        </w:rPr>
        <w:t>ied to Meet the Revenue Ceiling, r</w:t>
      </w:r>
      <w:r w:rsidR="00301040">
        <w:rPr>
          <w:rFonts w:ascii="Times New Roman" w:hAnsi="Times New Roman"/>
        </w:rPr>
        <w:t>elated Methods Statement,</w:t>
      </w:r>
      <w:r w:rsidR="00596BA7" w:rsidRPr="00301040">
        <w:rPr>
          <w:rFonts w:ascii="Times New Roman" w:hAnsi="Times New Roman"/>
        </w:rPr>
        <w:t xml:space="preserve"> were accepted.</w:t>
      </w:r>
    </w:p>
    <w:p w14:paraId="28B8DCC0" w14:textId="76EFCCA8" w:rsidR="00596BA7" w:rsidRPr="009E1B38" w:rsidRDefault="00596BA7" w:rsidP="00127185">
      <w:pPr>
        <w:pStyle w:val="Balk5"/>
        <w:jc w:val="center"/>
        <w:rPr>
          <w:rFonts w:ascii="Times New Roman" w:hAnsi="Times New Roman" w:cs="Times New Roman"/>
        </w:rPr>
      </w:pPr>
      <w:bookmarkStart w:id="191" w:name="_Toc107499524"/>
      <w:r w:rsidRPr="009E1B38">
        <w:rPr>
          <w:rStyle w:val="Gl"/>
          <w:rFonts w:ascii="Times New Roman" w:hAnsi="Times New Roman" w:cs="Times New Roman"/>
          <w:b/>
          <w:bCs w:val="0"/>
        </w:rPr>
        <w:t>Table 4.16: EPİAŞ</w:t>
      </w:r>
      <w:r w:rsidR="00CF3BFF" w:rsidRPr="009E1B38">
        <w:rPr>
          <w:rStyle w:val="Gl"/>
          <w:rFonts w:ascii="Times New Roman" w:hAnsi="Times New Roman" w:cs="Times New Roman"/>
          <w:b/>
          <w:bCs w:val="0"/>
        </w:rPr>
        <w:t xml:space="preserve"> </w:t>
      </w:r>
      <w:r w:rsidRPr="009E1B38">
        <w:rPr>
          <w:rStyle w:val="Gl"/>
          <w:rFonts w:ascii="Times New Roman" w:hAnsi="Times New Roman" w:cs="Times New Roman"/>
          <w:b/>
          <w:bCs w:val="0"/>
        </w:rPr>
        <w:t>Market Operation Revenue Ceiling</w:t>
      </w:r>
      <w:r w:rsidR="00CF3BFF" w:rsidRPr="009E1B38">
        <w:rPr>
          <w:rStyle w:val="Gl"/>
          <w:rFonts w:ascii="Times New Roman" w:hAnsi="Times New Roman" w:cs="Times New Roman"/>
          <w:b/>
          <w:bCs w:val="0"/>
        </w:rPr>
        <w:t xml:space="preserve"> 2022 </w:t>
      </w:r>
      <w:r w:rsidRPr="009E1B38">
        <w:rPr>
          <w:rStyle w:val="Gl"/>
          <w:rFonts w:ascii="Times New Roman" w:hAnsi="Times New Roman" w:cs="Times New Roman"/>
          <w:b/>
          <w:bCs w:val="0"/>
        </w:rPr>
        <w:t>(TL)</w:t>
      </w:r>
      <w:bookmarkEnd w:id="191"/>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8251"/>
        <w:gridCol w:w="1811"/>
      </w:tblGrid>
      <w:tr w:rsidR="002C3099" w:rsidRPr="009E1B38" w14:paraId="7D4A872C" w14:textId="77777777" w:rsidTr="002C3099">
        <w:trPr>
          <w:trHeight w:val="315"/>
          <w:jc w:val="center"/>
        </w:trPr>
        <w:tc>
          <w:tcPr>
            <w:tcW w:w="4100" w:type="pct"/>
            <w:shd w:val="clear" w:color="auto" w:fill="auto"/>
            <w:noWrap/>
            <w:vAlign w:val="center"/>
            <w:hideMark/>
          </w:tcPr>
          <w:p w14:paraId="7D4A872A" w14:textId="6AC2A30D" w:rsidR="002C3099" w:rsidRPr="009E1B38" w:rsidRDefault="00596BA7" w:rsidP="002C3099">
            <w:pPr>
              <w:spacing w:after="0" w:line="240" w:lineRule="auto"/>
              <w:rPr>
                <w:rFonts w:ascii="Times New Roman" w:eastAsia="Times New Roman" w:hAnsi="Times New Roman"/>
                <w:bCs/>
                <w:lang w:eastAsia="tr-TR"/>
              </w:rPr>
            </w:pPr>
            <w:r w:rsidRPr="009E1B38">
              <w:rPr>
                <w:rFonts w:ascii="Times New Roman" w:eastAsia="Times New Roman" w:hAnsi="Times New Roman"/>
                <w:bCs/>
                <w:lang w:eastAsia="tr-TR"/>
              </w:rPr>
              <w:t xml:space="preserve">2022 Market Operation Revenue Ceiling-Electricity Market Share </w:t>
            </w:r>
            <w:r w:rsidRPr="009E1B38">
              <w:rPr>
                <w:rFonts w:ascii="Times New Roman" w:eastAsia="Times New Roman" w:hAnsi="Times New Roman"/>
                <w:lang w:eastAsia="tr-TR"/>
              </w:rPr>
              <w:t>(TL - TÜFE=688,85)</w:t>
            </w:r>
          </w:p>
        </w:tc>
        <w:tc>
          <w:tcPr>
            <w:tcW w:w="900" w:type="pct"/>
            <w:shd w:val="clear" w:color="auto" w:fill="auto"/>
            <w:noWrap/>
            <w:vAlign w:val="center"/>
            <w:hideMark/>
          </w:tcPr>
          <w:p w14:paraId="7D4A872B" w14:textId="77777777" w:rsidR="002C3099" w:rsidRPr="009E1B38" w:rsidRDefault="005D42FA" w:rsidP="002C3099">
            <w:pPr>
              <w:spacing w:after="0" w:line="240" w:lineRule="auto"/>
              <w:jc w:val="right"/>
              <w:rPr>
                <w:rFonts w:ascii="Times New Roman" w:eastAsia="Times New Roman" w:hAnsi="Times New Roman"/>
                <w:bCs/>
                <w:lang w:eastAsia="tr-TR"/>
              </w:rPr>
            </w:pPr>
            <w:r w:rsidRPr="009E1B38">
              <w:rPr>
                <w:rFonts w:ascii="Times New Roman" w:eastAsia="Times New Roman" w:hAnsi="Times New Roman"/>
                <w:bCs/>
                <w:lang w:eastAsia="tr-TR"/>
              </w:rPr>
              <w:t>248</w:t>
            </w:r>
            <w:r w:rsidR="002C3099" w:rsidRPr="009E1B38">
              <w:rPr>
                <w:rFonts w:ascii="Times New Roman" w:eastAsia="Times New Roman" w:hAnsi="Times New Roman"/>
                <w:bCs/>
                <w:lang w:eastAsia="tr-TR"/>
              </w:rPr>
              <w:t>.</w:t>
            </w:r>
            <w:r w:rsidRPr="009E1B38">
              <w:rPr>
                <w:rFonts w:ascii="Times New Roman" w:eastAsia="Times New Roman" w:hAnsi="Times New Roman"/>
                <w:bCs/>
                <w:lang w:eastAsia="tr-TR"/>
              </w:rPr>
              <w:t>943</w:t>
            </w:r>
            <w:r w:rsidR="002C3099" w:rsidRPr="009E1B38">
              <w:rPr>
                <w:rFonts w:ascii="Times New Roman" w:eastAsia="Times New Roman" w:hAnsi="Times New Roman"/>
                <w:bCs/>
                <w:lang w:eastAsia="tr-TR"/>
              </w:rPr>
              <w:t>.</w:t>
            </w:r>
            <w:r w:rsidRPr="009E1B38">
              <w:rPr>
                <w:rFonts w:ascii="Times New Roman" w:eastAsia="Times New Roman" w:hAnsi="Times New Roman"/>
                <w:bCs/>
                <w:lang w:eastAsia="tr-TR"/>
              </w:rPr>
              <w:t>728</w:t>
            </w:r>
          </w:p>
        </w:tc>
      </w:tr>
      <w:tr w:rsidR="002C3099" w:rsidRPr="009E1B38" w14:paraId="7D4A872F" w14:textId="77777777" w:rsidTr="002C3099">
        <w:trPr>
          <w:trHeight w:val="315"/>
          <w:jc w:val="center"/>
        </w:trPr>
        <w:tc>
          <w:tcPr>
            <w:tcW w:w="4100" w:type="pct"/>
            <w:shd w:val="clear" w:color="auto" w:fill="auto"/>
            <w:noWrap/>
            <w:vAlign w:val="center"/>
            <w:hideMark/>
          </w:tcPr>
          <w:p w14:paraId="7D4A872D" w14:textId="4375116F" w:rsidR="002C3099" w:rsidRPr="009E1B38" w:rsidRDefault="00596BA7" w:rsidP="002C3099">
            <w:pPr>
              <w:spacing w:after="0" w:line="240" w:lineRule="auto"/>
              <w:rPr>
                <w:rFonts w:ascii="Times New Roman" w:eastAsia="Times New Roman" w:hAnsi="Times New Roman"/>
                <w:bCs/>
                <w:lang w:eastAsia="tr-TR"/>
              </w:rPr>
            </w:pPr>
            <w:r w:rsidRPr="009E1B38">
              <w:rPr>
                <w:rFonts w:ascii="Times New Roman" w:eastAsia="Times New Roman" w:hAnsi="Times New Roman"/>
                <w:bCs/>
                <w:lang w:eastAsia="tr-TR"/>
              </w:rPr>
              <w:t xml:space="preserve">2022 Market Operation Revenue Ceiling-Natural Gas Market Share </w:t>
            </w:r>
            <w:r w:rsidRPr="009E1B38">
              <w:rPr>
                <w:rFonts w:ascii="Times New Roman" w:eastAsia="Times New Roman" w:hAnsi="Times New Roman"/>
                <w:lang w:eastAsia="tr-TR"/>
              </w:rPr>
              <w:t>(TL - TÜFE=688,85)</w:t>
            </w:r>
          </w:p>
        </w:tc>
        <w:tc>
          <w:tcPr>
            <w:tcW w:w="900" w:type="pct"/>
            <w:shd w:val="clear" w:color="auto" w:fill="auto"/>
            <w:noWrap/>
            <w:vAlign w:val="center"/>
            <w:hideMark/>
          </w:tcPr>
          <w:p w14:paraId="7D4A872E" w14:textId="77777777" w:rsidR="002C3099" w:rsidRPr="009E1B38" w:rsidRDefault="005D42FA" w:rsidP="002C3099">
            <w:pPr>
              <w:spacing w:after="0" w:line="240" w:lineRule="auto"/>
              <w:jc w:val="right"/>
              <w:rPr>
                <w:rFonts w:ascii="Times New Roman" w:eastAsia="Times New Roman" w:hAnsi="Times New Roman"/>
                <w:bCs/>
                <w:lang w:eastAsia="tr-TR"/>
              </w:rPr>
            </w:pPr>
            <w:r w:rsidRPr="009E1B38">
              <w:rPr>
                <w:rFonts w:ascii="Times New Roman" w:eastAsia="Times New Roman" w:hAnsi="Times New Roman"/>
                <w:bCs/>
                <w:lang w:eastAsia="tr-TR"/>
              </w:rPr>
              <w:t>10</w:t>
            </w:r>
            <w:r w:rsidR="002C3099" w:rsidRPr="009E1B38">
              <w:rPr>
                <w:rFonts w:ascii="Times New Roman" w:eastAsia="Times New Roman" w:hAnsi="Times New Roman"/>
                <w:bCs/>
                <w:lang w:eastAsia="tr-TR"/>
              </w:rPr>
              <w:t>.</w:t>
            </w:r>
            <w:r w:rsidRPr="009E1B38">
              <w:rPr>
                <w:rFonts w:ascii="Times New Roman" w:eastAsia="Times New Roman" w:hAnsi="Times New Roman"/>
                <w:bCs/>
                <w:lang w:eastAsia="tr-TR"/>
              </w:rPr>
              <w:t>879</w:t>
            </w:r>
            <w:r w:rsidR="002C3099" w:rsidRPr="009E1B38">
              <w:rPr>
                <w:rFonts w:ascii="Times New Roman" w:eastAsia="Times New Roman" w:hAnsi="Times New Roman"/>
                <w:bCs/>
                <w:lang w:eastAsia="tr-TR"/>
              </w:rPr>
              <w:t>.</w:t>
            </w:r>
            <w:r w:rsidRPr="009E1B38">
              <w:rPr>
                <w:rFonts w:ascii="Times New Roman" w:eastAsia="Times New Roman" w:hAnsi="Times New Roman"/>
                <w:bCs/>
                <w:lang w:eastAsia="tr-TR"/>
              </w:rPr>
              <w:t>735</w:t>
            </w:r>
          </w:p>
        </w:tc>
      </w:tr>
    </w:tbl>
    <w:p w14:paraId="7D4A8730" w14:textId="77777777" w:rsidR="002C3099" w:rsidRPr="009E1B38" w:rsidRDefault="002C3099" w:rsidP="002C3099">
      <w:pPr>
        <w:spacing w:before="120" w:after="120"/>
        <w:rPr>
          <w:rFonts w:ascii="Times New Roman" w:hAnsi="Times New Roman"/>
        </w:rPr>
      </w:pPr>
    </w:p>
    <w:p w14:paraId="7D4A8731" w14:textId="2636DD99" w:rsidR="002C3099" w:rsidRPr="009E1B38" w:rsidRDefault="002C3099" w:rsidP="003C5E4D">
      <w:pPr>
        <w:pStyle w:val="Balk3"/>
        <w:numPr>
          <w:ilvl w:val="2"/>
          <w:numId w:val="61"/>
        </w:numPr>
        <w:spacing w:before="0" w:after="240"/>
        <w:rPr>
          <w:rFonts w:ascii="Times New Roman" w:hAnsi="Times New Roman" w:cs="Times New Roman"/>
        </w:rPr>
      </w:pPr>
      <w:bookmarkStart w:id="192" w:name="_Toc66267379"/>
      <w:bookmarkStart w:id="193" w:name="_Toc113615356"/>
      <w:r w:rsidRPr="009E1B38">
        <w:rPr>
          <w:rFonts w:ascii="Times New Roman" w:hAnsi="Times New Roman" w:cs="Times New Roman"/>
        </w:rPr>
        <w:t>O</w:t>
      </w:r>
      <w:bookmarkEnd w:id="192"/>
      <w:r w:rsidR="00DA24D7" w:rsidRPr="009E1B38">
        <w:rPr>
          <w:rFonts w:ascii="Times New Roman" w:hAnsi="Times New Roman" w:cs="Times New Roman"/>
        </w:rPr>
        <w:t xml:space="preserve">IZ Distribution </w:t>
      </w:r>
      <w:r w:rsidR="000C49B8" w:rsidRPr="009E1B38">
        <w:rPr>
          <w:rFonts w:ascii="Times New Roman" w:hAnsi="Times New Roman" w:cs="Times New Roman"/>
        </w:rPr>
        <w:t>Fee</w:t>
      </w:r>
      <w:bookmarkEnd w:id="193"/>
      <w:r w:rsidR="000C49B8" w:rsidRPr="009E1B38">
        <w:rPr>
          <w:rFonts w:ascii="Times New Roman" w:hAnsi="Times New Roman" w:cs="Times New Roman"/>
        </w:rPr>
        <w:t xml:space="preserve"> </w:t>
      </w:r>
    </w:p>
    <w:p w14:paraId="70206194" w14:textId="77777777" w:rsidR="000C49B8" w:rsidRPr="009E1B38" w:rsidRDefault="000C49B8" w:rsidP="000C49B8">
      <w:pPr>
        <w:rPr>
          <w:rFonts w:ascii="Times New Roman" w:hAnsi="Times New Roman"/>
          <w:lang w:bidi="he-IL"/>
        </w:rPr>
      </w:pPr>
      <w:r w:rsidRPr="009E1B38">
        <w:rPr>
          <w:rFonts w:ascii="Times New Roman" w:hAnsi="Times New Roman"/>
          <w:lang w:bidi="he-IL"/>
        </w:rPr>
        <w:t xml:space="preserve">Distribution fees to be applied by Organized Industrial Zones holding distribution licenses to their participants within their approved borders in 2022 have been approved by Board Decisions dated 23.12.2021 and numbered 10659-1 to 10659-186, published in the Official Gazette dated 30.12.2021 and numbered 31705 (2nd repeated). </w:t>
      </w:r>
    </w:p>
    <w:p w14:paraId="6114EFD2" w14:textId="77777777" w:rsidR="000C49B8" w:rsidRPr="009E1B38" w:rsidRDefault="000C49B8" w:rsidP="000C49B8">
      <w:pPr>
        <w:rPr>
          <w:rFonts w:ascii="Times New Roman" w:hAnsi="Times New Roman"/>
          <w:lang w:bidi="he-IL"/>
        </w:rPr>
      </w:pPr>
      <w:r w:rsidRPr="009E1B38">
        <w:rPr>
          <w:rFonts w:ascii="Times New Roman" w:hAnsi="Times New Roman"/>
          <w:lang w:bidi="he-IL"/>
        </w:rPr>
        <w:t>OIZ managements can present their distribution price offers for Industrial or Non-Industrial Consumers and Producers as LV, MV, single term and double term within the framework of the Regulation on the Electricity Market Activities of Organized Industrial Zones. Distribution cost evaluations are made within the framework of the "comparison model", taking into account the unit energy cost estimates, investment expenses, operating expenses, lost energy expenses and distribution tariffication forecasts for the distribution regions they are in.</w:t>
      </w:r>
    </w:p>
    <w:p w14:paraId="7D4A8734" w14:textId="6867185D" w:rsidR="002C3099" w:rsidRPr="009E1B38" w:rsidRDefault="002C3099" w:rsidP="003C5E4D">
      <w:pPr>
        <w:pStyle w:val="Balk3"/>
        <w:numPr>
          <w:ilvl w:val="2"/>
          <w:numId w:val="61"/>
        </w:numPr>
        <w:spacing w:before="0" w:after="240"/>
        <w:rPr>
          <w:rFonts w:ascii="Times New Roman" w:hAnsi="Times New Roman" w:cs="Times New Roman"/>
        </w:rPr>
      </w:pPr>
      <w:bookmarkStart w:id="194" w:name="_Toc113615357"/>
      <w:r w:rsidRPr="009E1B38">
        <w:rPr>
          <w:rFonts w:ascii="Times New Roman" w:hAnsi="Times New Roman" w:cs="Times New Roman"/>
        </w:rPr>
        <w:t xml:space="preserve">EÜAŞ </w:t>
      </w:r>
      <w:r w:rsidR="000C49B8" w:rsidRPr="009E1B38">
        <w:rPr>
          <w:rFonts w:ascii="Times New Roman" w:hAnsi="Times New Roman" w:cs="Times New Roman"/>
        </w:rPr>
        <w:t>Wholesale Tariffication</w:t>
      </w:r>
      <w:bookmarkEnd w:id="194"/>
      <w:r w:rsidR="000C49B8" w:rsidRPr="009E1B38">
        <w:rPr>
          <w:rFonts w:ascii="Times New Roman" w:hAnsi="Times New Roman" w:cs="Times New Roman"/>
        </w:rPr>
        <w:t xml:space="preserve"> </w:t>
      </w:r>
    </w:p>
    <w:p w14:paraId="7DDB2F8A" w14:textId="77777777" w:rsidR="000C49B8" w:rsidRPr="009E1B38" w:rsidRDefault="000C49B8" w:rsidP="000C49B8">
      <w:pPr>
        <w:rPr>
          <w:rFonts w:ascii="Times New Roman" w:hAnsi="Times New Roman"/>
        </w:rPr>
      </w:pPr>
      <w:r w:rsidRPr="009E1B38">
        <w:rPr>
          <w:rFonts w:ascii="Times New Roman" w:hAnsi="Times New Roman"/>
        </w:rPr>
        <w:t>Approved wholesale tariffs of EÜAŞ for the whole of 2021 and the first tariff period of 2022 are given in Tables 4.17 and 4.18.</w:t>
      </w:r>
    </w:p>
    <w:p w14:paraId="6257368B" w14:textId="3117B3FC" w:rsidR="000C49B8" w:rsidRPr="009E1B38" w:rsidRDefault="0082470D" w:rsidP="00127185">
      <w:pPr>
        <w:pStyle w:val="Balk5"/>
        <w:jc w:val="center"/>
        <w:rPr>
          <w:rStyle w:val="Gl"/>
          <w:rFonts w:ascii="Times New Roman" w:hAnsi="Times New Roman" w:cs="Times New Roman"/>
          <w:b/>
          <w:bCs w:val="0"/>
        </w:rPr>
      </w:pPr>
      <w:bookmarkStart w:id="195" w:name="_Toc107499525"/>
      <w:r w:rsidRPr="009E1B38">
        <w:rPr>
          <w:rStyle w:val="Gl"/>
          <w:rFonts w:ascii="Times New Roman" w:hAnsi="Times New Roman" w:cs="Times New Roman"/>
          <w:b/>
          <w:bCs w:val="0"/>
        </w:rPr>
        <w:lastRenderedPageBreak/>
        <w:t>Table</w:t>
      </w:r>
      <w:r w:rsidR="000C49B8" w:rsidRPr="009E1B38">
        <w:rPr>
          <w:rStyle w:val="Gl"/>
          <w:rFonts w:ascii="Times New Roman" w:hAnsi="Times New Roman" w:cs="Times New Roman"/>
          <w:b/>
          <w:bCs w:val="0"/>
        </w:rPr>
        <w:t xml:space="preserve"> 4.17: EÜAŞ Wholesale Tariffs (Technical and Non-Technical Lost Energy Sales to Distribution Companies and Sales to Contracted Supply Companies)</w:t>
      </w:r>
      <w:bookmarkEnd w:id="195"/>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2C3099" w:rsidRPr="009E1B38" w14:paraId="7D4A873C" w14:textId="77777777" w:rsidTr="00D42084">
        <w:trPr>
          <w:trHeight w:val="397"/>
          <w:jc w:val="center"/>
        </w:trPr>
        <w:tc>
          <w:tcPr>
            <w:tcW w:w="2055" w:type="dxa"/>
            <w:shd w:val="clear" w:color="auto" w:fill="6E9ECA"/>
            <w:vAlign w:val="center"/>
          </w:tcPr>
          <w:p w14:paraId="7D4A8737" w14:textId="7E10708B" w:rsidR="002C3099" w:rsidRPr="009E1B38" w:rsidRDefault="000C49B8" w:rsidP="002C3099">
            <w:pPr>
              <w:spacing w:after="0" w:line="240" w:lineRule="auto"/>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Board Decision Date</w:t>
            </w:r>
          </w:p>
        </w:tc>
        <w:tc>
          <w:tcPr>
            <w:tcW w:w="1843" w:type="dxa"/>
            <w:shd w:val="clear" w:color="auto" w:fill="6E9ECA"/>
            <w:vAlign w:val="center"/>
          </w:tcPr>
          <w:p w14:paraId="7D4A8738" w14:textId="29DAB4D7" w:rsidR="002C3099" w:rsidRPr="009E1B38" w:rsidRDefault="000C49B8" w:rsidP="002C3099">
            <w:pPr>
              <w:spacing w:after="0" w:line="240" w:lineRule="auto"/>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Number of Board Decisions</w:t>
            </w:r>
          </w:p>
        </w:tc>
        <w:tc>
          <w:tcPr>
            <w:tcW w:w="1842" w:type="dxa"/>
            <w:shd w:val="clear" w:color="auto" w:fill="6E9ECA"/>
            <w:vAlign w:val="center"/>
          </w:tcPr>
          <w:p w14:paraId="7D4A8739" w14:textId="4AD1352A" w:rsidR="002C3099" w:rsidRPr="009E1B38" w:rsidRDefault="000C49B8" w:rsidP="002C3099">
            <w:pPr>
              <w:spacing w:after="0" w:line="240" w:lineRule="auto"/>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Operation date</w:t>
            </w:r>
          </w:p>
        </w:tc>
        <w:tc>
          <w:tcPr>
            <w:tcW w:w="2268" w:type="dxa"/>
            <w:shd w:val="clear" w:color="auto" w:fill="6E9ECA"/>
          </w:tcPr>
          <w:p w14:paraId="7D4A873A" w14:textId="04CA0B90" w:rsidR="002C3099" w:rsidRPr="009E1B38" w:rsidRDefault="000C49B8" w:rsidP="002C3099">
            <w:pPr>
              <w:spacing w:after="0" w:line="240" w:lineRule="auto"/>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Date and Number of Official Gazette Published</w:t>
            </w:r>
          </w:p>
        </w:tc>
        <w:tc>
          <w:tcPr>
            <w:tcW w:w="2054" w:type="dxa"/>
            <w:shd w:val="clear" w:color="auto" w:fill="6E9ECA"/>
            <w:vAlign w:val="center"/>
          </w:tcPr>
          <w:p w14:paraId="7D4A873B" w14:textId="4B764D5D" w:rsidR="002C3099" w:rsidRPr="009E1B38" w:rsidRDefault="000C49B8" w:rsidP="00301040">
            <w:pPr>
              <w:spacing w:after="0" w:line="240" w:lineRule="auto"/>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Active Electricity Cost (</w:t>
            </w:r>
            <w:r w:rsidR="00301040">
              <w:rPr>
                <w:rFonts w:ascii="Times New Roman" w:hAnsi="Times New Roman"/>
                <w:b/>
                <w:color w:val="FFFFFF" w:themeColor="background1"/>
                <w:sz w:val="20"/>
                <w:szCs w:val="20"/>
              </w:rPr>
              <w:t>Kurus</w:t>
            </w:r>
            <w:r w:rsidRPr="009E1B38">
              <w:rPr>
                <w:rFonts w:ascii="Times New Roman" w:hAnsi="Times New Roman"/>
                <w:b/>
                <w:color w:val="FFFFFF" w:themeColor="background1"/>
                <w:sz w:val="20"/>
                <w:szCs w:val="20"/>
              </w:rPr>
              <w:t>/kWh)</w:t>
            </w:r>
          </w:p>
        </w:tc>
      </w:tr>
      <w:tr w:rsidR="002C3099" w:rsidRPr="009E1B38" w14:paraId="7D4A8742" w14:textId="77777777" w:rsidTr="00D42084">
        <w:trPr>
          <w:trHeight w:val="397"/>
          <w:jc w:val="center"/>
        </w:trPr>
        <w:tc>
          <w:tcPr>
            <w:tcW w:w="2055" w:type="dxa"/>
            <w:noWrap/>
          </w:tcPr>
          <w:p w14:paraId="7D4A873D" w14:textId="77777777" w:rsidR="002C3099" w:rsidRPr="009E1B38" w:rsidRDefault="002C309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30.12.2020</w:t>
            </w:r>
          </w:p>
        </w:tc>
        <w:tc>
          <w:tcPr>
            <w:tcW w:w="1843" w:type="dxa"/>
          </w:tcPr>
          <w:p w14:paraId="7D4A873E" w14:textId="77777777" w:rsidR="002C3099" w:rsidRPr="009E1B38" w:rsidRDefault="002C309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9953</w:t>
            </w:r>
          </w:p>
        </w:tc>
        <w:tc>
          <w:tcPr>
            <w:tcW w:w="1842" w:type="dxa"/>
            <w:noWrap/>
          </w:tcPr>
          <w:p w14:paraId="7D4A873F" w14:textId="77777777" w:rsidR="002C3099" w:rsidRPr="009E1B38" w:rsidRDefault="002C309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01.01.2021</w:t>
            </w:r>
          </w:p>
        </w:tc>
        <w:tc>
          <w:tcPr>
            <w:tcW w:w="2268" w:type="dxa"/>
          </w:tcPr>
          <w:p w14:paraId="7D4A8740" w14:textId="77777777" w:rsidR="002C3099" w:rsidRPr="009E1B38" w:rsidRDefault="002C309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31.12.2020-31351(5.M)</w:t>
            </w:r>
          </w:p>
        </w:tc>
        <w:tc>
          <w:tcPr>
            <w:tcW w:w="2054" w:type="dxa"/>
            <w:noWrap/>
          </w:tcPr>
          <w:p w14:paraId="7D4A8741" w14:textId="77777777" w:rsidR="002C3099" w:rsidRPr="009E1B38" w:rsidRDefault="002C309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20,5000</w:t>
            </w:r>
          </w:p>
        </w:tc>
      </w:tr>
      <w:tr w:rsidR="004417E9" w:rsidRPr="009E1B38" w14:paraId="7D4A8748" w14:textId="77777777" w:rsidTr="00D42084">
        <w:trPr>
          <w:trHeight w:val="397"/>
          <w:jc w:val="center"/>
        </w:trPr>
        <w:tc>
          <w:tcPr>
            <w:tcW w:w="2055" w:type="dxa"/>
            <w:noWrap/>
          </w:tcPr>
          <w:p w14:paraId="7D4A8743"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25.03.2021</w:t>
            </w:r>
          </w:p>
        </w:tc>
        <w:tc>
          <w:tcPr>
            <w:tcW w:w="1843" w:type="dxa"/>
          </w:tcPr>
          <w:p w14:paraId="7D4A8744"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10114</w:t>
            </w:r>
          </w:p>
        </w:tc>
        <w:tc>
          <w:tcPr>
            <w:tcW w:w="1842" w:type="dxa"/>
            <w:noWrap/>
          </w:tcPr>
          <w:p w14:paraId="7D4A8745"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01.04.2021</w:t>
            </w:r>
          </w:p>
        </w:tc>
        <w:tc>
          <w:tcPr>
            <w:tcW w:w="2268" w:type="dxa"/>
          </w:tcPr>
          <w:p w14:paraId="7D4A8746"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26.03.2021-31435</w:t>
            </w:r>
          </w:p>
        </w:tc>
        <w:tc>
          <w:tcPr>
            <w:tcW w:w="2054" w:type="dxa"/>
            <w:noWrap/>
          </w:tcPr>
          <w:p w14:paraId="7D4A8747" w14:textId="77777777" w:rsidR="004417E9" w:rsidRPr="009E1B38" w:rsidRDefault="006110F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16,9149</w:t>
            </w:r>
          </w:p>
        </w:tc>
      </w:tr>
      <w:tr w:rsidR="004417E9" w:rsidRPr="009E1B38" w14:paraId="7D4A874E" w14:textId="77777777" w:rsidTr="00D42084">
        <w:trPr>
          <w:trHeight w:val="397"/>
          <w:jc w:val="center"/>
        </w:trPr>
        <w:tc>
          <w:tcPr>
            <w:tcW w:w="2055" w:type="dxa"/>
            <w:noWrap/>
          </w:tcPr>
          <w:p w14:paraId="7D4A8749"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30.06.2021</w:t>
            </w:r>
          </w:p>
        </w:tc>
        <w:tc>
          <w:tcPr>
            <w:tcW w:w="1843" w:type="dxa"/>
          </w:tcPr>
          <w:p w14:paraId="7D4A874A"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10300</w:t>
            </w:r>
          </w:p>
        </w:tc>
        <w:tc>
          <w:tcPr>
            <w:tcW w:w="1842" w:type="dxa"/>
            <w:noWrap/>
          </w:tcPr>
          <w:p w14:paraId="7D4A874B"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01.07.2021</w:t>
            </w:r>
          </w:p>
        </w:tc>
        <w:tc>
          <w:tcPr>
            <w:tcW w:w="2268" w:type="dxa"/>
          </w:tcPr>
          <w:p w14:paraId="7D4A874C"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01.07.2021-31528</w:t>
            </w:r>
          </w:p>
        </w:tc>
        <w:tc>
          <w:tcPr>
            <w:tcW w:w="2054" w:type="dxa"/>
            <w:noWrap/>
          </w:tcPr>
          <w:p w14:paraId="7D4A874D" w14:textId="77777777" w:rsidR="004417E9" w:rsidRPr="009E1B38" w:rsidRDefault="006110F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23,7636</w:t>
            </w:r>
          </w:p>
        </w:tc>
      </w:tr>
      <w:tr w:rsidR="004417E9" w:rsidRPr="009E1B38" w14:paraId="7D4A8754" w14:textId="77777777" w:rsidTr="00D42084">
        <w:trPr>
          <w:trHeight w:val="397"/>
          <w:jc w:val="center"/>
        </w:trPr>
        <w:tc>
          <w:tcPr>
            <w:tcW w:w="2055" w:type="dxa"/>
            <w:noWrap/>
          </w:tcPr>
          <w:p w14:paraId="7D4A874F"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31.12.2021</w:t>
            </w:r>
          </w:p>
        </w:tc>
        <w:tc>
          <w:tcPr>
            <w:tcW w:w="1843" w:type="dxa"/>
          </w:tcPr>
          <w:p w14:paraId="7D4A8750"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10706</w:t>
            </w:r>
          </w:p>
        </w:tc>
        <w:tc>
          <w:tcPr>
            <w:tcW w:w="1842" w:type="dxa"/>
            <w:noWrap/>
          </w:tcPr>
          <w:p w14:paraId="7D4A8751"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01.01.2022</w:t>
            </w:r>
          </w:p>
        </w:tc>
        <w:tc>
          <w:tcPr>
            <w:tcW w:w="2268" w:type="dxa"/>
          </w:tcPr>
          <w:p w14:paraId="7D4A8752" w14:textId="77777777" w:rsidR="004417E9" w:rsidRPr="009E1B38" w:rsidRDefault="004417E9" w:rsidP="00D42084">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31.12.2021-31706</w:t>
            </w:r>
          </w:p>
        </w:tc>
        <w:tc>
          <w:tcPr>
            <w:tcW w:w="2054" w:type="dxa"/>
            <w:noWrap/>
          </w:tcPr>
          <w:p w14:paraId="7D4A8753" w14:textId="77777777" w:rsidR="004417E9" w:rsidRPr="009E1B38" w:rsidRDefault="006110F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31,8592</w:t>
            </w:r>
          </w:p>
        </w:tc>
      </w:tr>
    </w:tbl>
    <w:p w14:paraId="2003E6B6" w14:textId="458DC656" w:rsidR="0091549C" w:rsidRPr="009E1B38" w:rsidRDefault="0082470D" w:rsidP="00127185">
      <w:pPr>
        <w:pStyle w:val="Balk5"/>
        <w:jc w:val="center"/>
        <w:rPr>
          <w:rStyle w:val="Gl"/>
          <w:rFonts w:ascii="Times New Roman" w:hAnsi="Times New Roman" w:cs="Times New Roman"/>
          <w:b/>
          <w:bCs w:val="0"/>
        </w:rPr>
      </w:pPr>
      <w:bookmarkStart w:id="196" w:name="_Toc107499526"/>
      <w:bookmarkStart w:id="197" w:name="_Toc66267484"/>
      <w:r w:rsidRPr="009E1B38">
        <w:rPr>
          <w:rStyle w:val="Gl"/>
          <w:rFonts w:ascii="Times New Roman" w:hAnsi="Times New Roman" w:cs="Times New Roman"/>
          <w:b/>
          <w:bCs w:val="0"/>
        </w:rPr>
        <w:t>Table</w:t>
      </w:r>
      <w:r w:rsidR="0091549C" w:rsidRPr="009E1B38">
        <w:rPr>
          <w:rStyle w:val="Gl"/>
          <w:rFonts w:ascii="Times New Roman" w:hAnsi="Times New Roman" w:cs="Times New Roman"/>
          <w:b/>
          <w:bCs w:val="0"/>
        </w:rPr>
        <w:t xml:space="preserve"> 4.18: EÜAŞ Wholesale Tariffications (Sales to Distribution Companies within the Scope of General Lighting)</w:t>
      </w:r>
      <w:bookmarkEnd w:id="196"/>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2C3099" w:rsidRPr="009E1B38" w14:paraId="7D4A875C" w14:textId="77777777" w:rsidTr="00D42084">
        <w:trPr>
          <w:trHeight w:val="397"/>
          <w:tblHeader/>
          <w:jc w:val="center"/>
        </w:trPr>
        <w:tc>
          <w:tcPr>
            <w:tcW w:w="2055" w:type="dxa"/>
            <w:shd w:val="clear" w:color="auto" w:fill="6E9ECA"/>
          </w:tcPr>
          <w:bookmarkEnd w:id="197"/>
          <w:p w14:paraId="7D4A8757" w14:textId="13C31730" w:rsidR="002C3099" w:rsidRPr="009E1B38" w:rsidRDefault="003D4A42" w:rsidP="002C3099">
            <w:pPr>
              <w:spacing w:after="0" w:line="240" w:lineRule="auto"/>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Board Decision Date</w:t>
            </w:r>
          </w:p>
        </w:tc>
        <w:tc>
          <w:tcPr>
            <w:tcW w:w="1843" w:type="dxa"/>
            <w:shd w:val="clear" w:color="auto" w:fill="6E9ECA"/>
          </w:tcPr>
          <w:p w14:paraId="7D4A8758" w14:textId="11457DC8" w:rsidR="002C3099" w:rsidRPr="009E1B38" w:rsidRDefault="003D4A42" w:rsidP="002C3099">
            <w:pPr>
              <w:spacing w:after="0" w:line="240" w:lineRule="auto"/>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Board Decision Number</w:t>
            </w:r>
          </w:p>
        </w:tc>
        <w:tc>
          <w:tcPr>
            <w:tcW w:w="1842" w:type="dxa"/>
            <w:shd w:val="clear" w:color="auto" w:fill="6E9ECA"/>
          </w:tcPr>
          <w:p w14:paraId="7D4A8759" w14:textId="7CCE370D" w:rsidR="002C3099" w:rsidRPr="009E1B38" w:rsidRDefault="003D4A42" w:rsidP="002C3099">
            <w:pPr>
              <w:spacing w:after="0" w:line="240" w:lineRule="auto"/>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Effective Date</w:t>
            </w:r>
          </w:p>
        </w:tc>
        <w:tc>
          <w:tcPr>
            <w:tcW w:w="2268" w:type="dxa"/>
            <w:shd w:val="clear" w:color="auto" w:fill="6E9ECA"/>
          </w:tcPr>
          <w:p w14:paraId="7D4A875A" w14:textId="4364E7C0" w:rsidR="002C3099" w:rsidRPr="009E1B38" w:rsidRDefault="003D4A42" w:rsidP="002C3099">
            <w:pPr>
              <w:spacing w:after="0" w:line="240" w:lineRule="auto"/>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 xml:space="preserve">Date and Number of the Official Gazette </w:t>
            </w:r>
            <w:r w:rsidR="00301040" w:rsidRPr="009E1B38">
              <w:rPr>
                <w:rFonts w:ascii="Times New Roman" w:hAnsi="Times New Roman"/>
                <w:b/>
                <w:color w:val="FFFFFF" w:themeColor="background1"/>
                <w:sz w:val="20"/>
                <w:szCs w:val="20"/>
              </w:rPr>
              <w:t>Published</w:t>
            </w:r>
          </w:p>
        </w:tc>
        <w:tc>
          <w:tcPr>
            <w:tcW w:w="2054" w:type="dxa"/>
            <w:shd w:val="clear" w:color="auto" w:fill="6E9ECA"/>
          </w:tcPr>
          <w:p w14:paraId="7D4A875B" w14:textId="7E014AEC" w:rsidR="002C3099" w:rsidRPr="009E1B38" w:rsidRDefault="003D4A42" w:rsidP="00301040">
            <w:pPr>
              <w:spacing w:after="0" w:line="240" w:lineRule="auto"/>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Active Electrical Energy Cost</w:t>
            </w:r>
            <w:r w:rsidR="002C3099" w:rsidRPr="009E1B38">
              <w:rPr>
                <w:rFonts w:ascii="Times New Roman" w:hAnsi="Times New Roman"/>
                <w:b/>
                <w:color w:val="FFFFFF" w:themeColor="background1"/>
                <w:sz w:val="20"/>
                <w:szCs w:val="20"/>
              </w:rPr>
              <w:t xml:space="preserve"> (</w:t>
            </w:r>
            <w:r w:rsidR="00301040">
              <w:rPr>
                <w:rFonts w:ascii="Times New Roman" w:hAnsi="Times New Roman"/>
                <w:b/>
                <w:color w:val="FFFFFF" w:themeColor="background1"/>
                <w:sz w:val="20"/>
                <w:szCs w:val="20"/>
              </w:rPr>
              <w:t>Kurus</w:t>
            </w:r>
            <w:r w:rsidR="002C3099" w:rsidRPr="009E1B38">
              <w:rPr>
                <w:rFonts w:ascii="Times New Roman" w:hAnsi="Times New Roman"/>
                <w:b/>
                <w:color w:val="FFFFFF" w:themeColor="background1"/>
                <w:sz w:val="20"/>
                <w:szCs w:val="20"/>
              </w:rPr>
              <w:t>/kWh)</w:t>
            </w:r>
          </w:p>
        </w:tc>
      </w:tr>
      <w:tr w:rsidR="002C3099" w:rsidRPr="009E1B38" w14:paraId="7D4A8762" w14:textId="77777777" w:rsidTr="00D42084">
        <w:trPr>
          <w:trHeight w:val="397"/>
          <w:jc w:val="center"/>
        </w:trPr>
        <w:tc>
          <w:tcPr>
            <w:tcW w:w="2055" w:type="dxa"/>
            <w:noWrap/>
          </w:tcPr>
          <w:p w14:paraId="7D4A875D" w14:textId="77777777" w:rsidR="002C3099" w:rsidRPr="009E1B38" w:rsidRDefault="002C3099" w:rsidP="002C3099">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30.12.2020</w:t>
            </w:r>
          </w:p>
        </w:tc>
        <w:tc>
          <w:tcPr>
            <w:tcW w:w="1843" w:type="dxa"/>
          </w:tcPr>
          <w:p w14:paraId="7D4A875E" w14:textId="77777777" w:rsidR="002C3099" w:rsidRPr="009E1B38" w:rsidRDefault="002C3099" w:rsidP="00A375AD">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9953</w:t>
            </w:r>
          </w:p>
        </w:tc>
        <w:tc>
          <w:tcPr>
            <w:tcW w:w="1842" w:type="dxa"/>
            <w:noWrap/>
          </w:tcPr>
          <w:p w14:paraId="7D4A875F" w14:textId="77777777" w:rsidR="002C3099" w:rsidRPr="009E1B38" w:rsidRDefault="002C3099" w:rsidP="002C3099">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01.01.2021</w:t>
            </w:r>
          </w:p>
        </w:tc>
        <w:tc>
          <w:tcPr>
            <w:tcW w:w="2268" w:type="dxa"/>
          </w:tcPr>
          <w:p w14:paraId="7D4A8760" w14:textId="77777777" w:rsidR="002C3099" w:rsidRPr="009E1B38" w:rsidRDefault="002C309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31.12.2020-31351(5.M)</w:t>
            </w:r>
          </w:p>
        </w:tc>
        <w:tc>
          <w:tcPr>
            <w:tcW w:w="2054" w:type="dxa"/>
            <w:noWrap/>
          </w:tcPr>
          <w:p w14:paraId="7D4A8761" w14:textId="77777777" w:rsidR="002C3099" w:rsidRPr="009E1B38" w:rsidRDefault="002C309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33,0000</w:t>
            </w:r>
          </w:p>
        </w:tc>
      </w:tr>
      <w:tr w:rsidR="004417E9" w:rsidRPr="009E1B38" w14:paraId="7D4A8768" w14:textId="77777777" w:rsidTr="00D42084">
        <w:trPr>
          <w:trHeight w:val="397"/>
          <w:jc w:val="center"/>
        </w:trPr>
        <w:tc>
          <w:tcPr>
            <w:tcW w:w="2055" w:type="dxa"/>
            <w:noWrap/>
          </w:tcPr>
          <w:p w14:paraId="7D4A8763" w14:textId="77777777" w:rsidR="004417E9" w:rsidRPr="009E1B38" w:rsidRDefault="004417E9" w:rsidP="004417E9">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25.03.2021</w:t>
            </w:r>
          </w:p>
        </w:tc>
        <w:tc>
          <w:tcPr>
            <w:tcW w:w="1843" w:type="dxa"/>
          </w:tcPr>
          <w:p w14:paraId="7D4A8764" w14:textId="77777777" w:rsidR="004417E9" w:rsidRPr="009E1B38" w:rsidRDefault="004417E9" w:rsidP="004417E9">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10114</w:t>
            </w:r>
          </w:p>
        </w:tc>
        <w:tc>
          <w:tcPr>
            <w:tcW w:w="1842" w:type="dxa"/>
            <w:noWrap/>
          </w:tcPr>
          <w:p w14:paraId="7D4A8765" w14:textId="77777777" w:rsidR="004417E9" w:rsidRPr="009E1B38" w:rsidRDefault="004417E9" w:rsidP="004417E9">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01.04.2021</w:t>
            </w:r>
          </w:p>
        </w:tc>
        <w:tc>
          <w:tcPr>
            <w:tcW w:w="2268" w:type="dxa"/>
          </w:tcPr>
          <w:p w14:paraId="7D4A8766" w14:textId="77777777" w:rsidR="004417E9" w:rsidRPr="009E1B38" w:rsidRDefault="004417E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26.03.2021-31435</w:t>
            </w:r>
          </w:p>
        </w:tc>
        <w:tc>
          <w:tcPr>
            <w:tcW w:w="2054" w:type="dxa"/>
            <w:noWrap/>
          </w:tcPr>
          <w:p w14:paraId="7D4A8767" w14:textId="77777777" w:rsidR="004417E9" w:rsidRPr="009E1B38" w:rsidRDefault="006110F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33,0000</w:t>
            </w:r>
          </w:p>
        </w:tc>
      </w:tr>
      <w:tr w:rsidR="004417E9" w:rsidRPr="009E1B38" w14:paraId="7D4A876E" w14:textId="77777777" w:rsidTr="00D42084">
        <w:trPr>
          <w:trHeight w:val="397"/>
          <w:jc w:val="center"/>
        </w:trPr>
        <w:tc>
          <w:tcPr>
            <w:tcW w:w="2055" w:type="dxa"/>
            <w:noWrap/>
          </w:tcPr>
          <w:p w14:paraId="7D4A8769" w14:textId="77777777" w:rsidR="004417E9" w:rsidRPr="009E1B38" w:rsidRDefault="004417E9" w:rsidP="004417E9">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30.06.2021</w:t>
            </w:r>
          </w:p>
        </w:tc>
        <w:tc>
          <w:tcPr>
            <w:tcW w:w="1843" w:type="dxa"/>
          </w:tcPr>
          <w:p w14:paraId="7D4A876A" w14:textId="77777777" w:rsidR="004417E9" w:rsidRPr="009E1B38" w:rsidRDefault="004417E9" w:rsidP="004417E9">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10300</w:t>
            </w:r>
          </w:p>
        </w:tc>
        <w:tc>
          <w:tcPr>
            <w:tcW w:w="1842" w:type="dxa"/>
            <w:noWrap/>
          </w:tcPr>
          <w:p w14:paraId="7D4A876B" w14:textId="77777777" w:rsidR="004417E9" w:rsidRPr="009E1B38" w:rsidRDefault="004417E9" w:rsidP="004417E9">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01.07.2021</w:t>
            </w:r>
          </w:p>
        </w:tc>
        <w:tc>
          <w:tcPr>
            <w:tcW w:w="2268" w:type="dxa"/>
          </w:tcPr>
          <w:p w14:paraId="7D4A876C" w14:textId="77777777" w:rsidR="004417E9" w:rsidRPr="009E1B38" w:rsidRDefault="004417E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01.07.2021-31528</w:t>
            </w:r>
          </w:p>
        </w:tc>
        <w:tc>
          <w:tcPr>
            <w:tcW w:w="2054" w:type="dxa"/>
            <w:noWrap/>
          </w:tcPr>
          <w:p w14:paraId="7D4A876D" w14:textId="77777777" w:rsidR="004417E9" w:rsidRPr="009E1B38" w:rsidRDefault="006110F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42,0000</w:t>
            </w:r>
          </w:p>
        </w:tc>
      </w:tr>
      <w:tr w:rsidR="004417E9" w:rsidRPr="009E1B38" w14:paraId="7D4A8774" w14:textId="77777777" w:rsidTr="00D42084">
        <w:trPr>
          <w:trHeight w:val="397"/>
          <w:jc w:val="center"/>
        </w:trPr>
        <w:tc>
          <w:tcPr>
            <w:tcW w:w="2055" w:type="dxa"/>
            <w:noWrap/>
          </w:tcPr>
          <w:p w14:paraId="7D4A876F" w14:textId="77777777" w:rsidR="004417E9" w:rsidRPr="009E1B38" w:rsidRDefault="004417E9" w:rsidP="004417E9">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31.12.2021</w:t>
            </w:r>
          </w:p>
        </w:tc>
        <w:tc>
          <w:tcPr>
            <w:tcW w:w="1843" w:type="dxa"/>
          </w:tcPr>
          <w:p w14:paraId="7D4A8770" w14:textId="77777777" w:rsidR="004417E9" w:rsidRPr="009E1B38" w:rsidRDefault="004417E9" w:rsidP="004417E9">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10706</w:t>
            </w:r>
          </w:p>
        </w:tc>
        <w:tc>
          <w:tcPr>
            <w:tcW w:w="1842" w:type="dxa"/>
            <w:noWrap/>
          </w:tcPr>
          <w:p w14:paraId="7D4A8771" w14:textId="77777777" w:rsidR="004417E9" w:rsidRPr="009E1B38" w:rsidRDefault="004417E9" w:rsidP="004417E9">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01.01.2022</w:t>
            </w:r>
          </w:p>
        </w:tc>
        <w:tc>
          <w:tcPr>
            <w:tcW w:w="2268" w:type="dxa"/>
          </w:tcPr>
          <w:p w14:paraId="7D4A8772" w14:textId="77777777" w:rsidR="004417E9" w:rsidRPr="009E1B38" w:rsidRDefault="004417E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31.12.2021-31706</w:t>
            </w:r>
          </w:p>
        </w:tc>
        <w:tc>
          <w:tcPr>
            <w:tcW w:w="2054" w:type="dxa"/>
            <w:noWrap/>
          </w:tcPr>
          <w:p w14:paraId="7D4A8773" w14:textId="77777777" w:rsidR="004417E9" w:rsidRPr="009E1B38" w:rsidRDefault="006110F9" w:rsidP="00E80962">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135,0000</w:t>
            </w:r>
          </w:p>
        </w:tc>
      </w:tr>
    </w:tbl>
    <w:p w14:paraId="7D4A8775" w14:textId="034AB752" w:rsidR="002C3099" w:rsidRPr="009E1B38" w:rsidRDefault="0082470D" w:rsidP="003C5E4D">
      <w:pPr>
        <w:pStyle w:val="Balk3"/>
        <w:numPr>
          <w:ilvl w:val="2"/>
          <w:numId w:val="61"/>
        </w:numPr>
        <w:spacing w:after="240"/>
        <w:rPr>
          <w:rFonts w:ascii="Times New Roman" w:hAnsi="Times New Roman" w:cs="Times New Roman"/>
        </w:rPr>
      </w:pPr>
      <w:bookmarkStart w:id="198" w:name="_Toc113615358"/>
      <w:r w:rsidRPr="009E1B38">
        <w:rPr>
          <w:rFonts w:ascii="Times New Roman" w:hAnsi="Times New Roman" w:cs="Times New Roman"/>
        </w:rPr>
        <w:t>Türkiye</w:t>
      </w:r>
      <w:r w:rsidR="0091549C" w:rsidRPr="009E1B38">
        <w:rPr>
          <w:rFonts w:ascii="Times New Roman" w:hAnsi="Times New Roman" w:cs="Times New Roman"/>
        </w:rPr>
        <w:t xml:space="preserve"> Average Electricity Wholesale Price</w:t>
      </w:r>
      <w:bookmarkEnd w:id="198"/>
    </w:p>
    <w:p w14:paraId="1E5E4F32" w14:textId="685C3326" w:rsidR="0091549C" w:rsidRPr="009E1B38" w:rsidRDefault="0091549C" w:rsidP="0091549C">
      <w:pPr>
        <w:spacing w:after="240"/>
        <w:rPr>
          <w:rFonts w:ascii="Times New Roman" w:hAnsi="Times New Roman"/>
          <w:color w:val="000000" w:themeColor="text1"/>
        </w:rPr>
      </w:pPr>
      <w:r w:rsidRPr="009E1B38">
        <w:rPr>
          <w:rFonts w:ascii="Times New Roman" w:hAnsi="Times New Roman"/>
          <w:color w:val="000000" w:themeColor="text1"/>
        </w:rPr>
        <w:t xml:space="preserve">With the Board Decision dated 03.11.2021 and numbered 31648 published in the Official Gazette dated 28.10.2021 and numbered 10523, within the scope of the "Law on the Use of Renewable Energy Resources for the Purpose of Electricity Generation"; Effective in 2021, </w:t>
      </w:r>
      <w:r w:rsidR="0082470D" w:rsidRPr="009E1B38">
        <w:rPr>
          <w:rFonts w:ascii="Times New Roman" w:hAnsi="Times New Roman"/>
          <w:color w:val="000000" w:themeColor="text1"/>
        </w:rPr>
        <w:t>Türkiye</w:t>
      </w:r>
      <w:r w:rsidRPr="009E1B38">
        <w:rPr>
          <w:rFonts w:ascii="Times New Roman" w:hAnsi="Times New Roman"/>
          <w:color w:val="000000" w:themeColor="text1"/>
        </w:rPr>
        <w:t xml:space="preserve">'s Average Electricity Wholesale Price has been determined as 28,56 </w:t>
      </w:r>
      <w:r w:rsidR="00301040">
        <w:rPr>
          <w:rFonts w:ascii="Times New Roman" w:hAnsi="Times New Roman"/>
          <w:color w:val="000000" w:themeColor="text1"/>
        </w:rPr>
        <w:t>kurus</w:t>
      </w:r>
      <w:r w:rsidRPr="009E1B38">
        <w:rPr>
          <w:rFonts w:ascii="Times New Roman" w:hAnsi="Times New Roman"/>
          <w:color w:val="000000" w:themeColor="text1"/>
        </w:rPr>
        <w:t>/kWh.</w:t>
      </w:r>
    </w:p>
    <w:p w14:paraId="7D4A8777" w14:textId="77777777" w:rsidR="00D3422D" w:rsidRPr="009E1B38" w:rsidRDefault="00D3422D" w:rsidP="002C3099">
      <w:pPr>
        <w:spacing w:after="240"/>
        <w:rPr>
          <w:rFonts w:ascii="Times New Roman" w:hAnsi="Times New Roman"/>
          <w:color w:val="000000" w:themeColor="text1"/>
        </w:rPr>
      </w:pPr>
    </w:p>
    <w:p w14:paraId="7D4A8778" w14:textId="4C7968B7" w:rsidR="002C3099" w:rsidRPr="009E1B38" w:rsidRDefault="0091549C" w:rsidP="003C5E4D">
      <w:pPr>
        <w:pStyle w:val="Balk3"/>
        <w:numPr>
          <w:ilvl w:val="2"/>
          <w:numId w:val="61"/>
        </w:numPr>
        <w:rPr>
          <w:rFonts w:ascii="Times New Roman" w:eastAsia="Times New Roman" w:hAnsi="Times New Roman" w:cs="Times New Roman"/>
        </w:rPr>
      </w:pPr>
      <w:bookmarkStart w:id="199" w:name="_Toc113615359"/>
      <w:r w:rsidRPr="009E1B38">
        <w:rPr>
          <w:rFonts w:ascii="Times New Roman" w:eastAsia="Times New Roman" w:hAnsi="Times New Roman" w:cs="Times New Roman"/>
        </w:rPr>
        <w:t>Other Tariffication Decisions Regarding the Electricity Market</w:t>
      </w:r>
      <w:bookmarkEnd w:id="199"/>
      <w:r w:rsidRPr="009E1B38">
        <w:rPr>
          <w:rFonts w:ascii="Times New Roman" w:eastAsia="Times New Roman" w:hAnsi="Times New Roman" w:cs="Times New Roman"/>
        </w:rPr>
        <w:t xml:space="preserve"> </w:t>
      </w:r>
    </w:p>
    <w:p w14:paraId="7D4A8779" w14:textId="77777777" w:rsidR="008D4F10" w:rsidRPr="009E1B38" w:rsidRDefault="008D4F10" w:rsidP="008D4F10">
      <w:pPr>
        <w:spacing w:after="160" w:line="259" w:lineRule="auto"/>
        <w:ind w:left="720"/>
        <w:contextualSpacing/>
        <w:rPr>
          <w:rFonts w:ascii="Times New Roman" w:hAnsi="Times New Roman"/>
        </w:rPr>
      </w:pPr>
    </w:p>
    <w:p w14:paraId="7D4A877B" w14:textId="73E6516C" w:rsidR="002D73F1" w:rsidRPr="009E1B38" w:rsidRDefault="6FD9CB07" w:rsidP="003C5E4D">
      <w:pPr>
        <w:pStyle w:val="ListeParagraf"/>
        <w:numPr>
          <w:ilvl w:val="0"/>
          <w:numId w:val="56"/>
        </w:numPr>
        <w:autoSpaceDE w:val="0"/>
        <w:autoSpaceDN w:val="0"/>
        <w:adjustRightInd w:val="0"/>
        <w:spacing w:after="0" w:line="240" w:lineRule="auto"/>
        <w:rPr>
          <w:rFonts w:ascii="Times New Roman" w:hAnsi="Times New Roman"/>
        </w:rPr>
      </w:pPr>
      <w:r w:rsidRPr="009E1B38">
        <w:rPr>
          <w:rFonts w:ascii="Times New Roman" w:hAnsi="Times New Roman"/>
        </w:rPr>
        <w:t>With the Board Decision dated 29.04.2021 and numbered 10189 published in the Official Gazette dated 30.04.2021 and numbered 31470, the Board Decision dated 13.07.2017 and numbered 7185 regarding the determination of meter material costs and updating the costs to the following years has been repealed.</w:t>
      </w:r>
    </w:p>
    <w:p w14:paraId="4B725813" w14:textId="77777777" w:rsidR="0091549C" w:rsidRPr="009E1B38" w:rsidRDefault="0091549C" w:rsidP="003C5E4D">
      <w:pPr>
        <w:pStyle w:val="ListeParagraf"/>
        <w:numPr>
          <w:ilvl w:val="0"/>
          <w:numId w:val="56"/>
        </w:numPr>
        <w:spacing w:after="160" w:line="259" w:lineRule="auto"/>
        <w:rPr>
          <w:rFonts w:ascii="Times New Roman" w:hAnsi="Times New Roman"/>
          <w:b/>
        </w:rPr>
      </w:pPr>
      <w:bookmarkStart w:id="200" w:name="_Hlk92465473"/>
      <w:bookmarkStart w:id="201" w:name="_Hlk92466594"/>
      <w:r w:rsidRPr="009E1B38">
        <w:rPr>
          <w:rFonts w:ascii="Times New Roman" w:hAnsi="Times New Roman"/>
        </w:rPr>
        <w:t>With the Board Decision dated 29.04.2021 and numbered 10180-1 published in the Official Gazette dated 06.05.2021 and numbered 31476, changes were made in the Operating Procedures and Principles of the Term Electricity Market published in the Official Gazette dated 2.2.2020 and numbered 31027.</w:t>
      </w:r>
      <w:bookmarkEnd w:id="200"/>
    </w:p>
    <w:bookmarkEnd w:id="201"/>
    <w:p w14:paraId="7D4A877F" w14:textId="5CFC4E65" w:rsidR="00D42084" w:rsidRPr="009E1B38" w:rsidRDefault="0091549C" w:rsidP="003C5E4D">
      <w:pPr>
        <w:pStyle w:val="ListeParagraf"/>
        <w:numPr>
          <w:ilvl w:val="0"/>
          <w:numId w:val="56"/>
        </w:numPr>
        <w:spacing w:after="160" w:line="259" w:lineRule="auto"/>
        <w:rPr>
          <w:rFonts w:ascii="Times New Roman" w:hAnsi="Times New Roman"/>
          <w:b/>
        </w:rPr>
      </w:pPr>
      <w:r w:rsidRPr="009E1B38">
        <w:rPr>
          <w:rFonts w:ascii="Times New Roman" w:hAnsi="Times New Roman"/>
        </w:rPr>
        <w:t xml:space="preserve">With the Board Decision dated 29.04.2021 and numbered 10180-2 published in the Official Gazette dated 06.05.2021 and numbered 31476, the Guarantee Procedures and Principles published in the Official Gazette dated 28.5.2016 and numbered 29725 were changed. </w:t>
      </w:r>
    </w:p>
    <w:p w14:paraId="7D4A8781" w14:textId="2EAC1244" w:rsidR="00E13F29" w:rsidRPr="009E1B38" w:rsidRDefault="6FD9CB07" w:rsidP="003C5E4D">
      <w:pPr>
        <w:pStyle w:val="ListeParagraf"/>
        <w:numPr>
          <w:ilvl w:val="0"/>
          <w:numId w:val="56"/>
        </w:numPr>
        <w:tabs>
          <w:tab w:val="left" w:pos="284"/>
          <w:tab w:val="left" w:pos="709"/>
          <w:tab w:val="left" w:pos="851"/>
        </w:tabs>
        <w:spacing w:after="0" w:line="269" w:lineRule="auto"/>
        <w:rPr>
          <w:rFonts w:ascii="Times New Roman" w:hAnsi="Times New Roman"/>
        </w:rPr>
      </w:pPr>
      <w:r w:rsidRPr="009E1B38">
        <w:rPr>
          <w:rFonts w:ascii="Times New Roman" w:hAnsi="Times New Roman"/>
        </w:rPr>
        <w:t>With the Board Decision dated 29.07.2021 and numbered 10341 published in the Official Gazette dated 31.07.2021 and numbered 31554, the YEKDEM cost per unit energy supplied for the period of July-December 2021, Article 14 of the Regulation on Certification and Support of Renewable Energy Resources has been revised as follows.</w:t>
      </w:r>
    </w:p>
    <w:p w14:paraId="1A458ABB" w14:textId="77777777" w:rsidR="009C057D" w:rsidRPr="009E1B38" w:rsidRDefault="009C057D" w:rsidP="009C057D">
      <w:pPr>
        <w:pStyle w:val="ListeParagraf"/>
        <w:tabs>
          <w:tab w:val="left" w:pos="284"/>
          <w:tab w:val="left" w:pos="709"/>
          <w:tab w:val="left" w:pos="851"/>
        </w:tabs>
        <w:spacing w:after="0" w:line="269" w:lineRule="auto"/>
        <w:ind w:left="773"/>
        <w:rPr>
          <w:rFonts w:ascii="Times New Roman" w:hAnsi="Times New Roman"/>
        </w:rPr>
      </w:pPr>
    </w:p>
    <w:tbl>
      <w:tblPr>
        <w:tblW w:w="2572" w:type="pct"/>
        <w:jc w:val="center"/>
        <w:tblCellMar>
          <w:left w:w="70" w:type="dxa"/>
          <w:right w:w="70" w:type="dxa"/>
        </w:tblCellMar>
        <w:tblLook w:val="04A0" w:firstRow="1" w:lastRow="0" w:firstColumn="1" w:lastColumn="0" w:noHBand="0" w:noVBand="1"/>
      </w:tblPr>
      <w:tblGrid>
        <w:gridCol w:w="2650"/>
        <w:gridCol w:w="2526"/>
      </w:tblGrid>
      <w:tr w:rsidR="00D42084" w:rsidRPr="009E1B38" w14:paraId="7D4A8784" w14:textId="77777777" w:rsidTr="00D42084">
        <w:trPr>
          <w:trHeight w:val="20"/>
          <w:jc w:val="center"/>
        </w:trPr>
        <w:tc>
          <w:tcPr>
            <w:tcW w:w="2560" w:type="pct"/>
            <w:tcBorders>
              <w:top w:val="single" w:sz="4" w:space="0" w:color="auto"/>
              <w:left w:val="single" w:sz="4" w:space="0" w:color="auto"/>
              <w:bottom w:val="single" w:sz="4" w:space="0" w:color="auto"/>
              <w:right w:val="single" w:sz="4" w:space="0" w:color="auto"/>
            </w:tcBorders>
            <w:shd w:val="clear" w:color="000000" w:fill="305496"/>
            <w:vAlign w:val="center"/>
            <w:hideMark/>
          </w:tcPr>
          <w:p w14:paraId="7D4A8782" w14:textId="6B16B7C4" w:rsidR="00D42084" w:rsidRPr="009E1B38" w:rsidRDefault="0091549C" w:rsidP="00D42084">
            <w:pPr>
              <w:spacing w:after="0" w:line="240" w:lineRule="auto"/>
              <w:jc w:val="left"/>
              <w:rPr>
                <w:rFonts w:ascii="Times New Roman" w:eastAsia="Times New Roman" w:hAnsi="Times New Roman"/>
                <w:b/>
                <w:bCs/>
                <w:color w:val="FFFFFF" w:themeColor="background1"/>
                <w:lang w:eastAsia="tr-TR"/>
              </w:rPr>
            </w:pPr>
            <w:bookmarkStart w:id="202" w:name="_Hlk94650126"/>
            <w:r w:rsidRPr="009E1B38">
              <w:rPr>
                <w:rFonts w:ascii="Times New Roman" w:eastAsia="Times New Roman" w:hAnsi="Times New Roman"/>
                <w:b/>
                <w:bCs/>
                <w:color w:val="FFFFFF" w:themeColor="background1"/>
                <w:lang w:eastAsia="tr-TR"/>
              </w:rPr>
              <w:t>Months</w:t>
            </w:r>
          </w:p>
        </w:tc>
        <w:tc>
          <w:tcPr>
            <w:tcW w:w="2440" w:type="pct"/>
            <w:tcBorders>
              <w:top w:val="single" w:sz="4" w:space="0" w:color="auto"/>
              <w:left w:val="nil"/>
              <w:bottom w:val="single" w:sz="4" w:space="0" w:color="auto"/>
              <w:right w:val="single" w:sz="4" w:space="0" w:color="auto"/>
            </w:tcBorders>
            <w:shd w:val="clear" w:color="000000" w:fill="305496"/>
            <w:vAlign w:val="center"/>
            <w:hideMark/>
          </w:tcPr>
          <w:p w14:paraId="7D4A8783" w14:textId="22DCC3F3" w:rsidR="00D42084" w:rsidRPr="009E1B38" w:rsidRDefault="00D42084" w:rsidP="00D42084">
            <w:pPr>
              <w:spacing w:after="0" w:line="240" w:lineRule="auto"/>
              <w:jc w:val="center"/>
              <w:rPr>
                <w:rFonts w:ascii="Times New Roman" w:eastAsia="Times New Roman" w:hAnsi="Times New Roman"/>
                <w:b/>
                <w:bCs/>
                <w:color w:val="FFFFFF" w:themeColor="background1"/>
                <w:lang w:eastAsia="tr-TR"/>
              </w:rPr>
            </w:pPr>
            <w:r w:rsidRPr="009E1B38">
              <w:rPr>
                <w:rFonts w:ascii="Times New Roman" w:eastAsia="Times New Roman" w:hAnsi="Times New Roman"/>
                <w:b/>
                <w:color w:val="FFFFFF" w:themeColor="background1"/>
                <w:lang w:eastAsia="tr-TR"/>
              </w:rPr>
              <w:t xml:space="preserve">2021 </w:t>
            </w:r>
            <w:r w:rsidR="0091549C" w:rsidRPr="009E1B38">
              <w:rPr>
                <w:rFonts w:ascii="Times New Roman" w:eastAsia="Times New Roman" w:hAnsi="Times New Roman"/>
                <w:b/>
                <w:color w:val="FFFFFF" w:themeColor="background1"/>
                <w:lang w:eastAsia="tr-TR"/>
              </w:rPr>
              <w:t>Projected</w:t>
            </w:r>
            <w:r w:rsidRPr="009E1B38">
              <w:rPr>
                <w:rFonts w:ascii="Times New Roman" w:eastAsia="Times New Roman" w:hAnsi="Times New Roman"/>
                <w:b/>
                <w:color w:val="FFFFFF" w:themeColor="background1"/>
                <w:lang w:eastAsia="tr-TR"/>
              </w:rPr>
              <w:t xml:space="preserve"> </w:t>
            </w:r>
            <w:r w:rsidRPr="009E1B38">
              <w:rPr>
                <w:rFonts w:ascii="Times New Roman" w:eastAsia="Times New Roman" w:hAnsi="Times New Roman"/>
                <w:b/>
                <w:color w:val="FFFFFF" w:themeColor="background1"/>
                <w:lang w:eastAsia="tr-TR"/>
              </w:rPr>
              <w:lastRenderedPageBreak/>
              <w:t xml:space="preserve">YEKDEM </w:t>
            </w:r>
            <w:r w:rsidR="0091549C" w:rsidRPr="009E1B38">
              <w:rPr>
                <w:rFonts w:ascii="Times New Roman" w:eastAsia="Times New Roman" w:hAnsi="Times New Roman"/>
                <w:b/>
                <w:color w:val="FFFFFF" w:themeColor="background1"/>
                <w:lang w:eastAsia="tr-TR"/>
              </w:rPr>
              <w:t>Cost</w:t>
            </w:r>
            <w:r w:rsidRPr="009E1B38">
              <w:rPr>
                <w:rFonts w:ascii="Times New Roman" w:eastAsia="Times New Roman" w:hAnsi="Times New Roman"/>
                <w:b/>
                <w:color w:val="FFFFFF" w:themeColor="background1"/>
                <w:lang w:eastAsia="tr-TR"/>
              </w:rPr>
              <w:t xml:space="preserve"> (TL/MWh)</w:t>
            </w:r>
          </w:p>
        </w:tc>
      </w:tr>
      <w:tr w:rsidR="00D42084" w:rsidRPr="009E1B38" w14:paraId="7D4A8787" w14:textId="77777777"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7D4A8785" w14:textId="20EE6704" w:rsidR="00D42084" w:rsidRPr="009E1B38" w:rsidRDefault="0091549C" w:rsidP="00D42084">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lastRenderedPageBreak/>
              <w:t>July</w:t>
            </w:r>
          </w:p>
        </w:tc>
        <w:tc>
          <w:tcPr>
            <w:tcW w:w="2440" w:type="pct"/>
            <w:tcBorders>
              <w:top w:val="nil"/>
              <w:left w:val="nil"/>
              <w:bottom w:val="single" w:sz="4" w:space="0" w:color="auto"/>
              <w:right w:val="single" w:sz="4" w:space="0" w:color="auto"/>
            </w:tcBorders>
            <w:shd w:val="clear" w:color="auto" w:fill="auto"/>
            <w:noWrap/>
            <w:vAlign w:val="center"/>
            <w:hideMark/>
          </w:tcPr>
          <w:p w14:paraId="7D4A8786" w14:textId="77777777" w:rsidR="00D42084" w:rsidRPr="009E1B38" w:rsidRDefault="00D42084" w:rsidP="00D4208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102,1</w:t>
            </w:r>
          </w:p>
        </w:tc>
      </w:tr>
      <w:tr w:rsidR="00D42084" w:rsidRPr="009E1B38" w14:paraId="7D4A878A" w14:textId="77777777"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7D4A8788" w14:textId="758E412E" w:rsidR="00D42084" w:rsidRPr="009E1B38" w:rsidRDefault="0091549C" w:rsidP="00D42084">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August</w:t>
            </w:r>
          </w:p>
        </w:tc>
        <w:tc>
          <w:tcPr>
            <w:tcW w:w="2440" w:type="pct"/>
            <w:tcBorders>
              <w:top w:val="nil"/>
              <w:left w:val="nil"/>
              <w:bottom w:val="single" w:sz="4" w:space="0" w:color="auto"/>
              <w:right w:val="single" w:sz="4" w:space="0" w:color="auto"/>
            </w:tcBorders>
            <w:shd w:val="clear" w:color="auto" w:fill="auto"/>
            <w:noWrap/>
            <w:vAlign w:val="center"/>
            <w:hideMark/>
          </w:tcPr>
          <w:p w14:paraId="7D4A8789" w14:textId="77777777" w:rsidR="00D42084" w:rsidRPr="009E1B38" w:rsidRDefault="00D42084" w:rsidP="00D4208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93,4</w:t>
            </w:r>
          </w:p>
        </w:tc>
      </w:tr>
      <w:tr w:rsidR="00D42084" w:rsidRPr="009E1B38" w14:paraId="7D4A878D" w14:textId="77777777"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7D4A878B" w14:textId="06DE51FF" w:rsidR="00D42084" w:rsidRPr="009E1B38" w:rsidRDefault="0091549C" w:rsidP="00D42084">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September</w:t>
            </w:r>
          </w:p>
        </w:tc>
        <w:tc>
          <w:tcPr>
            <w:tcW w:w="2440" w:type="pct"/>
            <w:tcBorders>
              <w:top w:val="nil"/>
              <w:left w:val="nil"/>
              <w:bottom w:val="single" w:sz="4" w:space="0" w:color="auto"/>
              <w:right w:val="single" w:sz="4" w:space="0" w:color="auto"/>
            </w:tcBorders>
            <w:shd w:val="clear" w:color="auto" w:fill="auto"/>
            <w:noWrap/>
            <w:vAlign w:val="center"/>
            <w:hideMark/>
          </w:tcPr>
          <w:p w14:paraId="7D4A878C" w14:textId="77777777" w:rsidR="00D42084" w:rsidRPr="009E1B38" w:rsidRDefault="00D42084" w:rsidP="00D4208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85,23</w:t>
            </w:r>
          </w:p>
        </w:tc>
      </w:tr>
      <w:tr w:rsidR="00D42084" w:rsidRPr="009E1B38" w14:paraId="7D4A8790" w14:textId="77777777"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7D4A878E" w14:textId="06C18D70" w:rsidR="00D42084" w:rsidRPr="009E1B38" w:rsidRDefault="0091549C" w:rsidP="00D42084">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October</w:t>
            </w:r>
          </w:p>
        </w:tc>
        <w:tc>
          <w:tcPr>
            <w:tcW w:w="2440" w:type="pct"/>
            <w:tcBorders>
              <w:top w:val="nil"/>
              <w:left w:val="nil"/>
              <w:bottom w:val="single" w:sz="4" w:space="0" w:color="auto"/>
              <w:right w:val="single" w:sz="4" w:space="0" w:color="auto"/>
            </w:tcBorders>
            <w:shd w:val="clear" w:color="auto" w:fill="auto"/>
            <w:noWrap/>
            <w:vAlign w:val="center"/>
            <w:hideMark/>
          </w:tcPr>
          <w:p w14:paraId="7D4A878F" w14:textId="77777777" w:rsidR="00D42084" w:rsidRPr="009E1B38" w:rsidRDefault="00D42084" w:rsidP="00D4208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 xml:space="preserve">86,14 </w:t>
            </w:r>
          </w:p>
        </w:tc>
      </w:tr>
      <w:tr w:rsidR="00D42084" w:rsidRPr="009E1B38" w14:paraId="7D4A8793" w14:textId="77777777"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7D4A8791" w14:textId="74510067" w:rsidR="00D42084" w:rsidRPr="009E1B38" w:rsidRDefault="0091549C" w:rsidP="00D42084">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November</w:t>
            </w:r>
          </w:p>
        </w:tc>
        <w:tc>
          <w:tcPr>
            <w:tcW w:w="2440" w:type="pct"/>
            <w:tcBorders>
              <w:top w:val="nil"/>
              <w:left w:val="nil"/>
              <w:bottom w:val="single" w:sz="4" w:space="0" w:color="auto"/>
              <w:right w:val="single" w:sz="4" w:space="0" w:color="auto"/>
            </w:tcBorders>
            <w:shd w:val="clear" w:color="auto" w:fill="auto"/>
            <w:noWrap/>
            <w:vAlign w:val="center"/>
            <w:hideMark/>
          </w:tcPr>
          <w:p w14:paraId="7D4A8792" w14:textId="77777777" w:rsidR="00D42084" w:rsidRPr="009E1B38" w:rsidRDefault="00D42084" w:rsidP="00D4208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87,38</w:t>
            </w:r>
          </w:p>
        </w:tc>
      </w:tr>
      <w:tr w:rsidR="00D42084" w:rsidRPr="009E1B38" w14:paraId="7D4A8796" w14:textId="77777777"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7D4A8794" w14:textId="269F9D71" w:rsidR="00D42084" w:rsidRPr="009E1B38" w:rsidRDefault="0091549C" w:rsidP="00D42084">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December</w:t>
            </w:r>
          </w:p>
        </w:tc>
        <w:tc>
          <w:tcPr>
            <w:tcW w:w="2440" w:type="pct"/>
            <w:tcBorders>
              <w:top w:val="nil"/>
              <w:left w:val="nil"/>
              <w:bottom w:val="single" w:sz="4" w:space="0" w:color="auto"/>
              <w:right w:val="single" w:sz="4" w:space="0" w:color="auto"/>
            </w:tcBorders>
            <w:shd w:val="clear" w:color="auto" w:fill="auto"/>
            <w:noWrap/>
            <w:vAlign w:val="center"/>
            <w:hideMark/>
          </w:tcPr>
          <w:p w14:paraId="7D4A8795" w14:textId="77777777" w:rsidR="00D42084" w:rsidRPr="009E1B38" w:rsidRDefault="00D42084" w:rsidP="00D4208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81,42</w:t>
            </w:r>
          </w:p>
        </w:tc>
      </w:tr>
      <w:bookmarkEnd w:id="202"/>
    </w:tbl>
    <w:p w14:paraId="7D4A8797" w14:textId="77777777" w:rsidR="00F80620" w:rsidRPr="009E1B38" w:rsidRDefault="00F80620" w:rsidP="00F80620">
      <w:pPr>
        <w:spacing w:after="160" w:line="259" w:lineRule="auto"/>
        <w:ind w:left="720"/>
        <w:contextualSpacing/>
        <w:rPr>
          <w:rFonts w:ascii="Times New Roman" w:hAnsi="Times New Roman"/>
        </w:rPr>
      </w:pPr>
    </w:p>
    <w:p w14:paraId="7D4A8798" w14:textId="77777777" w:rsidR="00F80620" w:rsidRPr="009E1B38" w:rsidRDefault="00F80620" w:rsidP="00F80620">
      <w:pPr>
        <w:ind w:left="720"/>
        <w:contextualSpacing/>
        <w:rPr>
          <w:rFonts w:ascii="Times New Roman" w:hAnsi="Times New Roman"/>
        </w:rPr>
      </w:pPr>
    </w:p>
    <w:p w14:paraId="7D4A879A" w14:textId="53A704BD" w:rsidR="00F80620" w:rsidRPr="009E1B38" w:rsidRDefault="0010329A" w:rsidP="00F80620">
      <w:pPr>
        <w:ind w:left="720"/>
        <w:contextualSpacing/>
        <w:rPr>
          <w:rFonts w:ascii="Times New Roman" w:hAnsi="Times New Roman"/>
        </w:rPr>
      </w:pPr>
      <w:r w:rsidRPr="009E1B38">
        <w:rPr>
          <w:rFonts w:ascii="Times New Roman" w:hAnsi="Times New Roman"/>
        </w:rPr>
        <w:t>• Procedures and Principles Regarding the Consideration of Planned Maintenance Expenditures of Electricity Distribution Companies in Tariff Calculations published in the Official Gazette dated 18.11.2020 and numbered 31308 with the Board Decision dated 26.08.2021 and numbered 10383 published in the Official Gazette dated 28.08.2021 and numbered 31582</w:t>
      </w:r>
    </w:p>
    <w:p w14:paraId="7D4A879C" w14:textId="16C8E034" w:rsidR="00F80620" w:rsidRPr="009E1B38" w:rsidRDefault="0010329A" w:rsidP="00F80620">
      <w:pPr>
        <w:spacing w:after="160" w:line="259" w:lineRule="auto"/>
        <w:ind w:left="1440"/>
        <w:contextualSpacing/>
        <w:rPr>
          <w:rFonts w:ascii="Times New Roman" w:hAnsi="Times New Roman"/>
        </w:rPr>
      </w:pPr>
      <w:r w:rsidRPr="009E1B38">
        <w:rPr>
          <w:rFonts w:ascii="Times New Roman" w:hAnsi="Times New Roman"/>
          <w:i/>
        </w:rPr>
        <w:t>- Second paragraph of Article 9 titled "Taking into account planned maintenance expenditures in tariff calculations"</w:t>
      </w:r>
    </w:p>
    <w:p w14:paraId="478367FB" w14:textId="77777777" w:rsidR="0010329A" w:rsidRPr="009E1B38" w:rsidRDefault="0010329A" w:rsidP="008F17DF">
      <w:pPr>
        <w:ind w:left="1440"/>
        <w:contextualSpacing/>
        <w:rPr>
          <w:rFonts w:ascii="Times New Roman" w:hAnsi="Times New Roman"/>
          <w:i/>
        </w:rPr>
      </w:pPr>
      <w:r w:rsidRPr="009E1B38">
        <w:rPr>
          <w:rFonts w:ascii="Times New Roman" w:hAnsi="Times New Roman"/>
          <w:i/>
        </w:rPr>
        <w:t>“(2) For the third level planned maintenance expenses, one price published by TEDAŞ every year is taken as a basis. The unit prices that are the basis for the correction transactions valid for each year of the tariff implementation period are determined by making a 25% discount from the unit prices updated according to the middle of the year related to the coefficients of variation used in the update of the unit prices based on the investment expenditures accepted for the same implementation period. In the years when TEDAŞ prices are not updated or published, the latest updated unit prices are updated according to the change coefficients used in the update of the unit prices for investment expenditures accepted for the same implementation period, according to the middle of the year, and the unit prices for the correction procedures are determined by making a 25% discount from the prices found. When using TEDAŞ unit prices, the prices in the price region where the relevant province is included, as defined in the unit price book published by TEDAŞ for each province, are taken as basis. T.R. for expenses such as transformer building renovation, renovation, landscaping, which are not included in TEDAŞ unit prices. The unit prices determined by making a 25% discount from the unit prices published by the Ministry of Environment and Urbanization for the relevant year are taken as the basis for the correction procedures.</w:t>
      </w:r>
    </w:p>
    <w:p w14:paraId="7D4A879F" w14:textId="642C7608" w:rsidR="008F17DF" w:rsidRPr="009E1B38" w:rsidRDefault="00301040" w:rsidP="008F17DF">
      <w:pPr>
        <w:ind w:left="1440"/>
        <w:contextualSpacing/>
        <w:rPr>
          <w:rFonts w:ascii="Times New Roman" w:hAnsi="Times New Roman"/>
        </w:rPr>
      </w:pPr>
      <w:r>
        <w:rPr>
          <w:rFonts w:ascii="Times New Roman" w:hAnsi="Times New Roman"/>
        </w:rPr>
        <w:t>were</w:t>
      </w:r>
      <w:r w:rsidR="00394B70" w:rsidRPr="009E1B38">
        <w:rPr>
          <w:rFonts w:ascii="Times New Roman" w:hAnsi="Times New Roman"/>
        </w:rPr>
        <w:t xml:space="preserve"> changed.</w:t>
      </w:r>
    </w:p>
    <w:p w14:paraId="048294DF" w14:textId="3B04E771" w:rsidR="0065782A" w:rsidRPr="009E1B38" w:rsidRDefault="0065782A" w:rsidP="003C5E4D">
      <w:pPr>
        <w:numPr>
          <w:ilvl w:val="0"/>
          <w:numId w:val="29"/>
        </w:numPr>
        <w:spacing w:after="160" w:line="259" w:lineRule="auto"/>
        <w:contextualSpacing/>
        <w:rPr>
          <w:rFonts w:ascii="Times New Roman" w:hAnsi="Times New Roman"/>
          <w:i/>
        </w:rPr>
      </w:pPr>
      <w:r w:rsidRPr="009E1B38">
        <w:rPr>
          <w:rFonts w:ascii="Times New Roman" w:hAnsi="Times New Roman"/>
        </w:rPr>
        <w:t xml:space="preserve"> The issues related to the consumption amount and the coefficient determined by the Board in the 5th and 6th articles of the Communiqué on the Regulation of the Last Resource Supply Tariff with the Board Decision dated 21.10.2021 and numbered 10502 published in the Official Gazette dated 23.10.2021 and numbered 31637 are given below approved as received.</w:t>
      </w:r>
    </w:p>
    <w:p w14:paraId="6C20F37F" w14:textId="43C9E40B" w:rsidR="0065782A" w:rsidRPr="009E1B38" w:rsidRDefault="0065782A" w:rsidP="003C5E4D">
      <w:pPr>
        <w:numPr>
          <w:ilvl w:val="0"/>
          <w:numId w:val="29"/>
        </w:numPr>
        <w:spacing w:after="160" w:line="259" w:lineRule="auto"/>
        <w:contextualSpacing/>
        <w:rPr>
          <w:rFonts w:ascii="Times New Roman" w:hAnsi="Times New Roman"/>
          <w:i/>
        </w:rPr>
      </w:pPr>
      <w:r w:rsidRPr="009E1B38">
        <w:rPr>
          <w:rFonts w:ascii="Times New Roman" w:hAnsi="Times New Roman"/>
          <w:i/>
        </w:rPr>
        <w:t xml:space="preserve"> The consumption amount in the third paragraph of Article 5 of the Communiqué on the Regulation of the Last Resource Supply Tariff is 50 million kWh/year for the residential consumer group, 7 million kWh/year for the agricultural irrigation consumer group, and 3 million kWh/year for the other consumer groups applied as million kWh/year.</w:t>
      </w:r>
    </w:p>
    <w:p w14:paraId="7D4A87A3" w14:textId="7BD4EB5F" w:rsidR="00F80620" w:rsidRPr="009E1B38" w:rsidRDefault="0065782A" w:rsidP="003C5E4D">
      <w:pPr>
        <w:pStyle w:val="ListeParagraf"/>
        <w:numPr>
          <w:ilvl w:val="0"/>
          <w:numId w:val="29"/>
        </w:numPr>
        <w:rPr>
          <w:rFonts w:ascii="Times New Roman" w:hAnsi="Times New Roman"/>
          <w:i/>
        </w:rPr>
      </w:pPr>
      <w:r w:rsidRPr="009E1B38">
        <w:rPr>
          <w:rFonts w:ascii="Times New Roman" w:hAnsi="Times New Roman"/>
          <w:i/>
        </w:rPr>
        <w:t xml:space="preserve"> The KBK, which was applied as 1.0938 as of 1/1/2019 and included in the fifth paragraph of Article 6 of the Communiqué on the Regulation of the Last Resource Supply Tariff, is applied as 1.0938 as of 1/1/2022.</w:t>
      </w:r>
    </w:p>
    <w:p w14:paraId="7D4A87A5" w14:textId="0594B889" w:rsidR="00F80620" w:rsidRPr="009E1B38" w:rsidRDefault="0065782A" w:rsidP="00F80620">
      <w:pPr>
        <w:pStyle w:val="ListeParagraf"/>
        <w:spacing w:after="0" w:line="240" w:lineRule="auto"/>
        <w:rPr>
          <w:rFonts w:ascii="Times New Roman" w:hAnsi="Times New Roman"/>
        </w:rPr>
      </w:pPr>
      <w:r w:rsidRPr="009E1B38">
        <w:rPr>
          <w:rFonts w:ascii="Times New Roman" w:hAnsi="Times New Roman"/>
        </w:rPr>
        <w:t>The said decision entered into force as of 01.01.2022.</w:t>
      </w:r>
    </w:p>
    <w:p w14:paraId="35780622" w14:textId="77777777" w:rsidR="0065782A" w:rsidRPr="009E1B38" w:rsidRDefault="0065782A" w:rsidP="00F80620">
      <w:pPr>
        <w:pStyle w:val="ListeParagraf"/>
        <w:spacing w:after="0" w:line="240" w:lineRule="auto"/>
        <w:rPr>
          <w:rFonts w:ascii="Times New Roman" w:hAnsi="Times New Roman"/>
          <w:i/>
        </w:rPr>
      </w:pPr>
    </w:p>
    <w:p w14:paraId="3D36F3AF" w14:textId="002F4FDA" w:rsidR="009204BB" w:rsidRPr="009E1B38" w:rsidRDefault="009204BB" w:rsidP="003C5E4D">
      <w:pPr>
        <w:numPr>
          <w:ilvl w:val="0"/>
          <w:numId w:val="26"/>
        </w:numPr>
        <w:spacing w:after="0" w:line="259" w:lineRule="auto"/>
        <w:contextualSpacing/>
        <w:rPr>
          <w:rFonts w:ascii="Times New Roman" w:hAnsi="Times New Roman"/>
          <w:i/>
        </w:rPr>
      </w:pPr>
      <w:r w:rsidRPr="009E1B38">
        <w:rPr>
          <w:rFonts w:ascii="Times New Roman" w:hAnsi="Times New Roman"/>
        </w:rPr>
        <w:t xml:space="preserve">Within the scope of Article 26 of the Communiqué on the Regulation of Distribution Tariff published in the Official Gazette dated 19.11.2020 and numbered 31309, with the Board Decision dated 21.10.2021 and numbered 10505 published in the Official Gazette dated </w:t>
      </w:r>
      <w:r w:rsidRPr="009E1B38">
        <w:rPr>
          <w:rFonts w:ascii="Times New Roman" w:hAnsi="Times New Roman"/>
        </w:rPr>
        <w:lastRenderedPageBreak/>
        <w:t>23.10.2021 and numbered 31637, distribution companies can apply to consumers with regard to fees</w:t>
      </w:r>
    </w:p>
    <w:p w14:paraId="7D4A87A8" w14:textId="49C964C1" w:rsidR="00F80620" w:rsidRPr="009E1B38" w:rsidRDefault="009204BB" w:rsidP="00F80620">
      <w:pPr>
        <w:spacing w:after="0" w:line="259" w:lineRule="auto"/>
        <w:ind w:left="1440"/>
        <w:contextualSpacing/>
        <w:rPr>
          <w:rFonts w:ascii="Times New Roman" w:hAnsi="Times New Roman"/>
          <w:i/>
        </w:rPr>
      </w:pPr>
      <w:r w:rsidRPr="009E1B38">
        <w:rPr>
          <w:rFonts w:ascii="Times New Roman" w:hAnsi="Times New Roman"/>
          <w:i/>
        </w:rPr>
        <w:t>- Determining the prices in the table below for 2021 as Technical Quality Measurement Service Fee,</w:t>
      </w:r>
    </w:p>
    <w:tbl>
      <w:tblPr>
        <w:tblW w:w="4093" w:type="dxa"/>
        <w:jc w:val="center"/>
        <w:tblCellMar>
          <w:left w:w="70" w:type="dxa"/>
          <w:right w:w="70" w:type="dxa"/>
        </w:tblCellMar>
        <w:tblLook w:val="04A0" w:firstRow="1" w:lastRow="0" w:firstColumn="1" w:lastColumn="0" w:noHBand="0" w:noVBand="1"/>
      </w:tblPr>
      <w:tblGrid>
        <w:gridCol w:w="1855"/>
        <w:gridCol w:w="1355"/>
        <w:gridCol w:w="1355"/>
      </w:tblGrid>
      <w:tr w:rsidR="00F80620" w:rsidRPr="009E1B38" w14:paraId="7D4A87AA" w14:textId="77777777" w:rsidTr="00A024D9">
        <w:trPr>
          <w:trHeight w:val="288"/>
          <w:jc w:val="center"/>
        </w:trPr>
        <w:tc>
          <w:tcPr>
            <w:tcW w:w="4093" w:type="dxa"/>
            <w:gridSpan w:val="3"/>
            <w:tcBorders>
              <w:top w:val="single" w:sz="4" w:space="0" w:color="auto"/>
              <w:left w:val="single" w:sz="4" w:space="0" w:color="auto"/>
              <w:bottom w:val="single" w:sz="4" w:space="0" w:color="auto"/>
              <w:right w:val="single" w:sz="4" w:space="0" w:color="auto"/>
            </w:tcBorders>
            <w:noWrap/>
            <w:vAlign w:val="bottom"/>
            <w:hideMark/>
          </w:tcPr>
          <w:p w14:paraId="7D4A87A9" w14:textId="526D00BF" w:rsidR="00F80620" w:rsidRPr="009E1B38" w:rsidRDefault="00524DF3" w:rsidP="00524DF3">
            <w:pPr>
              <w:spacing w:after="0"/>
              <w:contextualSpacing/>
              <w:jc w:val="center"/>
              <w:rPr>
                <w:rFonts w:ascii="Times New Roman" w:hAnsi="Times New Roman"/>
                <w:b/>
                <w:i/>
                <w:sz w:val="21"/>
                <w:szCs w:val="21"/>
              </w:rPr>
            </w:pPr>
            <w:r w:rsidRPr="009E1B38">
              <w:rPr>
                <w:rFonts w:ascii="Times New Roman" w:hAnsi="Times New Roman"/>
                <w:b/>
                <w:bCs/>
                <w:i/>
                <w:sz w:val="21"/>
                <w:szCs w:val="21"/>
              </w:rPr>
              <w:t>Technical Quality Measurement Service Fee</w:t>
            </w:r>
          </w:p>
        </w:tc>
      </w:tr>
      <w:tr w:rsidR="00F80620" w:rsidRPr="009E1B38" w14:paraId="7D4A87AE" w14:textId="77777777" w:rsidTr="00A024D9">
        <w:trPr>
          <w:trHeight w:val="288"/>
          <w:jc w:val="center"/>
        </w:trPr>
        <w:tc>
          <w:tcPr>
            <w:tcW w:w="1855" w:type="dxa"/>
            <w:tcBorders>
              <w:top w:val="nil"/>
              <w:left w:val="single" w:sz="4" w:space="0" w:color="auto"/>
              <w:bottom w:val="single" w:sz="4" w:space="0" w:color="auto"/>
              <w:right w:val="single" w:sz="4" w:space="0" w:color="auto"/>
            </w:tcBorders>
            <w:noWrap/>
            <w:vAlign w:val="bottom"/>
            <w:hideMark/>
          </w:tcPr>
          <w:p w14:paraId="7D4A87AB" w14:textId="1BF283E9" w:rsidR="00F80620" w:rsidRPr="009E1B38" w:rsidRDefault="00524DF3" w:rsidP="00F80620">
            <w:pPr>
              <w:spacing w:after="0"/>
              <w:ind w:left="720"/>
              <w:contextualSpacing/>
              <w:rPr>
                <w:rFonts w:ascii="Times New Roman" w:hAnsi="Times New Roman"/>
                <w:b/>
                <w:bCs/>
                <w:i/>
              </w:rPr>
            </w:pPr>
            <w:r w:rsidRPr="009E1B38">
              <w:rPr>
                <w:rFonts w:ascii="Times New Roman" w:hAnsi="Times New Roman"/>
                <w:b/>
                <w:bCs/>
                <w:i/>
              </w:rPr>
              <w:t>Device Type</w:t>
            </w:r>
          </w:p>
        </w:tc>
        <w:tc>
          <w:tcPr>
            <w:tcW w:w="1134" w:type="dxa"/>
            <w:tcBorders>
              <w:top w:val="nil"/>
              <w:left w:val="nil"/>
              <w:bottom w:val="single" w:sz="4" w:space="0" w:color="auto"/>
              <w:right w:val="single" w:sz="4" w:space="0" w:color="auto"/>
            </w:tcBorders>
            <w:noWrap/>
            <w:vAlign w:val="bottom"/>
            <w:hideMark/>
          </w:tcPr>
          <w:p w14:paraId="7D4A87AC" w14:textId="77777777" w:rsidR="00F80620" w:rsidRPr="009E1B38" w:rsidRDefault="00F80620" w:rsidP="00F80620">
            <w:pPr>
              <w:spacing w:after="0"/>
              <w:ind w:left="720"/>
              <w:contextualSpacing/>
              <w:rPr>
                <w:rFonts w:ascii="Times New Roman" w:hAnsi="Times New Roman"/>
                <w:b/>
                <w:bCs/>
                <w:i/>
              </w:rPr>
            </w:pPr>
            <w:r w:rsidRPr="009E1B38">
              <w:rPr>
                <w:rFonts w:ascii="Times New Roman" w:hAnsi="Times New Roman"/>
                <w:b/>
                <w:bCs/>
                <w:i/>
              </w:rPr>
              <w:t>AG (TL)</w:t>
            </w:r>
          </w:p>
        </w:tc>
        <w:tc>
          <w:tcPr>
            <w:tcW w:w="1104" w:type="dxa"/>
            <w:tcBorders>
              <w:top w:val="nil"/>
              <w:left w:val="nil"/>
              <w:bottom w:val="single" w:sz="4" w:space="0" w:color="auto"/>
              <w:right w:val="single" w:sz="4" w:space="0" w:color="auto"/>
            </w:tcBorders>
            <w:noWrap/>
            <w:vAlign w:val="bottom"/>
            <w:hideMark/>
          </w:tcPr>
          <w:p w14:paraId="7D4A87AD" w14:textId="77777777" w:rsidR="00F80620" w:rsidRPr="009E1B38" w:rsidRDefault="00F80620" w:rsidP="00F80620">
            <w:pPr>
              <w:spacing w:after="0"/>
              <w:ind w:left="720"/>
              <w:contextualSpacing/>
              <w:rPr>
                <w:rFonts w:ascii="Times New Roman" w:hAnsi="Times New Roman"/>
                <w:b/>
                <w:bCs/>
                <w:i/>
              </w:rPr>
            </w:pPr>
            <w:r w:rsidRPr="009E1B38">
              <w:rPr>
                <w:rFonts w:ascii="Times New Roman" w:hAnsi="Times New Roman"/>
                <w:b/>
                <w:bCs/>
                <w:i/>
              </w:rPr>
              <w:t>OG (TL)</w:t>
            </w:r>
          </w:p>
        </w:tc>
      </w:tr>
      <w:tr w:rsidR="00F80620" w:rsidRPr="009E1B38" w14:paraId="7D4A87B2" w14:textId="77777777" w:rsidTr="00A024D9">
        <w:trPr>
          <w:trHeight w:val="288"/>
          <w:jc w:val="center"/>
        </w:trPr>
        <w:tc>
          <w:tcPr>
            <w:tcW w:w="1855" w:type="dxa"/>
            <w:tcBorders>
              <w:top w:val="nil"/>
              <w:left w:val="single" w:sz="4" w:space="0" w:color="auto"/>
              <w:bottom w:val="single" w:sz="4" w:space="0" w:color="auto"/>
              <w:right w:val="single" w:sz="4" w:space="0" w:color="auto"/>
            </w:tcBorders>
            <w:noWrap/>
            <w:vAlign w:val="bottom"/>
            <w:hideMark/>
          </w:tcPr>
          <w:p w14:paraId="7D4A87AF" w14:textId="427A7B7A" w:rsidR="00F80620" w:rsidRPr="009E1B38" w:rsidRDefault="00F80620" w:rsidP="00F80620">
            <w:pPr>
              <w:spacing w:after="0"/>
              <w:ind w:left="720"/>
              <w:contextualSpacing/>
              <w:rPr>
                <w:rFonts w:ascii="Times New Roman" w:hAnsi="Times New Roman"/>
                <w:i/>
              </w:rPr>
            </w:pPr>
            <w:r w:rsidRPr="009E1B38">
              <w:rPr>
                <w:rFonts w:ascii="Times New Roman" w:hAnsi="Times New Roman"/>
                <w:i/>
              </w:rPr>
              <w:t xml:space="preserve">S </w:t>
            </w:r>
            <w:r w:rsidR="00524DF3" w:rsidRPr="009E1B38">
              <w:rPr>
                <w:rFonts w:ascii="Times New Roman" w:hAnsi="Times New Roman"/>
                <w:i/>
              </w:rPr>
              <w:t>Type</w:t>
            </w:r>
          </w:p>
        </w:tc>
        <w:tc>
          <w:tcPr>
            <w:tcW w:w="1134" w:type="dxa"/>
            <w:tcBorders>
              <w:top w:val="nil"/>
              <w:left w:val="nil"/>
              <w:bottom w:val="single" w:sz="4" w:space="0" w:color="auto"/>
              <w:right w:val="single" w:sz="4" w:space="0" w:color="auto"/>
            </w:tcBorders>
            <w:noWrap/>
            <w:vAlign w:val="bottom"/>
            <w:hideMark/>
          </w:tcPr>
          <w:p w14:paraId="7D4A87B0" w14:textId="77777777" w:rsidR="00F80620" w:rsidRPr="009E1B38" w:rsidRDefault="00F80620" w:rsidP="00F80620">
            <w:pPr>
              <w:spacing w:after="0"/>
              <w:ind w:left="720"/>
              <w:contextualSpacing/>
              <w:rPr>
                <w:rFonts w:ascii="Times New Roman" w:hAnsi="Times New Roman"/>
                <w:i/>
              </w:rPr>
            </w:pPr>
            <w:r w:rsidRPr="009E1B38">
              <w:rPr>
                <w:rFonts w:ascii="Times New Roman" w:hAnsi="Times New Roman"/>
                <w:i/>
              </w:rPr>
              <w:t>90,5</w:t>
            </w:r>
          </w:p>
        </w:tc>
        <w:tc>
          <w:tcPr>
            <w:tcW w:w="1104" w:type="dxa"/>
            <w:tcBorders>
              <w:top w:val="nil"/>
              <w:left w:val="nil"/>
              <w:bottom w:val="single" w:sz="4" w:space="0" w:color="auto"/>
              <w:right w:val="single" w:sz="4" w:space="0" w:color="auto"/>
            </w:tcBorders>
            <w:noWrap/>
            <w:vAlign w:val="bottom"/>
            <w:hideMark/>
          </w:tcPr>
          <w:p w14:paraId="7D4A87B1" w14:textId="77777777" w:rsidR="00F80620" w:rsidRPr="009E1B38" w:rsidRDefault="00F80620" w:rsidP="00F80620">
            <w:pPr>
              <w:spacing w:after="0"/>
              <w:ind w:left="720"/>
              <w:contextualSpacing/>
              <w:rPr>
                <w:rFonts w:ascii="Times New Roman" w:hAnsi="Times New Roman"/>
                <w:i/>
              </w:rPr>
            </w:pPr>
            <w:r w:rsidRPr="009E1B38">
              <w:rPr>
                <w:rFonts w:ascii="Times New Roman" w:hAnsi="Times New Roman"/>
                <w:i/>
              </w:rPr>
              <w:t>241,5</w:t>
            </w:r>
          </w:p>
        </w:tc>
      </w:tr>
      <w:tr w:rsidR="00F80620" w:rsidRPr="009E1B38" w14:paraId="7D4A87B6" w14:textId="77777777" w:rsidTr="00A024D9">
        <w:trPr>
          <w:trHeight w:val="288"/>
          <w:jc w:val="center"/>
        </w:trPr>
        <w:tc>
          <w:tcPr>
            <w:tcW w:w="1855" w:type="dxa"/>
            <w:tcBorders>
              <w:top w:val="nil"/>
              <w:left w:val="single" w:sz="4" w:space="0" w:color="auto"/>
              <w:bottom w:val="single" w:sz="4" w:space="0" w:color="auto"/>
              <w:right w:val="single" w:sz="4" w:space="0" w:color="auto"/>
            </w:tcBorders>
            <w:noWrap/>
            <w:vAlign w:val="bottom"/>
            <w:hideMark/>
          </w:tcPr>
          <w:p w14:paraId="7D4A87B3" w14:textId="5DF51293" w:rsidR="00F80620" w:rsidRPr="009E1B38" w:rsidRDefault="00F80620" w:rsidP="00F80620">
            <w:pPr>
              <w:spacing w:after="0"/>
              <w:ind w:left="720"/>
              <w:contextualSpacing/>
              <w:rPr>
                <w:rFonts w:ascii="Times New Roman" w:hAnsi="Times New Roman"/>
                <w:i/>
              </w:rPr>
            </w:pPr>
            <w:r w:rsidRPr="009E1B38">
              <w:rPr>
                <w:rFonts w:ascii="Times New Roman" w:hAnsi="Times New Roman"/>
                <w:i/>
              </w:rPr>
              <w:t xml:space="preserve">A </w:t>
            </w:r>
            <w:r w:rsidR="00524DF3" w:rsidRPr="009E1B38">
              <w:rPr>
                <w:rFonts w:ascii="Times New Roman" w:hAnsi="Times New Roman"/>
                <w:i/>
              </w:rPr>
              <w:t>Type</w:t>
            </w:r>
          </w:p>
        </w:tc>
        <w:tc>
          <w:tcPr>
            <w:tcW w:w="1134" w:type="dxa"/>
            <w:tcBorders>
              <w:top w:val="nil"/>
              <w:left w:val="nil"/>
              <w:bottom w:val="single" w:sz="4" w:space="0" w:color="auto"/>
              <w:right w:val="single" w:sz="4" w:space="0" w:color="auto"/>
            </w:tcBorders>
            <w:noWrap/>
            <w:vAlign w:val="bottom"/>
            <w:hideMark/>
          </w:tcPr>
          <w:p w14:paraId="7D4A87B4" w14:textId="77777777" w:rsidR="00F80620" w:rsidRPr="009E1B38" w:rsidRDefault="00F80620" w:rsidP="00F80620">
            <w:pPr>
              <w:spacing w:after="0"/>
              <w:ind w:left="720"/>
              <w:contextualSpacing/>
              <w:rPr>
                <w:rFonts w:ascii="Times New Roman" w:hAnsi="Times New Roman"/>
                <w:i/>
              </w:rPr>
            </w:pPr>
            <w:r w:rsidRPr="009E1B38">
              <w:rPr>
                <w:rFonts w:ascii="Times New Roman" w:hAnsi="Times New Roman"/>
                <w:i/>
              </w:rPr>
              <w:t>139,3</w:t>
            </w:r>
          </w:p>
        </w:tc>
        <w:tc>
          <w:tcPr>
            <w:tcW w:w="1104" w:type="dxa"/>
            <w:tcBorders>
              <w:top w:val="nil"/>
              <w:left w:val="nil"/>
              <w:bottom w:val="single" w:sz="4" w:space="0" w:color="auto"/>
              <w:right w:val="single" w:sz="4" w:space="0" w:color="auto"/>
            </w:tcBorders>
            <w:noWrap/>
            <w:vAlign w:val="bottom"/>
            <w:hideMark/>
          </w:tcPr>
          <w:p w14:paraId="7D4A87B5" w14:textId="77777777" w:rsidR="00F80620" w:rsidRPr="009E1B38" w:rsidRDefault="00F80620" w:rsidP="00F80620">
            <w:pPr>
              <w:spacing w:after="0"/>
              <w:ind w:left="720"/>
              <w:contextualSpacing/>
              <w:rPr>
                <w:rFonts w:ascii="Times New Roman" w:hAnsi="Times New Roman"/>
                <w:i/>
              </w:rPr>
            </w:pPr>
            <w:r w:rsidRPr="009E1B38">
              <w:rPr>
                <w:rFonts w:ascii="Times New Roman" w:hAnsi="Times New Roman"/>
                <w:i/>
              </w:rPr>
              <w:t>371,6</w:t>
            </w:r>
          </w:p>
        </w:tc>
      </w:tr>
    </w:tbl>
    <w:p w14:paraId="7D4A87B7" w14:textId="77777777" w:rsidR="00F80620" w:rsidRPr="009E1B38" w:rsidRDefault="00F80620" w:rsidP="00F80620">
      <w:pPr>
        <w:spacing w:after="0"/>
        <w:ind w:left="720"/>
        <w:contextualSpacing/>
        <w:rPr>
          <w:rFonts w:ascii="Times New Roman" w:hAnsi="Times New Roman"/>
          <w:b/>
          <w:i/>
        </w:rPr>
      </w:pPr>
    </w:p>
    <w:p w14:paraId="0F4CFC3D" w14:textId="77777777" w:rsidR="00524DF3" w:rsidRPr="009E1B38" w:rsidRDefault="00524DF3" w:rsidP="00524DF3">
      <w:pPr>
        <w:spacing w:after="0"/>
        <w:ind w:left="720"/>
        <w:contextualSpacing/>
        <w:rPr>
          <w:rFonts w:ascii="Times New Roman" w:hAnsi="Times New Roman"/>
          <w:bCs/>
          <w:i/>
        </w:rPr>
      </w:pPr>
      <w:r w:rsidRPr="009E1B38">
        <w:rPr>
          <w:rFonts w:ascii="Times New Roman" w:hAnsi="Times New Roman"/>
          <w:bCs/>
          <w:i/>
        </w:rPr>
        <w:t>- The Technical Quality Measurement Service Fee is updated every year, taking into account the Consumer Price Index (CPI) announced by the Turkish Statistical Institute,</w:t>
      </w:r>
    </w:p>
    <w:p w14:paraId="17755BFF" w14:textId="77777777" w:rsidR="00524DF3" w:rsidRPr="009E1B38" w:rsidRDefault="00524DF3" w:rsidP="00524DF3">
      <w:pPr>
        <w:spacing w:after="0"/>
        <w:ind w:left="720"/>
        <w:contextualSpacing/>
        <w:rPr>
          <w:rFonts w:ascii="Times New Roman" w:hAnsi="Times New Roman"/>
          <w:bCs/>
          <w:i/>
        </w:rPr>
      </w:pPr>
      <w:r w:rsidRPr="009E1B38">
        <w:rPr>
          <w:rFonts w:ascii="Times New Roman" w:hAnsi="Times New Roman"/>
          <w:bCs/>
          <w:i/>
        </w:rPr>
        <w:t>- To repeal the Board Decision dated 26/12/2013 and numbered 4799,</w:t>
      </w:r>
    </w:p>
    <w:p w14:paraId="7D4A87BA" w14:textId="61B9C95F" w:rsidR="00F80620" w:rsidRPr="009E1B38" w:rsidRDefault="00524DF3" w:rsidP="00F80620">
      <w:pPr>
        <w:spacing w:after="0"/>
        <w:ind w:left="720"/>
        <w:contextualSpacing/>
        <w:rPr>
          <w:rFonts w:ascii="Times New Roman" w:hAnsi="Times New Roman"/>
        </w:rPr>
      </w:pPr>
      <w:r w:rsidRPr="009E1B38">
        <w:rPr>
          <w:rFonts w:ascii="Times New Roman" w:hAnsi="Times New Roman"/>
          <w:bCs/>
          <w:i/>
        </w:rPr>
        <w:t xml:space="preserve">       </w:t>
      </w:r>
      <w:r w:rsidR="00301040">
        <w:rPr>
          <w:rFonts w:ascii="Times New Roman" w:hAnsi="Times New Roman"/>
          <w:bCs/>
          <w:i/>
        </w:rPr>
        <w:t xml:space="preserve">were </w:t>
      </w:r>
      <w:r w:rsidRPr="009E1B38">
        <w:rPr>
          <w:rFonts w:ascii="Times New Roman" w:hAnsi="Times New Roman"/>
          <w:bCs/>
          <w:i/>
        </w:rPr>
        <w:t>decided</w:t>
      </w:r>
      <w:r w:rsidR="00F80620" w:rsidRPr="009E1B38">
        <w:rPr>
          <w:rFonts w:ascii="Times New Roman" w:hAnsi="Times New Roman"/>
        </w:rPr>
        <w:t>.</w:t>
      </w:r>
    </w:p>
    <w:p w14:paraId="7D4A87C0" w14:textId="77777777" w:rsidR="00D3422D" w:rsidRPr="009E1B38" w:rsidRDefault="00D3422D" w:rsidP="009C057D">
      <w:pPr>
        <w:spacing w:after="0"/>
        <w:contextualSpacing/>
        <w:rPr>
          <w:rFonts w:ascii="Times New Roman" w:hAnsi="Times New Roman"/>
        </w:rPr>
      </w:pPr>
    </w:p>
    <w:p w14:paraId="7D4A87C1" w14:textId="77777777" w:rsidR="00E13F29" w:rsidRPr="009E1B38" w:rsidRDefault="00E13F29" w:rsidP="00F80620">
      <w:pPr>
        <w:spacing w:after="0"/>
        <w:ind w:left="720"/>
        <w:contextualSpacing/>
        <w:rPr>
          <w:rFonts w:ascii="Times New Roman" w:hAnsi="Times New Roman"/>
        </w:rPr>
      </w:pPr>
    </w:p>
    <w:p w14:paraId="7D4A87C3" w14:textId="7819AFE6" w:rsidR="00D42084" w:rsidRPr="009E1B38" w:rsidRDefault="00524DF3" w:rsidP="00D42084">
      <w:pPr>
        <w:pStyle w:val="ListeParagraf"/>
        <w:spacing w:after="0" w:line="240" w:lineRule="auto"/>
        <w:rPr>
          <w:rFonts w:ascii="Times New Roman" w:hAnsi="Times New Roman"/>
        </w:rPr>
      </w:pPr>
      <w:r w:rsidRPr="009E1B38">
        <w:rPr>
          <w:rFonts w:ascii="Times New Roman" w:hAnsi="Times New Roman"/>
        </w:rPr>
        <w:t>• According to the Board Decision dated 28.10.2021 and numbered 10524 published in the Official Gazette dated 03.11.2021 and numbered 31648, the YEKDEM cost per unit of energy supplied for the last quarter of 2021 is within the scope of Article 14 of the Regulation on Certification and Support of Renewable Energy Resources, has been revised accordingly.</w:t>
      </w:r>
    </w:p>
    <w:p w14:paraId="0C7E0BA9" w14:textId="77777777" w:rsidR="009C057D" w:rsidRPr="009E1B38" w:rsidRDefault="009C057D" w:rsidP="00D42084">
      <w:pPr>
        <w:pStyle w:val="ListeParagraf"/>
        <w:spacing w:after="0" w:line="240" w:lineRule="auto"/>
        <w:rPr>
          <w:rFonts w:ascii="Times New Roman" w:eastAsia="Times New Roman" w:hAnsi="Times New Roman"/>
          <w:sz w:val="24"/>
          <w:szCs w:val="24"/>
          <w:lang w:eastAsia="tr-TR"/>
        </w:rPr>
      </w:pPr>
    </w:p>
    <w:tbl>
      <w:tblPr>
        <w:tblW w:w="2572" w:type="pct"/>
        <w:jc w:val="center"/>
        <w:tblCellMar>
          <w:left w:w="70" w:type="dxa"/>
          <w:right w:w="70" w:type="dxa"/>
        </w:tblCellMar>
        <w:tblLook w:val="04A0" w:firstRow="1" w:lastRow="0" w:firstColumn="1" w:lastColumn="0" w:noHBand="0" w:noVBand="1"/>
      </w:tblPr>
      <w:tblGrid>
        <w:gridCol w:w="2650"/>
        <w:gridCol w:w="2526"/>
      </w:tblGrid>
      <w:tr w:rsidR="00D42084" w:rsidRPr="009E1B38" w14:paraId="7D4A87C6" w14:textId="77777777" w:rsidTr="00D42084">
        <w:trPr>
          <w:trHeight w:val="20"/>
          <w:jc w:val="center"/>
        </w:trPr>
        <w:tc>
          <w:tcPr>
            <w:tcW w:w="2560" w:type="pct"/>
            <w:tcBorders>
              <w:top w:val="single" w:sz="4" w:space="0" w:color="auto"/>
              <w:left w:val="single" w:sz="4" w:space="0" w:color="auto"/>
              <w:bottom w:val="single" w:sz="4" w:space="0" w:color="auto"/>
              <w:right w:val="single" w:sz="4" w:space="0" w:color="auto"/>
            </w:tcBorders>
            <w:shd w:val="clear" w:color="000000" w:fill="305496"/>
            <w:vAlign w:val="center"/>
            <w:hideMark/>
          </w:tcPr>
          <w:p w14:paraId="7D4A87C4" w14:textId="1D7723DA" w:rsidR="00D42084" w:rsidRPr="009E1B38" w:rsidRDefault="00017FC4" w:rsidP="00D42084">
            <w:pPr>
              <w:spacing w:after="0" w:line="240" w:lineRule="auto"/>
              <w:jc w:val="left"/>
              <w:rPr>
                <w:rFonts w:ascii="Times New Roman" w:eastAsia="Times New Roman" w:hAnsi="Times New Roman"/>
                <w:b/>
                <w:bCs/>
                <w:color w:val="FFFFFF" w:themeColor="background1"/>
                <w:lang w:eastAsia="tr-TR"/>
              </w:rPr>
            </w:pPr>
            <w:r w:rsidRPr="009E1B38">
              <w:rPr>
                <w:rFonts w:ascii="Times New Roman" w:eastAsia="Times New Roman" w:hAnsi="Times New Roman"/>
                <w:b/>
                <w:color w:val="FFFFFF" w:themeColor="background1"/>
                <w:lang w:eastAsia="tr-TR"/>
              </w:rPr>
              <w:t>Months</w:t>
            </w:r>
          </w:p>
        </w:tc>
        <w:tc>
          <w:tcPr>
            <w:tcW w:w="2440" w:type="pct"/>
            <w:tcBorders>
              <w:top w:val="single" w:sz="4" w:space="0" w:color="auto"/>
              <w:left w:val="nil"/>
              <w:bottom w:val="single" w:sz="4" w:space="0" w:color="auto"/>
              <w:right w:val="single" w:sz="4" w:space="0" w:color="auto"/>
            </w:tcBorders>
            <w:shd w:val="clear" w:color="000000" w:fill="305496"/>
            <w:vAlign w:val="center"/>
            <w:hideMark/>
          </w:tcPr>
          <w:p w14:paraId="7D4A87C5" w14:textId="39BAF599" w:rsidR="00D42084" w:rsidRPr="009E1B38" w:rsidRDefault="00D42084" w:rsidP="00D42084">
            <w:pPr>
              <w:spacing w:after="0" w:line="240" w:lineRule="auto"/>
              <w:jc w:val="center"/>
              <w:rPr>
                <w:rFonts w:ascii="Times New Roman" w:eastAsia="Times New Roman" w:hAnsi="Times New Roman"/>
                <w:b/>
                <w:bCs/>
                <w:color w:val="FFFFFF" w:themeColor="background1"/>
                <w:lang w:eastAsia="tr-TR"/>
              </w:rPr>
            </w:pPr>
            <w:r w:rsidRPr="009E1B38">
              <w:rPr>
                <w:rFonts w:ascii="Times New Roman" w:eastAsia="Times New Roman" w:hAnsi="Times New Roman"/>
                <w:b/>
                <w:bCs/>
                <w:color w:val="FFFFFF" w:themeColor="background1"/>
                <w:lang w:eastAsia="tr-TR"/>
              </w:rPr>
              <w:t xml:space="preserve">2021 </w:t>
            </w:r>
            <w:r w:rsidR="00017FC4" w:rsidRPr="009E1B38">
              <w:rPr>
                <w:rFonts w:ascii="Times New Roman" w:eastAsia="Times New Roman" w:hAnsi="Times New Roman"/>
                <w:b/>
                <w:bCs/>
                <w:color w:val="FFFFFF" w:themeColor="background1"/>
                <w:lang w:eastAsia="tr-TR"/>
              </w:rPr>
              <w:t>Projected</w:t>
            </w:r>
            <w:r w:rsidRPr="009E1B38">
              <w:rPr>
                <w:rFonts w:ascii="Times New Roman" w:eastAsia="Times New Roman" w:hAnsi="Times New Roman"/>
                <w:b/>
                <w:bCs/>
                <w:color w:val="FFFFFF" w:themeColor="background1"/>
                <w:lang w:eastAsia="tr-TR"/>
              </w:rPr>
              <w:t xml:space="preserve"> YEKDEM </w:t>
            </w:r>
            <w:r w:rsidR="00017FC4" w:rsidRPr="009E1B38">
              <w:rPr>
                <w:rFonts w:ascii="Times New Roman" w:eastAsia="Times New Roman" w:hAnsi="Times New Roman"/>
                <w:b/>
                <w:bCs/>
                <w:color w:val="FFFFFF" w:themeColor="background1"/>
                <w:lang w:eastAsia="tr-TR"/>
              </w:rPr>
              <w:t>Cost</w:t>
            </w:r>
            <w:r w:rsidRPr="009E1B38">
              <w:rPr>
                <w:rFonts w:ascii="Times New Roman" w:eastAsia="Times New Roman" w:hAnsi="Times New Roman"/>
                <w:b/>
                <w:bCs/>
                <w:color w:val="FFFFFF" w:themeColor="background1"/>
                <w:lang w:eastAsia="tr-TR"/>
              </w:rPr>
              <w:t xml:space="preserve"> (TL/MWh)</w:t>
            </w:r>
          </w:p>
        </w:tc>
      </w:tr>
      <w:tr w:rsidR="00D42084" w:rsidRPr="009E1B38" w14:paraId="7D4A87C9" w14:textId="77777777" w:rsidTr="00202A88">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14:paraId="7D4A87C7" w14:textId="41F5FD09" w:rsidR="00D42084" w:rsidRPr="009E1B38" w:rsidRDefault="00017FC4" w:rsidP="00D42084">
            <w:pPr>
              <w:spacing w:after="0" w:line="240" w:lineRule="auto"/>
              <w:rPr>
                <w:rFonts w:ascii="Times New Roman" w:eastAsia="Times New Roman" w:hAnsi="Times New Roman"/>
                <w:color w:val="000000"/>
                <w:lang w:eastAsia="tr-TR"/>
              </w:rPr>
            </w:pPr>
            <w:r w:rsidRPr="009E1B38">
              <w:rPr>
                <w:rFonts w:ascii="Times New Roman" w:hAnsi="Times New Roman"/>
              </w:rPr>
              <w:t>October</w:t>
            </w:r>
          </w:p>
        </w:tc>
        <w:tc>
          <w:tcPr>
            <w:tcW w:w="2440" w:type="pct"/>
            <w:tcBorders>
              <w:top w:val="nil"/>
              <w:left w:val="nil"/>
              <w:bottom w:val="single" w:sz="4" w:space="0" w:color="auto"/>
              <w:right w:val="single" w:sz="4" w:space="0" w:color="auto"/>
            </w:tcBorders>
            <w:shd w:val="clear" w:color="auto" w:fill="auto"/>
            <w:noWrap/>
            <w:vAlign w:val="center"/>
            <w:hideMark/>
          </w:tcPr>
          <w:p w14:paraId="7D4A87C8" w14:textId="77777777" w:rsidR="00D42084" w:rsidRPr="009E1B38" w:rsidRDefault="00D42084" w:rsidP="00D4208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 xml:space="preserve">63,33 </w:t>
            </w:r>
          </w:p>
        </w:tc>
      </w:tr>
      <w:tr w:rsidR="00D42084" w:rsidRPr="009E1B38" w14:paraId="7D4A87CC" w14:textId="77777777" w:rsidTr="00202A88">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14:paraId="7D4A87CA" w14:textId="33ACB05D" w:rsidR="00D42084" w:rsidRPr="009E1B38" w:rsidRDefault="00017FC4" w:rsidP="00D42084">
            <w:pPr>
              <w:spacing w:after="0" w:line="240" w:lineRule="auto"/>
              <w:rPr>
                <w:rFonts w:ascii="Times New Roman" w:eastAsia="Times New Roman" w:hAnsi="Times New Roman"/>
                <w:color w:val="000000"/>
                <w:lang w:eastAsia="tr-TR"/>
              </w:rPr>
            </w:pPr>
            <w:r w:rsidRPr="009E1B38">
              <w:rPr>
                <w:rFonts w:ascii="Times New Roman" w:hAnsi="Times New Roman"/>
              </w:rPr>
              <w:t>November</w:t>
            </w:r>
          </w:p>
        </w:tc>
        <w:tc>
          <w:tcPr>
            <w:tcW w:w="2440" w:type="pct"/>
            <w:tcBorders>
              <w:top w:val="nil"/>
              <w:left w:val="nil"/>
              <w:bottom w:val="single" w:sz="4" w:space="0" w:color="auto"/>
              <w:right w:val="single" w:sz="4" w:space="0" w:color="auto"/>
            </w:tcBorders>
            <w:shd w:val="clear" w:color="auto" w:fill="auto"/>
            <w:noWrap/>
            <w:vAlign w:val="center"/>
            <w:hideMark/>
          </w:tcPr>
          <w:p w14:paraId="7D4A87CB" w14:textId="77777777" w:rsidR="00D42084" w:rsidRPr="009E1B38" w:rsidRDefault="00D42084" w:rsidP="00D4208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22,21</w:t>
            </w:r>
          </w:p>
        </w:tc>
      </w:tr>
      <w:tr w:rsidR="00D42084" w:rsidRPr="009E1B38" w14:paraId="7D4A87CF" w14:textId="77777777" w:rsidTr="00202A88">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14:paraId="7D4A87CD" w14:textId="4AE36756" w:rsidR="00D42084" w:rsidRPr="009E1B38" w:rsidRDefault="00017FC4" w:rsidP="00D42084">
            <w:pPr>
              <w:spacing w:after="0" w:line="240" w:lineRule="auto"/>
              <w:rPr>
                <w:rFonts w:ascii="Times New Roman" w:eastAsia="Times New Roman" w:hAnsi="Times New Roman"/>
                <w:color w:val="000000"/>
                <w:lang w:eastAsia="tr-TR"/>
              </w:rPr>
            </w:pPr>
            <w:r w:rsidRPr="009E1B38">
              <w:rPr>
                <w:rFonts w:ascii="Times New Roman" w:hAnsi="Times New Roman"/>
              </w:rPr>
              <w:t>December</w:t>
            </w:r>
          </w:p>
        </w:tc>
        <w:tc>
          <w:tcPr>
            <w:tcW w:w="2440" w:type="pct"/>
            <w:tcBorders>
              <w:top w:val="nil"/>
              <w:left w:val="nil"/>
              <w:bottom w:val="single" w:sz="4" w:space="0" w:color="auto"/>
              <w:right w:val="single" w:sz="4" w:space="0" w:color="auto"/>
            </w:tcBorders>
            <w:shd w:val="clear" w:color="auto" w:fill="auto"/>
            <w:noWrap/>
            <w:vAlign w:val="center"/>
            <w:hideMark/>
          </w:tcPr>
          <w:p w14:paraId="7D4A87CE" w14:textId="77777777" w:rsidR="00D42084" w:rsidRPr="009E1B38" w:rsidRDefault="00D42084" w:rsidP="00D4208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1,57</w:t>
            </w:r>
          </w:p>
        </w:tc>
      </w:tr>
    </w:tbl>
    <w:p w14:paraId="7D4A87D0" w14:textId="77777777" w:rsidR="00C05928" w:rsidRPr="009E1B38" w:rsidRDefault="00C05928" w:rsidP="000C11F6">
      <w:pPr>
        <w:pStyle w:val="ListeParagraf"/>
        <w:spacing w:after="0" w:line="240" w:lineRule="auto"/>
        <w:rPr>
          <w:rFonts w:ascii="Times New Roman" w:hAnsi="Times New Roman"/>
          <w:i/>
        </w:rPr>
      </w:pPr>
    </w:p>
    <w:p w14:paraId="7D4A87D2" w14:textId="58BCB964" w:rsidR="00F80620" w:rsidRPr="009E1B38" w:rsidRDefault="00D6469C" w:rsidP="00F80620">
      <w:pPr>
        <w:spacing w:after="160" w:line="259" w:lineRule="auto"/>
        <w:ind w:left="720"/>
        <w:contextualSpacing/>
        <w:rPr>
          <w:rFonts w:ascii="Times New Roman" w:hAnsi="Times New Roman"/>
        </w:rPr>
      </w:pPr>
      <w:r w:rsidRPr="009E1B38">
        <w:rPr>
          <w:rFonts w:ascii="Times New Roman" w:hAnsi="Times New Roman"/>
        </w:rPr>
        <w:t>• With the Board Decision dated 09.12.2021 and numbered 10607 published in the Official Gazette dated 14.12.2021 and numbered 31689, it was prepared by TEIAS in accordance with the fifth paragraph of Article 8 of the Electricity Market Law No. 6446 and the fifth paragraph of the 20th article of the Electricity Market Connection and System Usage Regulation. The Methodology for Determining the Realized Investment Amount Based on Repayment was accepted and the Methodology for Determining the Realized Investment Amount Based on Repayment was approved by the Board Decision dated 16.11.2016 and numbered 6593-20 and published in the Official Gazette dated 26.11.2016.</w:t>
      </w:r>
    </w:p>
    <w:p w14:paraId="7D4A87D4" w14:textId="17932CDA" w:rsidR="00162ACE" w:rsidRPr="009E1B38" w:rsidRDefault="00D6469C" w:rsidP="000C11F6">
      <w:pPr>
        <w:pStyle w:val="ListeParagraf"/>
        <w:spacing w:after="0" w:line="240" w:lineRule="auto"/>
        <w:rPr>
          <w:rFonts w:ascii="Times New Roman" w:hAnsi="Times New Roman"/>
          <w:i/>
        </w:rPr>
      </w:pPr>
      <w:r w:rsidRPr="009E1B38">
        <w:rPr>
          <w:rFonts w:ascii="Times New Roman" w:hAnsi="Times New Roman"/>
        </w:rPr>
        <w:t>• With the Board Decision dated 16.12.2021 and numbered 10646 published in the Official Gazette dated 21.12.2021 and numbered 31696, the Fees and Commissions to be Applied for Meeting the Term Electricity Market Operation Income Ceiling and the Implementation Method Statement” and “Renewable Energy Resource Guarantee System and Organized The Fees and Commissions to be Applied to Meet the Yek-G Market Operation Revenue Cap, and the fees stated in the Notification of the Implementation Method, not including the Value Added Tax, were determined as follows, and the Decision entered into force on the date of its publication, being effective from 01.01.2022.</w:t>
      </w:r>
    </w:p>
    <w:p w14:paraId="7D4A87D5" w14:textId="2D046A26" w:rsidR="00B231B4" w:rsidRPr="009E1B38" w:rsidRDefault="008F28E9" w:rsidP="00B231B4">
      <w:pPr>
        <w:spacing w:after="160" w:line="259" w:lineRule="auto"/>
        <w:ind w:left="709"/>
        <w:rPr>
          <w:rFonts w:ascii="Times New Roman" w:hAnsi="Times New Roman"/>
        </w:rPr>
      </w:pPr>
      <w:r w:rsidRPr="009E1B38">
        <w:rPr>
          <w:rFonts w:ascii="Times New Roman" w:hAnsi="Times New Roman"/>
        </w:rPr>
        <w:t>The unit fees that will be valid in the Renewable Energy Source Guarantee System and Market in 2022 are given in the table below.</w:t>
      </w:r>
    </w:p>
    <w:tbl>
      <w:tblPr>
        <w:tblW w:w="3079" w:type="pct"/>
        <w:jc w:val="center"/>
        <w:tblCellMar>
          <w:left w:w="70" w:type="dxa"/>
          <w:right w:w="70" w:type="dxa"/>
        </w:tblCellMar>
        <w:tblLook w:val="04A0" w:firstRow="1" w:lastRow="0" w:firstColumn="1" w:lastColumn="0" w:noHBand="0" w:noVBand="1"/>
      </w:tblPr>
      <w:tblGrid>
        <w:gridCol w:w="3172"/>
        <w:gridCol w:w="3024"/>
      </w:tblGrid>
      <w:tr w:rsidR="00B231B4" w:rsidRPr="009E1B38" w14:paraId="7D4A87D8" w14:textId="77777777" w:rsidTr="00DC690D">
        <w:trPr>
          <w:trHeight w:val="20"/>
          <w:jc w:val="center"/>
        </w:trPr>
        <w:tc>
          <w:tcPr>
            <w:tcW w:w="2560" w:type="pct"/>
            <w:tcBorders>
              <w:top w:val="single" w:sz="4" w:space="0" w:color="auto"/>
              <w:left w:val="single" w:sz="4" w:space="0" w:color="auto"/>
              <w:bottom w:val="single" w:sz="4" w:space="0" w:color="auto"/>
              <w:right w:val="single" w:sz="4" w:space="0" w:color="auto"/>
            </w:tcBorders>
            <w:shd w:val="clear" w:color="000000" w:fill="305496"/>
            <w:vAlign w:val="center"/>
            <w:hideMark/>
          </w:tcPr>
          <w:p w14:paraId="7D4A87D6" w14:textId="3D1BACEA" w:rsidR="00B231B4" w:rsidRPr="009E1B38" w:rsidRDefault="00347390" w:rsidP="00DC690D">
            <w:pPr>
              <w:spacing w:after="0" w:line="240" w:lineRule="auto"/>
              <w:jc w:val="left"/>
              <w:rPr>
                <w:rFonts w:ascii="Times New Roman" w:eastAsia="Times New Roman" w:hAnsi="Times New Roman"/>
                <w:b/>
                <w:bCs/>
                <w:color w:val="FFFFFF"/>
                <w:lang w:eastAsia="tr-TR"/>
              </w:rPr>
            </w:pPr>
            <w:bookmarkStart w:id="203" w:name="_Hlk99464214"/>
            <w:r w:rsidRPr="009E1B38">
              <w:rPr>
                <w:rFonts w:ascii="Times New Roman" w:eastAsia="Times New Roman" w:hAnsi="Times New Roman"/>
                <w:b/>
                <w:bCs/>
                <w:color w:val="FFFFFF"/>
                <w:lang w:eastAsia="tr-TR"/>
              </w:rPr>
              <w:t>Price Title</w:t>
            </w:r>
          </w:p>
        </w:tc>
        <w:tc>
          <w:tcPr>
            <w:tcW w:w="2440" w:type="pct"/>
            <w:tcBorders>
              <w:top w:val="single" w:sz="4" w:space="0" w:color="auto"/>
              <w:left w:val="nil"/>
              <w:bottom w:val="single" w:sz="4" w:space="0" w:color="auto"/>
              <w:right w:val="single" w:sz="4" w:space="0" w:color="auto"/>
            </w:tcBorders>
            <w:shd w:val="clear" w:color="000000" w:fill="305496"/>
            <w:vAlign w:val="center"/>
            <w:hideMark/>
          </w:tcPr>
          <w:p w14:paraId="7D4A87D7" w14:textId="01CD4B65" w:rsidR="00B231B4" w:rsidRPr="009E1B38" w:rsidRDefault="00347390" w:rsidP="00DC690D">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Unit Price</w:t>
            </w:r>
          </w:p>
        </w:tc>
      </w:tr>
      <w:tr w:rsidR="00B231B4" w:rsidRPr="009E1B38" w14:paraId="7D4A87DB" w14:textId="77777777" w:rsidTr="00DC69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7D4A87D9" w14:textId="58F3A157" w:rsidR="00B231B4" w:rsidRPr="009E1B38" w:rsidRDefault="008F28E9" w:rsidP="00DC690D">
            <w:pPr>
              <w:spacing w:after="0" w:line="240" w:lineRule="auto"/>
              <w:jc w:val="left"/>
              <w:rPr>
                <w:rFonts w:ascii="Times New Roman" w:eastAsia="Times New Roman" w:hAnsi="Times New Roman"/>
                <w:color w:val="000000"/>
                <w:lang w:eastAsia="tr-TR"/>
              </w:rPr>
            </w:pPr>
            <w:r w:rsidRPr="009E1B38">
              <w:rPr>
                <w:rFonts w:ascii="Times New Roman" w:eastAsia="Times New Roman" w:hAnsi="Times New Roman"/>
                <w:color w:val="000000"/>
                <w:lang w:eastAsia="tr-TR"/>
              </w:rPr>
              <w:t>Unit Price Process</w:t>
            </w:r>
          </w:p>
        </w:tc>
        <w:tc>
          <w:tcPr>
            <w:tcW w:w="2440" w:type="pct"/>
            <w:tcBorders>
              <w:top w:val="nil"/>
              <w:left w:val="nil"/>
              <w:bottom w:val="single" w:sz="4" w:space="0" w:color="auto"/>
              <w:right w:val="single" w:sz="4" w:space="0" w:color="auto"/>
            </w:tcBorders>
            <w:shd w:val="clear" w:color="auto" w:fill="auto"/>
            <w:noWrap/>
            <w:vAlign w:val="center"/>
            <w:hideMark/>
          </w:tcPr>
          <w:p w14:paraId="7D4A87DA" w14:textId="77777777" w:rsidR="00B231B4" w:rsidRPr="009E1B38" w:rsidRDefault="00B231B4" w:rsidP="00DC690D">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0,10 TL/MWh</w:t>
            </w:r>
          </w:p>
        </w:tc>
      </w:tr>
      <w:tr w:rsidR="00B231B4" w:rsidRPr="009E1B38" w14:paraId="7D4A87DE" w14:textId="77777777" w:rsidTr="00DC69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7D4A87DC" w14:textId="44F72820" w:rsidR="00B231B4" w:rsidRPr="009E1B38" w:rsidRDefault="008F28E9" w:rsidP="00DC690D">
            <w:pPr>
              <w:spacing w:after="0" w:line="240" w:lineRule="auto"/>
              <w:jc w:val="left"/>
              <w:rPr>
                <w:rFonts w:ascii="Times New Roman" w:eastAsia="Times New Roman" w:hAnsi="Times New Roman"/>
                <w:color w:val="000000"/>
                <w:lang w:eastAsia="tr-TR"/>
              </w:rPr>
            </w:pPr>
            <w:r w:rsidRPr="009E1B38">
              <w:rPr>
                <w:rFonts w:ascii="Times New Roman" w:eastAsia="Times New Roman" w:hAnsi="Times New Roman"/>
                <w:color w:val="000000"/>
                <w:lang w:eastAsia="tr-TR"/>
              </w:rPr>
              <w:t>Annual Participation Price</w:t>
            </w:r>
          </w:p>
        </w:tc>
        <w:tc>
          <w:tcPr>
            <w:tcW w:w="2440" w:type="pct"/>
            <w:tcBorders>
              <w:top w:val="nil"/>
              <w:left w:val="nil"/>
              <w:bottom w:val="single" w:sz="4" w:space="0" w:color="auto"/>
              <w:right w:val="single" w:sz="4" w:space="0" w:color="auto"/>
            </w:tcBorders>
            <w:shd w:val="clear" w:color="auto" w:fill="auto"/>
            <w:noWrap/>
            <w:vAlign w:val="center"/>
            <w:hideMark/>
          </w:tcPr>
          <w:p w14:paraId="7D4A87DD" w14:textId="77777777" w:rsidR="00B231B4" w:rsidRPr="009E1B38" w:rsidRDefault="00B231B4" w:rsidP="00DC690D">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500 TL</w:t>
            </w:r>
          </w:p>
        </w:tc>
      </w:tr>
      <w:bookmarkEnd w:id="203"/>
    </w:tbl>
    <w:p w14:paraId="7D4A87DF" w14:textId="77777777" w:rsidR="00B231B4" w:rsidRPr="009E1B38" w:rsidRDefault="00B231B4" w:rsidP="00B231B4">
      <w:pPr>
        <w:spacing w:after="160" w:line="259" w:lineRule="auto"/>
        <w:ind w:left="709"/>
        <w:jc w:val="left"/>
        <w:rPr>
          <w:rFonts w:ascii="Times New Roman" w:hAnsi="Times New Roman"/>
        </w:rPr>
      </w:pPr>
    </w:p>
    <w:p w14:paraId="7D4A87E0" w14:textId="29A70B78" w:rsidR="00B231B4" w:rsidRPr="009E1B38" w:rsidRDefault="008F28E9" w:rsidP="00B231B4">
      <w:pPr>
        <w:spacing w:after="160" w:line="259" w:lineRule="auto"/>
        <w:ind w:left="709"/>
        <w:jc w:val="left"/>
        <w:rPr>
          <w:rFonts w:ascii="Times New Roman" w:hAnsi="Times New Roman"/>
        </w:rPr>
      </w:pPr>
      <w:r w:rsidRPr="009E1B38">
        <w:rPr>
          <w:rFonts w:ascii="Times New Roman" w:hAnsi="Times New Roman"/>
        </w:rPr>
        <w:lastRenderedPageBreak/>
        <w:t>The unit fees that will be valid in the Futures Electricity Market in 2022 are given in the table below.</w:t>
      </w:r>
    </w:p>
    <w:tbl>
      <w:tblPr>
        <w:tblW w:w="3089" w:type="pct"/>
        <w:jc w:val="center"/>
        <w:tblCellMar>
          <w:left w:w="70" w:type="dxa"/>
          <w:right w:w="70" w:type="dxa"/>
        </w:tblCellMar>
        <w:tblLook w:val="04A0" w:firstRow="1" w:lastRow="0" w:firstColumn="1" w:lastColumn="0" w:noHBand="0" w:noVBand="1"/>
      </w:tblPr>
      <w:tblGrid>
        <w:gridCol w:w="3625"/>
        <w:gridCol w:w="2591"/>
      </w:tblGrid>
      <w:tr w:rsidR="00B231B4" w:rsidRPr="009E1B38" w14:paraId="7D4A87E3" w14:textId="77777777" w:rsidTr="00B23DEA">
        <w:trPr>
          <w:trHeight w:val="19"/>
          <w:jc w:val="center"/>
        </w:trPr>
        <w:tc>
          <w:tcPr>
            <w:tcW w:w="2916" w:type="pct"/>
            <w:tcBorders>
              <w:top w:val="single" w:sz="4" w:space="0" w:color="auto"/>
              <w:left w:val="single" w:sz="4" w:space="0" w:color="auto"/>
              <w:bottom w:val="single" w:sz="4" w:space="0" w:color="auto"/>
              <w:right w:val="single" w:sz="4" w:space="0" w:color="auto"/>
            </w:tcBorders>
            <w:shd w:val="clear" w:color="000000" w:fill="305496"/>
            <w:vAlign w:val="center"/>
            <w:hideMark/>
          </w:tcPr>
          <w:p w14:paraId="7D4A87E1" w14:textId="4DD1828A" w:rsidR="00B231B4" w:rsidRPr="009E1B38" w:rsidRDefault="00347390" w:rsidP="00DC690D">
            <w:pPr>
              <w:spacing w:after="0" w:line="240" w:lineRule="auto"/>
              <w:jc w:val="left"/>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Price Title</w:t>
            </w:r>
          </w:p>
        </w:tc>
        <w:tc>
          <w:tcPr>
            <w:tcW w:w="2084" w:type="pct"/>
            <w:tcBorders>
              <w:top w:val="single" w:sz="4" w:space="0" w:color="auto"/>
              <w:left w:val="nil"/>
              <w:bottom w:val="single" w:sz="4" w:space="0" w:color="auto"/>
              <w:right w:val="single" w:sz="4" w:space="0" w:color="auto"/>
            </w:tcBorders>
            <w:shd w:val="clear" w:color="000000" w:fill="305496"/>
            <w:vAlign w:val="center"/>
            <w:hideMark/>
          </w:tcPr>
          <w:p w14:paraId="7D4A87E2" w14:textId="77420AD7" w:rsidR="00B231B4" w:rsidRPr="009E1B38" w:rsidRDefault="00347390" w:rsidP="00DC690D">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Unit Price</w:t>
            </w:r>
          </w:p>
        </w:tc>
      </w:tr>
      <w:tr w:rsidR="00B231B4" w:rsidRPr="009E1B38" w14:paraId="7D4A87E6" w14:textId="77777777" w:rsidTr="00B23DEA">
        <w:trPr>
          <w:trHeight w:val="19"/>
          <w:jc w:val="center"/>
        </w:trPr>
        <w:tc>
          <w:tcPr>
            <w:tcW w:w="2916" w:type="pct"/>
            <w:tcBorders>
              <w:top w:val="nil"/>
              <w:left w:val="single" w:sz="4" w:space="0" w:color="auto"/>
              <w:bottom w:val="single" w:sz="4" w:space="0" w:color="auto"/>
              <w:right w:val="single" w:sz="4" w:space="0" w:color="auto"/>
            </w:tcBorders>
            <w:shd w:val="clear" w:color="auto" w:fill="auto"/>
            <w:noWrap/>
            <w:vAlign w:val="center"/>
            <w:hideMark/>
          </w:tcPr>
          <w:p w14:paraId="7D4A87E4" w14:textId="3B385789" w:rsidR="00B231B4" w:rsidRPr="009E1B38" w:rsidRDefault="008F28E9" w:rsidP="00DC690D">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Unit Price Process</w:t>
            </w:r>
          </w:p>
        </w:tc>
        <w:tc>
          <w:tcPr>
            <w:tcW w:w="2084" w:type="pct"/>
            <w:tcBorders>
              <w:top w:val="nil"/>
              <w:left w:val="nil"/>
              <w:bottom w:val="single" w:sz="4" w:space="0" w:color="auto"/>
              <w:right w:val="single" w:sz="4" w:space="0" w:color="auto"/>
            </w:tcBorders>
            <w:shd w:val="clear" w:color="auto" w:fill="auto"/>
            <w:noWrap/>
            <w:vAlign w:val="center"/>
            <w:hideMark/>
          </w:tcPr>
          <w:p w14:paraId="7D4A87E5" w14:textId="77777777" w:rsidR="00B231B4" w:rsidRPr="009E1B38" w:rsidRDefault="00B231B4" w:rsidP="00DC690D">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1,00 TL/MWh</w:t>
            </w:r>
          </w:p>
        </w:tc>
      </w:tr>
      <w:tr w:rsidR="00B231B4" w:rsidRPr="009E1B38" w14:paraId="7D4A87E9" w14:textId="77777777" w:rsidTr="00B23DEA">
        <w:trPr>
          <w:trHeight w:val="19"/>
          <w:jc w:val="center"/>
        </w:trPr>
        <w:tc>
          <w:tcPr>
            <w:tcW w:w="2916" w:type="pct"/>
            <w:tcBorders>
              <w:top w:val="nil"/>
              <w:left w:val="single" w:sz="4" w:space="0" w:color="auto"/>
              <w:bottom w:val="single" w:sz="4" w:space="0" w:color="auto"/>
              <w:right w:val="single" w:sz="4" w:space="0" w:color="auto"/>
            </w:tcBorders>
            <w:shd w:val="clear" w:color="auto" w:fill="auto"/>
            <w:noWrap/>
            <w:vAlign w:val="center"/>
          </w:tcPr>
          <w:p w14:paraId="7D4A87E7" w14:textId="6BD9B611" w:rsidR="00B231B4" w:rsidRPr="009E1B38" w:rsidRDefault="008F28E9" w:rsidP="00DC690D">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Annual Participation Price</w:t>
            </w:r>
          </w:p>
        </w:tc>
        <w:tc>
          <w:tcPr>
            <w:tcW w:w="2084" w:type="pct"/>
            <w:tcBorders>
              <w:top w:val="nil"/>
              <w:left w:val="nil"/>
              <w:bottom w:val="single" w:sz="4" w:space="0" w:color="auto"/>
              <w:right w:val="single" w:sz="4" w:space="0" w:color="auto"/>
            </w:tcBorders>
            <w:shd w:val="clear" w:color="auto" w:fill="auto"/>
            <w:noWrap/>
            <w:vAlign w:val="center"/>
          </w:tcPr>
          <w:p w14:paraId="7D4A87E8" w14:textId="77777777" w:rsidR="00B231B4" w:rsidRPr="009E1B38" w:rsidRDefault="00B231B4" w:rsidP="00DC690D">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10.000 TL</w:t>
            </w:r>
          </w:p>
        </w:tc>
      </w:tr>
      <w:tr w:rsidR="00B231B4" w:rsidRPr="009E1B38" w14:paraId="7D4A87EC" w14:textId="77777777" w:rsidTr="00B23DEA">
        <w:trPr>
          <w:trHeight w:val="19"/>
          <w:jc w:val="center"/>
        </w:trPr>
        <w:tc>
          <w:tcPr>
            <w:tcW w:w="2916" w:type="pct"/>
            <w:tcBorders>
              <w:top w:val="nil"/>
              <w:left w:val="single" w:sz="4" w:space="0" w:color="auto"/>
              <w:bottom w:val="single" w:sz="4" w:space="0" w:color="auto"/>
              <w:right w:val="single" w:sz="4" w:space="0" w:color="auto"/>
            </w:tcBorders>
            <w:shd w:val="clear" w:color="auto" w:fill="auto"/>
            <w:noWrap/>
            <w:vAlign w:val="center"/>
          </w:tcPr>
          <w:p w14:paraId="7D4A87EA" w14:textId="35D24FD3" w:rsidR="00B231B4" w:rsidRPr="009E1B38" w:rsidRDefault="008F28E9" w:rsidP="00DC690D">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Unaccepted Appeal Price</w:t>
            </w:r>
          </w:p>
        </w:tc>
        <w:tc>
          <w:tcPr>
            <w:tcW w:w="2084" w:type="pct"/>
            <w:tcBorders>
              <w:top w:val="nil"/>
              <w:left w:val="nil"/>
              <w:bottom w:val="single" w:sz="4" w:space="0" w:color="auto"/>
              <w:right w:val="single" w:sz="4" w:space="0" w:color="auto"/>
            </w:tcBorders>
            <w:shd w:val="clear" w:color="auto" w:fill="auto"/>
            <w:noWrap/>
            <w:vAlign w:val="center"/>
            <w:hideMark/>
          </w:tcPr>
          <w:p w14:paraId="7D4A87EB" w14:textId="7893BB72" w:rsidR="00B231B4" w:rsidRPr="009E1B38" w:rsidRDefault="00B231B4" w:rsidP="00DC690D">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200 TL/</w:t>
            </w:r>
            <w:r w:rsidR="008F28E9" w:rsidRPr="009E1B38">
              <w:rPr>
                <w:rFonts w:ascii="Times New Roman" w:eastAsia="Times New Roman" w:hAnsi="Times New Roman"/>
                <w:color w:val="000000"/>
                <w:lang w:eastAsia="tr-TR"/>
              </w:rPr>
              <w:t>piece</w:t>
            </w:r>
          </w:p>
        </w:tc>
      </w:tr>
    </w:tbl>
    <w:p w14:paraId="7D4A87ED" w14:textId="77777777" w:rsidR="00162ACE" w:rsidRPr="009E1B38" w:rsidRDefault="00162ACE" w:rsidP="00B231B4">
      <w:pPr>
        <w:pStyle w:val="ListeParagraf"/>
        <w:spacing w:after="0" w:line="240" w:lineRule="auto"/>
        <w:ind w:left="709"/>
        <w:rPr>
          <w:rFonts w:ascii="Times New Roman" w:hAnsi="Times New Roman"/>
          <w:i/>
        </w:rPr>
      </w:pPr>
    </w:p>
    <w:p w14:paraId="7D4A87EE" w14:textId="77777777" w:rsidR="00162ACE" w:rsidRPr="009E1B38" w:rsidRDefault="00162ACE" w:rsidP="000C11F6">
      <w:pPr>
        <w:pStyle w:val="ListeParagraf"/>
        <w:spacing w:after="0" w:line="240" w:lineRule="auto"/>
        <w:rPr>
          <w:rFonts w:ascii="Times New Roman" w:hAnsi="Times New Roman"/>
          <w:i/>
        </w:rPr>
      </w:pPr>
    </w:p>
    <w:p w14:paraId="7D4A87F0" w14:textId="0AEBE534" w:rsidR="00162ACE" w:rsidRPr="009E1B38" w:rsidRDefault="008F28E9" w:rsidP="00162ACE">
      <w:pPr>
        <w:spacing w:after="160" w:line="259" w:lineRule="auto"/>
        <w:ind w:left="720"/>
        <w:contextualSpacing/>
        <w:rPr>
          <w:rFonts w:ascii="Times New Roman" w:hAnsi="Times New Roman"/>
        </w:rPr>
      </w:pPr>
      <w:r w:rsidRPr="009E1B38">
        <w:rPr>
          <w:rFonts w:ascii="Times New Roman" w:hAnsi="Times New Roman"/>
        </w:rPr>
        <w:t>• With the Board Decision dated 16.12.2021 and numbered 10624 published in the Official Gazette dated 22.12.2021 and numbered 31697; Changes have been made in the Procedures and Principles Regarding the 4th Tariff Implementation Period Distribution Activity Quality Factor Application published in the Official Gazette dated 29.12.2020 and numbered 31349.</w:t>
      </w:r>
    </w:p>
    <w:p w14:paraId="7D4A87F2" w14:textId="4C1AAFF7" w:rsidR="000C11F6" w:rsidRPr="009E1B38" w:rsidRDefault="008F28E9" w:rsidP="000C11F6">
      <w:pPr>
        <w:spacing w:after="160" w:line="259" w:lineRule="auto"/>
        <w:ind w:left="720"/>
        <w:contextualSpacing/>
        <w:rPr>
          <w:rFonts w:ascii="Times New Roman" w:hAnsi="Times New Roman"/>
        </w:rPr>
      </w:pPr>
      <w:r w:rsidRPr="009E1B38">
        <w:rPr>
          <w:rFonts w:ascii="Times New Roman" w:hAnsi="Times New Roman"/>
        </w:rPr>
        <w:t>• The payment received by the assigned supplier companies from the distribution companies pursuant to the Board Decision dated 30.12.2021 and numbered 10687-4 published in the Official Gazette dated 31.12.2021 and numbered 31706 (6.repeated) and Article 2 of the Board Decision dated 24.12.2020 and numbered 9871. It has been decided that the fees for notification and second notification services will be applied as follows as of 01.01.2022.</w:t>
      </w:r>
    </w:p>
    <w:tbl>
      <w:tblPr>
        <w:tblW w:w="3748" w:type="pct"/>
        <w:jc w:val="center"/>
        <w:tblCellMar>
          <w:left w:w="70" w:type="dxa"/>
          <w:right w:w="70" w:type="dxa"/>
        </w:tblCellMar>
        <w:tblLook w:val="04A0" w:firstRow="1" w:lastRow="0" w:firstColumn="1" w:lastColumn="0" w:noHBand="0" w:noVBand="1"/>
      </w:tblPr>
      <w:tblGrid>
        <w:gridCol w:w="3897"/>
        <w:gridCol w:w="2422"/>
        <w:gridCol w:w="1223"/>
      </w:tblGrid>
      <w:tr w:rsidR="00B231B4" w:rsidRPr="009E1B38" w14:paraId="7D4A87F4" w14:textId="77777777" w:rsidTr="008F28E9">
        <w:trPr>
          <w:trHeight w:val="490"/>
          <w:jc w:val="center"/>
        </w:trPr>
        <w:tc>
          <w:tcPr>
            <w:tcW w:w="7542" w:type="dxa"/>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7D4A87F3" w14:textId="77777777" w:rsidR="00B231B4" w:rsidRPr="009E1B38" w:rsidRDefault="00B231B4" w:rsidP="00B231B4">
            <w:pPr>
              <w:spacing w:after="0" w:line="240" w:lineRule="auto"/>
              <w:jc w:val="center"/>
              <w:rPr>
                <w:rFonts w:ascii="Times New Roman" w:hAnsi="Times New Roman"/>
                <w:b/>
              </w:rPr>
            </w:pPr>
            <w:r w:rsidRPr="009E1B38">
              <w:rPr>
                <w:rFonts w:ascii="Times New Roman" w:hAnsi="Times New Roman"/>
                <w:b/>
              </w:rPr>
              <w:t>2022</w:t>
            </w:r>
          </w:p>
        </w:tc>
      </w:tr>
      <w:tr w:rsidR="00B231B4" w:rsidRPr="009E1B38" w14:paraId="7D4A87F8" w14:textId="77777777" w:rsidTr="008F28E9">
        <w:trPr>
          <w:trHeight w:val="324"/>
          <w:jc w:val="center"/>
        </w:trPr>
        <w:tc>
          <w:tcPr>
            <w:tcW w:w="3897" w:type="dxa"/>
            <w:tcBorders>
              <w:top w:val="nil"/>
              <w:left w:val="single" w:sz="8" w:space="0" w:color="auto"/>
              <w:bottom w:val="single" w:sz="8" w:space="0" w:color="auto"/>
              <w:right w:val="single" w:sz="8" w:space="0" w:color="auto"/>
            </w:tcBorders>
            <w:shd w:val="clear" w:color="000000" w:fill="FFFFFF"/>
            <w:vAlign w:val="center"/>
            <w:hideMark/>
          </w:tcPr>
          <w:p w14:paraId="7D4A87F5" w14:textId="77777777" w:rsidR="00B231B4" w:rsidRPr="009E1B38" w:rsidRDefault="00B231B4" w:rsidP="00B231B4">
            <w:pPr>
              <w:spacing w:after="0" w:line="240" w:lineRule="auto"/>
              <w:jc w:val="center"/>
              <w:rPr>
                <w:rFonts w:ascii="Times New Roman" w:hAnsi="Times New Roman"/>
              </w:rPr>
            </w:pPr>
          </w:p>
        </w:tc>
        <w:tc>
          <w:tcPr>
            <w:tcW w:w="2422" w:type="dxa"/>
            <w:tcBorders>
              <w:top w:val="nil"/>
              <w:left w:val="nil"/>
              <w:bottom w:val="single" w:sz="8" w:space="0" w:color="auto"/>
              <w:right w:val="single" w:sz="8" w:space="0" w:color="auto"/>
            </w:tcBorders>
            <w:shd w:val="clear" w:color="000000" w:fill="FFFFFF"/>
            <w:vAlign w:val="center"/>
            <w:hideMark/>
          </w:tcPr>
          <w:p w14:paraId="7D4A87F6" w14:textId="77777777" w:rsidR="00B231B4" w:rsidRPr="009E1B38" w:rsidRDefault="00B231B4" w:rsidP="00B231B4">
            <w:pPr>
              <w:spacing w:after="0" w:line="240" w:lineRule="auto"/>
              <w:jc w:val="center"/>
              <w:rPr>
                <w:rFonts w:ascii="Times New Roman" w:hAnsi="Times New Roman"/>
                <w:b/>
              </w:rPr>
            </w:pPr>
            <w:r w:rsidRPr="009E1B38">
              <w:rPr>
                <w:rFonts w:ascii="Times New Roman" w:hAnsi="Times New Roman"/>
                <w:b/>
              </w:rPr>
              <w:t>AG</w:t>
            </w:r>
          </w:p>
        </w:tc>
        <w:tc>
          <w:tcPr>
            <w:tcW w:w="1223" w:type="dxa"/>
            <w:tcBorders>
              <w:top w:val="nil"/>
              <w:left w:val="nil"/>
              <w:bottom w:val="single" w:sz="8" w:space="0" w:color="auto"/>
              <w:right w:val="single" w:sz="8" w:space="0" w:color="auto"/>
            </w:tcBorders>
            <w:shd w:val="clear" w:color="000000" w:fill="FFFFFF"/>
            <w:vAlign w:val="center"/>
            <w:hideMark/>
          </w:tcPr>
          <w:p w14:paraId="7D4A87F7" w14:textId="77777777" w:rsidR="00B231B4" w:rsidRPr="009E1B38" w:rsidRDefault="00B231B4" w:rsidP="00B231B4">
            <w:pPr>
              <w:spacing w:after="0" w:line="240" w:lineRule="auto"/>
              <w:jc w:val="center"/>
              <w:rPr>
                <w:rFonts w:ascii="Times New Roman" w:hAnsi="Times New Roman"/>
                <w:b/>
              </w:rPr>
            </w:pPr>
            <w:r w:rsidRPr="009E1B38">
              <w:rPr>
                <w:rFonts w:ascii="Times New Roman" w:hAnsi="Times New Roman"/>
                <w:b/>
              </w:rPr>
              <w:t>OG</w:t>
            </w:r>
          </w:p>
        </w:tc>
      </w:tr>
      <w:tr w:rsidR="00B231B4" w:rsidRPr="009E1B38" w14:paraId="7D4A87FC" w14:textId="77777777" w:rsidTr="008F28E9">
        <w:trPr>
          <w:trHeight w:val="489"/>
          <w:jc w:val="center"/>
        </w:trPr>
        <w:tc>
          <w:tcPr>
            <w:tcW w:w="3897" w:type="dxa"/>
            <w:tcBorders>
              <w:top w:val="nil"/>
              <w:left w:val="single" w:sz="8" w:space="0" w:color="auto"/>
              <w:bottom w:val="single" w:sz="8" w:space="0" w:color="auto"/>
              <w:right w:val="single" w:sz="8" w:space="0" w:color="auto"/>
            </w:tcBorders>
            <w:shd w:val="clear" w:color="000000" w:fill="FFFFFF"/>
            <w:noWrap/>
            <w:vAlign w:val="center"/>
            <w:hideMark/>
          </w:tcPr>
          <w:p w14:paraId="7D4A87F9" w14:textId="6AEE73F6" w:rsidR="00B231B4" w:rsidRPr="009E1B38" w:rsidRDefault="008F28E9" w:rsidP="00B231B4">
            <w:pPr>
              <w:spacing w:after="0" w:line="240" w:lineRule="auto"/>
              <w:rPr>
                <w:rFonts w:ascii="Times New Roman" w:hAnsi="Times New Roman"/>
              </w:rPr>
            </w:pPr>
            <w:r w:rsidRPr="009E1B38">
              <w:rPr>
                <w:rFonts w:ascii="Times New Roman" w:hAnsi="Times New Roman"/>
              </w:rPr>
              <w:t>Payment Notice Leave Fee (TL/operation)</w:t>
            </w:r>
          </w:p>
        </w:tc>
        <w:tc>
          <w:tcPr>
            <w:tcW w:w="2422" w:type="dxa"/>
            <w:tcBorders>
              <w:top w:val="nil"/>
              <w:left w:val="nil"/>
              <w:bottom w:val="single" w:sz="8" w:space="0" w:color="auto"/>
              <w:right w:val="single" w:sz="8" w:space="0" w:color="auto"/>
            </w:tcBorders>
            <w:shd w:val="clear" w:color="000000" w:fill="FFFFFF"/>
            <w:noWrap/>
            <w:vAlign w:val="center"/>
            <w:hideMark/>
          </w:tcPr>
          <w:p w14:paraId="7D4A87FA" w14:textId="77777777" w:rsidR="00B231B4" w:rsidRPr="009E1B38" w:rsidRDefault="00B231B4" w:rsidP="00B231B4">
            <w:pPr>
              <w:spacing w:after="0" w:line="240" w:lineRule="auto"/>
              <w:jc w:val="center"/>
              <w:rPr>
                <w:rFonts w:ascii="Times New Roman" w:hAnsi="Times New Roman"/>
              </w:rPr>
            </w:pPr>
            <w:r w:rsidRPr="009E1B38">
              <w:rPr>
                <w:rFonts w:ascii="Times New Roman" w:hAnsi="Times New Roman"/>
              </w:rPr>
              <w:t>0,072</w:t>
            </w:r>
          </w:p>
        </w:tc>
        <w:tc>
          <w:tcPr>
            <w:tcW w:w="1223" w:type="dxa"/>
            <w:tcBorders>
              <w:top w:val="nil"/>
              <w:left w:val="nil"/>
              <w:bottom w:val="single" w:sz="8" w:space="0" w:color="auto"/>
              <w:right w:val="single" w:sz="8" w:space="0" w:color="auto"/>
            </w:tcBorders>
            <w:shd w:val="clear" w:color="000000" w:fill="FFFFFF"/>
            <w:noWrap/>
            <w:vAlign w:val="center"/>
            <w:hideMark/>
          </w:tcPr>
          <w:p w14:paraId="7D4A87FB" w14:textId="77777777" w:rsidR="00B231B4" w:rsidRPr="009E1B38" w:rsidRDefault="00B231B4" w:rsidP="00B231B4">
            <w:pPr>
              <w:spacing w:after="0" w:line="240" w:lineRule="auto"/>
              <w:jc w:val="center"/>
              <w:rPr>
                <w:rFonts w:ascii="Times New Roman" w:hAnsi="Times New Roman"/>
              </w:rPr>
            </w:pPr>
            <w:r w:rsidRPr="009E1B38">
              <w:rPr>
                <w:rFonts w:ascii="Times New Roman" w:hAnsi="Times New Roman"/>
              </w:rPr>
              <w:t>0,72</w:t>
            </w:r>
          </w:p>
        </w:tc>
      </w:tr>
      <w:tr w:rsidR="00B231B4" w:rsidRPr="009E1B38" w14:paraId="7D4A8800" w14:textId="77777777" w:rsidTr="008F28E9">
        <w:trPr>
          <w:trHeight w:val="413"/>
          <w:jc w:val="center"/>
        </w:trPr>
        <w:tc>
          <w:tcPr>
            <w:tcW w:w="3897" w:type="dxa"/>
            <w:tcBorders>
              <w:top w:val="nil"/>
              <w:left w:val="single" w:sz="8" w:space="0" w:color="auto"/>
              <w:bottom w:val="single" w:sz="8" w:space="0" w:color="auto"/>
              <w:right w:val="single" w:sz="8" w:space="0" w:color="auto"/>
            </w:tcBorders>
            <w:shd w:val="clear" w:color="000000" w:fill="FFFFFF"/>
            <w:noWrap/>
            <w:vAlign w:val="center"/>
            <w:hideMark/>
          </w:tcPr>
          <w:p w14:paraId="7D4A87FD" w14:textId="3F55110B" w:rsidR="00B231B4" w:rsidRPr="009E1B38" w:rsidRDefault="008F28E9" w:rsidP="00B231B4">
            <w:pPr>
              <w:spacing w:after="0" w:line="240" w:lineRule="auto"/>
              <w:rPr>
                <w:rFonts w:ascii="Times New Roman" w:hAnsi="Times New Roman"/>
              </w:rPr>
            </w:pPr>
            <w:r w:rsidRPr="009E1B38">
              <w:rPr>
                <w:rFonts w:ascii="Times New Roman" w:hAnsi="Times New Roman"/>
              </w:rPr>
              <w:t>Second Notification Fee (TL/operation)</w:t>
            </w:r>
          </w:p>
        </w:tc>
        <w:tc>
          <w:tcPr>
            <w:tcW w:w="2422" w:type="dxa"/>
            <w:tcBorders>
              <w:top w:val="nil"/>
              <w:left w:val="nil"/>
              <w:bottom w:val="single" w:sz="8" w:space="0" w:color="auto"/>
              <w:right w:val="single" w:sz="8" w:space="0" w:color="auto"/>
            </w:tcBorders>
            <w:shd w:val="clear" w:color="000000" w:fill="FFFFFF"/>
            <w:noWrap/>
            <w:vAlign w:val="center"/>
            <w:hideMark/>
          </w:tcPr>
          <w:p w14:paraId="7D4A87FE" w14:textId="77777777" w:rsidR="00B231B4" w:rsidRPr="009E1B38" w:rsidRDefault="00B231B4" w:rsidP="00B231B4">
            <w:pPr>
              <w:spacing w:after="0" w:line="240" w:lineRule="auto"/>
              <w:jc w:val="center"/>
              <w:rPr>
                <w:rFonts w:ascii="Times New Roman" w:hAnsi="Times New Roman"/>
              </w:rPr>
            </w:pPr>
            <w:r w:rsidRPr="009E1B38">
              <w:rPr>
                <w:rFonts w:ascii="Times New Roman" w:hAnsi="Times New Roman"/>
              </w:rPr>
              <w:t>1,44</w:t>
            </w:r>
          </w:p>
        </w:tc>
        <w:tc>
          <w:tcPr>
            <w:tcW w:w="1223" w:type="dxa"/>
            <w:tcBorders>
              <w:top w:val="nil"/>
              <w:left w:val="nil"/>
              <w:bottom w:val="single" w:sz="8" w:space="0" w:color="auto"/>
              <w:right w:val="single" w:sz="8" w:space="0" w:color="auto"/>
            </w:tcBorders>
            <w:shd w:val="clear" w:color="000000" w:fill="FFFFFF"/>
            <w:noWrap/>
            <w:vAlign w:val="center"/>
            <w:hideMark/>
          </w:tcPr>
          <w:p w14:paraId="7D4A87FF" w14:textId="77777777" w:rsidR="00B231B4" w:rsidRPr="009E1B38" w:rsidRDefault="00B231B4" w:rsidP="00B231B4">
            <w:pPr>
              <w:spacing w:after="0" w:line="240" w:lineRule="auto"/>
              <w:jc w:val="center"/>
              <w:rPr>
                <w:rFonts w:ascii="Times New Roman" w:hAnsi="Times New Roman"/>
              </w:rPr>
            </w:pPr>
            <w:r w:rsidRPr="009E1B38">
              <w:rPr>
                <w:rFonts w:ascii="Times New Roman" w:hAnsi="Times New Roman"/>
              </w:rPr>
              <w:t>14,47</w:t>
            </w:r>
          </w:p>
        </w:tc>
      </w:tr>
      <w:tr w:rsidR="00B231B4" w:rsidRPr="009E1B38" w14:paraId="7D4A8803" w14:textId="77777777" w:rsidTr="008F28E9">
        <w:trPr>
          <w:trHeight w:val="896"/>
          <w:jc w:val="center"/>
        </w:trPr>
        <w:tc>
          <w:tcPr>
            <w:tcW w:w="3897" w:type="dxa"/>
            <w:tcBorders>
              <w:top w:val="nil"/>
              <w:left w:val="single" w:sz="8" w:space="0" w:color="auto"/>
              <w:bottom w:val="single" w:sz="8" w:space="0" w:color="auto"/>
              <w:right w:val="single" w:sz="8" w:space="0" w:color="auto"/>
            </w:tcBorders>
            <w:shd w:val="clear" w:color="000000" w:fill="FFFFFF"/>
            <w:noWrap/>
            <w:vAlign w:val="center"/>
            <w:hideMark/>
          </w:tcPr>
          <w:p w14:paraId="7D4A8801" w14:textId="4C632242" w:rsidR="00B231B4" w:rsidRPr="009E1B38" w:rsidRDefault="008F28E9" w:rsidP="00B231B4">
            <w:pPr>
              <w:spacing w:after="0" w:line="240" w:lineRule="auto"/>
              <w:rPr>
                <w:rFonts w:ascii="Times New Roman" w:hAnsi="Times New Roman"/>
              </w:rPr>
            </w:pPr>
            <w:r w:rsidRPr="009E1B38">
              <w:rPr>
                <w:rFonts w:ascii="Times New Roman" w:hAnsi="Times New Roman"/>
              </w:rPr>
              <w:t>Fee to be Applied in the Case of Leaving a Second Notice together with the payment notification (TL/operation)</w:t>
            </w:r>
          </w:p>
        </w:tc>
        <w:tc>
          <w:tcPr>
            <w:tcW w:w="3645" w:type="dxa"/>
            <w:gridSpan w:val="2"/>
            <w:tcBorders>
              <w:top w:val="single" w:sz="8" w:space="0" w:color="auto"/>
              <w:left w:val="nil"/>
              <w:bottom w:val="single" w:sz="8" w:space="0" w:color="auto"/>
              <w:right w:val="single" w:sz="8" w:space="0" w:color="000000"/>
            </w:tcBorders>
            <w:shd w:val="clear" w:color="000000" w:fill="FFFFFF"/>
            <w:noWrap/>
            <w:vAlign w:val="center"/>
            <w:hideMark/>
          </w:tcPr>
          <w:p w14:paraId="7D4A8802" w14:textId="77777777" w:rsidR="00B231B4" w:rsidRPr="009E1B38" w:rsidRDefault="00B231B4" w:rsidP="00B231B4">
            <w:pPr>
              <w:spacing w:after="0" w:line="240" w:lineRule="auto"/>
              <w:jc w:val="center"/>
              <w:rPr>
                <w:rFonts w:ascii="Times New Roman" w:hAnsi="Times New Roman"/>
              </w:rPr>
            </w:pPr>
            <w:r w:rsidRPr="009E1B38">
              <w:rPr>
                <w:rFonts w:ascii="Times New Roman" w:hAnsi="Times New Roman"/>
              </w:rPr>
              <w:t>0</w:t>
            </w:r>
          </w:p>
        </w:tc>
      </w:tr>
    </w:tbl>
    <w:p w14:paraId="7D4A8804" w14:textId="77777777" w:rsidR="000C11F6" w:rsidRPr="009E1B38" w:rsidRDefault="000C11F6" w:rsidP="000C11F6">
      <w:pPr>
        <w:pStyle w:val="ListeParagraf"/>
        <w:spacing w:after="0" w:line="240" w:lineRule="auto"/>
        <w:rPr>
          <w:rFonts w:ascii="Times New Roman" w:hAnsi="Times New Roman"/>
          <w:i/>
        </w:rPr>
      </w:pPr>
    </w:p>
    <w:p w14:paraId="7D4A8806" w14:textId="210AEBCC" w:rsidR="00B231B4" w:rsidRPr="009E1B38" w:rsidRDefault="00224F82" w:rsidP="003C5E4D">
      <w:pPr>
        <w:pStyle w:val="ListeParagraf"/>
        <w:numPr>
          <w:ilvl w:val="0"/>
          <w:numId w:val="57"/>
        </w:numPr>
        <w:spacing w:after="160" w:line="259" w:lineRule="auto"/>
        <w:rPr>
          <w:rFonts w:ascii="Times New Roman" w:hAnsi="Times New Roman"/>
        </w:rPr>
      </w:pPr>
      <w:r w:rsidRPr="009E1B38">
        <w:rPr>
          <w:rFonts w:ascii="Times New Roman" w:hAnsi="Times New Roman"/>
        </w:rPr>
        <w:t>With the Board Decision dated 30.12.2021 and numbered 10687-8 published in the Official Gazette dated 31.12.2021 and numbered 31706 (6.repeated), in accordance with subparagraph (c) of the second paragraph of Article 36 of the Regulation on Unlicensed Electricity Generation in the Electricity Market, the relevant network operator and the officer, it has been decided that the transaction price to be collected by the supply companies will be applied for the year 2022 as follows.</w:t>
      </w:r>
    </w:p>
    <w:tbl>
      <w:tblPr>
        <w:tblW w:w="339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20"/>
        <w:gridCol w:w="3187"/>
      </w:tblGrid>
      <w:tr w:rsidR="00B231B4" w:rsidRPr="009E1B38" w14:paraId="7D4A8809" w14:textId="77777777" w:rsidTr="008C5324">
        <w:trPr>
          <w:trHeight w:val="227"/>
          <w:jc w:val="center"/>
        </w:trPr>
        <w:tc>
          <w:tcPr>
            <w:tcW w:w="2659" w:type="pct"/>
            <w:tcBorders>
              <w:top w:val="single" w:sz="8" w:space="0" w:color="auto"/>
              <w:left w:val="single" w:sz="8" w:space="0" w:color="auto"/>
              <w:bottom w:val="single" w:sz="8" w:space="0" w:color="auto"/>
              <w:right w:val="single" w:sz="8" w:space="0" w:color="auto"/>
            </w:tcBorders>
          </w:tcPr>
          <w:p w14:paraId="3520139E" w14:textId="49215036" w:rsidR="008C5324" w:rsidRPr="009E1B38" w:rsidRDefault="008C5324" w:rsidP="008C5324">
            <w:pPr>
              <w:spacing w:before="100" w:beforeAutospacing="1" w:after="100" w:afterAutospacing="1" w:line="360" w:lineRule="auto"/>
              <w:rPr>
                <w:rFonts w:ascii="Times New Roman" w:eastAsia="Times New Roman" w:hAnsi="Times New Roman"/>
                <w:b/>
                <w:lang w:eastAsia="tr-TR"/>
              </w:rPr>
            </w:pPr>
            <w:r w:rsidRPr="009E1B38">
              <w:rPr>
                <w:rFonts w:ascii="Times New Roman" w:eastAsia="Times New Roman" w:hAnsi="Times New Roman"/>
                <w:b/>
                <w:lang w:eastAsia="tr-TR"/>
              </w:rPr>
              <w:t>Operation</w:t>
            </w:r>
          </w:p>
        </w:tc>
        <w:tc>
          <w:tcPr>
            <w:tcW w:w="234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4A8808" w14:textId="50E599BF" w:rsidR="00B231B4" w:rsidRPr="009E1B38" w:rsidRDefault="008C5324" w:rsidP="00B231B4">
            <w:pPr>
              <w:spacing w:before="100" w:beforeAutospacing="1" w:after="100" w:afterAutospacing="1" w:line="360" w:lineRule="auto"/>
              <w:jc w:val="center"/>
              <w:rPr>
                <w:rFonts w:ascii="Times New Roman" w:eastAsia="Times New Roman" w:hAnsi="Times New Roman"/>
                <w:lang w:eastAsia="tr-TR"/>
              </w:rPr>
            </w:pPr>
            <w:r w:rsidRPr="009E1B38">
              <w:rPr>
                <w:rFonts w:ascii="Times New Roman" w:eastAsia="Times New Roman" w:hAnsi="Times New Roman"/>
                <w:b/>
                <w:lang w:eastAsia="tr-TR"/>
              </w:rPr>
              <w:t>Operation Fee</w:t>
            </w:r>
          </w:p>
        </w:tc>
      </w:tr>
      <w:tr w:rsidR="00B231B4" w:rsidRPr="009E1B38" w14:paraId="7D4A880C" w14:textId="77777777" w:rsidTr="008C5324">
        <w:trPr>
          <w:trHeight w:val="227"/>
          <w:jc w:val="center"/>
        </w:trPr>
        <w:tc>
          <w:tcPr>
            <w:tcW w:w="2659" w:type="pct"/>
            <w:tcBorders>
              <w:top w:val="single" w:sz="8" w:space="0" w:color="auto"/>
              <w:left w:val="single" w:sz="8" w:space="0" w:color="auto"/>
              <w:bottom w:val="single" w:sz="8" w:space="0" w:color="auto"/>
              <w:right w:val="single" w:sz="8" w:space="0" w:color="auto"/>
            </w:tcBorders>
          </w:tcPr>
          <w:p w14:paraId="51F4EA6C" w14:textId="1E0F00EF" w:rsidR="008C5324" w:rsidRPr="009E1B38" w:rsidRDefault="008C5324" w:rsidP="008C5324">
            <w:pPr>
              <w:spacing w:before="100" w:beforeAutospacing="1" w:after="100" w:afterAutospacing="1" w:line="360" w:lineRule="auto"/>
              <w:rPr>
                <w:rFonts w:ascii="Times New Roman" w:eastAsia="Times New Roman" w:hAnsi="Times New Roman"/>
                <w:lang w:eastAsia="tr-TR"/>
              </w:rPr>
            </w:pPr>
            <w:r w:rsidRPr="009E1B38">
              <w:rPr>
                <w:rFonts w:ascii="Times New Roman" w:eastAsia="Times New Roman" w:hAnsi="Times New Roman"/>
                <w:lang w:eastAsia="tr-TR"/>
              </w:rPr>
              <w:t>Share transfer</w:t>
            </w:r>
          </w:p>
        </w:tc>
        <w:tc>
          <w:tcPr>
            <w:tcW w:w="2341"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7D4A880B" w14:textId="77777777" w:rsidR="00B231B4" w:rsidRPr="009E1B38" w:rsidRDefault="00B231B4" w:rsidP="00B231B4">
            <w:pPr>
              <w:spacing w:before="100" w:beforeAutospacing="1" w:after="100" w:afterAutospacing="1" w:line="360" w:lineRule="auto"/>
              <w:jc w:val="center"/>
              <w:rPr>
                <w:rFonts w:ascii="Times New Roman" w:eastAsia="Times New Roman" w:hAnsi="Times New Roman"/>
                <w:b/>
                <w:bCs/>
                <w:lang w:eastAsia="tr-TR"/>
              </w:rPr>
            </w:pPr>
            <w:r w:rsidRPr="009E1B38">
              <w:rPr>
                <w:rFonts w:ascii="Times New Roman" w:eastAsia="Times New Roman" w:hAnsi="Times New Roman"/>
                <w:lang w:eastAsia="tr-TR"/>
              </w:rPr>
              <w:t>0 TL</w:t>
            </w:r>
          </w:p>
        </w:tc>
      </w:tr>
      <w:tr w:rsidR="00B231B4" w:rsidRPr="009E1B38" w14:paraId="7D4A880F" w14:textId="77777777" w:rsidTr="008C5324">
        <w:trPr>
          <w:trHeight w:val="227"/>
          <w:jc w:val="center"/>
        </w:trPr>
        <w:tc>
          <w:tcPr>
            <w:tcW w:w="2659" w:type="pct"/>
            <w:tcBorders>
              <w:top w:val="nil"/>
              <w:left w:val="single" w:sz="8" w:space="0" w:color="auto"/>
              <w:bottom w:val="single" w:sz="8" w:space="0" w:color="auto"/>
              <w:right w:val="single" w:sz="8" w:space="0" w:color="auto"/>
            </w:tcBorders>
          </w:tcPr>
          <w:p w14:paraId="6E33CF14" w14:textId="40A39815" w:rsidR="008C5324" w:rsidRPr="009E1B38" w:rsidRDefault="008C5324" w:rsidP="008C5324">
            <w:pPr>
              <w:spacing w:after="0" w:line="240" w:lineRule="auto"/>
              <w:rPr>
                <w:rFonts w:ascii="Times New Roman" w:eastAsiaTheme="minorHAnsi" w:hAnsi="Times New Roman"/>
              </w:rPr>
            </w:pPr>
            <w:r w:rsidRPr="009E1B38">
              <w:rPr>
                <w:rFonts w:ascii="Times New Roman" w:eastAsiaTheme="minorHAnsi" w:hAnsi="Times New Roman"/>
              </w:rPr>
              <w:t>Other operations</w:t>
            </w:r>
          </w:p>
        </w:tc>
        <w:tc>
          <w:tcPr>
            <w:tcW w:w="23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4A880E" w14:textId="77777777" w:rsidR="00B231B4" w:rsidRPr="009E1B38" w:rsidRDefault="00B231B4" w:rsidP="00B231B4">
            <w:pPr>
              <w:spacing w:before="100" w:beforeAutospacing="1" w:after="100" w:afterAutospacing="1" w:line="360" w:lineRule="auto"/>
              <w:jc w:val="center"/>
              <w:rPr>
                <w:rFonts w:ascii="Times New Roman" w:eastAsia="Times New Roman" w:hAnsi="Times New Roman"/>
                <w:lang w:eastAsia="tr-TR"/>
              </w:rPr>
            </w:pPr>
            <w:r w:rsidRPr="009E1B38">
              <w:rPr>
                <w:rFonts w:ascii="Times New Roman" w:eastAsia="Times New Roman" w:hAnsi="Times New Roman"/>
                <w:lang w:eastAsia="tr-TR"/>
              </w:rPr>
              <w:t>731,1 TL</w:t>
            </w:r>
          </w:p>
        </w:tc>
      </w:tr>
    </w:tbl>
    <w:p w14:paraId="7D4A8810" w14:textId="77777777" w:rsidR="00FD7557" w:rsidRPr="009E1B38" w:rsidRDefault="00FD7557" w:rsidP="00FD7557">
      <w:pPr>
        <w:pStyle w:val="ListeParagraf"/>
        <w:spacing w:after="0" w:line="240" w:lineRule="auto"/>
        <w:rPr>
          <w:rFonts w:ascii="Times New Roman" w:hAnsi="Times New Roman"/>
          <w:i/>
        </w:rPr>
      </w:pPr>
    </w:p>
    <w:p w14:paraId="7D4A8812" w14:textId="52A64EF5" w:rsidR="00B231B4" w:rsidRPr="009E1B38" w:rsidRDefault="008C5324" w:rsidP="00B231B4">
      <w:pPr>
        <w:spacing w:after="160" w:line="259" w:lineRule="auto"/>
        <w:ind w:left="720"/>
        <w:contextualSpacing/>
        <w:rPr>
          <w:rFonts w:ascii="Times New Roman" w:hAnsi="Times New Roman"/>
        </w:rPr>
      </w:pPr>
      <w:r w:rsidRPr="009E1B38">
        <w:rPr>
          <w:rFonts w:ascii="Times New Roman" w:hAnsi="Times New Roman"/>
        </w:rPr>
        <w:t>• With the Board Decision dated 30.12.2021 and numbered 10687-9 published in the Official Gazette dated 31.12.2021 and numbered 31706 (6.repeated), within the scope of the Regulation on Unlicensed Electricity Production in the Electricity Market, electricity generation based on solar energy with roof and facade application of 10 kW and below. It has been decided that the project approval and acceptance procedures fees for the electricity distribution companies will be applied as follows, as of 01.01.2022.</w:t>
      </w:r>
    </w:p>
    <w:tbl>
      <w:tblPr>
        <w:tblW w:w="3389"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61"/>
        <w:gridCol w:w="1844"/>
      </w:tblGrid>
      <w:tr w:rsidR="00B231B4" w:rsidRPr="009E1B38" w14:paraId="7D4A8815" w14:textId="77777777" w:rsidTr="008C5324">
        <w:trPr>
          <w:trHeight w:val="20"/>
          <w:jc w:val="center"/>
        </w:trPr>
        <w:tc>
          <w:tcPr>
            <w:tcW w:w="3645" w:type="pct"/>
            <w:tcBorders>
              <w:top w:val="single" w:sz="8" w:space="0" w:color="auto"/>
              <w:left w:val="single" w:sz="8" w:space="0" w:color="auto"/>
              <w:bottom w:val="single" w:sz="8" w:space="0" w:color="auto"/>
              <w:right w:val="single" w:sz="8" w:space="0" w:color="auto"/>
            </w:tcBorders>
          </w:tcPr>
          <w:p w14:paraId="6C0D9C57" w14:textId="15239EFF" w:rsidR="008C5324" w:rsidRPr="009E1B38" w:rsidRDefault="008C5324" w:rsidP="008C5324">
            <w:pPr>
              <w:spacing w:after="0" w:line="240" w:lineRule="auto"/>
              <w:rPr>
                <w:rFonts w:ascii="Times New Roman" w:hAnsi="Times New Roman"/>
                <w:b/>
              </w:rPr>
            </w:pPr>
            <w:r w:rsidRPr="009E1B38">
              <w:rPr>
                <w:rFonts w:ascii="Times New Roman" w:hAnsi="Times New Roman"/>
                <w:b/>
              </w:rPr>
              <w:t>Operation</w:t>
            </w:r>
          </w:p>
        </w:tc>
        <w:tc>
          <w:tcPr>
            <w:tcW w:w="135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4A8814" w14:textId="19A0F9BD" w:rsidR="00B231B4" w:rsidRPr="009E1B38" w:rsidRDefault="008C5324" w:rsidP="00B231B4">
            <w:pPr>
              <w:spacing w:after="0" w:line="240" w:lineRule="auto"/>
              <w:jc w:val="center"/>
              <w:rPr>
                <w:rFonts w:ascii="Times New Roman" w:hAnsi="Times New Roman"/>
              </w:rPr>
            </w:pPr>
            <w:r w:rsidRPr="009E1B38">
              <w:rPr>
                <w:rFonts w:ascii="Times New Roman" w:eastAsia="Times New Roman" w:hAnsi="Times New Roman"/>
                <w:b/>
                <w:lang w:eastAsia="tr-TR"/>
              </w:rPr>
              <w:t>Operation Fee</w:t>
            </w:r>
          </w:p>
        </w:tc>
      </w:tr>
      <w:tr w:rsidR="00B231B4" w:rsidRPr="009E1B38" w14:paraId="7D4A8818" w14:textId="77777777" w:rsidTr="008C5324">
        <w:trPr>
          <w:trHeight w:val="20"/>
          <w:jc w:val="center"/>
        </w:trPr>
        <w:tc>
          <w:tcPr>
            <w:tcW w:w="3645" w:type="pct"/>
            <w:tcBorders>
              <w:top w:val="single" w:sz="8" w:space="0" w:color="auto"/>
              <w:left w:val="single" w:sz="8" w:space="0" w:color="auto"/>
              <w:bottom w:val="single" w:sz="8" w:space="0" w:color="auto"/>
              <w:right w:val="single" w:sz="8" w:space="0" w:color="auto"/>
            </w:tcBorders>
          </w:tcPr>
          <w:p w14:paraId="17DABB75" w14:textId="129755F6" w:rsidR="008C5324" w:rsidRPr="009E1B38" w:rsidRDefault="008C5324" w:rsidP="008C5324">
            <w:pPr>
              <w:autoSpaceDE w:val="0"/>
              <w:autoSpaceDN w:val="0"/>
              <w:adjustRightInd w:val="0"/>
              <w:spacing w:after="0" w:line="240" w:lineRule="auto"/>
              <w:rPr>
                <w:rFonts w:ascii="Times New Roman" w:hAnsi="Times New Roman"/>
              </w:rPr>
            </w:pPr>
            <w:r w:rsidRPr="009E1B38">
              <w:rPr>
                <w:rFonts w:ascii="Times New Roman" w:hAnsi="Times New Roman"/>
              </w:rPr>
              <w:t>Project approval for solar power plants with roof and facade applications of 10 kW and below</w:t>
            </w:r>
          </w:p>
        </w:tc>
        <w:tc>
          <w:tcPr>
            <w:tcW w:w="1355"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7D4A8817" w14:textId="77777777" w:rsidR="00B231B4" w:rsidRPr="009E1B38" w:rsidRDefault="00B231B4" w:rsidP="00B231B4">
            <w:pPr>
              <w:spacing w:after="0" w:line="240" w:lineRule="auto"/>
              <w:jc w:val="center"/>
              <w:rPr>
                <w:rFonts w:ascii="Times New Roman" w:hAnsi="Times New Roman"/>
                <w:b/>
                <w:bCs/>
              </w:rPr>
            </w:pPr>
            <w:r w:rsidRPr="009E1B38">
              <w:rPr>
                <w:rFonts w:ascii="Times New Roman" w:hAnsi="Times New Roman"/>
              </w:rPr>
              <w:t>175,5 TL</w:t>
            </w:r>
          </w:p>
        </w:tc>
      </w:tr>
      <w:tr w:rsidR="00B231B4" w:rsidRPr="009E1B38" w14:paraId="7D4A881B" w14:textId="77777777" w:rsidTr="008C5324">
        <w:trPr>
          <w:trHeight w:val="20"/>
          <w:jc w:val="center"/>
        </w:trPr>
        <w:tc>
          <w:tcPr>
            <w:tcW w:w="3645" w:type="pct"/>
            <w:tcBorders>
              <w:top w:val="nil"/>
              <w:left w:val="single" w:sz="8" w:space="0" w:color="auto"/>
              <w:bottom w:val="single" w:sz="8" w:space="0" w:color="auto"/>
              <w:right w:val="single" w:sz="8" w:space="0" w:color="auto"/>
            </w:tcBorders>
          </w:tcPr>
          <w:p w14:paraId="77FC4887" w14:textId="52C9701E" w:rsidR="008C5324" w:rsidRPr="009E1B38" w:rsidRDefault="008C5324" w:rsidP="008C5324">
            <w:pPr>
              <w:spacing w:after="0" w:line="240" w:lineRule="auto"/>
              <w:rPr>
                <w:rFonts w:ascii="Times New Roman" w:hAnsi="Times New Roman"/>
              </w:rPr>
            </w:pPr>
            <w:r w:rsidRPr="009E1B38">
              <w:rPr>
                <w:rFonts w:ascii="Times New Roman" w:hAnsi="Times New Roman"/>
              </w:rPr>
              <w:t>Project acceptance for solar power plants with roof and facade applications of 10 kW and below</w:t>
            </w:r>
          </w:p>
        </w:tc>
        <w:tc>
          <w:tcPr>
            <w:tcW w:w="135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4A881A" w14:textId="77777777" w:rsidR="00B231B4" w:rsidRPr="009E1B38" w:rsidRDefault="00B231B4" w:rsidP="00B231B4">
            <w:pPr>
              <w:spacing w:after="0" w:line="240" w:lineRule="auto"/>
              <w:jc w:val="center"/>
              <w:rPr>
                <w:rFonts w:ascii="Times New Roman" w:hAnsi="Times New Roman"/>
              </w:rPr>
            </w:pPr>
            <w:r w:rsidRPr="009E1B38">
              <w:rPr>
                <w:rFonts w:ascii="Times New Roman" w:hAnsi="Times New Roman"/>
              </w:rPr>
              <w:t>232,5 TL</w:t>
            </w:r>
          </w:p>
        </w:tc>
      </w:tr>
    </w:tbl>
    <w:p w14:paraId="7D4A881C" w14:textId="77777777" w:rsidR="00F452B7" w:rsidRPr="009E1B38" w:rsidRDefault="00F452B7" w:rsidP="002C3099">
      <w:pPr>
        <w:pStyle w:val="ListeParagraf"/>
        <w:spacing w:after="0" w:line="240" w:lineRule="auto"/>
        <w:rPr>
          <w:rFonts w:ascii="Times New Roman" w:hAnsi="Times New Roman"/>
          <w:i/>
        </w:rPr>
      </w:pPr>
    </w:p>
    <w:p w14:paraId="7D4A881E" w14:textId="51D3B38D" w:rsidR="00F57DE7" w:rsidRPr="009E1B38" w:rsidRDefault="00224F82" w:rsidP="00F57DE7">
      <w:pPr>
        <w:spacing w:after="160" w:line="259" w:lineRule="auto"/>
        <w:ind w:left="720"/>
        <w:contextualSpacing/>
        <w:rPr>
          <w:rFonts w:ascii="Times New Roman" w:hAnsi="Times New Roman"/>
        </w:rPr>
      </w:pPr>
      <w:r w:rsidRPr="009E1B38">
        <w:rPr>
          <w:rFonts w:ascii="Times New Roman" w:hAnsi="Times New Roman"/>
        </w:rPr>
        <w:lastRenderedPageBreak/>
        <w:t>• Within the scope of Automatic Meter Reading System in accordance with the Board Decision dated 30.12.2021 and numbered 10687-10 published in the Official Gazette dated 31.12.2021 and numbered 31706 (6.repeated) and in accordance with Article 4 of the Board Decision dated 05.10.2016 and numbered 6520. If additional data is requested, it has been decided that the fee to be collected will be applied as follows as of 01.01.2022.</w:t>
      </w:r>
    </w:p>
    <w:tbl>
      <w:tblPr>
        <w:tblStyle w:val="TabloKlavuzu41"/>
        <w:tblW w:w="0" w:type="auto"/>
        <w:tblInd w:w="2845" w:type="dxa"/>
        <w:tblLook w:val="04A0" w:firstRow="1" w:lastRow="0" w:firstColumn="1" w:lastColumn="0" w:noHBand="0" w:noVBand="1"/>
      </w:tblPr>
      <w:tblGrid>
        <w:gridCol w:w="1920"/>
        <w:gridCol w:w="1453"/>
      </w:tblGrid>
      <w:tr w:rsidR="00F57DE7" w:rsidRPr="009E1B38" w14:paraId="7D4A8820" w14:textId="77777777" w:rsidTr="009B64F4">
        <w:trPr>
          <w:trHeight w:val="340"/>
        </w:trPr>
        <w:tc>
          <w:tcPr>
            <w:tcW w:w="3373" w:type="dxa"/>
            <w:gridSpan w:val="2"/>
            <w:hideMark/>
          </w:tcPr>
          <w:p w14:paraId="7D4A881F" w14:textId="188B66A0" w:rsidR="00F57DE7" w:rsidRPr="009E1B38" w:rsidRDefault="00224F82" w:rsidP="00F57DE7">
            <w:pPr>
              <w:ind w:left="21"/>
              <w:contextualSpacing/>
              <w:jc w:val="center"/>
              <w:rPr>
                <w:rFonts w:ascii="Times New Roman" w:hAnsi="Times New Roman"/>
                <w:b/>
                <w:sz w:val="21"/>
                <w:szCs w:val="21"/>
              </w:rPr>
            </w:pPr>
            <w:r w:rsidRPr="009E1B38">
              <w:rPr>
                <w:rFonts w:ascii="Times New Roman" w:hAnsi="Times New Roman"/>
                <w:b/>
                <w:color w:val="000000"/>
                <w:sz w:val="21"/>
                <w:szCs w:val="21"/>
              </w:rPr>
              <w:t>OSOS ADDİTİONAL DATA REQUEST FEE</w:t>
            </w:r>
          </w:p>
        </w:tc>
      </w:tr>
      <w:tr w:rsidR="00F57DE7" w:rsidRPr="009E1B38" w14:paraId="7D4A8823" w14:textId="77777777" w:rsidTr="009B64F4">
        <w:trPr>
          <w:trHeight w:val="340"/>
        </w:trPr>
        <w:tc>
          <w:tcPr>
            <w:tcW w:w="1920" w:type="dxa"/>
            <w:hideMark/>
          </w:tcPr>
          <w:p w14:paraId="7D4A8821" w14:textId="77777777" w:rsidR="00F57DE7" w:rsidRPr="009E1B38" w:rsidRDefault="00F57DE7" w:rsidP="00F57DE7">
            <w:pPr>
              <w:ind w:left="21"/>
              <w:contextualSpacing/>
              <w:jc w:val="center"/>
              <w:rPr>
                <w:rFonts w:ascii="Times New Roman" w:hAnsi="Times New Roman"/>
                <w:b/>
                <w:bCs/>
              </w:rPr>
            </w:pPr>
            <w:r w:rsidRPr="009E1B38">
              <w:rPr>
                <w:rFonts w:ascii="Times New Roman" w:hAnsi="Times New Roman"/>
                <w:b/>
                <w:bCs/>
              </w:rPr>
              <w:t>2022</w:t>
            </w:r>
          </w:p>
        </w:tc>
        <w:tc>
          <w:tcPr>
            <w:tcW w:w="1453" w:type="dxa"/>
            <w:hideMark/>
          </w:tcPr>
          <w:p w14:paraId="7D4A8822" w14:textId="01EF6593" w:rsidR="00F57DE7" w:rsidRPr="009E1B38" w:rsidRDefault="00880017" w:rsidP="00F57DE7">
            <w:pPr>
              <w:ind w:left="21"/>
              <w:contextualSpacing/>
              <w:jc w:val="center"/>
              <w:rPr>
                <w:rFonts w:ascii="Times New Roman" w:hAnsi="Times New Roman"/>
                <w:b/>
                <w:bCs/>
              </w:rPr>
            </w:pPr>
            <w:r w:rsidRPr="009E1B38">
              <w:rPr>
                <w:rFonts w:ascii="Times New Roman" w:hAnsi="Times New Roman"/>
                <w:b/>
                <w:bCs/>
              </w:rPr>
              <w:t>Price</w:t>
            </w:r>
            <w:r w:rsidR="00F57DE7" w:rsidRPr="009E1B38">
              <w:rPr>
                <w:rFonts w:ascii="Times New Roman" w:hAnsi="Times New Roman"/>
                <w:b/>
                <w:bCs/>
              </w:rPr>
              <w:t xml:space="preserve"> (TL)</w:t>
            </w:r>
          </w:p>
        </w:tc>
      </w:tr>
      <w:tr w:rsidR="00F57DE7" w:rsidRPr="009E1B38" w14:paraId="7D4A8826" w14:textId="77777777" w:rsidTr="009B64F4">
        <w:trPr>
          <w:trHeight w:val="340"/>
        </w:trPr>
        <w:tc>
          <w:tcPr>
            <w:tcW w:w="1920" w:type="dxa"/>
            <w:hideMark/>
          </w:tcPr>
          <w:p w14:paraId="7D4A8824" w14:textId="7A119693" w:rsidR="00F57DE7" w:rsidRPr="009E1B38" w:rsidRDefault="00880017" w:rsidP="00F57DE7">
            <w:pPr>
              <w:ind w:left="21"/>
              <w:contextualSpacing/>
              <w:jc w:val="center"/>
              <w:rPr>
                <w:rFonts w:ascii="Times New Roman" w:hAnsi="Times New Roman"/>
              </w:rPr>
            </w:pPr>
            <w:r w:rsidRPr="009E1B38">
              <w:rPr>
                <w:rFonts w:ascii="Times New Roman" w:hAnsi="Times New Roman"/>
              </w:rPr>
              <w:t>Counter/Month</w:t>
            </w:r>
          </w:p>
        </w:tc>
        <w:tc>
          <w:tcPr>
            <w:tcW w:w="1453" w:type="dxa"/>
            <w:hideMark/>
          </w:tcPr>
          <w:p w14:paraId="7D4A8825" w14:textId="77777777" w:rsidR="00F57DE7" w:rsidRPr="009E1B38" w:rsidRDefault="00F57DE7" w:rsidP="00F57DE7">
            <w:pPr>
              <w:ind w:left="21"/>
              <w:contextualSpacing/>
              <w:jc w:val="center"/>
              <w:rPr>
                <w:rFonts w:ascii="Times New Roman" w:hAnsi="Times New Roman"/>
              </w:rPr>
            </w:pPr>
            <w:r w:rsidRPr="009E1B38">
              <w:rPr>
                <w:rFonts w:ascii="Times New Roman" w:hAnsi="Times New Roman"/>
              </w:rPr>
              <w:t>10,7</w:t>
            </w:r>
          </w:p>
        </w:tc>
      </w:tr>
    </w:tbl>
    <w:p w14:paraId="7D4A8827" w14:textId="77777777" w:rsidR="00D8108C" w:rsidRPr="009E1B38" w:rsidRDefault="00D8108C" w:rsidP="005A2FE5">
      <w:pPr>
        <w:spacing w:after="0" w:line="240" w:lineRule="auto"/>
        <w:rPr>
          <w:rFonts w:ascii="Times New Roman" w:hAnsi="Times New Roman"/>
          <w:i/>
        </w:rPr>
      </w:pPr>
    </w:p>
    <w:p w14:paraId="7D4A8829" w14:textId="10BE4261" w:rsidR="00D8108C" w:rsidRPr="009E1B38" w:rsidRDefault="00880017" w:rsidP="00D8108C">
      <w:pPr>
        <w:spacing w:after="160" w:line="259" w:lineRule="auto"/>
        <w:ind w:left="720"/>
        <w:contextualSpacing/>
        <w:rPr>
          <w:rFonts w:ascii="Times New Roman" w:hAnsi="Times New Roman"/>
        </w:rPr>
      </w:pPr>
      <w:r w:rsidRPr="009E1B38">
        <w:rPr>
          <w:rFonts w:ascii="Times New Roman" w:hAnsi="Times New Roman"/>
        </w:rPr>
        <w:t>• With the Board Decision dated 30.12.2021 and numbered 10687-12 published in the Official Gazette dated 31.12.2021 and numbered 31706 (6th repeated), electricity distribution for electricity generation facilities based on unlicensed solar energy over 10 kW within the scope of the Regulation on Unlicensed Electricity Generation in the Electricity Market. It has been decided that the project approval and acceptance fees to be made by the companies will be applied as follows as of 01.01.2022.</w:t>
      </w: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878"/>
        <w:gridCol w:w="1153"/>
        <w:gridCol w:w="3886"/>
        <w:gridCol w:w="1145"/>
      </w:tblGrid>
      <w:tr w:rsidR="00D8108C" w:rsidRPr="009E1B38" w14:paraId="7D4A882C" w14:textId="77777777" w:rsidTr="00A024D9">
        <w:trPr>
          <w:trHeight w:val="547"/>
          <w:jc w:val="center"/>
        </w:trPr>
        <w:tc>
          <w:tcPr>
            <w:tcW w:w="5000" w:type="pct"/>
            <w:gridSpan w:val="4"/>
            <w:shd w:val="clear" w:color="000000" w:fill="FFFFFF"/>
            <w:vAlign w:val="center"/>
            <w:hideMark/>
          </w:tcPr>
          <w:p w14:paraId="7D4A882B" w14:textId="10B743AB" w:rsidR="00D8108C" w:rsidRPr="009E1B38" w:rsidRDefault="00880017" w:rsidP="00D8108C">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UNLICENSED ELECTRICITY GENERATION FACILITIES BASED ON SOLAR ENERGY PROJECT APPROVAL AND ACCEPTANCE FEES</w:t>
            </w:r>
          </w:p>
        </w:tc>
      </w:tr>
      <w:tr w:rsidR="00D8108C" w:rsidRPr="009E1B38" w14:paraId="7D4A8832" w14:textId="77777777" w:rsidTr="00A024D9">
        <w:trPr>
          <w:trHeight w:val="20"/>
          <w:jc w:val="center"/>
        </w:trPr>
        <w:tc>
          <w:tcPr>
            <w:tcW w:w="1927" w:type="pct"/>
            <w:shd w:val="clear" w:color="000000" w:fill="FFFFFF"/>
            <w:vAlign w:val="center"/>
            <w:hideMark/>
          </w:tcPr>
          <w:p w14:paraId="7D4A882D" w14:textId="3CE74191" w:rsidR="00D8108C" w:rsidRPr="009E1B38" w:rsidRDefault="00880017" w:rsidP="00D8108C">
            <w:pPr>
              <w:spacing w:after="0" w:line="240" w:lineRule="auto"/>
              <w:jc w:val="left"/>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PROJECT APPROVAL FEE OF SPP FACILITIES WITHIN THE SCOPE OF UNLICENSED ELECTRICITY GENERAT</w:t>
            </w:r>
            <w:r w:rsidR="005A2FE5" w:rsidRPr="009E1B38">
              <w:rPr>
                <w:rFonts w:ascii="Times New Roman" w:eastAsia="Times New Roman" w:hAnsi="Times New Roman"/>
                <w:b/>
                <w:color w:val="000000"/>
                <w:lang w:eastAsia="tr-TR"/>
              </w:rPr>
              <w:t>I</w:t>
            </w:r>
            <w:r w:rsidRPr="009E1B38">
              <w:rPr>
                <w:rFonts w:ascii="Times New Roman" w:eastAsia="Times New Roman" w:hAnsi="Times New Roman"/>
                <w:b/>
                <w:color w:val="000000"/>
                <w:lang w:eastAsia="tr-TR"/>
              </w:rPr>
              <w:t>ON REGULAT</w:t>
            </w:r>
            <w:r w:rsidR="005A2FE5" w:rsidRPr="009E1B38">
              <w:rPr>
                <w:rFonts w:ascii="Times New Roman" w:eastAsia="Times New Roman" w:hAnsi="Times New Roman"/>
                <w:b/>
                <w:color w:val="000000"/>
                <w:lang w:eastAsia="tr-TR"/>
              </w:rPr>
              <w:t>I</w:t>
            </w:r>
            <w:r w:rsidRPr="009E1B38">
              <w:rPr>
                <w:rFonts w:ascii="Times New Roman" w:eastAsia="Times New Roman" w:hAnsi="Times New Roman"/>
                <w:b/>
                <w:color w:val="000000"/>
                <w:lang w:eastAsia="tr-TR"/>
              </w:rPr>
              <w:t>ON</w:t>
            </w:r>
          </w:p>
        </w:tc>
        <w:tc>
          <w:tcPr>
            <w:tcW w:w="573" w:type="pct"/>
            <w:shd w:val="clear" w:color="000000" w:fill="FFFFFF"/>
            <w:vAlign w:val="center"/>
            <w:hideMark/>
          </w:tcPr>
          <w:p w14:paraId="7D4A882F" w14:textId="27AE8812" w:rsidR="00D8108C" w:rsidRPr="009E1B38" w:rsidRDefault="005A2FE5" w:rsidP="005A2FE5">
            <w:pPr>
              <w:spacing w:after="0" w:line="240" w:lineRule="auto"/>
              <w:jc w:val="left"/>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FEE TL (VAT excluded)</w:t>
            </w:r>
          </w:p>
        </w:tc>
        <w:tc>
          <w:tcPr>
            <w:tcW w:w="1931" w:type="pct"/>
            <w:shd w:val="clear" w:color="000000" w:fill="FFFFFF"/>
            <w:vAlign w:val="center"/>
            <w:hideMark/>
          </w:tcPr>
          <w:p w14:paraId="7D4A8830" w14:textId="0CFA4CB5" w:rsidR="00D8108C" w:rsidRPr="009E1B38" w:rsidRDefault="005A2FE5" w:rsidP="00D8108C">
            <w:pPr>
              <w:spacing w:after="0" w:line="240" w:lineRule="auto"/>
              <w:jc w:val="left"/>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ACCEPTANCE FEES OF SPP FACILITIES UNDER UNLICENSED ELECTRICITY GENERATION REGULATION</w:t>
            </w:r>
          </w:p>
        </w:tc>
        <w:tc>
          <w:tcPr>
            <w:tcW w:w="569" w:type="pct"/>
            <w:shd w:val="clear" w:color="000000" w:fill="FFFFFF"/>
            <w:vAlign w:val="center"/>
            <w:hideMark/>
          </w:tcPr>
          <w:p w14:paraId="7D4A8831" w14:textId="77F5BCDF" w:rsidR="00D8108C" w:rsidRPr="009E1B38" w:rsidRDefault="005A2FE5" w:rsidP="00D8108C">
            <w:pPr>
              <w:spacing w:after="0" w:line="240" w:lineRule="auto"/>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FEE TL (VAT excluded)</w:t>
            </w:r>
          </w:p>
        </w:tc>
      </w:tr>
      <w:tr w:rsidR="00D8108C" w:rsidRPr="009E1B38" w14:paraId="7D4A8837" w14:textId="77777777" w:rsidTr="00A024D9">
        <w:trPr>
          <w:trHeight w:val="20"/>
          <w:jc w:val="center"/>
        </w:trPr>
        <w:tc>
          <w:tcPr>
            <w:tcW w:w="1927" w:type="pct"/>
            <w:shd w:val="clear" w:color="auto" w:fill="auto"/>
            <w:vAlign w:val="center"/>
            <w:hideMark/>
          </w:tcPr>
          <w:p w14:paraId="7D4A8833" w14:textId="777D9B88" w:rsidR="00D8108C" w:rsidRPr="009E1B38" w:rsidRDefault="005A2FE5"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10 kWe - 100 kWe (100 kWe included) Electrical Project Approval of GES Production Facilities within the Scope of UNLICENSED ELECTRICITY GENERATION REGULATION</w:t>
            </w:r>
          </w:p>
        </w:tc>
        <w:tc>
          <w:tcPr>
            <w:tcW w:w="573" w:type="pct"/>
            <w:shd w:val="clear" w:color="auto" w:fill="auto"/>
            <w:vAlign w:val="center"/>
            <w:hideMark/>
          </w:tcPr>
          <w:p w14:paraId="7D4A8834"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375,3</w:t>
            </w:r>
          </w:p>
        </w:tc>
        <w:tc>
          <w:tcPr>
            <w:tcW w:w="1931" w:type="pct"/>
            <w:shd w:val="clear" w:color="auto" w:fill="auto"/>
            <w:vAlign w:val="center"/>
            <w:hideMark/>
          </w:tcPr>
          <w:p w14:paraId="7D4A8835" w14:textId="77D56F66" w:rsidR="00D8108C" w:rsidRPr="009E1B38" w:rsidRDefault="00C158AB"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10 kWe - 100 kWe (100 kWe included) Acceptance Fee of SPP Production Facilities within the Scope of UNLICENSED ELECTRICITY GENERATION REGULATION</w:t>
            </w:r>
          </w:p>
        </w:tc>
        <w:tc>
          <w:tcPr>
            <w:tcW w:w="569" w:type="pct"/>
            <w:shd w:val="clear" w:color="auto" w:fill="auto"/>
            <w:vAlign w:val="center"/>
            <w:hideMark/>
          </w:tcPr>
          <w:p w14:paraId="7D4A8836"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714,2</w:t>
            </w:r>
          </w:p>
        </w:tc>
      </w:tr>
      <w:tr w:rsidR="00D8108C" w:rsidRPr="009E1B38" w14:paraId="7D4A883C" w14:textId="77777777" w:rsidTr="00A024D9">
        <w:trPr>
          <w:trHeight w:val="20"/>
          <w:jc w:val="center"/>
        </w:trPr>
        <w:tc>
          <w:tcPr>
            <w:tcW w:w="1927" w:type="pct"/>
            <w:shd w:val="clear" w:color="auto" w:fill="auto"/>
            <w:vAlign w:val="center"/>
            <w:hideMark/>
          </w:tcPr>
          <w:p w14:paraId="7D4A8838" w14:textId="77CA014A" w:rsidR="00D8108C" w:rsidRPr="009E1B38" w:rsidRDefault="005A2FE5"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100 kWe - 300 kWe (300 kWe included) Electrical Project Approval of GES Production Facilities within the Scope of UNLICENSED ELECTRICITY GENERATION REGULATION</w:t>
            </w:r>
          </w:p>
        </w:tc>
        <w:tc>
          <w:tcPr>
            <w:tcW w:w="573" w:type="pct"/>
            <w:shd w:val="clear" w:color="auto" w:fill="auto"/>
            <w:vAlign w:val="center"/>
            <w:hideMark/>
          </w:tcPr>
          <w:p w14:paraId="7D4A8839"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1.428,3</w:t>
            </w:r>
          </w:p>
        </w:tc>
        <w:tc>
          <w:tcPr>
            <w:tcW w:w="1931" w:type="pct"/>
            <w:shd w:val="clear" w:color="auto" w:fill="auto"/>
            <w:vAlign w:val="center"/>
            <w:hideMark/>
          </w:tcPr>
          <w:p w14:paraId="7D4A883A" w14:textId="41C0772D" w:rsidR="00D8108C" w:rsidRPr="009E1B38" w:rsidRDefault="00C158AB"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100 kWe- 300 kWe (300 kWe included) Acceptance Fee of SPP Production Facilities within the Scope of UNLICENSED ELECTRICITY GENERATION REGULATION</w:t>
            </w:r>
          </w:p>
        </w:tc>
        <w:tc>
          <w:tcPr>
            <w:tcW w:w="569" w:type="pct"/>
            <w:shd w:val="clear" w:color="auto" w:fill="auto"/>
            <w:vAlign w:val="center"/>
            <w:hideMark/>
          </w:tcPr>
          <w:p w14:paraId="7D4A883B"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2.063,5</w:t>
            </w:r>
          </w:p>
        </w:tc>
      </w:tr>
      <w:tr w:rsidR="00D8108C" w:rsidRPr="009E1B38" w14:paraId="7D4A8841" w14:textId="77777777" w:rsidTr="00A024D9">
        <w:trPr>
          <w:trHeight w:val="20"/>
          <w:jc w:val="center"/>
        </w:trPr>
        <w:tc>
          <w:tcPr>
            <w:tcW w:w="1927" w:type="pct"/>
            <w:shd w:val="clear" w:color="auto" w:fill="auto"/>
            <w:vAlign w:val="center"/>
            <w:hideMark/>
          </w:tcPr>
          <w:p w14:paraId="7D4A883D" w14:textId="04C9519A" w:rsidR="00D8108C" w:rsidRPr="009E1B38" w:rsidRDefault="005A2FE5"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300 kWe - 500 kWe (500 kWe included) Electrical Project Approval of GES Production Facilities within the Scope of UNLICENSED ELECTRICITY GENERATION REGULATION</w:t>
            </w:r>
          </w:p>
        </w:tc>
        <w:tc>
          <w:tcPr>
            <w:tcW w:w="573" w:type="pct"/>
            <w:shd w:val="clear" w:color="auto" w:fill="auto"/>
            <w:vAlign w:val="center"/>
            <w:hideMark/>
          </w:tcPr>
          <w:p w14:paraId="7D4A883E"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3.055,8</w:t>
            </w:r>
          </w:p>
        </w:tc>
        <w:tc>
          <w:tcPr>
            <w:tcW w:w="1931" w:type="pct"/>
            <w:shd w:val="clear" w:color="auto" w:fill="auto"/>
            <w:vAlign w:val="center"/>
            <w:hideMark/>
          </w:tcPr>
          <w:p w14:paraId="7D4A883F" w14:textId="4329FF3E" w:rsidR="00D8108C" w:rsidRPr="009E1B38" w:rsidRDefault="00C158AB"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300 kWe- 500 kWe (500 kWe included) Acceptance Fee of SPP Production Facilities within the Scope of UNLICENSED ELECTRICITY GENERATION REGULATION</w:t>
            </w:r>
          </w:p>
        </w:tc>
        <w:tc>
          <w:tcPr>
            <w:tcW w:w="569" w:type="pct"/>
            <w:shd w:val="clear" w:color="auto" w:fill="auto"/>
            <w:vAlign w:val="center"/>
            <w:hideMark/>
          </w:tcPr>
          <w:p w14:paraId="7D4A8840"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3.117,9</w:t>
            </w:r>
          </w:p>
        </w:tc>
      </w:tr>
      <w:tr w:rsidR="00D8108C" w:rsidRPr="009E1B38" w14:paraId="7D4A8846" w14:textId="77777777" w:rsidTr="00A024D9">
        <w:trPr>
          <w:trHeight w:val="20"/>
          <w:jc w:val="center"/>
        </w:trPr>
        <w:tc>
          <w:tcPr>
            <w:tcW w:w="1927" w:type="pct"/>
            <w:shd w:val="clear" w:color="auto" w:fill="auto"/>
            <w:vAlign w:val="center"/>
            <w:hideMark/>
          </w:tcPr>
          <w:p w14:paraId="7D4A8842" w14:textId="007D825F" w:rsidR="00D8108C" w:rsidRPr="009E1B38" w:rsidRDefault="005A2FE5"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700 kWe - 1000 kWe (1000 kWe excluded) Electrical Project Approval of GES Production Facilities within the Scope of UNLICENSED ELECTRICITY GENERATION REGULATION</w:t>
            </w:r>
          </w:p>
        </w:tc>
        <w:tc>
          <w:tcPr>
            <w:tcW w:w="573" w:type="pct"/>
            <w:shd w:val="clear" w:color="auto" w:fill="auto"/>
            <w:vAlign w:val="center"/>
            <w:hideMark/>
          </w:tcPr>
          <w:p w14:paraId="7D4A8843"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5.039,7</w:t>
            </w:r>
          </w:p>
        </w:tc>
        <w:tc>
          <w:tcPr>
            <w:tcW w:w="1931" w:type="pct"/>
            <w:shd w:val="clear" w:color="auto" w:fill="auto"/>
            <w:vAlign w:val="center"/>
            <w:hideMark/>
          </w:tcPr>
          <w:p w14:paraId="7D4A8844" w14:textId="73E3356E" w:rsidR="00D8108C" w:rsidRPr="009E1B38" w:rsidRDefault="00C158AB"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500 kWe- 700 kWe (700 kWe included) Acceptance Fee of SPP Production Facilities within the Scope of UNLICENSED ELECTRICITY GENERATION REGULATION</w:t>
            </w:r>
          </w:p>
        </w:tc>
        <w:tc>
          <w:tcPr>
            <w:tcW w:w="569" w:type="pct"/>
            <w:shd w:val="clear" w:color="auto" w:fill="auto"/>
            <w:vAlign w:val="center"/>
            <w:hideMark/>
          </w:tcPr>
          <w:p w14:paraId="7D4A8845"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5.520,9</w:t>
            </w:r>
          </w:p>
        </w:tc>
      </w:tr>
      <w:tr w:rsidR="00D8108C" w:rsidRPr="009E1B38" w14:paraId="7D4A884B" w14:textId="77777777" w:rsidTr="00A024D9">
        <w:trPr>
          <w:trHeight w:val="20"/>
          <w:jc w:val="center"/>
        </w:trPr>
        <w:tc>
          <w:tcPr>
            <w:tcW w:w="1927" w:type="pct"/>
            <w:shd w:val="clear" w:color="auto" w:fill="auto"/>
            <w:vAlign w:val="center"/>
            <w:hideMark/>
          </w:tcPr>
          <w:p w14:paraId="7D4A8847" w14:textId="76331CDE" w:rsidR="00D8108C" w:rsidRPr="009E1B38" w:rsidRDefault="008D1E1F"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700 kWe – 1 MWe (excluding 1 MWe) Electrical Project Approval of GES Production Facilities within the Scope of LUY</w:t>
            </w:r>
          </w:p>
        </w:tc>
        <w:tc>
          <w:tcPr>
            <w:tcW w:w="573" w:type="pct"/>
            <w:shd w:val="clear" w:color="auto" w:fill="auto"/>
            <w:vAlign w:val="center"/>
            <w:hideMark/>
          </w:tcPr>
          <w:p w14:paraId="7D4A8848"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6.949,3</w:t>
            </w:r>
          </w:p>
        </w:tc>
        <w:tc>
          <w:tcPr>
            <w:tcW w:w="1931" w:type="pct"/>
            <w:shd w:val="clear" w:color="auto" w:fill="auto"/>
            <w:vAlign w:val="center"/>
            <w:hideMark/>
          </w:tcPr>
          <w:p w14:paraId="7D4A8849" w14:textId="7A4A1ECF" w:rsidR="00D8108C" w:rsidRPr="009E1B38" w:rsidRDefault="00C158AB"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700 kWe - 1 MWe (1 MWe excluded) Acceptance Fee of SPP Production Facilities within the Scope of UNLICENSED ELECTRICITY GENERATION REGULATION</w:t>
            </w:r>
          </w:p>
        </w:tc>
        <w:tc>
          <w:tcPr>
            <w:tcW w:w="569" w:type="pct"/>
            <w:shd w:val="clear" w:color="auto" w:fill="auto"/>
            <w:vAlign w:val="center"/>
            <w:hideMark/>
          </w:tcPr>
          <w:p w14:paraId="7D4A884A"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7.023,5</w:t>
            </w:r>
          </w:p>
        </w:tc>
      </w:tr>
      <w:tr w:rsidR="00D8108C" w:rsidRPr="009E1B38" w14:paraId="7D4A8850" w14:textId="77777777" w:rsidTr="00A024D9">
        <w:trPr>
          <w:trHeight w:val="1904"/>
          <w:jc w:val="center"/>
        </w:trPr>
        <w:tc>
          <w:tcPr>
            <w:tcW w:w="1927" w:type="pct"/>
            <w:shd w:val="clear" w:color="auto" w:fill="auto"/>
            <w:vAlign w:val="center"/>
            <w:hideMark/>
          </w:tcPr>
          <w:p w14:paraId="7D4A884C" w14:textId="67436005" w:rsidR="00D8108C" w:rsidRPr="009E1B38" w:rsidRDefault="00C158AB"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lastRenderedPageBreak/>
              <w:t>Electricity Project Approval for Each MWe of SPP Production Facilities within the scope of LUY over 1 MWe; An additional project approval service fee is charged at the rate of 50% of the service price of 700 kWe - 1000 kWe for each MWe in SPP</w:t>
            </w:r>
          </w:p>
        </w:tc>
        <w:tc>
          <w:tcPr>
            <w:tcW w:w="573" w:type="pct"/>
            <w:shd w:val="clear" w:color="auto" w:fill="auto"/>
            <w:vAlign w:val="center"/>
            <w:hideMark/>
          </w:tcPr>
          <w:p w14:paraId="7D4A884D"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lang w:eastAsia="tr-TR"/>
              </w:rPr>
              <w:t>3.475,0</w:t>
            </w:r>
          </w:p>
        </w:tc>
        <w:tc>
          <w:tcPr>
            <w:tcW w:w="1931" w:type="pct"/>
            <w:shd w:val="clear" w:color="auto" w:fill="auto"/>
            <w:vAlign w:val="center"/>
            <w:hideMark/>
          </w:tcPr>
          <w:p w14:paraId="7D4A884E" w14:textId="0F595202" w:rsidR="00D8108C" w:rsidRPr="009E1B38" w:rsidRDefault="00C158AB" w:rsidP="00D8108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Acceptance Fee per MWe of SPP Production Facilities within the scope of LUY over 1 MWe; An additional acceptance fee of 50% of the service price of 700 kWe - 1000 kWe is charged for each MWe in SPP generation facilities</w:t>
            </w:r>
          </w:p>
        </w:tc>
        <w:tc>
          <w:tcPr>
            <w:tcW w:w="569" w:type="pct"/>
            <w:shd w:val="clear" w:color="auto" w:fill="auto"/>
            <w:vAlign w:val="center"/>
            <w:hideMark/>
          </w:tcPr>
          <w:p w14:paraId="7D4A884F" w14:textId="77777777" w:rsidR="00D8108C" w:rsidRPr="009E1B38" w:rsidRDefault="00D8108C" w:rsidP="00D8108C">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color w:val="000000"/>
                <w:lang w:eastAsia="tr-TR"/>
              </w:rPr>
              <w:t>3.512,1</w:t>
            </w:r>
          </w:p>
        </w:tc>
      </w:tr>
    </w:tbl>
    <w:p w14:paraId="193CFBAD" w14:textId="77777777" w:rsidR="008D1E1F" w:rsidRPr="009E1B38" w:rsidRDefault="008D1E1F" w:rsidP="008D1E1F">
      <w:pPr>
        <w:spacing w:after="160" w:line="259" w:lineRule="auto"/>
        <w:contextualSpacing/>
        <w:rPr>
          <w:rFonts w:ascii="Times New Roman" w:hAnsi="Times New Roman"/>
        </w:rPr>
      </w:pPr>
    </w:p>
    <w:p w14:paraId="7D4A8853" w14:textId="0BAEA839" w:rsidR="00F57DE7" w:rsidRPr="009E1B38" w:rsidRDefault="008D1E1F" w:rsidP="008D1E1F">
      <w:pPr>
        <w:spacing w:after="160" w:line="259" w:lineRule="auto"/>
        <w:contextualSpacing/>
        <w:rPr>
          <w:rFonts w:ascii="Times New Roman" w:hAnsi="Times New Roman"/>
        </w:rPr>
      </w:pPr>
      <w:r w:rsidRPr="009E1B38">
        <w:rPr>
          <w:rFonts w:ascii="Times New Roman" w:hAnsi="Times New Roman"/>
        </w:rPr>
        <w:t>•   Technical quality measurement in accordance with Article 2 of Board Decision dated 30.12.2021 and numbered 10687-13 published in the Official Gazette dated 31.12.2021 and numbered 31706 (6.repeated) and Board Decision no. 10505/1 dated 21.10.2021. It has been decided that the service fee will be applied as follows as of 01.01.2022.</w:t>
      </w:r>
    </w:p>
    <w:tbl>
      <w:tblPr>
        <w:tblStyle w:val="TabloKlavuzu31"/>
        <w:tblW w:w="0" w:type="auto"/>
        <w:jc w:val="center"/>
        <w:tblLook w:val="04A0" w:firstRow="1" w:lastRow="0" w:firstColumn="1" w:lastColumn="0" w:noHBand="0" w:noVBand="1"/>
      </w:tblPr>
      <w:tblGrid>
        <w:gridCol w:w="3244"/>
        <w:gridCol w:w="1411"/>
        <w:gridCol w:w="1835"/>
      </w:tblGrid>
      <w:tr w:rsidR="00F57DE7" w:rsidRPr="009E1B38" w14:paraId="7D4A8855" w14:textId="77777777" w:rsidTr="009B64F4">
        <w:trPr>
          <w:trHeight w:val="227"/>
          <w:jc w:val="center"/>
        </w:trPr>
        <w:tc>
          <w:tcPr>
            <w:tcW w:w="6490" w:type="dxa"/>
            <w:gridSpan w:val="3"/>
            <w:vAlign w:val="center"/>
          </w:tcPr>
          <w:p w14:paraId="7D4A8854" w14:textId="5FB2F840" w:rsidR="00F57DE7" w:rsidRPr="009E1B38" w:rsidRDefault="005854B4" w:rsidP="008D1E1F">
            <w:pPr>
              <w:ind w:left="35"/>
              <w:contextualSpacing/>
              <w:rPr>
                <w:rFonts w:ascii="Times New Roman" w:hAnsi="Times New Roman"/>
                <w:b/>
                <w:bCs/>
                <w:sz w:val="20"/>
                <w:szCs w:val="20"/>
              </w:rPr>
            </w:pPr>
            <w:r w:rsidRPr="009E1B38">
              <w:rPr>
                <w:rFonts w:ascii="Times New Roman" w:hAnsi="Times New Roman"/>
                <w:b/>
                <w:bCs/>
                <w:sz w:val="20"/>
                <w:szCs w:val="20"/>
              </w:rPr>
              <w:t>Technical Quality Measurement Service Fees</w:t>
            </w:r>
          </w:p>
        </w:tc>
      </w:tr>
      <w:tr w:rsidR="00F57DE7" w:rsidRPr="009E1B38" w14:paraId="7D4A8857" w14:textId="77777777" w:rsidTr="009B64F4">
        <w:trPr>
          <w:trHeight w:val="227"/>
          <w:jc w:val="center"/>
        </w:trPr>
        <w:tc>
          <w:tcPr>
            <w:tcW w:w="6490" w:type="dxa"/>
            <w:gridSpan w:val="3"/>
            <w:vAlign w:val="center"/>
          </w:tcPr>
          <w:p w14:paraId="7D4A8856" w14:textId="77777777" w:rsidR="00F57DE7" w:rsidRPr="009E1B38" w:rsidRDefault="00F57DE7" w:rsidP="008D1E1F">
            <w:pPr>
              <w:ind w:left="35"/>
              <w:contextualSpacing/>
              <w:rPr>
                <w:rFonts w:ascii="Times New Roman" w:hAnsi="Times New Roman"/>
                <w:b/>
                <w:bCs/>
                <w:sz w:val="20"/>
                <w:szCs w:val="20"/>
              </w:rPr>
            </w:pPr>
            <w:r w:rsidRPr="009E1B38">
              <w:rPr>
                <w:rFonts w:ascii="Times New Roman" w:hAnsi="Times New Roman"/>
                <w:b/>
                <w:bCs/>
                <w:sz w:val="20"/>
                <w:szCs w:val="20"/>
              </w:rPr>
              <w:t>2022</w:t>
            </w:r>
          </w:p>
        </w:tc>
      </w:tr>
      <w:tr w:rsidR="00F57DE7" w:rsidRPr="009E1B38" w14:paraId="7D4A885A" w14:textId="77777777" w:rsidTr="009B64F4">
        <w:trPr>
          <w:trHeight w:val="227"/>
          <w:jc w:val="center"/>
        </w:trPr>
        <w:tc>
          <w:tcPr>
            <w:tcW w:w="3244" w:type="dxa"/>
            <w:vMerge w:val="restart"/>
            <w:vAlign w:val="center"/>
            <w:hideMark/>
          </w:tcPr>
          <w:p w14:paraId="7D4A8858" w14:textId="56F668DE" w:rsidR="00F57DE7" w:rsidRPr="009E1B38" w:rsidRDefault="005854B4" w:rsidP="008D1E1F">
            <w:pPr>
              <w:ind w:left="35"/>
              <w:contextualSpacing/>
              <w:rPr>
                <w:rFonts w:ascii="Times New Roman" w:hAnsi="Times New Roman"/>
                <w:b/>
                <w:bCs/>
              </w:rPr>
            </w:pPr>
            <w:r w:rsidRPr="009E1B38">
              <w:rPr>
                <w:rFonts w:ascii="Times New Roman" w:hAnsi="Times New Roman"/>
                <w:b/>
                <w:bCs/>
                <w:sz w:val="20"/>
                <w:szCs w:val="20"/>
              </w:rPr>
              <w:t>Device Type</w:t>
            </w:r>
          </w:p>
        </w:tc>
        <w:tc>
          <w:tcPr>
            <w:tcW w:w="3246" w:type="dxa"/>
            <w:gridSpan w:val="2"/>
            <w:vAlign w:val="center"/>
            <w:hideMark/>
          </w:tcPr>
          <w:p w14:paraId="7D4A8859" w14:textId="5483871A" w:rsidR="00F57DE7" w:rsidRPr="009E1B38" w:rsidRDefault="005854B4" w:rsidP="008D1E1F">
            <w:pPr>
              <w:ind w:left="35"/>
              <w:contextualSpacing/>
              <w:rPr>
                <w:rFonts w:ascii="Times New Roman" w:hAnsi="Times New Roman"/>
                <w:b/>
                <w:bCs/>
              </w:rPr>
            </w:pPr>
            <w:r w:rsidRPr="009E1B38">
              <w:rPr>
                <w:rFonts w:ascii="Times New Roman" w:hAnsi="Times New Roman"/>
                <w:b/>
                <w:bCs/>
                <w:sz w:val="20"/>
                <w:szCs w:val="20"/>
              </w:rPr>
              <w:t>Price</w:t>
            </w:r>
            <w:r w:rsidR="00F57DE7" w:rsidRPr="009E1B38">
              <w:rPr>
                <w:rFonts w:ascii="Times New Roman" w:hAnsi="Times New Roman"/>
                <w:b/>
                <w:bCs/>
                <w:sz w:val="20"/>
                <w:szCs w:val="20"/>
              </w:rPr>
              <w:t xml:space="preserve"> (TL)</w:t>
            </w:r>
          </w:p>
        </w:tc>
      </w:tr>
      <w:tr w:rsidR="00F57DE7" w:rsidRPr="009E1B38" w14:paraId="7D4A885E" w14:textId="77777777" w:rsidTr="009B64F4">
        <w:trPr>
          <w:trHeight w:val="310"/>
          <w:jc w:val="center"/>
        </w:trPr>
        <w:tc>
          <w:tcPr>
            <w:tcW w:w="3244" w:type="dxa"/>
            <w:vMerge/>
            <w:vAlign w:val="center"/>
            <w:hideMark/>
          </w:tcPr>
          <w:p w14:paraId="7D4A885B" w14:textId="77777777" w:rsidR="00F57DE7" w:rsidRPr="009E1B38" w:rsidRDefault="00F57DE7" w:rsidP="008D1E1F">
            <w:pPr>
              <w:ind w:left="35"/>
              <w:contextualSpacing/>
              <w:rPr>
                <w:rFonts w:ascii="Times New Roman" w:hAnsi="Times New Roman"/>
                <w:b/>
                <w:bCs/>
              </w:rPr>
            </w:pPr>
          </w:p>
        </w:tc>
        <w:tc>
          <w:tcPr>
            <w:tcW w:w="1411" w:type="dxa"/>
            <w:vAlign w:val="center"/>
            <w:hideMark/>
          </w:tcPr>
          <w:p w14:paraId="7D4A885C" w14:textId="77777777" w:rsidR="00F57DE7" w:rsidRPr="009E1B38" w:rsidRDefault="00F57DE7" w:rsidP="008D1E1F">
            <w:pPr>
              <w:ind w:left="35"/>
              <w:contextualSpacing/>
              <w:rPr>
                <w:rFonts w:ascii="Times New Roman" w:hAnsi="Times New Roman"/>
                <w:b/>
                <w:bCs/>
              </w:rPr>
            </w:pPr>
            <w:r w:rsidRPr="009E1B38">
              <w:rPr>
                <w:rFonts w:ascii="Times New Roman" w:hAnsi="Times New Roman"/>
                <w:b/>
                <w:bCs/>
                <w:sz w:val="20"/>
                <w:szCs w:val="20"/>
              </w:rPr>
              <w:t>AG</w:t>
            </w:r>
          </w:p>
        </w:tc>
        <w:tc>
          <w:tcPr>
            <w:tcW w:w="1835" w:type="dxa"/>
            <w:vAlign w:val="center"/>
          </w:tcPr>
          <w:p w14:paraId="7D4A885D" w14:textId="77777777" w:rsidR="00F57DE7" w:rsidRPr="009E1B38" w:rsidRDefault="00F57DE7" w:rsidP="008D1E1F">
            <w:pPr>
              <w:ind w:left="35"/>
              <w:contextualSpacing/>
              <w:rPr>
                <w:rFonts w:ascii="Times New Roman" w:hAnsi="Times New Roman"/>
                <w:b/>
                <w:bCs/>
              </w:rPr>
            </w:pPr>
            <w:r w:rsidRPr="009E1B38">
              <w:rPr>
                <w:rFonts w:ascii="Times New Roman" w:hAnsi="Times New Roman"/>
                <w:b/>
                <w:bCs/>
                <w:sz w:val="20"/>
                <w:szCs w:val="20"/>
              </w:rPr>
              <w:t>OG</w:t>
            </w:r>
          </w:p>
        </w:tc>
      </w:tr>
      <w:tr w:rsidR="00F57DE7" w:rsidRPr="009E1B38" w14:paraId="7D4A8862" w14:textId="77777777" w:rsidTr="009B64F4">
        <w:trPr>
          <w:trHeight w:val="310"/>
          <w:jc w:val="center"/>
        </w:trPr>
        <w:tc>
          <w:tcPr>
            <w:tcW w:w="3244" w:type="dxa"/>
            <w:vAlign w:val="center"/>
            <w:hideMark/>
          </w:tcPr>
          <w:p w14:paraId="7D4A885F" w14:textId="75D4C93D" w:rsidR="00F57DE7" w:rsidRPr="009E1B38" w:rsidRDefault="00F57DE7" w:rsidP="008D1E1F">
            <w:pPr>
              <w:ind w:left="35"/>
              <w:contextualSpacing/>
              <w:rPr>
                <w:rFonts w:ascii="Times New Roman" w:hAnsi="Times New Roman"/>
              </w:rPr>
            </w:pPr>
            <w:r w:rsidRPr="009E1B38">
              <w:rPr>
                <w:rFonts w:ascii="Times New Roman" w:hAnsi="Times New Roman"/>
                <w:sz w:val="20"/>
                <w:szCs w:val="20"/>
              </w:rPr>
              <w:t xml:space="preserve">S </w:t>
            </w:r>
            <w:r w:rsidR="005854B4" w:rsidRPr="009E1B38">
              <w:rPr>
                <w:rFonts w:ascii="Times New Roman" w:hAnsi="Times New Roman"/>
                <w:sz w:val="20"/>
                <w:szCs w:val="20"/>
              </w:rPr>
              <w:t>Type</w:t>
            </w:r>
          </w:p>
        </w:tc>
        <w:tc>
          <w:tcPr>
            <w:tcW w:w="1411" w:type="dxa"/>
            <w:vAlign w:val="center"/>
            <w:hideMark/>
          </w:tcPr>
          <w:p w14:paraId="7D4A8860" w14:textId="77777777" w:rsidR="00F57DE7" w:rsidRPr="009E1B38" w:rsidRDefault="00F57DE7" w:rsidP="008D1E1F">
            <w:pPr>
              <w:ind w:left="35"/>
              <w:contextualSpacing/>
              <w:rPr>
                <w:rFonts w:ascii="Times New Roman" w:hAnsi="Times New Roman"/>
              </w:rPr>
            </w:pPr>
            <w:r w:rsidRPr="009E1B38">
              <w:rPr>
                <w:rFonts w:ascii="Times New Roman" w:hAnsi="Times New Roman"/>
                <w:sz w:val="20"/>
                <w:szCs w:val="20"/>
              </w:rPr>
              <w:t>109,8</w:t>
            </w:r>
          </w:p>
        </w:tc>
        <w:tc>
          <w:tcPr>
            <w:tcW w:w="1835" w:type="dxa"/>
            <w:vAlign w:val="center"/>
          </w:tcPr>
          <w:p w14:paraId="7D4A8861" w14:textId="77777777" w:rsidR="00F57DE7" w:rsidRPr="009E1B38" w:rsidRDefault="00F57DE7" w:rsidP="008D1E1F">
            <w:pPr>
              <w:ind w:left="35"/>
              <w:contextualSpacing/>
              <w:rPr>
                <w:rFonts w:ascii="Times New Roman" w:hAnsi="Times New Roman"/>
              </w:rPr>
            </w:pPr>
            <w:r w:rsidRPr="009E1B38">
              <w:rPr>
                <w:rFonts w:ascii="Times New Roman" w:hAnsi="Times New Roman"/>
                <w:sz w:val="20"/>
                <w:szCs w:val="20"/>
              </w:rPr>
              <w:t>293</w:t>
            </w:r>
          </w:p>
        </w:tc>
      </w:tr>
      <w:tr w:rsidR="00F57DE7" w:rsidRPr="009E1B38" w14:paraId="7D4A8866" w14:textId="77777777" w:rsidTr="009B64F4">
        <w:trPr>
          <w:trHeight w:val="310"/>
          <w:jc w:val="center"/>
        </w:trPr>
        <w:tc>
          <w:tcPr>
            <w:tcW w:w="3244" w:type="dxa"/>
            <w:vAlign w:val="center"/>
            <w:hideMark/>
          </w:tcPr>
          <w:p w14:paraId="7D4A8863" w14:textId="75A132E9" w:rsidR="00F57DE7" w:rsidRPr="009E1B38" w:rsidRDefault="00F57DE7" w:rsidP="008D1E1F">
            <w:pPr>
              <w:ind w:left="35"/>
              <w:contextualSpacing/>
              <w:rPr>
                <w:rFonts w:ascii="Times New Roman" w:hAnsi="Times New Roman"/>
              </w:rPr>
            </w:pPr>
            <w:r w:rsidRPr="009E1B38">
              <w:rPr>
                <w:rFonts w:ascii="Times New Roman" w:hAnsi="Times New Roman"/>
                <w:sz w:val="20"/>
                <w:szCs w:val="20"/>
              </w:rPr>
              <w:t xml:space="preserve">A </w:t>
            </w:r>
            <w:r w:rsidR="005854B4" w:rsidRPr="009E1B38">
              <w:rPr>
                <w:rFonts w:ascii="Times New Roman" w:hAnsi="Times New Roman"/>
                <w:sz w:val="20"/>
                <w:szCs w:val="20"/>
              </w:rPr>
              <w:t>Type</w:t>
            </w:r>
          </w:p>
        </w:tc>
        <w:tc>
          <w:tcPr>
            <w:tcW w:w="1411" w:type="dxa"/>
            <w:vAlign w:val="center"/>
            <w:hideMark/>
          </w:tcPr>
          <w:p w14:paraId="7D4A8864" w14:textId="77777777" w:rsidR="00F57DE7" w:rsidRPr="009E1B38" w:rsidRDefault="00F57DE7" w:rsidP="008D1E1F">
            <w:pPr>
              <w:ind w:left="35"/>
              <w:contextualSpacing/>
              <w:rPr>
                <w:rFonts w:ascii="Times New Roman" w:hAnsi="Times New Roman"/>
              </w:rPr>
            </w:pPr>
            <w:r w:rsidRPr="009E1B38">
              <w:rPr>
                <w:rFonts w:ascii="Times New Roman" w:hAnsi="Times New Roman"/>
                <w:sz w:val="20"/>
                <w:szCs w:val="20"/>
              </w:rPr>
              <w:t>169</w:t>
            </w:r>
          </w:p>
        </w:tc>
        <w:tc>
          <w:tcPr>
            <w:tcW w:w="1835" w:type="dxa"/>
            <w:vAlign w:val="center"/>
          </w:tcPr>
          <w:p w14:paraId="7D4A8865" w14:textId="77777777" w:rsidR="00F57DE7" w:rsidRPr="009E1B38" w:rsidRDefault="00F57DE7" w:rsidP="008D1E1F">
            <w:pPr>
              <w:ind w:left="35"/>
              <w:contextualSpacing/>
              <w:rPr>
                <w:rFonts w:ascii="Times New Roman" w:hAnsi="Times New Roman"/>
              </w:rPr>
            </w:pPr>
            <w:r w:rsidRPr="009E1B38">
              <w:rPr>
                <w:rFonts w:ascii="Times New Roman" w:hAnsi="Times New Roman"/>
                <w:sz w:val="20"/>
                <w:szCs w:val="20"/>
              </w:rPr>
              <w:t>450,8</w:t>
            </w:r>
          </w:p>
        </w:tc>
      </w:tr>
    </w:tbl>
    <w:p w14:paraId="7D4A8867" w14:textId="77777777" w:rsidR="00D8108C" w:rsidRPr="009E1B38" w:rsidRDefault="00D8108C" w:rsidP="008D1E1F">
      <w:pPr>
        <w:spacing w:after="0" w:line="240" w:lineRule="auto"/>
        <w:rPr>
          <w:rFonts w:ascii="Times New Roman" w:hAnsi="Times New Roman"/>
          <w:i/>
        </w:rPr>
      </w:pPr>
    </w:p>
    <w:p w14:paraId="7D4A8869" w14:textId="1C530F49" w:rsidR="00D8108C" w:rsidRPr="009E1B38" w:rsidRDefault="002075A7" w:rsidP="003C5E4D">
      <w:pPr>
        <w:pStyle w:val="ListeParagraf"/>
        <w:numPr>
          <w:ilvl w:val="0"/>
          <w:numId w:val="30"/>
        </w:numPr>
        <w:spacing w:after="160" w:line="259" w:lineRule="auto"/>
        <w:rPr>
          <w:rFonts w:ascii="Times New Roman" w:hAnsi="Times New Roman"/>
        </w:rPr>
      </w:pPr>
      <w:r w:rsidRPr="009E1B38">
        <w:rPr>
          <w:rFonts w:ascii="Times New Roman" w:hAnsi="Times New Roman"/>
        </w:rPr>
        <w:t>In the Tariff Calculations of Planned Maintenance Expenditures of Electricity Distribution Companies No. 9689 published in the Official Gazette dated 18.11.2020 and numbered 31308 with the Board Decision dated 30.12.2021 and numbered 10690 published in the Official Gazette dated 31.12.2021 and numbered 31706 (6.repeated). It has been decided to add the following Provisional Article 1 to the Procedures and Principles Regarding the Consideration.</w:t>
      </w:r>
    </w:p>
    <w:p w14:paraId="5B9201AF" w14:textId="4B95C036" w:rsidR="002075A7" w:rsidRPr="009E1B38" w:rsidRDefault="002075A7" w:rsidP="008D1E1F">
      <w:pPr>
        <w:pStyle w:val="ListeParagraf"/>
        <w:spacing w:after="0" w:line="240" w:lineRule="auto"/>
        <w:rPr>
          <w:rFonts w:ascii="Times New Roman" w:hAnsi="Times New Roman"/>
          <w:i/>
        </w:rPr>
      </w:pPr>
      <w:r w:rsidRPr="009E1B38">
        <w:rPr>
          <w:rFonts w:ascii="Times New Roman" w:hAnsi="Times New Roman"/>
          <w:i/>
        </w:rPr>
        <w:t>“PROVISIONAL ARTICLE 1</w:t>
      </w:r>
    </w:p>
    <w:p w14:paraId="7D4A886C" w14:textId="0B5781E0" w:rsidR="00D8108C" w:rsidRPr="009E1B38" w:rsidRDefault="002075A7" w:rsidP="008D1E1F">
      <w:pPr>
        <w:pStyle w:val="ListeParagraf"/>
        <w:spacing w:after="0" w:line="240" w:lineRule="auto"/>
        <w:rPr>
          <w:rFonts w:ascii="Times New Roman" w:hAnsi="Times New Roman"/>
          <w:i/>
        </w:rPr>
      </w:pPr>
      <w:r w:rsidRPr="009E1B38">
        <w:rPr>
          <w:rFonts w:ascii="Times New Roman" w:hAnsi="Times New Roman"/>
          <w:i/>
        </w:rPr>
        <w:t>(1) Within the scope of the sixth paragraph of Article 9 of these Procedures and Principles, the total expenditure for the years 2021 and 2022 is evaluated together in the control of planned maintenance budget expenditures.</w:t>
      </w:r>
    </w:p>
    <w:p w14:paraId="7D4A886E" w14:textId="46784AFA" w:rsidR="00D8108C" w:rsidRPr="009E1B38" w:rsidRDefault="00CF758C" w:rsidP="003C5E4D">
      <w:pPr>
        <w:pStyle w:val="ListeParagraf"/>
        <w:numPr>
          <w:ilvl w:val="0"/>
          <w:numId w:val="30"/>
        </w:numPr>
        <w:rPr>
          <w:rFonts w:ascii="Times New Roman" w:hAnsi="Times New Roman"/>
        </w:rPr>
      </w:pPr>
      <w:r w:rsidRPr="009E1B38">
        <w:rPr>
          <w:rFonts w:ascii="Times New Roman" w:hAnsi="Times New Roman"/>
        </w:rPr>
        <w:t>With the Board Decision dated 30.12.2021 and numbered 10699 published in the Official Gazette dated 31.12.2021 and numbered 31706 (6th repeated), amendments were made in the Procedures and Principles Regarding Tariff Applications of Legal Entities with Distribution License and Supply Companies in Charge.</w:t>
      </w:r>
      <w:r w:rsidR="008D1E1F" w:rsidRPr="009E1B38">
        <w:rPr>
          <w:rFonts w:ascii="Times New Roman" w:hAnsi="Times New Roman"/>
        </w:rPr>
        <w:t xml:space="preserve"> </w:t>
      </w:r>
      <w:r w:rsidRPr="009E1B38">
        <w:rPr>
          <w:rFonts w:ascii="Times New Roman" w:hAnsi="Times New Roman"/>
        </w:rPr>
        <w:t>The said amendment regarding the distribution system usage fees applied within the scope of unlicensed electricity generation entered into force as of 01.01.2022.</w:t>
      </w:r>
    </w:p>
    <w:p w14:paraId="7D4A8870" w14:textId="3BC5C356" w:rsidR="00D8108C" w:rsidRPr="009E1B38" w:rsidRDefault="00CF758C" w:rsidP="003C5E4D">
      <w:pPr>
        <w:pStyle w:val="ListeParagraf"/>
        <w:numPr>
          <w:ilvl w:val="0"/>
          <w:numId w:val="30"/>
        </w:numPr>
        <w:rPr>
          <w:rFonts w:ascii="Times New Roman" w:hAnsi="Times New Roman"/>
        </w:rPr>
      </w:pPr>
      <w:r w:rsidRPr="009E1B38">
        <w:rPr>
          <w:rFonts w:ascii="Times New Roman" w:hAnsi="Times New Roman"/>
        </w:rPr>
        <w:t>With the Board Decision dated 30.12.2021 and numbered 10700 published in the Official Gazette dated 31.12.2021 and numbered 31706 (6.repeated), it was decided that article c of the Board Decision dated 29.12.2016 and numbered 6838 be repealed as of 01.01.2022.</w:t>
      </w:r>
    </w:p>
    <w:p w14:paraId="7D4A8872" w14:textId="09FFEEF7" w:rsidR="00F452B7" w:rsidRPr="009E1B38" w:rsidRDefault="00C61D34" w:rsidP="003C5E4D">
      <w:pPr>
        <w:pStyle w:val="ListeParagraf"/>
        <w:numPr>
          <w:ilvl w:val="0"/>
          <w:numId w:val="30"/>
        </w:numPr>
        <w:spacing w:after="160" w:line="259" w:lineRule="auto"/>
        <w:rPr>
          <w:rFonts w:ascii="Times New Roman" w:hAnsi="Times New Roman"/>
        </w:rPr>
      </w:pPr>
      <w:r w:rsidRPr="009E1B38">
        <w:rPr>
          <w:rFonts w:ascii="Times New Roman" w:hAnsi="Times New Roman"/>
        </w:rPr>
        <w:t>With the Board Decision dated 31.12.2021 and numbered 10707 published in the Official Gazette dated 31.12.2021 and numbered 31706 (6.repeated), within the scope of the fourth paragraph of Article 17 of the Electricity Market Law No. 6446, as of 01.01.2022, residential low voltage single time the application of a low-level tariff for the consumption up to an average daily consumption of 5 kWh, which is the basis for the invoice for the subscriber group; It has been decided to apply a low-level tariff to the part of the consumption that is above the daily average consumption amount of 5 kWh, which is the basis for the invoice, up to the specified limit, and to apply a high-level tariff to the part that exceeds the limit.</w:t>
      </w:r>
    </w:p>
    <w:p w14:paraId="15081792" w14:textId="0809A781" w:rsidR="000D0FCE" w:rsidRPr="009E1B38" w:rsidRDefault="00C97B4C" w:rsidP="003C5E4D">
      <w:pPr>
        <w:pStyle w:val="ListeParagraf"/>
        <w:numPr>
          <w:ilvl w:val="0"/>
          <w:numId w:val="30"/>
        </w:numPr>
        <w:tabs>
          <w:tab w:val="left" w:pos="284"/>
          <w:tab w:val="left" w:pos="709"/>
          <w:tab w:val="left" w:pos="851"/>
        </w:tabs>
        <w:spacing w:after="0" w:line="269" w:lineRule="auto"/>
        <w:rPr>
          <w:rFonts w:ascii="Times New Roman" w:hAnsi="Times New Roman"/>
        </w:rPr>
      </w:pPr>
      <w:r w:rsidRPr="009E1B38">
        <w:rPr>
          <w:rFonts w:ascii="Times New Roman" w:hAnsi="Times New Roman"/>
        </w:rPr>
        <w:t>With the Board Decision dated 31.12.2021 and numbered 10709 published in the Official Gazette dated 31.12.2021 and numbered 31706 (6.repeated), the YEKDEM cost per unit energy supplied for the year 2022 is estimated in the 14th of the Regulation on Certification and Support of Renewable Energy Resources. It has been decided to be determined as follows</w:t>
      </w:r>
      <w:r w:rsidR="00127185" w:rsidRPr="009E1B38">
        <w:rPr>
          <w:rFonts w:ascii="Times New Roman" w:hAnsi="Times New Roman"/>
        </w:rPr>
        <w:t>.</w:t>
      </w:r>
    </w:p>
    <w:p w14:paraId="4544BF6C" w14:textId="77777777" w:rsidR="000D0FCE" w:rsidRPr="009E1B38" w:rsidRDefault="000D0FCE" w:rsidP="009C057D">
      <w:pPr>
        <w:tabs>
          <w:tab w:val="left" w:pos="284"/>
          <w:tab w:val="left" w:pos="709"/>
          <w:tab w:val="left" w:pos="851"/>
        </w:tabs>
        <w:spacing w:after="0" w:line="269" w:lineRule="auto"/>
        <w:rPr>
          <w:rFonts w:ascii="Times New Roman" w:hAnsi="Times New Roman"/>
        </w:rPr>
      </w:pPr>
    </w:p>
    <w:tbl>
      <w:tblPr>
        <w:tblW w:w="2217" w:type="pct"/>
        <w:jc w:val="center"/>
        <w:tblCellMar>
          <w:left w:w="70" w:type="dxa"/>
          <w:right w:w="70" w:type="dxa"/>
        </w:tblCellMar>
        <w:tblLook w:val="04A0" w:firstRow="1" w:lastRow="0" w:firstColumn="1" w:lastColumn="0" w:noHBand="0" w:noVBand="1"/>
      </w:tblPr>
      <w:tblGrid>
        <w:gridCol w:w="1936"/>
        <w:gridCol w:w="2525"/>
      </w:tblGrid>
      <w:tr w:rsidR="00A10247" w:rsidRPr="009E1B38" w14:paraId="7D4A8877" w14:textId="77777777" w:rsidTr="00B23DEA">
        <w:trPr>
          <w:trHeight w:val="20"/>
          <w:tblHeader/>
          <w:jc w:val="center"/>
        </w:trPr>
        <w:tc>
          <w:tcPr>
            <w:tcW w:w="2170" w:type="pct"/>
            <w:tcBorders>
              <w:top w:val="single" w:sz="4" w:space="0" w:color="auto"/>
              <w:left w:val="single" w:sz="4" w:space="0" w:color="auto"/>
              <w:bottom w:val="single" w:sz="4" w:space="0" w:color="auto"/>
              <w:right w:val="single" w:sz="4" w:space="0" w:color="auto"/>
            </w:tcBorders>
            <w:shd w:val="clear" w:color="000000" w:fill="305496"/>
            <w:vAlign w:val="center"/>
            <w:hideMark/>
          </w:tcPr>
          <w:p w14:paraId="7D4A8875" w14:textId="285DFD46" w:rsidR="00A10247" w:rsidRPr="009E1B38" w:rsidRDefault="000D0FCE" w:rsidP="00A10247">
            <w:pPr>
              <w:spacing w:after="0" w:line="240" w:lineRule="auto"/>
              <w:jc w:val="left"/>
              <w:rPr>
                <w:rFonts w:ascii="Times New Roman" w:eastAsia="Times New Roman" w:hAnsi="Times New Roman"/>
                <w:b/>
                <w:bCs/>
                <w:color w:val="FFFFFF" w:themeColor="background1"/>
                <w:lang w:eastAsia="tr-TR"/>
              </w:rPr>
            </w:pPr>
            <w:r w:rsidRPr="009E1B38">
              <w:rPr>
                <w:rFonts w:ascii="Times New Roman" w:eastAsia="Times New Roman" w:hAnsi="Times New Roman"/>
                <w:b/>
                <w:bCs/>
                <w:color w:val="FFFFFF" w:themeColor="background1"/>
                <w:lang w:eastAsia="tr-TR"/>
              </w:rPr>
              <w:lastRenderedPageBreak/>
              <w:t>Months</w:t>
            </w:r>
          </w:p>
        </w:tc>
        <w:tc>
          <w:tcPr>
            <w:tcW w:w="2830" w:type="pct"/>
            <w:tcBorders>
              <w:top w:val="single" w:sz="4" w:space="0" w:color="auto"/>
              <w:left w:val="nil"/>
              <w:bottom w:val="single" w:sz="4" w:space="0" w:color="auto"/>
              <w:right w:val="single" w:sz="4" w:space="0" w:color="auto"/>
            </w:tcBorders>
            <w:shd w:val="clear" w:color="000000" w:fill="305496"/>
            <w:vAlign w:val="center"/>
            <w:hideMark/>
          </w:tcPr>
          <w:p w14:paraId="7D4A8876" w14:textId="24DBF12D" w:rsidR="00A10247" w:rsidRPr="009E1B38" w:rsidRDefault="00A10247" w:rsidP="000D0FCE">
            <w:pPr>
              <w:spacing w:after="0" w:line="240" w:lineRule="auto"/>
              <w:jc w:val="center"/>
              <w:rPr>
                <w:rFonts w:ascii="Times New Roman" w:eastAsia="Times New Roman" w:hAnsi="Times New Roman"/>
                <w:b/>
                <w:bCs/>
                <w:color w:val="FFFFFF" w:themeColor="background1"/>
                <w:lang w:eastAsia="tr-TR"/>
              </w:rPr>
            </w:pPr>
            <w:r w:rsidRPr="009E1B38">
              <w:rPr>
                <w:rFonts w:ascii="Times New Roman" w:eastAsia="Times New Roman" w:hAnsi="Times New Roman"/>
                <w:b/>
                <w:bCs/>
                <w:color w:val="FFFFFF" w:themeColor="background1"/>
                <w:lang w:eastAsia="tr-TR"/>
              </w:rPr>
              <w:t xml:space="preserve">2022 </w:t>
            </w:r>
            <w:r w:rsidR="000D0FCE" w:rsidRPr="009E1B38">
              <w:rPr>
                <w:rFonts w:ascii="Times New Roman" w:eastAsia="Times New Roman" w:hAnsi="Times New Roman"/>
                <w:b/>
                <w:color w:val="FFFFFF" w:themeColor="background1"/>
                <w:lang w:eastAsia="tr-TR"/>
              </w:rPr>
              <w:t>Projected YEKDEM Cost (TL/MWh)</w:t>
            </w:r>
          </w:p>
        </w:tc>
      </w:tr>
      <w:tr w:rsidR="00A10247" w:rsidRPr="009E1B38" w14:paraId="7D4A887A"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14:paraId="7D4A8878" w14:textId="4719FF5C" w:rsidR="00A10247" w:rsidRPr="009E1B38" w:rsidRDefault="000D0FCE"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January</w:t>
            </w:r>
          </w:p>
        </w:tc>
        <w:tc>
          <w:tcPr>
            <w:tcW w:w="2830" w:type="pct"/>
            <w:tcBorders>
              <w:top w:val="nil"/>
              <w:left w:val="nil"/>
              <w:bottom w:val="single" w:sz="4" w:space="0" w:color="auto"/>
              <w:right w:val="single" w:sz="4" w:space="0" w:color="auto"/>
            </w:tcBorders>
            <w:shd w:val="clear" w:color="auto" w:fill="auto"/>
            <w:noWrap/>
          </w:tcPr>
          <w:p w14:paraId="7D4A8879"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13,07</w:t>
            </w:r>
          </w:p>
        </w:tc>
      </w:tr>
      <w:tr w:rsidR="00A10247" w:rsidRPr="009E1B38" w14:paraId="7D4A887D"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14:paraId="7D4A887B" w14:textId="5BB89A66" w:rsidR="00A10247" w:rsidRPr="009E1B38" w:rsidRDefault="000D0FCE"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February</w:t>
            </w:r>
          </w:p>
        </w:tc>
        <w:tc>
          <w:tcPr>
            <w:tcW w:w="2830" w:type="pct"/>
            <w:tcBorders>
              <w:top w:val="nil"/>
              <w:left w:val="nil"/>
              <w:bottom w:val="single" w:sz="4" w:space="0" w:color="auto"/>
              <w:right w:val="single" w:sz="4" w:space="0" w:color="auto"/>
            </w:tcBorders>
            <w:shd w:val="clear" w:color="auto" w:fill="auto"/>
            <w:noWrap/>
          </w:tcPr>
          <w:p w14:paraId="7D4A887C"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-14,77</w:t>
            </w:r>
          </w:p>
        </w:tc>
      </w:tr>
      <w:tr w:rsidR="00A10247" w:rsidRPr="009E1B38" w14:paraId="7D4A8880"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14:paraId="7D4A887E" w14:textId="53882070" w:rsidR="00A10247" w:rsidRPr="009E1B38" w:rsidRDefault="00A10247"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Mar</w:t>
            </w:r>
            <w:r w:rsidR="000D0FCE" w:rsidRPr="009E1B38">
              <w:rPr>
                <w:rFonts w:ascii="Times New Roman" w:eastAsia="Times New Roman" w:hAnsi="Times New Roman"/>
                <w:color w:val="000000"/>
                <w:lang w:eastAsia="tr-TR"/>
              </w:rPr>
              <w:t>ch</w:t>
            </w:r>
          </w:p>
        </w:tc>
        <w:tc>
          <w:tcPr>
            <w:tcW w:w="2830" w:type="pct"/>
            <w:tcBorders>
              <w:top w:val="nil"/>
              <w:left w:val="nil"/>
              <w:bottom w:val="single" w:sz="4" w:space="0" w:color="auto"/>
              <w:right w:val="single" w:sz="4" w:space="0" w:color="auto"/>
            </w:tcBorders>
            <w:shd w:val="clear" w:color="auto" w:fill="auto"/>
            <w:noWrap/>
          </w:tcPr>
          <w:p w14:paraId="7D4A887F"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-56,01</w:t>
            </w:r>
          </w:p>
        </w:tc>
      </w:tr>
      <w:tr w:rsidR="00A10247" w:rsidRPr="009E1B38" w14:paraId="7D4A8883"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7D4A8881" w14:textId="7BCD3A95" w:rsidR="00A10247" w:rsidRPr="009E1B38" w:rsidRDefault="000D0FCE"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April</w:t>
            </w:r>
          </w:p>
        </w:tc>
        <w:tc>
          <w:tcPr>
            <w:tcW w:w="2830" w:type="pct"/>
            <w:tcBorders>
              <w:top w:val="nil"/>
              <w:left w:val="nil"/>
              <w:bottom w:val="single" w:sz="4" w:space="0" w:color="auto"/>
              <w:right w:val="single" w:sz="4" w:space="0" w:color="auto"/>
            </w:tcBorders>
            <w:shd w:val="clear" w:color="auto" w:fill="auto"/>
            <w:noWrap/>
          </w:tcPr>
          <w:p w14:paraId="7D4A8882"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-67,98</w:t>
            </w:r>
          </w:p>
        </w:tc>
      </w:tr>
      <w:tr w:rsidR="00A10247" w:rsidRPr="009E1B38" w14:paraId="7D4A8886"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7D4A8884" w14:textId="31985102" w:rsidR="00A10247" w:rsidRPr="009E1B38" w:rsidRDefault="00A10247"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May</w:t>
            </w:r>
          </w:p>
        </w:tc>
        <w:tc>
          <w:tcPr>
            <w:tcW w:w="2830" w:type="pct"/>
            <w:tcBorders>
              <w:top w:val="nil"/>
              <w:left w:val="nil"/>
              <w:bottom w:val="single" w:sz="4" w:space="0" w:color="auto"/>
              <w:right w:val="single" w:sz="4" w:space="0" w:color="auto"/>
            </w:tcBorders>
            <w:shd w:val="clear" w:color="auto" w:fill="auto"/>
            <w:noWrap/>
          </w:tcPr>
          <w:p w14:paraId="7D4A8885"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-101,42</w:t>
            </w:r>
          </w:p>
        </w:tc>
      </w:tr>
      <w:tr w:rsidR="00A10247" w:rsidRPr="009E1B38" w14:paraId="7D4A8889"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7D4A8887" w14:textId="6D108EA8" w:rsidR="00A10247" w:rsidRPr="009E1B38" w:rsidRDefault="000D0FCE"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June</w:t>
            </w:r>
          </w:p>
        </w:tc>
        <w:tc>
          <w:tcPr>
            <w:tcW w:w="2830" w:type="pct"/>
            <w:tcBorders>
              <w:top w:val="nil"/>
              <w:left w:val="nil"/>
              <w:bottom w:val="single" w:sz="4" w:space="0" w:color="auto"/>
              <w:right w:val="single" w:sz="4" w:space="0" w:color="auto"/>
            </w:tcBorders>
            <w:shd w:val="clear" w:color="auto" w:fill="auto"/>
            <w:noWrap/>
          </w:tcPr>
          <w:p w14:paraId="7D4A8888"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-86,22</w:t>
            </w:r>
          </w:p>
        </w:tc>
      </w:tr>
      <w:tr w:rsidR="00A10247" w:rsidRPr="009E1B38" w14:paraId="7D4A888C"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7D4A888A" w14:textId="66B407EE" w:rsidR="00A10247" w:rsidRPr="009E1B38" w:rsidRDefault="000D0FCE"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July</w:t>
            </w:r>
          </w:p>
        </w:tc>
        <w:tc>
          <w:tcPr>
            <w:tcW w:w="2830" w:type="pct"/>
            <w:tcBorders>
              <w:top w:val="nil"/>
              <w:left w:val="nil"/>
              <w:bottom w:val="single" w:sz="4" w:space="0" w:color="auto"/>
              <w:right w:val="single" w:sz="4" w:space="0" w:color="auto"/>
            </w:tcBorders>
            <w:shd w:val="clear" w:color="auto" w:fill="auto"/>
            <w:noWrap/>
          </w:tcPr>
          <w:p w14:paraId="7D4A888B"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-78,98</w:t>
            </w:r>
          </w:p>
        </w:tc>
      </w:tr>
      <w:tr w:rsidR="00A10247" w:rsidRPr="009E1B38" w14:paraId="7D4A888F"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7D4A888D" w14:textId="27B0CCE6" w:rsidR="00A10247" w:rsidRPr="009E1B38" w:rsidRDefault="000D0FCE"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August</w:t>
            </w:r>
          </w:p>
        </w:tc>
        <w:tc>
          <w:tcPr>
            <w:tcW w:w="2830" w:type="pct"/>
            <w:tcBorders>
              <w:top w:val="nil"/>
              <w:left w:val="nil"/>
              <w:bottom w:val="single" w:sz="4" w:space="0" w:color="auto"/>
              <w:right w:val="single" w:sz="4" w:space="0" w:color="auto"/>
            </w:tcBorders>
            <w:shd w:val="clear" w:color="auto" w:fill="auto"/>
            <w:noWrap/>
          </w:tcPr>
          <w:p w14:paraId="7D4A888E"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-67,57</w:t>
            </w:r>
          </w:p>
        </w:tc>
      </w:tr>
      <w:tr w:rsidR="00A10247" w:rsidRPr="009E1B38" w14:paraId="7D4A8892"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7D4A8890" w14:textId="63C12624" w:rsidR="00A10247" w:rsidRPr="009E1B38" w:rsidRDefault="000D0FCE"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September</w:t>
            </w:r>
          </w:p>
        </w:tc>
        <w:tc>
          <w:tcPr>
            <w:tcW w:w="2830" w:type="pct"/>
            <w:tcBorders>
              <w:top w:val="nil"/>
              <w:left w:val="nil"/>
              <w:bottom w:val="single" w:sz="4" w:space="0" w:color="auto"/>
              <w:right w:val="single" w:sz="4" w:space="0" w:color="auto"/>
            </w:tcBorders>
            <w:shd w:val="clear" w:color="auto" w:fill="auto"/>
            <w:noWrap/>
          </w:tcPr>
          <w:p w14:paraId="7D4A8891"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-60,54</w:t>
            </w:r>
          </w:p>
        </w:tc>
      </w:tr>
      <w:tr w:rsidR="00A10247" w:rsidRPr="009E1B38" w14:paraId="7D4A8895"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7D4A8893" w14:textId="631393C1" w:rsidR="00A10247" w:rsidRPr="009E1B38" w:rsidRDefault="000D0FCE"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October</w:t>
            </w:r>
          </w:p>
        </w:tc>
        <w:tc>
          <w:tcPr>
            <w:tcW w:w="2830" w:type="pct"/>
            <w:tcBorders>
              <w:top w:val="nil"/>
              <w:left w:val="nil"/>
              <w:bottom w:val="single" w:sz="4" w:space="0" w:color="auto"/>
              <w:right w:val="single" w:sz="4" w:space="0" w:color="auto"/>
            </w:tcBorders>
            <w:shd w:val="clear" w:color="auto" w:fill="auto"/>
            <w:noWrap/>
          </w:tcPr>
          <w:p w14:paraId="7D4A8894"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-50,19</w:t>
            </w:r>
          </w:p>
        </w:tc>
      </w:tr>
      <w:tr w:rsidR="00A10247" w:rsidRPr="009E1B38" w14:paraId="7D4A8898"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7D4A8896" w14:textId="6BE092D6" w:rsidR="00A10247" w:rsidRPr="009E1B38" w:rsidRDefault="000D0FCE"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November</w:t>
            </w:r>
          </w:p>
        </w:tc>
        <w:tc>
          <w:tcPr>
            <w:tcW w:w="2830" w:type="pct"/>
            <w:tcBorders>
              <w:top w:val="nil"/>
              <w:left w:val="nil"/>
              <w:bottom w:val="single" w:sz="4" w:space="0" w:color="auto"/>
              <w:right w:val="single" w:sz="4" w:space="0" w:color="auto"/>
            </w:tcBorders>
            <w:shd w:val="clear" w:color="auto" w:fill="auto"/>
            <w:noWrap/>
          </w:tcPr>
          <w:p w14:paraId="7D4A8897"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-55,78</w:t>
            </w:r>
          </w:p>
        </w:tc>
      </w:tr>
      <w:tr w:rsidR="00A10247" w:rsidRPr="009E1B38" w14:paraId="7D4A889B" w14:textId="7777777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7D4A8899" w14:textId="1A59978B" w:rsidR="00A10247" w:rsidRPr="009E1B38" w:rsidRDefault="000D0FCE" w:rsidP="00A1024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December</w:t>
            </w:r>
          </w:p>
        </w:tc>
        <w:tc>
          <w:tcPr>
            <w:tcW w:w="2830" w:type="pct"/>
            <w:tcBorders>
              <w:top w:val="nil"/>
              <w:left w:val="nil"/>
              <w:bottom w:val="single" w:sz="4" w:space="0" w:color="auto"/>
              <w:right w:val="single" w:sz="4" w:space="0" w:color="auto"/>
            </w:tcBorders>
            <w:shd w:val="clear" w:color="auto" w:fill="auto"/>
            <w:noWrap/>
          </w:tcPr>
          <w:p w14:paraId="7D4A889A" w14:textId="77777777" w:rsidR="00A10247" w:rsidRPr="009E1B38" w:rsidRDefault="00A10247" w:rsidP="00A10247">
            <w:pPr>
              <w:spacing w:after="0" w:line="240" w:lineRule="auto"/>
              <w:jc w:val="center"/>
              <w:rPr>
                <w:rFonts w:ascii="Times New Roman" w:eastAsia="Times New Roman" w:hAnsi="Times New Roman"/>
                <w:color w:val="000000"/>
                <w:lang w:eastAsia="tr-TR"/>
              </w:rPr>
            </w:pPr>
            <w:r w:rsidRPr="009E1B38">
              <w:rPr>
                <w:rFonts w:ascii="Times New Roman" w:hAnsi="Times New Roman"/>
              </w:rPr>
              <w:t>-67,98</w:t>
            </w:r>
          </w:p>
        </w:tc>
      </w:tr>
    </w:tbl>
    <w:p w14:paraId="7D4A889C" w14:textId="77777777" w:rsidR="00E00625" w:rsidRPr="009E1B38" w:rsidRDefault="00E00625" w:rsidP="00E00625">
      <w:pPr>
        <w:pStyle w:val="ListeParagraf"/>
        <w:tabs>
          <w:tab w:val="left" w:pos="284"/>
          <w:tab w:val="left" w:pos="709"/>
          <w:tab w:val="left" w:pos="851"/>
        </w:tabs>
        <w:spacing w:after="0" w:line="269" w:lineRule="auto"/>
        <w:rPr>
          <w:rFonts w:ascii="Times New Roman" w:hAnsi="Times New Roman"/>
        </w:rPr>
      </w:pPr>
    </w:p>
    <w:p w14:paraId="7D4A889D" w14:textId="77777777" w:rsidR="002C3099" w:rsidRPr="009E1B38" w:rsidRDefault="002C3099" w:rsidP="002C3099">
      <w:pPr>
        <w:spacing w:after="0" w:line="240" w:lineRule="auto"/>
        <w:rPr>
          <w:rFonts w:ascii="Times New Roman" w:hAnsi="Times New Roman"/>
          <w:i/>
          <w:highlight w:val="yellow"/>
        </w:rPr>
      </w:pPr>
    </w:p>
    <w:p w14:paraId="7D4A889E" w14:textId="5B27ABCF" w:rsidR="002C3099" w:rsidRPr="009E1B38" w:rsidRDefault="00301040" w:rsidP="003C5E4D">
      <w:pPr>
        <w:pStyle w:val="Balk3"/>
        <w:numPr>
          <w:ilvl w:val="2"/>
          <w:numId w:val="61"/>
        </w:numPr>
        <w:spacing w:before="0" w:after="240"/>
        <w:rPr>
          <w:rFonts w:ascii="Times New Roman" w:hAnsi="Times New Roman" w:cs="Times New Roman"/>
        </w:rPr>
      </w:pPr>
      <w:bookmarkStart w:id="204" w:name="_Toc113615360"/>
      <w:r w:rsidRPr="009E1B38">
        <w:rPr>
          <w:rFonts w:ascii="Times New Roman" w:hAnsi="Times New Roman" w:cs="Times New Roman"/>
        </w:rPr>
        <w:t>License</w:t>
      </w:r>
      <w:r w:rsidR="00411A7A" w:rsidRPr="009E1B38">
        <w:rPr>
          <w:rFonts w:ascii="Times New Roman" w:hAnsi="Times New Roman" w:cs="Times New Roman"/>
        </w:rPr>
        <w:t xml:space="preserve"> Fees</w:t>
      </w:r>
      <w:bookmarkEnd w:id="204"/>
    </w:p>
    <w:p w14:paraId="7D4A88A0" w14:textId="2B0D0CFE" w:rsidR="002C3099" w:rsidRPr="009E1B38" w:rsidRDefault="00627AA6" w:rsidP="002C3099">
      <w:pPr>
        <w:rPr>
          <w:rFonts w:ascii="Times New Roman" w:hAnsi="Times New Roman"/>
        </w:rPr>
      </w:pPr>
      <w:r w:rsidRPr="009E1B38">
        <w:rPr>
          <w:rFonts w:ascii="Times New Roman" w:hAnsi="Times New Roman"/>
        </w:rPr>
        <w:t>With the Board Decision dated 16.12.2021 and numbered 10635 published in the Official Gazette dated 22.12.2021 and numbered 31697, in accordance with Article 43 of the Electricity Market License Regulation, pre-license and license, annual license, license renewal, associate and license amendment, associate license and License copying fees have been determined.</w:t>
      </w:r>
      <w:r w:rsidR="002C3099" w:rsidRPr="009E1B38">
        <w:rPr>
          <w:rFonts w:ascii="Times New Roman" w:hAnsi="Times New Roman"/>
        </w:rPr>
        <w:br w:type="page"/>
      </w:r>
    </w:p>
    <w:p w14:paraId="7D4A88A1" w14:textId="07768878" w:rsidR="002C3099" w:rsidRPr="009E1B38" w:rsidRDefault="5B3E9DD7" w:rsidP="003C5E4D">
      <w:pPr>
        <w:pStyle w:val="Balk2"/>
        <w:numPr>
          <w:ilvl w:val="1"/>
          <w:numId w:val="61"/>
        </w:numPr>
        <w:rPr>
          <w:rFonts w:cs="Times New Roman"/>
        </w:rPr>
      </w:pPr>
      <w:bookmarkStart w:id="205" w:name="_Toc113615361"/>
      <w:r w:rsidRPr="009E1B38">
        <w:rPr>
          <w:rFonts w:cs="Times New Roman"/>
        </w:rPr>
        <w:lastRenderedPageBreak/>
        <w:t>Natural Gas Market Tariffs</w:t>
      </w:r>
      <w:bookmarkEnd w:id="205"/>
    </w:p>
    <w:p w14:paraId="7BF92D8D" w14:textId="77777777" w:rsidR="00E80764" w:rsidRPr="009E1B38" w:rsidRDefault="00E80764" w:rsidP="00E80764">
      <w:pPr>
        <w:spacing w:after="240"/>
        <w:rPr>
          <w:rFonts w:ascii="Times New Roman" w:hAnsi="Times New Roman"/>
        </w:rPr>
      </w:pPr>
      <w:r w:rsidRPr="009E1B38">
        <w:rPr>
          <w:rFonts w:ascii="Times New Roman" w:hAnsi="Times New Roman"/>
        </w:rPr>
        <w:t xml:space="preserve">Regulations regarding the natural gas market tariffs are made within the scope of the Natural Gas Market Law No. 4646 and the Natural Gas Market Tariffs Regulation prepared based on this Law. </w:t>
      </w:r>
    </w:p>
    <w:p w14:paraId="7D4A88A3" w14:textId="0A7DB12A" w:rsidR="002C3099" w:rsidRPr="009E1B38" w:rsidRDefault="008864C4" w:rsidP="003C5E4D">
      <w:pPr>
        <w:pStyle w:val="Balk3"/>
        <w:numPr>
          <w:ilvl w:val="2"/>
          <w:numId w:val="61"/>
        </w:numPr>
        <w:spacing w:before="0" w:after="240" w:line="240" w:lineRule="auto"/>
        <w:rPr>
          <w:rFonts w:ascii="Times New Roman" w:hAnsi="Times New Roman" w:cs="Times New Roman"/>
          <w:sz w:val="24"/>
          <w:szCs w:val="24"/>
        </w:rPr>
      </w:pPr>
      <w:bookmarkStart w:id="206" w:name="_Toc113615362"/>
      <w:r w:rsidRPr="009E1B38">
        <w:rPr>
          <w:rFonts w:ascii="Times New Roman" w:hAnsi="Times New Roman" w:cs="Times New Roman"/>
          <w:sz w:val="24"/>
          <w:szCs w:val="24"/>
        </w:rPr>
        <w:t>Transmission and Shipment Control Tariffs</w:t>
      </w:r>
      <w:bookmarkEnd w:id="206"/>
      <w:r w:rsidRPr="009E1B38">
        <w:rPr>
          <w:rFonts w:ascii="Times New Roman" w:hAnsi="Times New Roman" w:cs="Times New Roman"/>
          <w:sz w:val="24"/>
          <w:szCs w:val="24"/>
        </w:rPr>
        <w:t xml:space="preserve"> </w:t>
      </w:r>
    </w:p>
    <w:p w14:paraId="4CA75CAF" w14:textId="3B2AD2EF" w:rsidR="00A43E92" w:rsidRPr="009E1B38" w:rsidRDefault="00A43E92" w:rsidP="00A43E92">
      <w:pPr>
        <w:spacing w:after="0"/>
        <w:rPr>
          <w:rFonts w:ascii="Times New Roman" w:hAnsi="Times New Roman"/>
          <w:color w:val="000000" w:themeColor="text1"/>
        </w:rPr>
      </w:pPr>
      <w:r w:rsidRPr="009E1B38">
        <w:rPr>
          <w:rFonts w:ascii="Times New Roman" w:hAnsi="Times New Roman"/>
          <w:color w:val="000000" w:themeColor="text1"/>
        </w:rPr>
        <w:t xml:space="preserve">10416 dated </w:t>
      </w:r>
      <w:r w:rsidRPr="009E1B38">
        <w:rPr>
          <w:rFonts w:ascii="Times New Roman" w:hAnsi="Times New Roman"/>
          <w:bCs/>
          <w:color w:val="000000" w:themeColor="text1"/>
        </w:rPr>
        <w:t>16</w:t>
      </w:r>
      <w:r w:rsidRPr="009E1B38">
        <w:rPr>
          <w:rFonts w:ascii="Times New Roman" w:hAnsi="Times New Roman"/>
          <w:color w:val="000000" w:themeColor="text1"/>
        </w:rPr>
        <w:t>.09.2021 for the determination of the transmission and shipment control fees of BOTAŞ for 2022 within the framework of the “Procedures and Principles Regarding the Determination of Revenue Ceilings Based on the Tariffs of the Companies Holding a Natural Gas Transmission License” adopted with the Board Decision dated 03.10.2013 and numbered 4638-1. Board Decision No. 31602 was published in the Official Gazette dated 18.09.2021 and entered into force as of 01.01.2021. The upper limits of the transmission capacity fee determined by the said Decision are shown in Table 4.19.</w:t>
      </w:r>
    </w:p>
    <w:p w14:paraId="4924142A" w14:textId="77777777" w:rsidR="00A43E92" w:rsidRPr="009E1B38" w:rsidRDefault="00A43E92" w:rsidP="002C3099">
      <w:pPr>
        <w:spacing w:after="0"/>
        <w:rPr>
          <w:rStyle w:val="Gl"/>
          <w:rFonts w:ascii="Times New Roman" w:hAnsi="Times New Roman"/>
          <w:b w:val="0"/>
          <w:bCs w:val="0"/>
          <w:color w:val="000000" w:themeColor="text1"/>
        </w:rPr>
      </w:pPr>
    </w:p>
    <w:p w14:paraId="7D4A88A5" w14:textId="47DAFC4A" w:rsidR="002C3099" w:rsidRPr="009E1B38" w:rsidRDefault="002C3099" w:rsidP="009C057D">
      <w:pPr>
        <w:pStyle w:val="Balk5"/>
        <w:jc w:val="center"/>
        <w:rPr>
          <w:rStyle w:val="Gl"/>
          <w:rFonts w:ascii="Times New Roman" w:hAnsi="Times New Roman" w:cs="Times New Roman"/>
          <w:b/>
          <w:bCs w:val="0"/>
        </w:rPr>
      </w:pPr>
      <w:bookmarkStart w:id="207" w:name="_Toc66267485"/>
      <w:bookmarkStart w:id="208" w:name="_Toc107499527"/>
      <w:r w:rsidRPr="009E1B38">
        <w:rPr>
          <w:rStyle w:val="Gl"/>
          <w:rFonts w:ascii="Times New Roman" w:hAnsi="Times New Roman" w:cs="Times New Roman"/>
          <w:b/>
          <w:bCs w:val="0"/>
        </w:rPr>
        <w:t>Tabl</w:t>
      </w:r>
      <w:r w:rsidR="00454164" w:rsidRPr="009E1B38">
        <w:rPr>
          <w:rStyle w:val="Gl"/>
          <w:rFonts w:ascii="Times New Roman" w:hAnsi="Times New Roman" w:cs="Times New Roman"/>
          <w:b/>
          <w:bCs w:val="0"/>
        </w:rPr>
        <w:t>e</w:t>
      </w:r>
      <w:r w:rsidRPr="009E1B38">
        <w:rPr>
          <w:rStyle w:val="Gl"/>
          <w:rFonts w:ascii="Times New Roman" w:hAnsi="Times New Roman" w:cs="Times New Roman"/>
          <w:b/>
          <w:bCs w:val="0"/>
        </w:rPr>
        <w:t xml:space="preserve"> </w:t>
      </w:r>
      <w:r w:rsidR="00E00625" w:rsidRPr="009E1B38">
        <w:rPr>
          <w:rStyle w:val="Gl"/>
          <w:rFonts w:ascii="Times New Roman" w:hAnsi="Times New Roman" w:cs="Times New Roman"/>
          <w:b/>
          <w:bCs w:val="0"/>
        </w:rPr>
        <w:t>4.</w:t>
      </w:r>
      <w:r w:rsidR="00F12D15" w:rsidRPr="009E1B38">
        <w:rPr>
          <w:rStyle w:val="Gl"/>
          <w:rFonts w:ascii="Times New Roman" w:hAnsi="Times New Roman" w:cs="Times New Roman"/>
          <w:b/>
          <w:bCs w:val="0"/>
        </w:rPr>
        <w:t>19</w:t>
      </w:r>
      <w:r w:rsidR="00E00625" w:rsidRPr="009E1B38">
        <w:rPr>
          <w:rStyle w:val="Gl"/>
          <w:rFonts w:ascii="Times New Roman" w:hAnsi="Times New Roman" w:cs="Times New Roman"/>
          <w:b/>
          <w:bCs w:val="0"/>
        </w:rPr>
        <w:t xml:space="preserve">: </w:t>
      </w:r>
      <w:r w:rsidR="00CE5168" w:rsidRPr="009E1B38">
        <w:rPr>
          <w:rStyle w:val="Gl"/>
          <w:rFonts w:ascii="Times New Roman" w:hAnsi="Times New Roman" w:cs="Times New Roman"/>
          <w:b/>
          <w:bCs w:val="0"/>
        </w:rPr>
        <w:t>Transmission Capacity Fee Upper Limits</w:t>
      </w:r>
      <w:bookmarkEnd w:id="207"/>
      <w:bookmarkEnd w:id="208"/>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2C3099" w:rsidRPr="009E1B38" w14:paraId="7D4A88A9" w14:textId="77777777" w:rsidTr="00C4345A">
        <w:trPr>
          <w:trHeight w:val="20"/>
          <w:jc w:val="center"/>
        </w:trPr>
        <w:tc>
          <w:tcPr>
            <w:tcW w:w="5069" w:type="dxa"/>
            <w:shd w:val="clear" w:color="auto" w:fill="6E9ECA"/>
            <w:hideMark/>
          </w:tcPr>
          <w:p w14:paraId="7D4A88A6" w14:textId="3ED631AB" w:rsidR="002C3099" w:rsidRPr="009E1B38" w:rsidRDefault="003552BD" w:rsidP="00DC690D">
            <w:pPr>
              <w:spacing w:after="0"/>
              <w:jc w:val="left"/>
              <w:rPr>
                <w:rFonts w:ascii="Times New Roman" w:hAnsi="Times New Roman"/>
                <w:b/>
                <w:bCs/>
                <w:color w:val="FFFFFF" w:themeColor="background1"/>
              </w:rPr>
            </w:pPr>
            <w:r w:rsidRPr="009E1B38">
              <w:rPr>
                <w:rFonts w:ascii="Times New Roman" w:hAnsi="Times New Roman"/>
                <w:b/>
                <w:color w:val="FFFFFF" w:themeColor="background1"/>
              </w:rPr>
              <w:t>Points</w:t>
            </w:r>
          </w:p>
        </w:tc>
        <w:tc>
          <w:tcPr>
            <w:tcW w:w="1640" w:type="dxa"/>
            <w:shd w:val="clear" w:color="auto" w:fill="6E9ECA"/>
            <w:vAlign w:val="center"/>
            <w:hideMark/>
          </w:tcPr>
          <w:p w14:paraId="7D4A88A7" w14:textId="377234CB" w:rsidR="002C3099" w:rsidRPr="009E1B38" w:rsidRDefault="002C3099" w:rsidP="002C3099">
            <w:pPr>
              <w:spacing w:after="0"/>
              <w:jc w:val="center"/>
              <w:rPr>
                <w:rFonts w:ascii="Times New Roman" w:hAnsi="Times New Roman"/>
                <w:b/>
                <w:bCs/>
                <w:color w:val="FFFFFF" w:themeColor="background1"/>
              </w:rPr>
            </w:pPr>
            <w:r w:rsidRPr="009E1B38">
              <w:rPr>
                <w:rFonts w:ascii="Times New Roman" w:hAnsi="Times New Roman"/>
                <w:b/>
                <w:color w:val="FFFFFF" w:themeColor="background1"/>
              </w:rPr>
              <w:t>(TL/Sm</w:t>
            </w:r>
            <w:r w:rsidRPr="009E1B38">
              <w:rPr>
                <w:rFonts w:ascii="Times New Roman" w:hAnsi="Times New Roman"/>
                <w:b/>
                <w:color w:val="FFFFFF" w:themeColor="background1"/>
                <w:vertAlign w:val="superscript"/>
              </w:rPr>
              <w:t>3</w:t>
            </w:r>
            <w:r w:rsidRPr="009E1B38">
              <w:rPr>
                <w:rFonts w:ascii="Times New Roman" w:hAnsi="Times New Roman"/>
                <w:b/>
                <w:color w:val="FFFFFF" w:themeColor="background1"/>
              </w:rPr>
              <w:t>-</w:t>
            </w:r>
            <w:r w:rsidR="003552BD" w:rsidRPr="009E1B38">
              <w:rPr>
                <w:rFonts w:ascii="Times New Roman" w:hAnsi="Times New Roman"/>
                <w:b/>
                <w:color w:val="FFFFFF" w:themeColor="background1"/>
              </w:rPr>
              <w:t>Day</w:t>
            </w:r>
            <w:r w:rsidRPr="009E1B38">
              <w:rPr>
                <w:rFonts w:ascii="Times New Roman" w:hAnsi="Times New Roman"/>
                <w:b/>
                <w:color w:val="FFFFFF" w:themeColor="background1"/>
              </w:rPr>
              <w:t>)</w:t>
            </w:r>
          </w:p>
        </w:tc>
        <w:tc>
          <w:tcPr>
            <w:tcW w:w="1886" w:type="dxa"/>
            <w:shd w:val="clear" w:color="auto" w:fill="6E9ECA"/>
            <w:vAlign w:val="center"/>
            <w:hideMark/>
          </w:tcPr>
          <w:p w14:paraId="7D4A88A8" w14:textId="0B870CE6" w:rsidR="002C3099" w:rsidRPr="009E1B38" w:rsidRDefault="002C3099" w:rsidP="002C3099">
            <w:pPr>
              <w:spacing w:after="0"/>
              <w:jc w:val="center"/>
              <w:rPr>
                <w:rFonts w:ascii="Times New Roman" w:hAnsi="Times New Roman"/>
                <w:b/>
                <w:bCs/>
                <w:color w:val="FFFFFF" w:themeColor="background1"/>
              </w:rPr>
            </w:pPr>
            <w:r w:rsidRPr="009E1B38">
              <w:rPr>
                <w:rFonts w:ascii="Times New Roman" w:hAnsi="Times New Roman"/>
                <w:b/>
                <w:color w:val="FFFFFF" w:themeColor="background1"/>
              </w:rPr>
              <w:t>(TL/kWh-</w:t>
            </w:r>
            <w:r w:rsidR="003552BD" w:rsidRPr="009E1B38">
              <w:rPr>
                <w:rFonts w:ascii="Times New Roman" w:hAnsi="Times New Roman"/>
                <w:b/>
                <w:color w:val="FFFFFF" w:themeColor="background1"/>
              </w:rPr>
              <w:t>Day</w:t>
            </w:r>
            <w:r w:rsidRPr="009E1B38">
              <w:rPr>
                <w:rFonts w:ascii="Times New Roman" w:hAnsi="Times New Roman"/>
                <w:b/>
                <w:color w:val="FFFFFF" w:themeColor="background1"/>
              </w:rPr>
              <w:t>)</w:t>
            </w:r>
          </w:p>
        </w:tc>
      </w:tr>
      <w:tr w:rsidR="00E102D0" w:rsidRPr="009E1B38" w14:paraId="7D4A88AD" w14:textId="77777777" w:rsidTr="00C4345A">
        <w:trPr>
          <w:trHeight w:val="20"/>
          <w:jc w:val="center"/>
        </w:trPr>
        <w:tc>
          <w:tcPr>
            <w:tcW w:w="5069" w:type="dxa"/>
            <w:shd w:val="clear" w:color="auto" w:fill="auto"/>
            <w:noWrap/>
            <w:hideMark/>
          </w:tcPr>
          <w:p w14:paraId="7D4A88AA" w14:textId="47785E65" w:rsidR="00E102D0" w:rsidRPr="009E1B38" w:rsidRDefault="00AE2870" w:rsidP="00E102D0">
            <w:pPr>
              <w:spacing w:after="0"/>
              <w:rPr>
                <w:rFonts w:ascii="Times New Roman" w:hAnsi="Times New Roman"/>
                <w:color w:val="000000" w:themeColor="text1"/>
              </w:rPr>
            </w:pPr>
            <w:r w:rsidRPr="009E1B38">
              <w:rPr>
                <w:rFonts w:ascii="Times New Roman" w:hAnsi="Times New Roman"/>
              </w:rPr>
              <w:t>Entry Points</w:t>
            </w:r>
          </w:p>
        </w:tc>
        <w:tc>
          <w:tcPr>
            <w:tcW w:w="1640" w:type="dxa"/>
            <w:shd w:val="clear" w:color="auto" w:fill="auto"/>
            <w:noWrap/>
            <w:hideMark/>
          </w:tcPr>
          <w:p w14:paraId="7D4A88AB" w14:textId="77777777" w:rsidR="00E102D0" w:rsidRPr="009E1B38" w:rsidRDefault="00E102D0" w:rsidP="00E102D0">
            <w:pPr>
              <w:spacing w:after="0"/>
              <w:jc w:val="center"/>
              <w:rPr>
                <w:rFonts w:ascii="Times New Roman" w:hAnsi="Times New Roman"/>
                <w:color w:val="000000" w:themeColor="text1"/>
              </w:rPr>
            </w:pPr>
            <w:r w:rsidRPr="009E1B38">
              <w:rPr>
                <w:rFonts w:ascii="Times New Roman" w:hAnsi="Times New Roman"/>
              </w:rPr>
              <w:t>0,000870</w:t>
            </w:r>
          </w:p>
        </w:tc>
        <w:tc>
          <w:tcPr>
            <w:tcW w:w="1886" w:type="dxa"/>
            <w:shd w:val="clear" w:color="auto" w:fill="auto"/>
            <w:noWrap/>
            <w:hideMark/>
          </w:tcPr>
          <w:p w14:paraId="7D4A88AC" w14:textId="77777777" w:rsidR="00E102D0" w:rsidRPr="009E1B38" w:rsidRDefault="00E102D0" w:rsidP="00E102D0">
            <w:pPr>
              <w:spacing w:after="0"/>
              <w:jc w:val="center"/>
              <w:rPr>
                <w:rFonts w:ascii="Times New Roman" w:hAnsi="Times New Roman"/>
                <w:color w:val="000000" w:themeColor="text1"/>
              </w:rPr>
            </w:pPr>
            <w:r w:rsidRPr="009E1B38">
              <w:rPr>
                <w:rFonts w:ascii="Times New Roman" w:hAnsi="Times New Roman"/>
              </w:rPr>
              <w:t>0,00008177</w:t>
            </w:r>
          </w:p>
        </w:tc>
      </w:tr>
      <w:tr w:rsidR="00E102D0" w:rsidRPr="009E1B38" w14:paraId="7D4A88B1" w14:textId="77777777" w:rsidTr="00C4345A">
        <w:trPr>
          <w:trHeight w:val="20"/>
          <w:jc w:val="center"/>
        </w:trPr>
        <w:tc>
          <w:tcPr>
            <w:tcW w:w="5069" w:type="dxa"/>
            <w:shd w:val="clear" w:color="auto" w:fill="auto"/>
            <w:noWrap/>
          </w:tcPr>
          <w:p w14:paraId="7D4A88AE" w14:textId="36AD2353" w:rsidR="00E102D0" w:rsidRPr="009E1B38" w:rsidRDefault="00AE2870" w:rsidP="00E102D0">
            <w:pPr>
              <w:spacing w:after="0"/>
              <w:rPr>
                <w:rFonts w:ascii="Times New Roman" w:hAnsi="Times New Roman"/>
                <w:color w:val="000000" w:themeColor="text1"/>
              </w:rPr>
            </w:pPr>
            <w:r w:rsidRPr="009E1B38">
              <w:rPr>
                <w:rFonts w:ascii="Times New Roman" w:hAnsi="Times New Roman"/>
              </w:rPr>
              <w:t>Exit point</w:t>
            </w:r>
          </w:p>
        </w:tc>
        <w:tc>
          <w:tcPr>
            <w:tcW w:w="1640" w:type="dxa"/>
            <w:shd w:val="clear" w:color="auto" w:fill="auto"/>
            <w:noWrap/>
          </w:tcPr>
          <w:p w14:paraId="7D4A88AF" w14:textId="77777777" w:rsidR="00E102D0" w:rsidRPr="009E1B38" w:rsidRDefault="00E102D0" w:rsidP="00E102D0">
            <w:pPr>
              <w:spacing w:after="0"/>
              <w:jc w:val="center"/>
              <w:rPr>
                <w:rFonts w:ascii="Times New Roman" w:hAnsi="Times New Roman"/>
                <w:color w:val="000000" w:themeColor="text1"/>
              </w:rPr>
            </w:pPr>
            <w:r w:rsidRPr="009E1B38">
              <w:rPr>
                <w:rFonts w:ascii="Times New Roman" w:hAnsi="Times New Roman"/>
              </w:rPr>
              <w:t>0,032641</w:t>
            </w:r>
          </w:p>
        </w:tc>
        <w:tc>
          <w:tcPr>
            <w:tcW w:w="1886" w:type="dxa"/>
            <w:shd w:val="clear" w:color="auto" w:fill="auto"/>
            <w:noWrap/>
          </w:tcPr>
          <w:p w14:paraId="7D4A88B0" w14:textId="77777777" w:rsidR="00E102D0" w:rsidRPr="009E1B38" w:rsidRDefault="00E102D0" w:rsidP="00E102D0">
            <w:pPr>
              <w:spacing w:after="0"/>
              <w:jc w:val="center"/>
              <w:rPr>
                <w:rFonts w:ascii="Times New Roman" w:hAnsi="Times New Roman"/>
                <w:color w:val="000000" w:themeColor="text1"/>
              </w:rPr>
            </w:pPr>
            <w:r w:rsidRPr="009E1B38">
              <w:rPr>
                <w:rFonts w:ascii="Times New Roman" w:hAnsi="Times New Roman"/>
              </w:rPr>
              <w:t>0,00306776</w:t>
            </w:r>
          </w:p>
        </w:tc>
      </w:tr>
      <w:tr w:rsidR="00E102D0" w:rsidRPr="009E1B38" w14:paraId="7D4A88B5" w14:textId="77777777" w:rsidTr="00C4345A">
        <w:trPr>
          <w:trHeight w:val="20"/>
          <w:jc w:val="center"/>
        </w:trPr>
        <w:tc>
          <w:tcPr>
            <w:tcW w:w="5069" w:type="dxa"/>
            <w:shd w:val="clear" w:color="auto" w:fill="auto"/>
            <w:noWrap/>
          </w:tcPr>
          <w:p w14:paraId="7D4A88B2" w14:textId="0EF20520" w:rsidR="00E102D0" w:rsidRPr="009E1B38" w:rsidRDefault="00AE2870" w:rsidP="00E102D0">
            <w:pPr>
              <w:spacing w:after="0"/>
              <w:rPr>
                <w:rFonts w:ascii="Times New Roman" w:hAnsi="Times New Roman"/>
                <w:color w:val="000000" w:themeColor="text1"/>
              </w:rPr>
            </w:pPr>
            <w:r w:rsidRPr="009E1B38">
              <w:rPr>
                <w:rFonts w:ascii="Times New Roman" w:hAnsi="Times New Roman"/>
              </w:rPr>
              <w:t>Export Exit Point (Greece)</w:t>
            </w:r>
          </w:p>
        </w:tc>
        <w:tc>
          <w:tcPr>
            <w:tcW w:w="1640" w:type="dxa"/>
            <w:shd w:val="clear" w:color="auto" w:fill="auto"/>
            <w:noWrap/>
          </w:tcPr>
          <w:p w14:paraId="7D4A88B3" w14:textId="77777777" w:rsidR="00E102D0" w:rsidRPr="009E1B38" w:rsidRDefault="00E102D0" w:rsidP="00E102D0">
            <w:pPr>
              <w:spacing w:after="0"/>
              <w:jc w:val="center"/>
              <w:rPr>
                <w:rFonts w:ascii="Times New Roman" w:hAnsi="Times New Roman"/>
                <w:color w:val="000000" w:themeColor="text1"/>
              </w:rPr>
            </w:pPr>
            <w:r w:rsidRPr="009E1B38">
              <w:rPr>
                <w:rFonts w:ascii="Times New Roman" w:hAnsi="Times New Roman"/>
              </w:rPr>
              <w:t>0,069780</w:t>
            </w:r>
          </w:p>
        </w:tc>
        <w:tc>
          <w:tcPr>
            <w:tcW w:w="1886" w:type="dxa"/>
            <w:shd w:val="clear" w:color="auto" w:fill="auto"/>
            <w:noWrap/>
          </w:tcPr>
          <w:p w14:paraId="7D4A88B4" w14:textId="77777777" w:rsidR="00E102D0" w:rsidRPr="009E1B38" w:rsidRDefault="00E102D0" w:rsidP="00E102D0">
            <w:pPr>
              <w:spacing w:after="0"/>
              <w:jc w:val="center"/>
              <w:rPr>
                <w:rFonts w:ascii="Times New Roman" w:hAnsi="Times New Roman"/>
                <w:color w:val="000000" w:themeColor="text1"/>
              </w:rPr>
            </w:pPr>
            <w:r w:rsidRPr="009E1B38">
              <w:rPr>
                <w:rFonts w:ascii="Times New Roman" w:hAnsi="Times New Roman"/>
              </w:rPr>
              <w:t>0,00655827</w:t>
            </w:r>
          </w:p>
        </w:tc>
      </w:tr>
    </w:tbl>
    <w:p w14:paraId="7D4A88B6" w14:textId="77777777" w:rsidR="002C3099" w:rsidRPr="009E1B38" w:rsidRDefault="002C3099" w:rsidP="002C3099">
      <w:pPr>
        <w:spacing w:after="0"/>
        <w:rPr>
          <w:rFonts w:ascii="Times New Roman" w:hAnsi="Times New Roman"/>
          <w:color w:val="000000" w:themeColor="text1"/>
          <w:highlight w:val="yellow"/>
        </w:rPr>
      </w:pPr>
    </w:p>
    <w:p w14:paraId="22426017" w14:textId="77777777" w:rsidR="007616B4" w:rsidRPr="009E1B38" w:rsidRDefault="007616B4" w:rsidP="007616B4">
      <w:pPr>
        <w:rPr>
          <w:rFonts w:ascii="Times New Roman" w:hAnsi="Times New Roman"/>
        </w:rPr>
      </w:pPr>
      <w:r w:rsidRPr="009E1B38">
        <w:rPr>
          <w:rFonts w:ascii="Times New Roman" w:hAnsi="Times New Roman"/>
        </w:rPr>
        <w:t>The upper limit of the transmission service fee of BOTAŞ has been determined as follows with the same Board Decision.</w:t>
      </w:r>
    </w:p>
    <w:p w14:paraId="7D4A88B8" w14:textId="1E03ECC5" w:rsidR="002C3099" w:rsidRPr="009E1B38" w:rsidRDefault="002C3099" w:rsidP="009C057D">
      <w:pPr>
        <w:pStyle w:val="Balk5"/>
        <w:jc w:val="center"/>
        <w:rPr>
          <w:rStyle w:val="Gl"/>
          <w:rFonts w:ascii="Times New Roman" w:hAnsi="Times New Roman" w:cs="Times New Roman"/>
          <w:b/>
          <w:bCs w:val="0"/>
        </w:rPr>
      </w:pPr>
      <w:bookmarkStart w:id="209" w:name="_Toc66267486"/>
      <w:bookmarkStart w:id="210" w:name="_Toc107499528"/>
      <w:r w:rsidRPr="009E1B38">
        <w:rPr>
          <w:rStyle w:val="Gl"/>
          <w:rFonts w:ascii="Times New Roman" w:hAnsi="Times New Roman" w:cs="Times New Roman"/>
          <w:b/>
          <w:bCs w:val="0"/>
        </w:rPr>
        <w:t>Tabl</w:t>
      </w:r>
      <w:r w:rsidR="00454164" w:rsidRPr="009E1B38">
        <w:rPr>
          <w:rStyle w:val="Gl"/>
          <w:rFonts w:ascii="Times New Roman" w:hAnsi="Times New Roman" w:cs="Times New Roman"/>
          <w:b/>
          <w:bCs w:val="0"/>
        </w:rPr>
        <w:t>e</w:t>
      </w:r>
      <w:r w:rsidRPr="009E1B38">
        <w:rPr>
          <w:rStyle w:val="Gl"/>
          <w:rFonts w:ascii="Times New Roman" w:hAnsi="Times New Roman" w:cs="Times New Roman"/>
          <w:b/>
          <w:bCs w:val="0"/>
        </w:rPr>
        <w:t xml:space="preserve"> 4.2</w:t>
      </w:r>
      <w:r w:rsidR="00F12D15" w:rsidRPr="009E1B38">
        <w:rPr>
          <w:rStyle w:val="Gl"/>
          <w:rFonts w:ascii="Times New Roman" w:hAnsi="Times New Roman" w:cs="Times New Roman"/>
          <w:b/>
          <w:bCs w:val="0"/>
        </w:rPr>
        <w:t>0</w:t>
      </w:r>
      <w:r w:rsidRPr="009E1B38">
        <w:rPr>
          <w:rStyle w:val="Gl"/>
          <w:rFonts w:ascii="Times New Roman" w:hAnsi="Times New Roman" w:cs="Times New Roman"/>
          <w:b/>
          <w:bCs w:val="0"/>
        </w:rPr>
        <w:t xml:space="preserve">: </w:t>
      </w:r>
      <w:r w:rsidR="00F5269F" w:rsidRPr="009E1B38">
        <w:rPr>
          <w:rStyle w:val="Gl"/>
          <w:rFonts w:ascii="Times New Roman" w:hAnsi="Times New Roman" w:cs="Times New Roman"/>
          <w:b/>
          <w:bCs w:val="0"/>
        </w:rPr>
        <w:t>BOTAŞ’ Transmission Service Fee Upper Limit</w:t>
      </w:r>
      <w:bookmarkEnd w:id="209"/>
      <w:bookmarkEnd w:id="210"/>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2C3099" w:rsidRPr="009E1B38" w14:paraId="7D4A88BC" w14:textId="77777777" w:rsidTr="00D76625">
        <w:trPr>
          <w:trHeight w:hRule="exact" w:val="397"/>
          <w:jc w:val="center"/>
        </w:trPr>
        <w:tc>
          <w:tcPr>
            <w:tcW w:w="3076" w:type="dxa"/>
            <w:shd w:val="clear" w:color="auto" w:fill="6E9ECA"/>
            <w:vAlign w:val="center"/>
            <w:hideMark/>
          </w:tcPr>
          <w:p w14:paraId="7D4A88B9" w14:textId="77777777" w:rsidR="002C3099" w:rsidRPr="009E1B38" w:rsidRDefault="002C3099" w:rsidP="002C3099">
            <w:pPr>
              <w:rPr>
                <w:rFonts w:ascii="Times New Roman" w:hAnsi="Times New Roman"/>
                <w:b/>
                <w:bCs/>
                <w:color w:val="FFFFFF" w:themeColor="background1"/>
              </w:rPr>
            </w:pPr>
          </w:p>
        </w:tc>
        <w:tc>
          <w:tcPr>
            <w:tcW w:w="1640" w:type="dxa"/>
            <w:shd w:val="clear" w:color="auto" w:fill="6E9ECA"/>
            <w:vAlign w:val="center"/>
            <w:hideMark/>
          </w:tcPr>
          <w:p w14:paraId="7D4A88BA" w14:textId="77777777" w:rsidR="002C3099" w:rsidRPr="009E1B38" w:rsidRDefault="002C3099" w:rsidP="002C3099">
            <w:pPr>
              <w:jc w:val="center"/>
              <w:rPr>
                <w:rFonts w:ascii="Times New Roman" w:hAnsi="Times New Roman"/>
                <w:b/>
                <w:bCs/>
                <w:color w:val="FFFFFF" w:themeColor="background1"/>
              </w:rPr>
            </w:pPr>
            <w:r w:rsidRPr="009E1B38">
              <w:rPr>
                <w:rFonts w:ascii="Times New Roman" w:hAnsi="Times New Roman"/>
                <w:b/>
                <w:bCs/>
                <w:color w:val="FFFFFF" w:themeColor="background1"/>
              </w:rPr>
              <w:t>(TL/Sm</w:t>
            </w:r>
            <w:r w:rsidRPr="009E1B38">
              <w:rPr>
                <w:rFonts w:ascii="Times New Roman" w:hAnsi="Times New Roman"/>
                <w:b/>
                <w:bCs/>
                <w:color w:val="FFFFFF" w:themeColor="background1"/>
                <w:vertAlign w:val="superscript"/>
              </w:rPr>
              <w:t>3</w:t>
            </w:r>
            <w:r w:rsidRPr="009E1B38">
              <w:rPr>
                <w:rFonts w:ascii="Times New Roman" w:hAnsi="Times New Roman"/>
                <w:b/>
                <w:bCs/>
                <w:color w:val="FFFFFF" w:themeColor="background1"/>
              </w:rPr>
              <w:t>)</w:t>
            </w:r>
          </w:p>
        </w:tc>
        <w:tc>
          <w:tcPr>
            <w:tcW w:w="1886" w:type="dxa"/>
            <w:shd w:val="clear" w:color="auto" w:fill="6E9ECA"/>
            <w:vAlign w:val="center"/>
            <w:hideMark/>
          </w:tcPr>
          <w:p w14:paraId="7D4A88BB" w14:textId="77777777" w:rsidR="002C3099" w:rsidRPr="009E1B38" w:rsidRDefault="002C3099" w:rsidP="002C3099">
            <w:pPr>
              <w:jc w:val="center"/>
              <w:rPr>
                <w:rFonts w:ascii="Times New Roman" w:hAnsi="Times New Roman"/>
                <w:b/>
                <w:bCs/>
                <w:color w:val="FFFFFF" w:themeColor="background1"/>
              </w:rPr>
            </w:pPr>
            <w:r w:rsidRPr="009E1B38">
              <w:rPr>
                <w:rFonts w:ascii="Times New Roman" w:hAnsi="Times New Roman"/>
                <w:b/>
                <w:bCs/>
                <w:color w:val="FFFFFF" w:themeColor="background1"/>
              </w:rPr>
              <w:t>(TL/kWh)</w:t>
            </w:r>
          </w:p>
        </w:tc>
      </w:tr>
      <w:tr w:rsidR="00E102D0" w:rsidRPr="009E1B38" w14:paraId="7D4A88C0" w14:textId="77777777" w:rsidTr="00D76625">
        <w:trPr>
          <w:trHeight w:hRule="exact" w:val="397"/>
          <w:jc w:val="center"/>
        </w:trPr>
        <w:tc>
          <w:tcPr>
            <w:tcW w:w="3076" w:type="dxa"/>
            <w:shd w:val="clear" w:color="auto" w:fill="auto"/>
            <w:noWrap/>
            <w:vAlign w:val="center"/>
            <w:hideMark/>
          </w:tcPr>
          <w:p w14:paraId="7D4A88BD" w14:textId="45DB21B4" w:rsidR="00E102D0" w:rsidRPr="009E1B38" w:rsidRDefault="00454164" w:rsidP="00E102D0">
            <w:pPr>
              <w:rPr>
                <w:rFonts w:ascii="Times New Roman" w:hAnsi="Times New Roman"/>
                <w:color w:val="000000" w:themeColor="text1"/>
              </w:rPr>
            </w:pPr>
            <w:r w:rsidRPr="009E1B38">
              <w:rPr>
                <w:rFonts w:ascii="Times New Roman" w:hAnsi="Times New Roman"/>
                <w:color w:val="000000" w:themeColor="text1"/>
              </w:rPr>
              <w:t>Transmission Service Fee</w:t>
            </w:r>
          </w:p>
        </w:tc>
        <w:tc>
          <w:tcPr>
            <w:tcW w:w="1640" w:type="dxa"/>
            <w:shd w:val="clear" w:color="auto" w:fill="auto"/>
            <w:noWrap/>
            <w:hideMark/>
          </w:tcPr>
          <w:p w14:paraId="7D4A88BE" w14:textId="77777777" w:rsidR="00E102D0" w:rsidRPr="009E1B38" w:rsidRDefault="00E102D0" w:rsidP="00E102D0">
            <w:pPr>
              <w:jc w:val="center"/>
              <w:rPr>
                <w:rFonts w:ascii="Times New Roman" w:hAnsi="Times New Roman"/>
                <w:color w:val="000000" w:themeColor="text1"/>
              </w:rPr>
            </w:pPr>
            <w:r w:rsidRPr="009E1B38">
              <w:rPr>
                <w:rFonts w:ascii="Times New Roman" w:hAnsi="Times New Roman"/>
              </w:rPr>
              <w:t>0,048372</w:t>
            </w:r>
          </w:p>
        </w:tc>
        <w:tc>
          <w:tcPr>
            <w:tcW w:w="1886" w:type="dxa"/>
            <w:shd w:val="clear" w:color="auto" w:fill="auto"/>
            <w:noWrap/>
            <w:hideMark/>
          </w:tcPr>
          <w:p w14:paraId="7D4A88BF" w14:textId="77777777" w:rsidR="00E102D0" w:rsidRPr="009E1B38" w:rsidRDefault="00E102D0" w:rsidP="00E102D0">
            <w:pPr>
              <w:jc w:val="center"/>
              <w:rPr>
                <w:rFonts w:ascii="Times New Roman" w:hAnsi="Times New Roman"/>
                <w:color w:val="000000" w:themeColor="text1"/>
              </w:rPr>
            </w:pPr>
            <w:r w:rsidRPr="009E1B38">
              <w:rPr>
                <w:rFonts w:ascii="Times New Roman" w:hAnsi="Times New Roman"/>
              </w:rPr>
              <w:t>0,00454624</w:t>
            </w:r>
          </w:p>
        </w:tc>
      </w:tr>
    </w:tbl>
    <w:p w14:paraId="19CACCD4" w14:textId="42E99433" w:rsidR="00A43E92" w:rsidRPr="009E1B38" w:rsidRDefault="00A43E92" w:rsidP="00A43E92">
      <w:pPr>
        <w:spacing w:before="240"/>
        <w:rPr>
          <w:rStyle w:val="Gl"/>
          <w:rFonts w:ascii="Times New Roman" w:hAnsi="Times New Roman"/>
          <w:b w:val="0"/>
          <w:color w:val="000000" w:themeColor="text1"/>
        </w:rPr>
      </w:pPr>
      <w:r w:rsidRPr="009E1B38">
        <w:rPr>
          <w:rFonts w:ascii="Times New Roman" w:hAnsi="Times New Roman"/>
          <w:color w:val="000000" w:themeColor="text1"/>
        </w:rPr>
        <w:t xml:space="preserve">"The Procedure for Determining the Income Ceilings Based on the Tariffs of the Companies Holding a Natural Gas Transmission License," adopted with the Board Decision dated 26.12.2019 and numbered 9036 and published in the Official Gazette dated 29.12.2019 and numbered 30993 and the Board Decision dated 03.10.2013 and numbered 4638-1. Within the framework of the “Principles”, a Decision was taken to determine the annual revenue requirements for the transmission and shipment control tariffs for the third implementation period of BOTAŞ, the owner of the transmission license dated 23.05.2003 and numbered DİL/148-17/021. With the aforementioned Decision, the third implementation period of BOTAŞ regarding transmission and forwarding control tariffs </w:t>
      </w:r>
      <w:r w:rsidR="00301040">
        <w:rPr>
          <w:rFonts w:ascii="Times New Roman" w:hAnsi="Times New Roman"/>
          <w:color w:val="000000" w:themeColor="text1"/>
        </w:rPr>
        <w:t xml:space="preserve">for 2020-2022 has been determined for </w:t>
      </w:r>
      <w:r w:rsidRPr="009E1B38">
        <w:rPr>
          <w:rFonts w:ascii="Times New Roman" w:hAnsi="Times New Roman"/>
          <w:color w:val="000000" w:themeColor="text1"/>
        </w:rPr>
        <w:t xml:space="preserve">the real reasonable rate of return for transmission and forwarding control tariffs </w:t>
      </w:r>
      <w:r w:rsidR="00301040">
        <w:rPr>
          <w:rFonts w:ascii="Times New Roman" w:hAnsi="Times New Roman"/>
          <w:color w:val="000000" w:themeColor="text1"/>
        </w:rPr>
        <w:t>as</w:t>
      </w:r>
      <w:r w:rsidRPr="009E1B38">
        <w:rPr>
          <w:rFonts w:ascii="Times New Roman" w:hAnsi="Times New Roman"/>
          <w:color w:val="000000" w:themeColor="text1"/>
        </w:rPr>
        <w:t xml:space="preserve"> 11.52% (before tax),</w:t>
      </w:r>
      <w:r w:rsidR="00301040">
        <w:rPr>
          <w:rFonts w:ascii="Times New Roman" w:hAnsi="Times New Roman"/>
          <w:color w:val="000000" w:themeColor="text1"/>
        </w:rPr>
        <w:t xml:space="preserve"> and</w:t>
      </w:r>
      <w:r w:rsidRPr="009E1B38">
        <w:rPr>
          <w:rFonts w:ascii="Times New Roman" w:hAnsi="Times New Roman"/>
          <w:color w:val="000000" w:themeColor="text1"/>
        </w:rPr>
        <w:t xml:space="preserve"> the net real reasonable rate of return </w:t>
      </w:r>
      <w:r w:rsidR="00301040">
        <w:rPr>
          <w:rFonts w:ascii="Times New Roman" w:hAnsi="Times New Roman"/>
          <w:color w:val="000000" w:themeColor="text1"/>
        </w:rPr>
        <w:t>as</w:t>
      </w:r>
      <w:r w:rsidRPr="009E1B38">
        <w:rPr>
          <w:rFonts w:ascii="Times New Roman" w:hAnsi="Times New Roman"/>
          <w:color w:val="000000" w:themeColor="text1"/>
        </w:rPr>
        <w:t xml:space="preserve"> 10,893% (before tax). The annual investment ceiling and income requirements of BOTAŞ for the third implementation period are given in Tables 4.21 and 4.22, respectively.</w:t>
      </w:r>
    </w:p>
    <w:p w14:paraId="7D4A88C2" w14:textId="46F590AA" w:rsidR="002C3099" w:rsidRPr="009E1B38" w:rsidRDefault="002C3099" w:rsidP="009C057D">
      <w:pPr>
        <w:pStyle w:val="Balk5"/>
        <w:jc w:val="center"/>
        <w:rPr>
          <w:rStyle w:val="Gl"/>
          <w:rFonts w:ascii="Times New Roman" w:hAnsi="Times New Roman" w:cs="Times New Roman"/>
          <w:b/>
          <w:bCs w:val="0"/>
        </w:rPr>
      </w:pPr>
      <w:bookmarkStart w:id="211" w:name="_Toc66267487"/>
      <w:bookmarkStart w:id="212" w:name="_Toc107499529"/>
      <w:r w:rsidRPr="009E1B38">
        <w:rPr>
          <w:rStyle w:val="Gl"/>
          <w:rFonts w:ascii="Times New Roman" w:hAnsi="Times New Roman" w:cs="Times New Roman"/>
          <w:b/>
          <w:bCs w:val="0"/>
        </w:rPr>
        <w:t>Tabl</w:t>
      </w:r>
      <w:r w:rsidR="000F5CE4" w:rsidRPr="009E1B38">
        <w:rPr>
          <w:rStyle w:val="Gl"/>
          <w:rFonts w:ascii="Times New Roman" w:hAnsi="Times New Roman" w:cs="Times New Roman"/>
          <w:b/>
          <w:bCs w:val="0"/>
        </w:rPr>
        <w:t>e</w:t>
      </w:r>
      <w:r w:rsidRPr="009E1B38">
        <w:rPr>
          <w:rStyle w:val="Gl"/>
          <w:rFonts w:ascii="Times New Roman" w:hAnsi="Times New Roman" w:cs="Times New Roman"/>
          <w:b/>
          <w:bCs w:val="0"/>
        </w:rPr>
        <w:t xml:space="preserve"> 4.2</w:t>
      </w:r>
      <w:r w:rsidR="00F12D15" w:rsidRPr="009E1B38">
        <w:rPr>
          <w:rStyle w:val="Gl"/>
          <w:rFonts w:ascii="Times New Roman" w:hAnsi="Times New Roman" w:cs="Times New Roman"/>
          <w:b/>
          <w:bCs w:val="0"/>
        </w:rPr>
        <w:t>1</w:t>
      </w:r>
      <w:r w:rsidRPr="009E1B38">
        <w:rPr>
          <w:rStyle w:val="Gl"/>
          <w:rFonts w:ascii="Times New Roman" w:hAnsi="Times New Roman" w:cs="Times New Roman"/>
          <w:b/>
          <w:bCs w:val="0"/>
        </w:rPr>
        <w:t xml:space="preserve">: </w:t>
      </w:r>
      <w:r w:rsidR="00A43E92" w:rsidRPr="009E1B38">
        <w:rPr>
          <w:rStyle w:val="Gl"/>
          <w:rFonts w:ascii="Times New Roman" w:hAnsi="Times New Roman" w:cs="Times New Roman"/>
          <w:b/>
          <w:bCs w:val="0"/>
        </w:rPr>
        <w:t>BOTAŞ' Third İmplementation Period Investment Ceiling</w:t>
      </w:r>
      <w:bookmarkEnd w:id="211"/>
      <w:bookmarkEnd w:id="212"/>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0"/>
        <w:gridCol w:w="2479"/>
        <w:gridCol w:w="2480"/>
        <w:gridCol w:w="2483"/>
      </w:tblGrid>
      <w:tr w:rsidR="002C3099" w:rsidRPr="009E1B38" w14:paraId="7D4A88C7" w14:textId="77777777" w:rsidTr="00E40D03">
        <w:trPr>
          <w:jc w:val="center"/>
        </w:trPr>
        <w:tc>
          <w:tcPr>
            <w:tcW w:w="2470" w:type="dxa"/>
            <w:shd w:val="clear" w:color="auto" w:fill="6E9ECA"/>
          </w:tcPr>
          <w:p w14:paraId="7D4A88C3" w14:textId="77777777" w:rsidR="002C3099" w:rsidRPr="009E1B38" w:rsidRDefault="002C3099" w:rsidP="002C3099">
            <w:pPr>
              <w:rPr>
                <w:rFonts w:ascii="Times New Roman" w:hAnsi="Times New Roman"/>
                <w:color w:val="FFFFFF" w:themeColor="background1"/>
                <w:szCs w:val="20"/>
              </w:rPr>
            </w:pPr>
          </w:p>
        </w:tc>
        <w:tc>
          <w:tcPr>
            <w:tcW w:w="2479" w:type="dxa"/>
            <w:shd w:val="clear" w:color="auto" w:fill="6E9ECA"/>
            <w:vAlign w:val="center"/>
          </w:tcPr>
          <w:p w14:paraId="7D4A88C4" w14:textId="77777777" w:rsidR="002C3099" w:rsidRPr="009E1B38" w:rsidRDefault="002C3099" w:rsidP="002C3099">
            <w:pPr>
              <w:jc w:val="center"/>
              <w:rPr>
                <w:rFonts w:ascii="Times New Roman" w:hAnsi="Times New Roman"/>
                <w:b/>
                <w:color w:val="FFFFFF" w:themeColor="background1"/>
                <w:szCs w:val="20"/>
              </w:rPr>
            </w:pPr>
            <w:r w:rsidRPr="009E1B38">
              <w:rPr>
                <w:rFonts w:ascii="Times New Roman" w:hAnsi="Times New Roman"/>
                <w:b/>
                <w:color w:val="FFFFFF" w:themeColor="background1"/>
                <w:szCs w:val="20"/>
              </w:rPr>
              <w:t>2020</w:t>
            </w:r>
          </w:p>
        </w:tc>
        <w:tc>
          <w:tcPr>
            <w:tcW w:w="2480" w:type="dxa"/>
            <w:shd w:val="clear" w:color="auto" w:fill="6E9ECA"/>
            <w:vAlign w:val="center"/>
          </w:tcPr>
          <w:p w14:paraId="7D4A88C5" w14:textId="77777777" w:rsidR="002C3099" w:rsidRPr="009E1B38" w:rsidRDefault="002C3099" w:rsidP="002C3099">
            <w:pPr>
              <w:jc w:val="center"/>
              <w:rPr>
                <w:rFonts w:ascii="Times New Roman" w:hAnsi="Times New Roman"/>
                <w:b/>
                <w:color w:val="FFFFFF" w:themeColor="background1"/>
                <w:szCs w:val="20"/>
              </w:rPr>
            </w:pPr>
            <w:r w:rsidRPr="009E1B38">
              <w:rPr>
                <w:rFonts w:ascii="Times New Roman" w:hAnsi="Times New Roman"/>
                <w:b/>
                <w:color w:val="FFFFFF" w:themeColor="background1"/>
                <w:szCs w:val="20"/>
              </w:rPr>
              <w:t>2021</w:t>
            </w:r>
          </w:p>
        </w:tc>
        <w:tc>
          <w:tcPr>
            <w:tcW w:w="2483" w:type="dxa"/>
            <w:shd w:val="clear" w:color="auto" w:fill="6E9ECA"/>
            <w:vAlign w:val="center"/>
          </w:tcPr>
          <w:p w14:paraId="7D4A88C6" w14:textId="77777777" w:rsidR="002C3099" w:rsidRPr="009E1B38" w:rsidRDefault="002C3099" w:rsidP="002C3099">
            <w:pPr>
              <w:jc w:val="center"/>
              <w:rPr>
                <w:rFonts w:ascii="Times New Roman" w:hAnsi="Times New Roman"/>
                <w:b/>
                <w:color w:val="FFFFFF" w:themeColor="background1"/>
                <w:szCs w:val="20"/>
              </w:rPr>
            </w:pPr>
            <w:r w:rsidRPr="009E1B38">
              <w:rPr>
                <w:rFonts w:ascii="Times New Roman" w:hAnsi="Times New Roman"/>
                <w:b/>
                <w:color w:val="FFFFFF" w:themeColor="background1"/>
                <w:szCs w:val="20"/>
              </w:rPr>
              <w:t>2022</w:t>
            </w:r>
          </w:p>
        </w:tc>
      </w:tr>
      <w:tr w:rsidR="002C3099" w:rsidRPr="009E1B38" w14:paraId="7D4A88CC" w14:textId="77777777" w:rsidTr="00E40D03">
        <w:trPr>
          <w:jc w:val="center"/>
        </w:trPr>
        <w:tc>
          <w:tcPr>
            <w:tcW w:w="2470" w:type="dxa"/>
          </w:tcPr>
          <w:p w14:paraId="7D4A88C8" w14:textId="68714B55" w:rsidR="002C3099" w:rsidRPr="009E1B38" w:rsidRDefault="00A43E92" w:rsidP="002C3099">
            <w:pPr>
              <w:rPr>
                <w:rFonts w:ascii="Times New Roman" w:hAnsi="Times New Roman"/>
                <w:color w:val="000000" w:themeColor="text1"/>
                <w:szCs w:val="20"/>
                <w:vertAlign w:val="superscript"/>
              </w:rPr>
            </w:pPr>
            <w:r w:rsidRPr="009E1B38">
              <w:rPr>
                <w:rFonts w:ascii="Times New Roman" w:hAnsi="Times New Roman"/>
                <w:color w:val="000000" w:themeColor="text1"/>
              </w:rPr>
              <w:t>Investment Ceiling (TL)</w:t>
            </w:r>
            <w:r w:rsidRPr="009E1B38">
              <w:rPr>
                <w:rFonts w:ascii="Times New Roman" w:hAnsi="Times New Roman"/>
                <w:color w:val="000000" w:themeColor="text1"/>
                <w:vertAlign w:val="superscript"/>
              </w:rPr>
              <w:t>1</w:t>
            </w:r>
          </w:p>
        </w:tc>
        <w:tc>
          <w:tcPr>
            <w:tcW w:w="2479" w:type="dxa"/>
          </w:tcPr>
          <w:p w14:paraId="7D4A88C9" w14:textId="77777777" w:rsidR="002C3099" w:rsidRPr="009E1B38" w:rsidRDefault="002C3099" w:rsidP="002C3099">
            <w:pPr>
              <w:jc w:val="center"/>
              <w:rPr>
                <w:rFonts w:ascii="Times New Roman" w:hAnsi="Times New Roman"/>
                <w:color w:val="000000" w:themeColor="text1"/>
                <w:szCs w:val="20"/>
              </w:rPr>
            </w:pPr>
            <w:r w:rsidRPr="009E1B38">
              <w:rPr>
                <w:rFonts w:ascii="Times New Roman" w:hAnsi="Times New Roman"/>
                <w:color w:val="000000" w:themeColor="text1"/>
                <w:szCs w:val="20"/>
              </w:rPr>
              <w:t>754.116.406</w:t>
            </w:r>
          </w:p>
        </w:tc>
        <w:tc>
          <w:tcPr>
            <w:tcW w:w="2480" w:type="dxa"/>
          </w:tcPr>
          <w:p w14:paraId="7D4A88CA" w14:textId="77777777" w:rsidR="002C3099" w:rsidRPr="009E1B38" w:rsidRDefault="002C3099" w:rsidP="002C3099">
            <w:pPr>
              <w:jc w:val="center"/>
              <w:rPr>
                <w:rFonts w:ascii="Times New Roman" w:hAnsi="Times New Roman"/>
                <w:color w:val="000000" w:themeColor="text1"/>
                <w:szCs w:val="20"/>
              </w:rPr>
            </w:pPr>
            <w:r w:rsidRPr="009E1B38">
              <w:rPr>
                <w:rFonts w:ascii="Times New Roman" w:hAnsi="Times New Roman"/>
                <w:color w:val="000000" w:themeColor="text1"/>
                <w:szCs w:val="20"/>
              </w:rPr>
              <w:t>1.152.083.349</w:t>
            </w:r>
          </w:p>
        </w:tc>
        <w:tc>
          <w:tcPr>
            <w:tcW w:w="2483" w:type="dxa"/>
          </w:tcPr>
          <w:p w14:paraId="7D4A88CB" w14:textId="77777777" w:rsidR="002C3099" w:rsidRPr="009E1B38" w:rsidRDefault="002C3099" w:rsidP="002C3099">
            <w:pPr>
              <w:jc w:val="center"/>
              <w:rPr>
                <w:rFonts w:ascii="Times New Roman" w:hAnsi="Times New Roman"/>
                <w:color w:val="000000" w:themeColor="text1"/>
                <w:szCs w:val="20"/>
              </w:rPr>
            </w:pPr>
            <w:r w:rsidRPr="009E1B38">
              <w:rPr>
                <w:rFonts w:ascii="Times New Roman" w:hAnsi="Times New Roman"/>
                <w:color w:val="000000" w:themeColor="text1"/>
                <w:szCs w:val="20"/>
              </w:rPr>
              <w:t>640.263.000</w:t>
            </w:r>
          </w:p>
        </w:tc>
      </w:tr>
    </w:tbl>
    <w:p w14:paraId="167C432D" w14:textId="7E7FCF27" w:rsidR="00A43E92" w:rsidRPr="009E1B38" w:rsidRDefault="00A43E92" w:rsidP="00A43E92">
      <w:pPr>
        <w:rPr>
          <w:rFonts w:ascii="Times New Roman" w:hAnsi="Times New Roman"/>
          <w:color w:val="000000" w:themeColor="text1"/>
        </w:rPr>
      </w:pPr>
      <w:r w:rsidRPr="009E1B38">
        <w:rPr>
          <w:rFonts w:ascii="Times New Roman" w:hAnsi="Times New Roman"/>
          <w:color w:val="000000" w:themeColor="text1"/>
          <w:vertAlign w:val="superscript"/>
        </w:rPr>
        <w:t>1</w:t>
      </w:r>
      <w:r w:rsidRPr="009E1B38">
        <w:rPr>
          <w:rFonts w:ascii="Times New Roman" w:hAnsi="Times New Roman"/>
          <w:color w:val="000000" w:themeColor="text1"/>
        </w:rPr>
        <w:t xml:space="preserve">These amounts are </w:t>
      </w:r>
      <w:r w:rsidR="00AC7F91">
        <w:rPr>
          <w:rFonts w:ascii="Times New Roman" w:hAnsi="Times New Roman"/>
          <w:color w:val="000000" w:themeColor="text1"/>
        </w:rPr>
        <w:t>based on</w:t>
      </w:r>
      <w:r w:rsidRPr="009E1B38">
        <w:rPr>
          <w:rFonts w:ascii="Times New Roman" w:hAnsi="Times New Roman"/>
          <w:color w:val="000000" w:themeColor="text1"/>
        </w:rPr>
        <w:t xml:space="preserve"> </w:t>
      </w:r>
      <w:r w:rsidR="00735D9A">
        <w:rPr>
          <w:rFonts w:ascii="Times New Roman" w:hAnsi="Times New Roman"/>
          <w:color w:val="000000" w:themeColor="text1"/>
        </w:rPr>
        <w:t>PPI</w:t>
      </w:r>
      <w:r w:rsidRPr="009E1B38">
        <w:rPr>
          <w:rFonts w:ascii="Times New Roman" w:hAnsi="Times New Roman"/>
          <w:color w:val="000000" w:themeColor="text1"/>
        </w:rPr>
        <w:t xml:space="preserve"> =449,96.</w:t>
      </w:r>
    </w:p>
    <w:p w14:paraId="7D4A88CE" w14:textId="2D188985" w:rsidR="002C3099" w:rsidRPr="009E1B38" w:rsidRDefault="002C3099" w:rsidP="009C057D">
      <w:pPr>
        <w:pStyle w:val="Balk5"/>
        <w:jc w:val="center"/>
        <w:rPr>
          <w:rStyle w:val="Gl"/>
          <w:rFonts w:ascii="Times New Roman" w:hAnsi="Times New Roman" w:cs="Times New Roman"/>
          <w:b/>
          <w:bCs w:val="0"/>
        </w:rPr>
      </w:pPr>
      <w:bookmarkStart w:id="213" w:name="_Toc66267488"/>
      <w:bookmarkStart w:id="214" w:name="_Toc107499530"/>
      <w:r w:rsidRPr="009E1B38">
        <w:rPr>
          <w:rStyle w:val="Gl"/>
          <w:rFonts w:ascii="Times New Roman" w:hAnsi="Times New Roman" w:cs="Times New Roman"/>
          <w:b/>
          <w:bCs w:val="0"/>
        </w:rPr>
        <w:t>Tabl</w:t>
      </w:r>
      <w:r w:rsidR="00933EC4" w:rsidRPr="009E1B38">
        <w:rPr>
          <w:rStyle w:val="Gl"/>
          <w:rFonts w:ascii="Times New Roman" w:hAnsi="Times New Roman" w:cs="Times New Roman"/>
          <w:b/>
          <w:bCs w:val="0"/>
        </w:rPr>
        <w:t>e</w:t>
      </w:r>
      <w:r w:rsidRPr="009E1B38">
        <w:rPr>
          <w:rStyle w:val="Gl"/>
          <w:rFonts w:ascii="Times New Roman" w:hAnsi="Times New Roman" w:cs="Times New Roman"/>
          <w:b/>
          <w:bCs w:val="0"/>
        </w:rPr>
        <w:t xml:space="preserve"> 4.2</w:t>
      </w:r>
      <w:r w:rsidR="00F12D15" w:rsidRPr="009E1B38">
        <w:rPr>
          <w:rStyle w:val="Gl"/>
          <w:rFonts w:ascii="Times New Roman" w:hAnsi="Times New Roman" w:cs="Times New Roman"/>
          <w:b/>
          <w:bCs w:val="0"/>
        </w:rPr>
        <w:t>2</w:t>
      </w:r>
      <w:r w:rsidRPr="009E1B38">
        <w:rPr>
          <w:rStyle w:val="Gl"/>
          <w:rFonts w:ascii="Times New Roman" w:hAnsi="Times New Roman" w:cs="Times New Roman"/>
          <w:b/>
          <w:bCs w:val="0"/>
        </w:rPr>
        <w:t xml:space="preserve">: </w:t>
      </w:r>
      <w:r w:rsidR="000F5CE4" w:rsidRPr="009E1B38">
        <w:rPr>
          <w:rStyle w:val="Gl"/>
          <w:rFonts w:ascii="Times New Roman" w:hAnsi="Times New Roman" w:cs="Times New Roman"/>
          <w:b/>
          <w:bCs w:val="0"/>
        </w:rPr>
        <w:t>BOTAŞ' Third İmplementation Period Revenue Requirement</w:t>
      </w:r>
      <w:bookmarkEnd w:id="213"/>
      <w:bookmarkEnd w:id="214"/>
    </w:p>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3"/>
        <w:gridCol w:w="2479"/>
        <w:gridCol w:w="2480"/>
        <w:gridCol w:w="2480"/>
      </w:tblGrid>
      <w:tr w:rsidR="002C3099" w:rsidRPr="009E1B38" w14:paraId="7D4A88D3" w14:textId="77777777" w:rsidTr="002C3099">
        <w:tc>
          <w:tcPr>
            <w:tcW w:w="2473" w:type="dxa"/>
            <w:shd w:val="clear" w:color="auto" w:fill="6E9ECA"/>
          </w:tcPr>
          <w:p w14:paraId="7D4A88CF" w14:textId="77777777" w:rsidR="002C3099" w:rsidRPr="009E1B38" w:rsidRDefault="002C3099" w:rsidP="002C3099">
            <w:pPr>
              <w:rPr>
                <w:rFonts w:ascii="Times New Roman" w:hAnsi="Times New Roman"/>
                <w:color w:val="FFFFFF" w:themeColor="background1"/>
                <w:sz w:val="20"/>
                <w:szCs w:val="20"/>
              </w:rPr>
            </w:pPr>
          </w:p>
        </w:tc>
        <w:tc>
          <w:tcPr>
            <w:tcW w:w="2479" w:type="dxa"/>
            <w:shd w:val="clear" w:color="auto" w:fill="6E9ECA"/>
          </w:tcPr>
          <w:p w14:paraId="7D4A88D0" w14:textId="77777777" w:rsidR="002C3099" w:rsidRPr="009E1B38" w:rsidRDefault="002C3099" w:rsidP="002C3099">
            <w:pPr>
              <w:jc w:val="center"/>
              <w:rPr>
                <w:rFonts w:ascii="Times New Roman" w:hAnsi="Times New Roman"/>
                <w:b/>
                <w:color w:val="FFFFFF" w:themeColor="background1"/>
                <w:szCs w:val="20"/>
              </w:rPr>
            </w:pPr>
            <w:r w:rsidRPr="009E1B38">
              <w:rPr>
                <w:rFonts w:ascii="Times New Roman" w:hAnsi="Times New Roman"/>
                <w:b/>
                <w:color w:val="FFFFFF" w:themeColor="background1"/>
                <w:szCs w:val="20"/>
              </w:rPr>
              <w:t>2020</w:t>
            </w:r>
          </w:p>
        </w:tc>
        <w:tc>
          <w:tcPr>
            <w:tcW w:w="2480" w:type="dxa"/>
            <w:shd w:val="clear" w:color="auto" w:fill="6E9ECA"/>
          </w:tcPr>
          <w:p w14:paraId="7D4A88D1" w14:textId="77777777" w:rsidR="002C3099" w:rsidRPr="009E1B38" w:rsidRDefault="002C3099" w:rsidP="002C3099">
            <w:pPr>
              <w:jc w:val="center"/>
              <w:rPr>
                <w:rFonts w:ascii="Times New Roman" w:hAnsi="Times New Roman"/>
                <w:b/>
                <w:color w:val="FFFFFF" w:themeColor="background1"/>
                <w:szCs w:val="20"/>
              </w:rPr>
            </w:pPr>
            <w:r w:rsidRPr="009E1B38">
              <w:rPr>
                <w:rFonts w:ascii="Times New Roman" w:hAnsi="Times New Roman"/>
                <w:b/>
                <w:color w:val="FFFFFF" w:themeColor="background1"/>
                <w:szCs w:val="20"/>
              </w:rPr>
              <w:t>2021</w:t>
            </w:r>
          </w:p>
        </w:tc>
        <w:tc>
          <w:tcPr>
            <w:tcW w:w="2480" w:type="dxa"/>
            <w:shd w:val="clear" w:color="auto" w:fill="6E9ECA"/>
          </w:tcPr>
          <w:p w14:paraId="7D4A88D2" w14:textId="77777777" w:rsidR="002C3099" w:rsidRPr="009E1B38" w:rsidRDefault="002C3099" w:rsidP="002C3099">
            <w:pPr>
              <w:jc w:val="center"/>
              <w:rPr>
                <w:rFonts w:ascii="Times New Roman" w:hAnsi="Times New Roman"/>
                <w:b/>
                <w:color w:val="FFFFFF" w:themeColor="background1"/>
                <w:szCs w:val="20"/>
              </w:rPr>
            </w:pPr>
            <w:r w:rsidRPr="009E1B38">
              <w:rPr>
                <w:rFonts w:ascii="Times New Roman" w:hAnsi="Times New Roman"/>
                <w:b/>
                <w:color w:val="FFFFFF" w:themeColor="background1"/>
                <w:szCs w:val="20"/>
              </w:rPr>
              <w:t>2022</w:t>
            </w:r>
          </w:p>
        </w:tc>
      </w:tr>
      <w:tr w:rsidR="002C3099" w:rsidRPr="009E1B38" w14:paraId="7D4A88D8" w14:textId="77777777" w:rsidTr="002C3099">
        <w:tc>
          <w:tcPr>
            <w:tcW w:w="2473" w:type="dxa"/>
          </w:tcPr>
          <w:p w14:paraId="7D4A88D4" w14:textId="06F033D9" w:rsidR="002C3099" w:rsidRPr="009E1B38" w:rsidRDefault="000F5CE4" w:rsidP="002C3099">
            <w:pPr>
              <w:rPr>
                <w:rFonts w:ascii="Times New Roman" w:hAnsi="Times New Roman"/>
                <w:color w:val="000000" w:themeColor="text1"/>
                <w:sz w:val="20"/>
                <w:szCs w:val="20"/>
                <w:vertAlign w:val="superscript"/>
              </w:rPr>
            </w:pPr>
            <w:r w:rsidRPr="009E1B38">
              <w:rPr>
                <w:rFonts w:ascii="Times New Roman" w:hAnsi="Times New Roman"/>
                <w:color w:val="000000" w:themeColor="text1"/>
              </w:rPr>
              <w:lastRenderedPageBreak/>
              <w:t>Income Requirement (TL)</w:t>
            </w:r>
            <w:r w:rsidRPr="009E1B38">
              <w:rPr>
                <w:rFonts w:ascii="Times New Roman" w:hAnsi="Times New Roman"/>
                <w:color w:val="000000" w:themeColor="text1"/>
                <w:vertAlign w:val="superscript"/>
              </w:rPr>
              <w:t>1</w:t>
            </w:r>
          </w:p>
        </w:tc>
        <w:tc>
          <w:tcPr>
            <w:tcW w:w="2479" w:type="dxa"/>
          </w:tcPr>
          <w:p w14:paraId="7D4A88D5" w14:textId="77777777" w:rsidR="002C3099" w:rsidRPr="009E1B38" w:rsidRDefault="002C3099" w:rsidP="002C3099">
            <w:pPr>
              <w:jc w:val="center"/>
              <w:rPr>
                <w:rFonts w:ascii="Times New Roman" w:hAnsi="Times New Roman"/>
                <w:color w:val="000000" w:themeColor="text1"/>
                <w:szCs w:val="20"/>
              </w:rPr>
            </w:pPr>
            <w:r w:rsidRPr="009E1B38">
              <w:rPr>
                <w:rFonts w:ascii="Times New Roman" w:hAnsi="Times New Roman"/>
                <w:color w:val="000000" w:themeColor="text1"/>
                <w:szCs w:val="20"/>
              </w:rPr>
              <w:t>3.148.131.989</w:t>
            </w:r>
          </w:p>
        </w:tc>
        <w:tc>
          <w:tcPr>
            <w:tcW w:w="2480" w:type="dxa"/>
          </w:tcPr>
          <w:p w14:paraId="7D4A88D6" w14:textId="77777777" w:rsidR="002C3099" w:rsidRPr="009E1B38" w:rsidRDefault="002C3099" w:rsidP="002C3099">
            <w:pPr>
              <w:jc w:val="center"/>
              <w:rPr>
                <w:rFonts w:ascii="Times New Roman" w:hAnsi="Times New Roman"/>
                <w:color w:val="000000" w:themeColor="text1"/>
                <w:szCs w:val="20"/>
              </w:rPr>
            </w:pPr>
            <w:r w:rsidRPr="009E1B38">
              <w:rPr>
                <w:rFonts w:ascii="Times New Roman" w:hAnsi="Times New Roman"/>
                <w:color w:val="000000" w:themeColor="text1"/>
                <w:szCs w:val="20"/>
              </w:rPr>
              <w:t>3.226.998.030</w:t>
            </w:r>
          </w:p>
        </w:tc>
        <w:tc>
          <w:tcPr>
            <w:tcW w:w="2480" w:type="dxa"/>
          </w:tcPr>
          <w:p w14:paraId="7D4A88D7" w14:textId="77777777" w:rsidR="002C3099" w:rsidRPr="009E1B38" w:rsidRDefault="002C3099" w:rsidP="002C3099">
            <w:pPr>
              <w:jc w:val="center"/>
              <w:rPr>
                <w:rFonts w:ascii="Times New Roman" w:hAnsi="Times New Roman"/>
                <w:color w:val="000000" w:themeColor="text1"/>
                <w:szCs w:val="20"/>
              </w:rPr>
            </w:pPr>
            <w:r w:rsidRPr="009E1B38">
              <w:rPr>
                <w:rFonts w:ascii="Times New Roman" w:hAnsi="Times New Roman"/>
                <w:color w:val="000000" w:themeColor="text1"/>
                <w:szCs w:val="20"/>
              </w:rPr>
              <w:t>3.270.274.834</w:t>
            </w:r>
          </w:p>
        </w:tc>
      </w:tr>
    </w:tbl>
    <w:p w14:paraId="1AE04A1A" w14:textId="1C4A1A48" w:rsidR="000F5CE4" w:rsidRPr="009E1B38" w:rsidRDefault="000F5CE4" w:rsidP="00933EC4">
      <w:pPr>
        <w:rPr>
          <w:rFonts w:ascii="Times New Roman" w:hAnsi="Times New Roman"/>
          <w:color w:val="000000" w:themeColor="text1"/>
        </w:rPr>
      </w:pPr>
      <w:r w:rsidRPr="009E1B38">
        <w:rPr>
          <w:rFonts w:ascii="Times New Roman" w:hAnsi="Times New Roman"/>
          <w:color w:val="000000" w:themeColor="text1"/>
          <w:vertAlign w:val="superscript"/>
        </w:rPr>
        <w:t>1</w:t>
      </w:r>
      <w:r w:rsidRPr="009E1B38">
        <w:rPr>
          <w:rFonts w:ascii="Times New Roman" w:hAnsi="Times New Roman"/>
          <w:color w:val="000000" w:themeColor="text1"/>
        </w:rPr>
        <w:t xml:space="preserve">These amounts are </w:t>
      </w:r>
      <w:r w:rsidR="00AC7F91">
        <w:rPr>
          <w:rFonts w:ascii="Times New Roman" w:hAnsi="Times New Roman"/>
          <w:color w:val="000000" w:themeColor="text1"/>
        </w:rPr>
        <w:t>based on</w:t>
      </w:r>
      <w:r w:rsidRPr="009E1B38">
        <w:rPr>
          <w:rFonts w:ascii="Times New Roman" w:hAnsi="Times New Roman"/>
          <w:color w:val="000000" w:themeColor="text1"/>
        </w:rPr>
        <w:t xml:space="preserve"> </w:t>
      </w:r>
      <w:r w:rsidR="00735D9A">
        <w:rPr>
          <w:rFonts w:ascii="Times New Roman" w:hAnsi="Times New Roman"/>
          <w:color w:val="000000" w:themeColor="text1"/>
        </w:rPr>
        <w:t>PPI</w:t>
      </w:r>
      <w:r w:rsidRPr="009E1B38">
        <w:rPr>
          <w:rFonts w:ascii="Times New Roman" w:hAnsi="Times New Roman"/>
          <w:color w:val="000000" w:themeColor="text1"/>
        </w:rPr>
        <w:t xml:space="preserve"> =449,96.</w:t>
      </w:r>
    </w:p>
    <w:p w14:paraId="7CAA2725" w14:textId="214FBC43" w:rsidR="00357191" w:rsidRPr="009E1B38" w:rsidRDefault="006A65CF" w:rsidP="003C5E4D">
      <w:pPr>
        <w:pStyle w:val="Balk3"/>
        <w:numPr>
          <w:ilvl w:val="2"/>
          <w:numId w:val="61"/>
        </w:numPr>
        <w:rPr>
          <w:rFonts w:ascii="Times New Roman" w:hAnsi="Times New Roman" w:cs="Times New Roman"/>
          <w:sz w:val="24"/>
          <w:szCs w:val="24"/>
        </w:rPr>
      </w:pPr>
      <w:bookmarkStart w:id="215" w:name="_Toc113615363"/>
      <w:r w:rsidRPr="009E1B38">
        <w:rPr>
          <w:rFonts w:ascii="Times New Roman" w:hAnsi="Times New Roman" w:cs="Times New Roman"/>
          <w:sz w:val="24"/>
          <w:szCs w:val="24"/>
        </w:rPr>
        <w:t>Connection Tariffs</w:t>
      </w:r>
      <w:bookmarkEnd w:id="215"/>
    </w:p>
    <w:p w14:paraId="72DD09DA" w14:textId="77777777" w:rsidR="00055300" w:rsidRPr="009E1B38" w:rsidRDefault="00055300" w:rsidP="00055300">
      <w:pPr>
        <w:spacing w:after="0"/>
        <w:rPr>
          <w:rFonts w:ascii="Times New Roman" w:hAnsi="Times New Roman"/>
        </w:rPr>
      </w:pPr>
      <w:r w:rsidRPr="009E1B38">
        <w:rPr>
          <w:rFonts w:ascii="Times New Roman" w:hAnsi="Times New Roman"/>
        </w:rPr>
        <w:t>With the Board Decision dated 16.12.2021 and numbered 10633 published in the Official Gazette dated 21.12.2021 and numbered 31696, a decision was taken to determine the prices included in the Procedures and Principles Regarding the Connection and Service Fees of the Natural Gas Distribution Sector. Updated prices for 2022 are given in Table 4.23.</w:t>
      </w:r>
    </w:p>
    <w:p w14:paraId="7EE6AD91" w14:textId="77777777" w:rsidR="00055300" w:rsidRPr="009E1B38" w:rsidRDefault="00055300" w:rsidP="00055300">
      <w:pPr>
        <w:spacing w:after="0"/>
        <w:rPr>
          <w:rFonts w:ascii="Times New Roman" w:hAnsi="Times New Roman"/>
        </w:rPr>
      </w:pPr>
    </w:p>
    <w:p w14:paraId="7C6D9D89" w14:textId="550EF790" w:rsidR="00660C06" w:rsidRPr="009E1B38" w:rsidRDefault="00660C06" w:rsidP="00660C06">
      <w:pPr>
        <w:spacing w:after="0"/>
        <w:rPr>
          <w:rFonts w:ascii="Times New Roman" w:hAnsi="Times New Roman"/>
          <w:color w:val="000000" w:themeColor="text1"/>
        </w:rPr>
      </w:pPr>
      <w:r w:rsidRPr="009E1B38">
        <w:rPr>
          <w:rFonts w:ascii="Times New Roman" w:hAnsi="Times New Roman"/>
          <w:color w:val="000000" w:themeColor="text1"/>
        </w:rPr>
        <w:t xml:space="preserve">With the Board Decision dated </w:t>
      </w:r>
      <w:r w:rsidR="00DF265B" w:rsidRPr="009E1B38">
        <w:rPr>
          <w:rFonts w:ascii="Times New Roman" w:hAnsi="Times New Roman"/>
        </w:rPr>
        <w:t xml:space="preserve">16.12.2021 </w:t>
      </w:r>
      <w:r w:rsidRPr="009E1B38">
        <w:rPr>
          <w:rFonts w:ascii="Times New Roman" w:hAnsi="Times New Roman"/>
          <w:color w:val="000000" w:themeColor="text1"/>
        </w:rPr>
        <w:t xml:space="preserve">and numbered </w:t>
      </w:r>
      <w:r w:rsidR="006A68FE" w:rsidRPr="009E1B38">
        <w:rPr>
          <w:rFonts w:ascii="Times New Roman" w:hAnsi="Times New Roman"/>
        </w:rPr>
        <w:t>10633</w:t>
      </w:r>
      <w:r w:rsidRPr="009E1B38">
        <w:rPr>
          <w:rFonts w:ascii="Times New Roman" w:hAnsi="Times New Roman"/>
          <w:color w:val="000000" w:themeColor="text1"/>
        </w:rPr>
        <w:t xml:space="preserve"> published in the Official Gazette dated </w:t>
      </w:r>
      <w:r w:rsidR="00DF265B" w:rsidRPr="009E1B38">
        <w:rPr>
          <w:rFonts w:ascii="Times New Roman" w:hAnsi="Times New Roman"/>
        </w:rPr>
        <w:t xml:space="preserve">21.12.2021 </w:t>
      </w:r>
      <w:r w:rsidRPr="009E1B38">
        <w:rPr>
          <w:rFonts w:ascii="Times New Roman" w:hAnsi="Times New Roman"/>
          <w:color w:val="000000" w:themeColor="text1"/>
        </w:rPr>
        <w:t xml:space="preserve">and numbered </w:t>
      </w:r>
      <w:r w:rsidR="006A68FE" w:rsidRPr="009E1B38">
        <w:rPr>
          <w:rFonts w:ascii="Times New Roman" w:hAnsi="Times New Roman"/>
        </w:rPr>
        <w:t>31696</w:t>
      </w:r>
      <w:r w:rsidRPr="009E1B38">
        <w:rPr>
          <w:rFonts w:ascii="Times New Roman" w:hAnsi="Times New Roman"/>
          <w:color w:val="000000" w:themeColor="text1"/>
        </w:rPr>
        <w:t>, a decision was taken to determine the prices included in the Procedures and Principles Regarding the Connection and Service Fees of the Natural Gas Distribution Sector. Updated prices for 202</w:t>
      </w:r>
      <w:r w:rsidR="00BA4CEF" w:rsidRPr="009E1B38">
        <w:rPr>
          <w:rFonts w:ascii="Times New Roman" w:hAnsi="Times New Roman"/>
          <w:color w:val="000000" w:themeColor="text1"/>
        </w:rPr>
        <w:t>2</w:t>
      </w:r>
      <w:r w:rsidRPr="009E1B38">
        <w:rPr>
          <w:rFonts w:ascii="Times New Roman" w:hAnsi="Times New Roman"/>
          <w:color w:val="000000" w:themeColor="text1"/>
        </w:rPr>
        <w:t xml:space="preserve"> are given in Table 4.23.</w:t>
      </w:r>
    </w:p>
    <w:p w14:paraId="6F43AF8B" w14:textId="77777777" w:rsidR="00660C06" w:rsidRPr="009E1B38" w:rsidRDefault="00660C06" w:rsidP="006A65CF">
      <w:pPr>
        <w:rPr>
          <w:rFonts w:ascii="Times New Roman" w:hAnsi="Times New Roman"/>
        </w:rPr>
      </w:pPr>
    </w:p>
    <w:p w14:paraId="7D4A88DC" w14:textId="3A51905D" w:rsidR="002C3099" w:rsidRPr="009E1B38" w:rsidRDefault="002C3099" w:rsidP="009A000E">
      <w:pPr>
        <w:jc w:val="center"/>
        <w:rPr>
          <w:rFonts w:ascii="Times New Roman" w:hAnsi="Times New Roman"/>
        </w:rPr>
      </w:pPr>
      <w:bookmarkStart w:id="216" w:name="_Toc66267489"/>
      <w:r w:rsidRPr="009E1B38">
        <w:rPr>
          <w:rStyle w:val="Gl"/>
          <w:rFonts w:ascii="Times New Roman" w:hAnsi="Times New Roman"/>
          <w:color w:val="000000" w:themeColor="text1"/>
        </w:rPr>
        <w:t>Tabl</w:t>
      </w:r>
      <w:r w:rsidR="007A1414" w:rsidRPr="009E1B38">
        <w:rPr>
          <w:rStyle w:val="Gl"/>
          <w:rFonts w:ascii="Times New Roman" w:hAnsi="Times New Roman"/>
          <w:color w:val="000000" w:themeColor="text1"/>
        </w:rPr>
        <w:t>e</w:t>
      </w:r>
      <w:r w:rsidRPr="009E1B38">
        <w:rPr>
          <w:rStyle w:val="Gl"/>
          <w:rFonts w:ascii="Times New Roman" w:hAnsi="Times New Roman"/>
          <w:color w:val="000000" w:themeColor="text1"/>
        </w:rPr>
        <w:t xml:space="preserve"> 4.2</w:t>
      </w:r>
      <w:r w:rsidR="00F12D15" w:rsidRPr="009E1B38">
        <w:rPr>
          <w:rStyle w:val="Gl"/>
          <w:rFonts w:ascii="Times New Roman" w:hAnsi="Times New Roman"/>
          <w:color w:val="000000" w:themeColor="text1"/>
        </w:rPr>
        <w:t>3</w:t>
      </w:r>
      <w:r w:rsidRPr="009E1B38">
        <w:rPr>
          <w:rStyle w:val="Gl"/>
          <w:rFonts w:ascii="Times New Roman" w:hAnsi="Times New Roman"/>
          <w:color w:val="000000" w:themeColor="text1"/>
        </w:rPr>
        <w:t xml:space="preserve">: </w:t>
      </w:r>
      <w:bookmarkEnd w:id="216"/>
      <w:r w:rsidR="007A1414" w:rsidRPr="009E1B38">
        <w:rPr>
          <w:rStyle w:val="Gl"/>
          <w:rFonts w:ascii="Times New Roman" w:hAnsi="Times New Roman"/>
          <w:color w:val="000000" w:themeColor="text1"/>
        </w:rPr>
        <w:t>Connection Tariffs Determined for Distribution Companies</w:t>
      </w:r>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6604"/>
        <w:gridCol w:w="880"/>
        <w:gridCol w:w="880"/>
      </w:tblGrid>
      <w:tr w:rsidR="00D76625" w:rsidRPr="009E1B38" w14:paraId="7D4A88E0" w14:textId="77777777" w:rsidTr="000A6FC7">
        <w:trPr>
          <w:trHeight w:val="20"/>
          <w:jc w:val="center"/>
        </w:trPr>
        <w:tc>
          <w:tcPr>
            <w:tcW w:w="3234" w:type="pct"/>
            <w:shd w:val="clear" w:color="auto" w:fill="548DD4" w:themeFill="text2" w:themeFillTint="99"/>
            <w:noWrap/>
            <w:vAlign w:val="center"/>
            <w:hideMark/>
          </w:tcPr>
          <w:p w14:paraId="7D4A88DD" w14:textId="251512D6" w:rsidR="00D76625" w:rsidRPr="009E1B38" w:rsidRDefault="0026115F" w:rsidP="00D76625">
            <w:pPr>
              <w:jc w:val="left"/>
              <w:rPr>
                <w:rFonts w:ascii="Times New Roman" w:hAnsi="Times New Roman"/>
                <w:b/>
                <w:color w:val="FFFFFF" w:themeColor="background1"/>
              </w:rPr>
            </w:pPr>
            <w:r w:rsidRPr="009E1B38">
              <w:rPr>
                <w:rFonts w:ascii="Times New Roman" w:hAnsi="Times New Roman"/>
                <w:b/>
                <w:color w:val="FFFFFF" w:themeColor="background1"/>
              </w:rPr>
              <w:t>CONNECTION FEES</w:t>
            </w:r>
          </w:p>
        </w:tc>
        <w:tc>
          <w:tcPr>
            <w:tcW w:w="883" w:type="pct"/>
            <w:shd w:val="clear" w:color="auto" w:fill="548DD4" w:themeFill="text2" w:themeFillTint="99"/>
            <w:noWrap/>
            <w:vAlign w:val="center"/>
            <w:hideMark/>
          </w:tcPr>
          <w:p w14:paraId="7D4A88DE" w14:textId="77777777" w:rsidR="00D76625" w:rsidRPr="009E1B38" w:rsidRDefault="00D76625" w:rsidP="00D76625">
            <w:pPr>
              <w:jc w:val="center"/>
              <w:rPr>
                <w:rFonts w:ascii="Times New Roman" w:hAnsi="Times New Roman"/>
                <w:b/>
                <w:color w:val="FFFFFF" w:themeColor="background1"/>
              </w:rPr>
            </w:pPr>
            <w:r w:rsidRPr="009E1B38">
              <w:rPr>
                <w:rFonts w:ascii="Times New Roman" w:hAnsi="Times New Roman"/>
                <w:b/>
                <w:color w:val="FFFFFF" w:themeColor="background1"/>
              </w:rPr>
              <w:t xml:space="preserve">2021 </w:t>
            </w:r>
          </w:p>
        </w:tc>
        <w:tc>
          <w:tcPr>
            <w:tcW w:w="883" w:type="pct"/>
            <w:shd w:val="clear" w:color="auto" w:fill="548DD4" w:themeFill="text2" w:themeFillTint="99"/>
            <w:noWrap/>
            <w:vAlign w:val="center"/>
            <w:hideMark/>
          </w:tcPr>
          <w:p w14:paraId="7D4A88DF" w14:textId="77777777" w:rsidR="00D76625" w:rsidRPr="009E1B38" w:rsidRDefault="00D76625" w:rsidP="00D76625">
            <w:pPr>
              <w:jc w:val="center"/>
              <w:rPr>
                <w:rFonts w:ascii="Times New Roman" w:hAnsi="Times New Roman"/>
                <w:b/>
                <w:color w:val="FFFFFF" w:themeColor="background1"/>
              </w:rPr>
            </w:pPr>
            <w:r w:rsidRPr="009E1B38">
              <w:rPr>
                <w:rFonts w:ascii="Times New Roman" w:hAnsi="Times New Roman"/>
                <w:b/>
                <w:color w:val="FFFFFF" w:themeColor="background1"/>
              </w:rPr>
              <w:t>2022</w:t>
            </w:r>
          </w:p>
        </w:tc>
      </w:tr>
      <w:tr w:rsidR="00D76625" w:rsidRPr="009E1B38" w14:paraId="7D4A88E4" w14:textId="77777777" w:rsidTr="000A6FC7">
        <w:trPr>
          <w:trHeight w:val="20"/>
          <w:jc w:val="center"/>
        </w:trPr>
        <w:tc>
          <w:tcPr>
            <w:tcW w:w="3234" w:type="pct"/>
            <w:shd w:val="clear" w:color="auto" w:fill="auto"/>
            <w:noWrap/>
            <w:hideMark/>
          </w:tcPr>
          <w:p w14:paraId="7D4A88E1" w14:textId="39F91707"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Subscriber Connection Fee (TL)</w:t>
            </w:r>
          </w:p>
        </w:tc>
        <w:tc>
          <w:tcPr>
            <w:tcW w:w="883" w:type="pct"/>
            <w:shd w:val="clear" w:color="auto" w:fill="auto"/>
            <w:noWrap/>
            <w:vAlign w:val="center"/>
            <w:hideMark/>
          </w:tcPr>
          <w:p w14:paraId="7D4A88E2"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749</w:t>
            </w:r>
          </w:p>
        </w:tc>
        <w:tc>
          <w:tcPr>
            <w:tcW w:w="883" w:type="pct"/>
            <w:shd w:val="clear" w:color="auto" w:fill="auto"/>
            <w:noWrap/>
            <w:hideMark/>
          </w:tcPr>
          <w:p w14:paraId="7D4A88E3"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1158</w:t>
            </w:r>
          </w:p>
        </w:tc>
      </w:tr>
      <w:tr w:rsidR="00D76625" w:rsidRPr="009E1B38" w14:paraId="7D4A88E8" w14:textId="77777777" w:rsidTr="000A6FC7">
        <w:trPr>
          <w:trHeight w:val="20"/>
          <w:jc w:val="center"/>
        </w:trPr>
        <w:tc>
          <w:tcPr>
            <w:tcW w:w="3234" w:type="pct"/>
            <w:shd w:val="clear" w:color="auto" w:fill="auto"/>
            <w:noWrap/>
            <w:hideMark/>
          </w:tcPr>
          <w:p w14:paraId="7D4A88E5" w14:textId="12FC9CB9"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Additional Subscriber Connection Fee (TL/100 m2)</w:t>
            </w:r>
          </w:p>
        </w:tc>
        <w:tc>
          <w:tcPr>
            <w:tcW w:w="883" w:type="pct"/>
            <w:shd w:val="clear" w:color="auto" w:fill="auto"/>
            <w:noWrap/>
            <w:vAlign w:val="center"/>
            <w:hideMark/>
          </w:tcPr>
          <w:p w14:paraId="7D4A88E6"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651</w:t>
            </w:r>
          </w:p>
        </w:tc>
        <w:tc>
          <w:tcPr>
            <w:tcW w:w="883" w:type="pct"/>
            <w:shd w:val="clear" w:color="auto" w:fill="auto"/>
            <w:noWrap/>
            <w:hideMark/>
          </w:tcPr>
          <w:p w14:paraId="7D4A88E7"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1007</w:t>
            </w:r>
          </w:p>
        </w:tc>
      </w:tr>
      <w:tr w:rsidR="00D76625" w:rsidRPr="009E1B38" w14:paraId="7D4A88EC" w14:textId="77777777" w:rsidTr="000A6FC7">
        <w:trPr>
          <w:trHeight w:val="20"/>
          <w:jc w:val="center"/>
        </w:trPr>
        <w:tc>
          <w:tcPr>
            <w:tcW w:w="3234" w:type="pct"/>
            <w:shd w:val="clear" w:color="auto" w:fill="auto"/>
            <w:noWrap/>
            <w:hideMark/>
          </w:tcPr>
          <w:p w14:paraId="7D4A88E9" w14:textId="4865D4F2"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Connection Control and Approval Fee (For the first 100 meters) (TL)</w:t>
            </w:r>
          </w:p>
        </w:tc>
        <w:tc>
          <w:tcPr>
            <w:tcW w:w="883" w:type="pct"/>
            <w:shd w:val="clear" w:color="auto" w:fill="auto"/>
            <w:noWrap/>
            <w:vAlign w:val="center"/>
            <w:hideMark/>
          </w:tcPr>
          <w:p w14:paraId="7D4A88EA"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651</w:t>
            </w:r>
          </w:p>
        </w:tc>
        <w:tc>
          <w:tcPr>
            <w:tcW w:w="883" w:type="pct"/>
            <w:shd w:val="clear" w:color="auto" w:fill="auto"/>
            <w:noWrap/>
          </w:tcPr>
          <w:p w14:paraId="7D4A88EB"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790</w:t>
            </w:r>
          </w:p>
        </w:tc>
      </w:tr>
      <w:tr w:rsidR="00D76625" w:rsidRPr="009E1B38" w14:paraId="7D4A88F0" w14:textId="77777777" w:rsidTr="000A6FC7">
        <w:trPr>
          <w:trHeight w:val="20"/>
          <w:jc w:val="center"/>
        </w:trPr>
        <w:tc>
          <w:tcPr>
            <w:tcW w:w="3234" w:type="pct"/>
            <w:shd w:val="clear" w:color="auto" w:fill="auto"/>
            <w:noWrap/>
            <w:hideMark/>
          </w:tcPr>
          <w:p w14:paraId="7D4A88ED" w14:textId="7AD4A53E"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Connection Control and Approval Fee (For each additional 1 meter) (TL)</w:t>
            </w:r>
          </w:p>
        </w:tc>
        <w:tc>
          <w:tcPr>
            <w:tcW w:w="883" w:type="pct"/>
            <w:shd w:val="clear" w:color="auto" w:fill="auto"/>
            <w:noWrap/>
            <w:vAlign w:val="center"/>
            <w:hideMark/>
          </w:tcPr>
          <w:p w14:paraId="7D4A88EE"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4</w:t>
            </w:r>
          </w:p>
        </w:tc>
        <w:tc>
          <w:tcPr>
            <w:tcW w:w="883" w:type="pct"/>
            <w:shd w:val="clear" w:color="auto" w:fill="auto"/>
            <w:noWrap/>
          </w:tcPr>
          <w:p w14:paraId="7D4A88EF"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4,9</w:t>
            </w:r>
          </w:p>
        </w:tc>
      </w:tr>
      <w:tr w:rsidR="00D76625" w:rsidRPr="009E1B38" w14:paraId="7D4A88F4" w14:textId="77777777" w:rsidTr="000A6FC7">
        <w:trPr>
          <w:trHeight w:val="20"/>
          <w:jc w:val="center"/>
        </w:trPr>
        <w:tc>
          <w:tcPr>
            <w:tcW w:w="3234" w:type="pct"/>
            <w:shd w:val="clear" w:color="auto" w:fill="auto"/>
            <w:noWrap/>
            <w:hideMark/>
          </w:tcPr>
          <w:p w14:paraId="7D4A88F1" w14:textId="4A072BB3"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Insurance Fee Combi (TL/Piece)</w:t>
            </w:r>
          </w:p>
        </w:tc>
        <w:tc>
          <w:tcPr>
            <w:tcW w:w="883" w:type="pct"/>
            <w:shd w:val="clear" w:color="auto" w:fill="auto"/>
            <w:noWrap/>
            <w:vAlign w:val="center"/>
            <w:hideMark/>
          </w:tcPr>
          <w:p w14:paraId="7D4A88F2"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620</w:t>
            </w:r>
          </w:p>
        </w:tc>
        <w:tc>
          <w:tcPr>
            <w:tcW w:w="883" w:type="pct"/>
            <w:shd w:val="clear" w:color="auto" w:fill="auto"/>
            <w:noWrap/>
          </w:tcPr>
          <w:p w14:paraId="7D4A88F3"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733</w:t>
            </w:r>
          </w:p>
        </w:tc>
      </w:tr>
      <w:tr w:rsidR="00D76625" w:rsidRPr="009E1B38" w14:paraId="7D4A88F8" w14:textId="77777777" w:rsidTr="000A6FC7">
        <w:trPr>
          <w:trHeight w:val="20"/>
          <w:jc w:val="center"/>
        </w:trPr>
        <w:tc>
          <w:tcPr>
            <w:tcW w:w="3234" w:type="pct"/>
            <w:shd w:val="clear" w:color="auto" w:fill="auto"/>
            <w:noWrap/>
            <w:hideMark/>
          </w:tcPr>
          <w:p w14:paraId="7D4A88F5" w14:textId="59548E47"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Security Fee Stove (TL/Housing)</w:t>
            </w:r>
          </w:p>
        </w:tc>
        <w:tc>
          <w:tcPr>
            <w:tcW w:w="883" w:type="pct"/>
            <w:shd w:val="clear" w:color="auto" w:fill="auto"/>
            <w:noWrap/>
            <w:vAlign w:val="center"/>
            <w:hideMark/>
          </w:tcPr>
          <w:p w14:paraId="7D4A88F6"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551</w:t>
            </w:r>
          </w:p>
        </w:tc>
        <w:tc>
          <w:tcPr>
            <w:tcW w:w="883" w:type="pct"/>
            <w:shd w:val="clear" w:color="auto" w:fill="auto"/>
            <w:noWrap/>
          </w:tcPr>
          <w:p w14:paraId="7D4A88F7"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650</w:t>
            </w:r>
          </w:p>
        </w:tc>
      </w:tr>
      <w:tr w:rsidR="00D76625" w:rsidRPr="009E1B38" w14:paraId="7D4A88FC" w14:textId="77777777" w:rsidTr="000A6FC7">
        <w:trPr>
          <w:trHeight w:val="20"/>
          <w:jc w:val="center"/>
        </w:trPr>
        <w:tc>
          <w:tcPr>
            <w:tcW w:w="3234" w:type="pct"/>
            <w:shd w:val="clear" w:color="auto" w:fill="auto"/>
            <w:noWrap/>
            <w:hideMark/>
          </w:tcPr>
          <w:p w14:paraId="7D4A88F9" w14:textId="7599AFCD"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Assurance Fee Central System (TL/BBS)</w:t>
            </w:r>
          </w:p>
        </w:tc>
        <w:tc>
          <w:tcPr>
            <w:tcW w:w="883" w:type="pct"/>
            <w:shd w:val="clear" w:color="auto" w:fill="auto"/>
            <w:noWrap/>
            <w:vAlign w:val="center"/>
            <w:hideMark/>
          </w:tcPr>
          <w:p w14:paraId="7D4A88FA"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551</w:t>
            </w:r>
          </w:p>
        </w:tc>
        <w:tc>
          <w:tcPr>
            <w:tcW w:w="883" w:type="pct"/>
            <w:shd w:val="clear" w:color="auto" w:fill="auto"/>
            <w:noWrap/>
          </w:tcPr>
          <w:p w14:paraId="7D4A88FB"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650</w:t>
            </w:r>
          </w:p>
        </w:tc>
      </w:tr>
      <w:tr w:rsidR="00D76625" w:rsidRPr="009E1B38" w14:paraId="7D4A8900" w14:textId="77777777" w:rsidTr="000A6FC7">
        <w:trPr>
          <w:trHeight w:val="20"/>
          <w:jc w:val="center"/>
        </w:trPr>
        <w:tc>
          <w:tcPr>
            <w:tcW w:w="3234" w:type="pct"/>
            <w:shd w:val="clear" w:color="auto" w:fill="auto"/>
            <w:noWrap/>
            <w:hideMark/>
          </w:tcPr>
          <w:p w14:paraId="7D4A88FD" w14:textId="5078C8BC"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Guarantee Fee January (TL)</w:t>
            </w:r>
          </w:p>
        </w:tc>
        <w:tc>
          <w:tcPr>
            <w:tcW w:w="883" w:type="pct"/>
            <w:shd w:val="clear" w:color="auto" w:fill="auto"/>
            <w:noWrap/>
            <w:vAlign w:val="center"/>
            <w:hideMark/>
          </w:tcPr>
          <w:p w14:paraId="7D4A88FE"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35</w:t>
            </w:r>
          </w:p>
        </w:tc>
        <w:tc>
          <w:tcPr>
            <w:tcW w:w="883" w:type="pct"/>
            <w:shd w:val="clear" w:color="auto" w:fill="auto"/>
            <w:noWrap/>
          </w:tcPr>
          <w:p w14:paraId="7D4A88FF"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42</w:t>
            </w:r>
          </w:p>
        </w:tc>
      </w:tr>
      <w:tr w:rsidR="00D76625" w:rsidRPr="009E1B38" w14:paraId="7D4A8904" w14:textId="77777777" w:rsidTr="000A6FC7">
        <w:trPr>
          <w:trHeight w:val="20"/>
          <w:jc w:val="center"/>
        </w:trPr>
        <w:tc>
          <w:tcPr>
            <w:tcW w:w="3234" w:type="pct"/>
            <w:shd w:val="clear" w:color="auto" w:fill="auto"/>
            <w:noWrap/>
            <w:hideMark/>
          </w:tcPr>
          <w:p w14:paraId="7D4A8901" w14:textId="230F5E3E"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Guarantee Fee Geyser (TL)</w:t>
            </w:r>
          </w:p>
        </w:tc>
        <w:tc>
          <w:tcPr>
            <w:tcW w:w="883" w:type="pct"/>
            <w:shd w:val="clear" w:color="auto" w:fill="auto"/>
            <w:noWrap/>
            <w:vAlign w:val="center"/>
            <w:hideMark/>
          </w:tcPr>
          <w:p w14:paraId="7D4A8902"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70</w:t>
            </w:r>
          </w:p>
        </w:tc>
        <w:tc>
          <w:tcPr>
            <w:tcW w:w="883" w:type="pct"/>
            <w:shd w:val="clear" w:color="auto" w:fill="auto"/>
            <w:noWrap/>
          </w:tcPr>
          <w:p w14:paraId="7D4A8903"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83</w:t>
            </w:r>
          </w:p>
        </w:tc>
      </w:tr>
      <w:tr w:rsidR="00D76625" w:rsidRPr="009E1B38" w14:paraId="7D4A8908" w14:textId="77777777" w:rsidTr="000A6FC7">
        <w:trPr>
          <w:trHeight w:val="20"/>
          <w:jc w:val="center"/>
        </w:trPr>
        <w:tc>
          <w:tcPr>
            <w:tcW w:w="3234" w:type="pct"/>
            <w:shd w:val="clear" w:color="auto" w:fill="auto"/>
            <w:noWrap/>
            <w:hideMark/>
          </w:tcPr>
          <w:p w14:paraId="7D4A8905" w14:textId="3879B70F"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Prepaid Meter Change Fee (TL)</w:t>
            </w:r>
          </w:p>
        </w:tc>
        <w:tc>
          <w:tcPr>
            <w:tcW w:w="883" w:type="pct"/>
            <w:shd w:val="clear" w:color="auto" w:fill="auto"/>
            <w:noWrap/>
            <w:vAlign w:val="center"/>
            <w:hideMark/>
          </w:tcPr>
          <w:p w14:paraId="7D4A8906"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306</w:t>
            </w:r>
          </w:p>
        </w:tc>
        <w:tc>
          <w:tcPr>
            <w:tcW w:w="883" w:type="pct"/>
            <w:shd w:val="clear" w:color="auto" w:fill="auto"/>
            <w:noWrap/>
          </w:tcPr>
          <w:p w14:paraId="7D4A8907"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371</w:t>
            </w:r>
          </w:p>
        </w:tc>
      </w:tr>
      <w:tr w:rsidR="00D76625" w:rsidRPr="009E1B38" w14:paraId="7D4A890C" w14:textId="77777777" w:rsidTr="000A6FC7">
        <w:trPr>
          <w:trHeight w:val="20"/>
          <w:jc w:val="center"/>
        </w:trPr>
        <w:tc>
          <w:tcPr>
            <w:tcW w:w="3234" w:type="pct"/>
            <w:shd w:val="clear" w:color="auto" w:fill="auto"/>
            <w:noWrap/>
            <w:hideMark/>
          </w:tcPr>
          <w:p w14:paraId="7D4A8909" w14:textId="69185683"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Counter Opening and Closing Fee (TL)</w:t>
            </w:r>
          </w:p>
        </w:tc>
        <w:tc>
          <w:tcPr>
            <w:tcW w:w="883" w:type="pct"/>
            <w:shd w:val="clear" w:color="auto" w:fill="auto"/>
            <w:noWrap/>
            <w:vAlign w:val="center"/>
            <w:hideMark/>
          </w:tcPr>
          <w:p w14:paraId="7D4A890A"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30</w:t>
            </w:r>
          </w:p>
        </w:tc>
        <w:tc>
          <w:tcPr>
            <w:tcW w:w="883" w:type="pct"/>
            <w:shd w:val="clear" w:color="auto" w:fill="auto"/>
            <w:noWrap/>
          </w:tcPr>
          <w:p w14:paraId="7D4A890B"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36</w:t>
            </w:r>
          </w:p>
        </w:tc>
      </w:tr>
      <w:tr w:rsidR="00D76625" w:rsidRPr="009E1B38" w14:paraId="7D4A8910" w14:textId="77777777" w:rsidTr="000A6FC7">
        <w:trPr>
          <w:trHeight w:val="20"/>
          <w:jc w:val="center"/>
        </w:trPr>
        <w:tc>
          <w:tcPr>
            <w:tcW w:w="3234" w:type="pct"/>
            <w:shd w:val="clear" w:color="auto" w:fill="auto"/>
            <w:noWrap/>
            <w:hideMark/>
          </w:tcPr>
          <w:p w14:paraId="7D4A890D" w14:textId="6F43D16E" w:rsidR="00D76625" w:rsidRPr="009E1B38" w:rsidRDefault="000A6FC7" w:rsidP="00D76625">
            <w:pPr>
              <w:spacing w:after="0" w:line="240" w:lineRule="auto"/>
              <w:rPr>
                <w:rFonts w:ascii="Times New Roman" w:hAnsi="Times New Roman"/>
                <w:color w:val="000000" w:themeColor="text1"/>
              </w:rPr>
            </w:pPr>
            <w:r w:rsidRPr="009E1B38">
              <w:rPr>
                <w:rFonts w:ascii="Times New Roman" w:hAnsi="Times New Roman"/>
              </w:rPr>
              <w:t>Service Box Dismantling Fee (TL)</w:t>
            </w:r>
          </w:p>
        </w:tc>
        <w:tc>
          <w:tcPr>
            <w:tcW w:w="883" w:type="pct"/>
            <w:shd w:val="clear" w:color="auto" w:fill="auto"/>
            <w:noWrap/>
            <w:vAlign w:val="center"/>
            <w:hideMark/>
          </w:tcPr>
          <w:p w14:paraId="7D4A890E"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260</w:t>
            </w:r>
          </w:p>
        </w:tc>
        <w:tc>
          <w:tcPr>
            <w:tcW w:w="883" w:type="pct"/>
            <w:shd w:val="clear" w:color="auto" w:fill="auto"/>
            <w:noWrap/>
          </w:tcPr>
          <w:p w14:paraId="7D4A890F"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315</w:t>
            </w:r>
          </w:p>
        </w:tc>
      </w:tr>
    </w:tbl>
    <w:p w14:paraId="7D4A8911" w14:textId="77777777" w:rsidR="00D76625" w:rsidRPr="009E1B38" w:rsidRDefault="00D76625" w:rsidP="00D76625">
      <w:pPr>
        <w:rPr>
          <w:rFonts w:ascii="Times New Roman" w:hAnsi="Times New Roman"/>
          <w:sz w:val="24"/>
          <w:szCs w:val="24"/>
        </w:rPr>
      </w:pPr>
    </w:p>
    <w:p w14:paraId="43764035" w14:textId="2C12CDC5" w:rsidR="004711F1" w:rsidRPr="009E1B38" w:rsidRDefault="002C3099" w:rsidP="003C5E4D">
      <w:pPr>
        <w:pStyle w:val="Balk3"/>
        <w:numPr>
          <w:ilvl w:val="2"/>
          <w:numId w:val="61"/>
        </w:numPr>
        <w:spacing w:after="240"/>
        <w:rPr>
          <w:rFonts w:ascii="Times New Roman" w:hAnsi="Times New Roman" w:cs="Times New Roman"/>
          <w:sz w:val="24"/>
          <w:szCs w:val="24"/>
        </w:rPr>
      </w:pPr>
      <w:bookmarkStart w:id="217" w:name="_Toc66267387"/>
      <w:r w:rsidRPr="009E1B38">
        <w:rPr>
          <w:rFonts w:ascii="Times New Roman" w:hAnsi="Times New Roman" w:cs="Times New Roman"/>
          <w:sz w:val="24"/>
          <w:szCs w:val="24"/>
        </w:rPr>
        <w:t xml:space="preserve"> </w:t>
      </w:r>
      <w:bookmarkStart w:id="218" w:name="_Toc113615364"/>
      <w:r w:rsidR="008476EE" w:rsidRPr="009E1B38">
        <w:rPr>
          <w:rFonts w:ascii="Times New Roman" w:hAnsi="Times New Roman" w:cs="Times New Roman"/>
          <w:sz w:val="24"/>
          <w:szCs w:val="24"/>
        </w:rPr>
        <w:t xml:space="preserve">Fees for Internal Installation Project Approval, Controlling, Testing and Commissioning </w:t>
      </w:r>
      <w:r w:rsidR="00BB60F9" w:rsidRPr="009E1B38">
        <w:rPr>
          <w:rFonts w:ascii="Times New Roman" w:hAnsi="Times New Roman" w:cs="Times New Roman"/>
          <w:sz w:val="24"/>
          <w:szCs w:val="24"/>
        </w:rPr>
        <w:t>Procedures</w:t>
      </w:r>
      <w:bookmarkEnd w:id="218"/>
    </w:p>
    <w:bookmarkEnd w:id="217"/>
    <w:p w14:paraId="77A35531" w14:textId="0718CD05" w:rsidR="002D3B95" w:rsidRPr="009E1B38" w:rsidRDefault="002D3B95" w:rsidP="002D3B95">
      <w:pPr>
        <w:spacing w:after="0"/>
        <w:rPr>
          <w:rFonts w:ascii="Times New Roman" w:hAnsi="Times New Roman"/>
          <w:color w:val="000000" w:themeColor="text1"/>
        </w:rPr>
      </w:pPr>
      <w:r w:rsidRPr="009E1B38">
        <w:rPr>
          <w:rFonts w:ascii="Times New Roman" w:hAnsi="Times New Roman"/>
          <w:color w:val="000000" w:themeColor="text1"/>
        </w:rPr>
        <w:t xml:space="preserve">The Board Decision dated </w:t>
      </w:r>
      <w:r w:rsidR="00CE20D1" w:rsidRPr="009E1B38">
        <w:rPr>
          <w:rFonts w:ascii="Times New Roman" w:hAnsi="Times New Roman"/>
          <w:color w:val="000000" w:themeColor="text1"/>
        </w:rPr>
        <w:t xml:space="preserve">16.12.2021 </w:t>
      </w:r>
      <w:r w:rsidRPr="009E1B38">
        <w:rPr>
          <w:rFonts w:ascii="Times New Roman" w:hAnsi="Times New Roman"/>
          <w:color w:val="000000" w:themeColor="text1"/>
        </w:rPr>
        <w:t xml:space="preserve">and numbered </w:t>
      </w:r>
      <w:r w:rsidR="00CE20D1" w:rsidRPr="009E1B38">
        <w:rPr>
          <w:rFonts w:ascii="Times New Roman" w:hAnsi="Times New Roman"/>
          <w:color w:val="000000" w:themeColor="text1"/>
        </w:rPr>
        <w:t>10633</w:t>
      </w:r>
      <w:r w:rsidRPr="009E1B38">
        <w:rPr>
          <w:rFonts w:ascii="Times New Roman" w:hAnsi="Times New Roman"/>
          <w:color w:val="000000" w:themeColor="text1"/>
        </w:rPr>
        <w:t xml:space="preserve">, regarding the upper limits for the internal installation project approval, inspection, testing and commissioning transactions of natural gas distribution companies, was published in the Official Gazette dated </w:t>
      </w:r>
      <w:r w:rsidR="00CE20D1" w:rsidRPr="009E1B38">
        <w:rPr>
          <w:rFonts w:ascii="Times New Roman" w:hAnsi="Times New Roman"/>
          <w:color w:val="000000" w:themeColor="text1"/>
        </w:rPr>
        <w:t xml:space="preserve">21.12.2021 </w:t>
      </w:r>
      <w:r w:rsidRPr="009E1B38">
        <w:rPr>
          <w:rFonts w:ascii="Times New Roman" w:hAnsi="Times New Roman"/>
          <w:color w:val="000000" w:themeColor="text1"/>
        </w:rPr>
        <w:t xml:space="preserve">and numbered </w:t>
      </w:r>
      <w:r w:rsidR="00CE20D1" w:rsidRPr="009E1B38">
        <w:rPr>
          <w:rFonts w:ascii="Times New Roman" w:hAnsi="Times New Roman"/>
          <w:color w:val="000000" w:themeColor="text1"/>
        </w:rPr>
        <w:t>31696</w:t>
      </w:r>
      <w:r w:rsidRPr="009E1B38">
        <w:rPr>
          <w:rFonts w:ascii="Times New Roman" w:hAnsi="Times New Roman"/>
          <w:color w:val="000000" w:themeColor="text1"/>
        </w:rPr>
        <w:t>. Updated prices for 202</w:t>
      </w:r>
      <w:r w:rsidR="00CE20D1" w:rsidRPr="009E1B38">
        <w:rPr>
          <w:rFonts w:ascii="Times New Roman" w:hAnsi="Times New Roman"/>
          <w:color w:val="000000" w:themeColor="text1"/>
        </w:rPr>
        <w:t>2</w:t>
      </w:r>
      <w:r w:rsidRPr="009E1B38">
        <w:rPr>
          <w:rFonts w:ascii="Times New Roman" w:hAnsi="Times New Roman"/>
          <w:color w:val="000000" w:themeColor="text1"/>
        </w:rPr>
        <w:t xml:space="preserve"> are shown in Table 4.2</w:t>
      </w:r>
      <w:r w:rsidR="00CE20D1" w:rsidRPr="009E1B38">
        <w:rPr>
          <w:rFonts w:ascii="Times New Roman" w:hAnsi="Times New Roman"/>
          <w:color w:val="000000" w:themeColor="text1"/>
        </w:rPr>
        <w:t>4</w:t>
      </w:r>
      <w:r w:rsidRPr="009E1B38">
        <w:rPr>
          <w:rFonts w:ascii="Times New Roman" w:hAnsi="Times New Roman"/>
          <w:color w:val="000000" w:themeColor="text1"/>
        </w:rPr>
        <w:t>.</w:t>
      </w:r>
    </w:p>
    <w:p w14:paraId="7D4A8914" w14:textId="77777777" w:rsidR="00F9112A" w:rsidRPr="009E1B38" w:rsidRDefault="00F9112A" w:rsidP="002C3099">
      <w:pPr>
        <w:spacing w:after="0"/>
        <w:rPr>
          <w:rFonts w:ascii="Times New Roman" w:hAnsi="Times New Roman"/>
          <w:color w:val="000000" w:themeColor="text1"/>
        </w:rPr>
      </w:pPr>
    </w:p>
    <w:p w14:paraId="4D3BF05B" w14:textId="77777777" w:rsidR="00055300" w:rsidRPr="009E1B38" w:rsidRDefault="00055300" w:rsidP="002C3099">
      <w:pPr>
        <w:spacing w:after="0"/>
        <w:rPr>
          <w:rFonts w:ascii="Times New Roman" w:hAnsi="Times New Roman"/>
          <w:color w:val="000000" w:themeColor="text1"/>
        </w:rPr>
      </w:pPr>
    </w:p>
    <w:p w14:paraId="7D4A8915" w14:textId="583A4687" w:rsidR="00D730CF" w:rsidRPr="009E1B38" w:rsidRDefault="002C3099" w:rsidP="009C057D">
      <w:pPr>
        <w:pStyle w:val="Balk5"/>
        <w:jc w:val="center"/>
        <w:rPr>
          <w:rFonts w:ascii="Times New Roman" w:hAnsi="Times New Roman" w:cs="Times New Roman"/>
        </w:rPr>
      </w:pPr>
      <w:bookmarkStart w:id="219" w:name="_Toc66267490"/>
      <w:bookmarkStart w:id="220" w:name="_Toc107499531"/>
      <w:r w:rsidRPr="009E1B38">
        <w:rPr>
          <w:rStyle w:val="Gl"/>
          <w:rFonts w:ascii="Times New Roman" w:hAnsi="Times New Roman" w:cs="Times New Roman"/>
          <w:b/>
          <w:bCs w:val="0"/>
        </w:rPr>
        <w:t>Tabl</w:t>
      </w:r>
      <w:r w:rsidR="002505A7" w:rsidRPr="009E1B38">
        <w:rPr>
          <w:rStyle w:val="Gl"/>
          <w:rFonts w:ascii="Times New Roman" w:hAnsi="Times New Roman" w:cs="Times New Roman"/>
          <w:b/>
          <w:bCs w:val="0"/>
        </w:rPr>
        <w:t>e</w:t>
      </w:r>
      <w:r w:rsidRPr="009E1B38">
        <w:rPr>
          <w:rStyle w:val="Gl"/>
          <w:rFonts w:ascii="Times New Roman" w:hAnsi="Times New Roman" w:cs="Times New Roman"/>
          <w:b/>
          <w:bCs w:val="0"/>
        </w:rPr>
        <w:t xml:space="preserve"> 4.2</w:t>
      </w:r>
      <w:r w:rsidR="00F12D15" w:rsidRPr="009E1B38">
        <w:rPr>
          <w:rStyle w:val="Gl"/>
          <w:rFonts w:ascii="Times New Roman" w:hAnsi="Times New Roman" w:cs="Times New Roman"/>
          <w:b/>
          <w:bCs w:val="0"/>
        </w:rPr>
        <w:t>4</w:t>
      </w:r>
      <w:r w:rsidRPr="009E1B38">
        <w:rPr>
          <w:rStyle w:val="Gl"/>
          <w:rFonts w:ascii="Times New Roman" w:hAnsi="Times New Roman" w:cs="Times New Roman"/>
          <w:b/>
          <w:bCs w:val="0"/>
        </w:rPr>
        <w:t xml:space="preserve">: </w:t>
      </w:r>
      <w:bookmarkEnd w:id="219"/>
      <w:r w:rsidR="002505A7" w:rsidRPr="009E1B38">
        <w:rPr>
          <w:rFonts w:ascii="Times New Roman" w:hAnsi="Times New Roman" w:cs="Times New Roman"/>
        </w:rPr>
        <w:t>Internal Installation Project Approval, Control, Test and Commissioning Upper Costs Determined by the Authority</w:t>
      </w:r>
      <w:bookmarkEnd w:id="220"/>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254"/>
        <w:gridCol w:w="1982"/>
        <w:gridCol w:w="2128"/>
      </w:tblGrid>
      <w:tr w:rsidR="00D76625" w:rsidRPr="009E1B38" w14:paraId="7D4A8919" w14:textId="77777777" w:rsidTr="00B23DEA">
        <w:trPr>
          <w:trHeight w:val="315"/>
          <w:jc w:val="center"/>
        </w:trPr>
        <w:tc>
          <w:tcPr>
            <w:tcW w:w="2543" w:type="pct"/>
            <w:shd w:val="clear" w:color="auto" w:fill="548DD4" w:themeFill="text2" w:themeFillTint="99"/>
            <w:vAlign w:val="center"/>
            <w:hideMark/>
          </w:tcPr>
          <w:p w14:paraId="7D4A8916" w14:textId="228C3E51" w:rsidR="00D76625" w:rsidRPr="009E1B38" w:rsidRDefault="004836CD" w:rsidP="00D76625">
            <w:pPr>
              <w:jc w:val="left"/>
              <w:rPr>
                <w:rFonts w:ascii="Times New Roman" w:hAnsi="Times New Roman"/>
                <w:b/>
                <w:bCs/>
                <w:color w:val="FFFFFF" w:themeColor="background1"/>
              </w:rPr>
            </w:pPr>
            <w:r w:rsidRPr="009E1B38">
              <w:rPr>
                <w:rFonts w:ascii="Times New Roman" w:hAnsi="Times New Roman"/>
                <w:b/>
                <w:color w:val="FFFFFF" w:themeColor="background1"/>
              </w:rPr>
              <w:t>INTERIOR INSTALLATION PROCESS FEES</w:t>
            </w:r>
          </w:p>
        </w:tc>
        <w:tc>
          <w:tcPr>
            <w:tcW w:w="1185" w:type="pct"/>
            <w:shd w:val="clear" w:color="auto" w:fill="548DD4" w:themeFill="text2" w:themeFillTint="99"/>
            <w:noWrap/>
            <w:vAlign w:val="center"/>
            <w:hideMark/>
          </w:tcPr>
          <w:p w14:paraId="7D4A8917" w14:textId="77777777" w:rsidR="00D76625" w:rsidRPr="009E1B38" w:rsidRDefault="00D76625" w:rsidP="00D76625">
            <w:pPr>
              <w:jc w:val="center"/>
              <w:rPr>
                <w:rFonts w:ascii="Times New Roman" w:hAnsi="Times New Roman"/>
                <w:b/>
                <w:bCs/>
                <w:color w:val="FFFFFF" w:themeColor="background1"/>
              </w:rPr>
            </w:pPr>
            <w:r w:rsidRPr="009E1B38">
              <w:rPr>
                <w:rFonts w:ascii="Times New Roman" w:hAnsi="Times New Roman"/>
                <w:b/>
                <w:bCs/>
                <w:color w:val="FFFFFF" w:themeColor="background1"/>
              </w:rPr>
              <w:t>2021</w:t>
            </w:r>
          </w:p>
        </w:tc>
        <w:tc>
          <w:tcPr>
            <w:tcW w:w="1272" w:type="pct"/>
            <w:shd w:val="clear" w:color="auto" w:fill="548DD4" w:themeFill="text2" w:themeFillTint="99"/>
            <w:noWrap/>
            <w:vAlign w:val="center"/>
            <w:hideMark/>
          </w:tcPr>
          <w:p w14:paraId="7D4A8918" w14:textId="77777777" w:rsidR="00D76625" w:rsidRPr="009E1B38" w:rsidRDefault="00D76625" w:rsidP="00D76625">
            <w:pPr>
              <w:jc w:val="center"/>
              <w:rPr>
                <w:rFonts w:ascii="Times New Roman" w:hAnsi="Times New Roman"/>
                <w:b/>
                <w:bCs/>
                <w:color w:val="FFFFFF" w:themeColor="background1"/>
              </w:rPr>
            </w:pPr>
            <w:r w:rsidRPr="009E1B38">
              <w:rPr>
                <w:rFonts w:ascii="Times New Roman" w:hAnsi="Times New Roman"/>
                <w:b/>
                <w:bCs/>
                <w:color w:val="FFFFFF" w:themeColor="background1"/>
              </w:rPr>
              <w:t xml:space="preserve">2022 </w:t>
            </w:r>
          </w:p>
        </w:tc>
      </w:tr>
      <w:tr w:rsidR="00D76625" w:rsidRPr="009E1B38" w14:paraId="7D4A891D" w14:textId="77777777" w:rsidTr="00B23DEA">
        <w:trPr>
          <w:trHeight w:val="330"/>
          <w:jc w:val="center"/>
        </w:trPr>
        <w:tc>
          <w:tcPr>
            <w:tcW w:w="2543" w:type="pct"/>
            <w:shd w:val="clear" w:color="auto" w:fill="auto"/>
            <w:noWrap/>
            <w:vAlign w:val="center"/>
            <w:hideMark/>
          </w:tcPr>
          <w:p w14:paraId="7D4A891A" w14:textId="4EF3BB17" w:rsidR="00D76625" w:rsidRPr="009E1B38" w:rsidRDefault="00414A6C" w:rsidP="00D76625">
            <w:pPr>
              <w:spacing w:after="0" w:line="240" w:lineRule="auto"/>
              <w:rPr>
                <w:rFonts w:ascii="Times New Roman" w:hAnsi="Times New Roman"/>
                <w:color w:val="000000" w:themeColor="text1"/>
              </w:rPr>
            </w:pPr>
            <w:r w:rsidRPr="009E1B38">
              <w:rPr>
                <w:rFonts w:ascii="Times New Roman" w:hAnsi="Times New Roman"/>
                <w:color w:val="000000" w:themeColor="text1"/>
              </w:rPr>
              <w:t>COUNTER TYPE</w:t>
            </w:r>
          </w:p>
        </w:tc>
        <w:tc>
          <w:tcPr>
            <w:tcW w:w="1185" w:type="pct"/>
            <w:shd w:val="clear" w:color="auto" w:fill="auto"/>
            <w:noWrap/>
            <w:vAlign w:val="center"/>
            <w:hideMark/>
          </w:tcPr>
          <w:p w14:paraId="7D4A891B" w14:textId="77777777" w:rsidR="00D76625" w:rsidRPr="009E1B38" w:rsidRDefault="00D76625" w:rsidP="00D76625">
            <w:pPr>
              <w:spacing w:after="0" w:line="240" w:lineRule="auto"/>
              <w:rPr>
                <w:rFonts w:ascii="Times New Roman" w:hAnsi="Times New Roman"/>
                <w:color w:val="000000" w:themeColor="text1"/>
              </w:rPr>
            </w:pPr>
            <w:r w:rsidRPr="009E1B38">
              <w:rPr>
                <w:rFonts w:ascii="Times New Roman" w:hAnsi="Times New Roman"/>
                <w:color w:val="000000" w:themeColor="text1"/>
              </w:rPr>
              <w:t> </w:t>
            </w:r>
          </w:p>
        </w:tc>
        <w:tc>
          <w:tcPr>
            <w:tcW w:w="1272" w:type="pct"/>
            <w:shd w:val="clear" w:color="auto" w:fill="auto"/>
            <w:noWrap/>
            <w:vAlign w:val="center"/>
            <w:hideMark/>
          </w:tcPr>
          <w:p w14:paraId="7D4A891C"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 </w:t>
            </w:r>
          </w:p>
        </w:tc>
      </w:tr>
      <w:tr w:rsidR="00D76625" w:rsidRPr="009E1B38" w14:paraId="7D4A8921" w14:textId="77777777" w:rsidTr="00B23DEA">
        <w:trPr>
          <w:trHeight w:val="330"/>
          <w:jc w:val="center"/>
        </w:trPr>
        <w:tc>
          <w:tcPr>
            <w:tcW w:w="2543" w:type="pct"/>
            <w:shd w:val="clear" w:color="auto" w:fill="auto"/>
            <w:noWrap/>
            <w:vAlign w:val="center"/>
            <w:hideMark/>
          </w:tcPr>
          <w:p w14:paraId="7D4A891E" w14:textId="5138A1DE" w:rsidR="00D76625" w:rsidRPr="009E1B38" w:rsidRDefault="00D76625" w:rsidP="00D76625">
            <w:pPr>
              <w:spacing w:after="0" w:line="240" w:lineRule="auto"/>
              <w:rPr>
                <w:rFonts w:ascii="Times New Roman" w:hAnsi="Times New Roman"/>
                <w:color w:val="000000" w:themeColor="text1"/>
              </w:rPr>
            </w:pPr>
            <w:r w:rsidRPr="009E1B38">
              <w:rPr>
                <w:rFonts w:ascii="Times New Roman" w:hAnsi="Times New Roman"/>
                <w:color w:val="000000" w:themeColor="text1"/>
              </w:rPr>
              <w:lastRenderedPageBreak/>
              <w:t>G4, G6 (TL/</w:t>
            </w:r>
            <w:r w:rsidR="00414A6C" w:rsidRPr="009E1B38">
              <w:rPr>
                <w:rFonts w:ascii="Times New Roman" w:hAnsi="Times New Roman"/>
              </w:rPr>
              <w:t xml:space="preserve"> P</w:t>
            </w:r>
            <w:r w:rsidR="00414A6C" w:rsidRPr="009E1B38">
              <w:rPr>
                <w:rFonts w:ascii="Times New Roman" w:hAnsi="Times New Roman"/>
                <w:color w:val="000000" w:themeColor="text1"/>
              </w:rPr>
              <w:t>iece</w:t>
            </w:r>
            <w:r w:rsidRPr="009E1B38">
              <w:rPr>
                <w:rFonts w:ascii="Times New Roman" w:hAnsi="Times New Roman"/>
                <w:color w:val="000000" w:themeColor="text1"/>
              </w:rPr>
              <w:t>)</w:t>
            </w:r>
          </w:p>
        </w:tc>
        <w:tc>
          <w:tcPr>
            <w:tcW w:w="1185" w:type="pct"/>
            <w:shd w:val="clear" w:color="auto" w:fill="auto"/>
            <w:noWrap/>
            <w:vAlign w:val="center"/>
            <w:hideMark/>
          </w:tcPr>
          <w:p w14:paraId="7D4A891F"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52</w:t>
            </w:r>
          </w:p>
        </w:tc>
        <w:tc>
          <w:tcPr>
            <w:tcW w:w="1272" w:type="pct"/>
            <w:shd w:val="clear" w:color="auto" w:fill="auto"/>
            <w:noWrap/>
            <w:hideMark/>
          </w:tcPr>
          <w:p w14:paraId="7D4A8920"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63</w:t>
            </w:r>
          </w:p>
        </w:tc>
      </w:tr>
      <w:tr w:rsidR="00D76625" w:rsidRPr="009E1B38" w14:paraId="7D4A8925" w14:textId="77777777" w:rsidTr="00B23DEA">
        <w:trPr>
          <w:trHeight w:val="330"/>
          <w:jc w:val="center"/>
        </w:trPr>
        <w:tc>
          <w:tcPr>
            <w:tcW w:w="2543" w:type="pct"/>
            <w:shd w:val="clear" w:color="auto" w:fill="auto"/>
            <w:noWrap/>
            <w:vAlign w:val="center"/>
            <w:hideMark/>
          </w:tcPr>
          <w:p w14:paraId="7D4A8922" w14:textId="064060BE" w:rsidR="00D76625" w:rsidRPr="009E1B38" w:rsidRDefault="00D76625" w:rsidP="00D76625">
            <w:pPr>
              <w:spacing w:after="0" w:line="240" w:lineRule="auto"/>
              <w:rPr>
                <w:rFonts w:ascii="Times New Roman" w:hAnsi="Times New Roman"/>
                <w:color w:val="000000" w:themeColor="text1"/>
              </w:rPr>
            </w:pPr>
            <w:r w:rsidRPr="009E1B38">
              <w:rPr>
                <w:rFonts w:ascii="Times New Roman" w:hAnsi="Times New Roman"/>
                <w:color w:val="000000" w:themeColor="text1"/>
              </w:rPr>
              <w:t>G10, G16, G25 (TL/</w:t>
            </w:r>
            <w:r w:rsidR="00414A6C" w:rsidRPr="009E1B38">
              <w:rPr>
                <w:rFonts w:ascii="Times New Roman" w:hAnsi="Times New Roman"/>
              </w:rPr>
              <w:t xml:space="preserve"> P</w:t>
            </w:r>
            <w:r w:rsidR="00414A6C" w:rsidRPr="009E1B38">
              <w:rPr>
                <w:rFonts w:ascii="Times New Roman" w:hAnsi="Times New Roman"/>
                <w:color w:val="000000" w:themeColor="text1"/>
              </w:rPr>
              <w:t>iece</w:t>
            </w:r>
            <w:r w:rsidRPr="009E1B38">
              <w:rPr>
                <w:rFonts w:ascii="Times New Roman" w:hAnsi="Times New Roman"/>
                <w:color w:val="000000" w:themeColor="text1"/>
              </w:rPr>
              <w:t>)</w:t>
            </w:r>
          </w:p>
        </w:tc>
        <w:tc>
          <w:tcPr>
            <w:tcW w:w="1185" w:type="pct"/>
            <w:shd w:val="clear" w:color="auto" w:fill="auto"/>
            <w:noWrap/>
            <w:vAlign w:val="center"/>
            <w:hideMark/>
          </w:tcPr>
          <w:p w14:paraId="7D4A8923"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97</w:t>
            </w:r>
          </w:p>
        </w:tc>
        <w:tc>
          <w:tcPr>
            <w:tcW w:w="1272" w:type="pct"/>
            <w:shd w:val="clear" w:color="auto" w:fill="auto"/>
            <w:noWrap/>
          </w:tcPr>
          <w:p w14:paraId="7D4A8924"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118</w:t>
            </w:r>
          </w:p>
        </w:tc>
      </w:tr>
      <w:tr w:rsidR="00D76625" w:rsidRPr="009E1B38" w14:paraId="7D4A8929" w14:textId="77777777" w:rsidTr="00B23DEA">
        <w:trPr>
          <w:trHeight w:val="330"/>
          <w:jc w:val="center"/>
        </w:trPr>
        <w:tc>
          <w:tcPr>
            <w:tcW w:w="2543" w:type="pct"/>
            <w:shd w:val="clear" w:color="auto" w:fill="auto"/>
            <w:noWrap/>
            <w:vAlign w:val="center"/>
            <w:hideMark/>
          </w:tcPr>
          <w:p w14:paraId="7D4A8926" w14:textId="2433A5BE" w:rsidR="00D76625" w:rsidRPr="009E1B38" w:rsidRDefault="00D76625" w:rsidP="00D76625">
            <w:pPr>
              <w:spacing w:after="0" w:line="240" w:lineRule="auto"/>
              <w:rPr>
                <w:rFonts w:ascii="Times New Roman" w:hAnsi="Times New Roman"/>
                <w:color w:val="000000" w:themeColor="text1"/>
              </w:rPr>
            </w:pPr>
            <w:r w:rsidRPr="009E1B38">
              <w:rPr>
                <w:rFonts w:ascii="Times New Roman" w:hAnsi="Times New Roman"/>
                <w:color w:val="000000" w:themeColor="text1"/>
              </w:rPr>
              <w:t>G40, G65, G100 (TL/</w:t>
            </w:r>
            <w:r w:rsidR="00414A6C" w:rsidRPr="009E1B38">
              <w:rPr>
                <w:rFonts w:ascii="Times New Roman" w:hAnsi="Times New Roman"/>
              </w:rPr>
              <w:t xml:space="preserve"> P</w:t>
            </w:r>
            <w:r w:rsidR="00414A6C" w:rsidRPr="009E1B38">
              <w:rPr>
                <w:rFonts w:ascii="Times New Roman" w:hAnsi="Times New Roman"/>
                <w:color w:val="000000" w:themeColor="text1"/>
              </w:rPr>
              <w:t>iece</w:t>
            </w:r>
            <w:r w:rsidRPr="009E1B38">
              <w:rPr>
                <w:rFonts w:ascii="Times New Roman" w:hAnsi="Times New Roman"/>
                <w:color w:val="000000" w:themeColor="text1"/>
              </w:rPr>
              <w:t>)</w:t>
            </w:r>
          </w:p>
        </w:tc>
        <w:tc>
          <w:tcPr>
            <w:tcW w:w="1185" w:type="pct"/>
            <w:shd w:val="clear" w:color="auto" w:fill="auto"/>
            <w:noWrap/>
            <w:vAlign w:val="center"/>
            <w:hideMark/>
          </w:tcPr>
          <w:p w14:paraId="7D4A8927"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194</w:t>
            </w:r>
          </w:p>
        </w:tc>
        <w:tc>
          <w:tcPr>
            <w:tcW w:w="1272" w:type="pct"/>
            <w:shd w:val="clear" w:color="auto" w:fill="auto"/>
            <w:noWrap/>
          </w:tcPr>
          <w:p w14:paraId="7D4A8928"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235</w:t>
            </w:r>
          </w:p>
        </w:tc>
      </w:tr>
      <w:tr w:rsidR="00D76625" w:rsidRPr="009E1B38" w14:paraId="7D4A892D" w14:textId="77777777" w:rsidTr="00B23DEA">
        <w:trPr>
          <w:trHeight w:val="330"/>
          <w:jc w:val="center"/>
        </w:trPr>
        <w:tc>
          <w:tcPr>
            <w:tcW w:w="2543" w:type="pct"/>
            <w:shd w:val="clear" w:color="auto" w:fill="auto"/>
            <w:noWrap/>
            <w:vAlign w:val="center"/>
            <w:hideMark/>
          </w:tcPr>
          <w:p w14:paraId="7D4A892A" w14:textId="435E4B18" w:rsidR="00D76625" w:rsidRPr="009E1B38" w:rsidRDefault="00D76625" w:rsidP="00D76625">
            <w:pPr>
              <w:spacing w:after="0" w:line="240" w:lineRule="auto"/>
              <w:rPr>
                <w:rFonts w:ascii="Times New Roman" w:hAnsi="Times New Roman"/>
                <w:color w:val="000000" w:themeColor="text1"/>
              </w:rPr>
            </w:pPr>
            <w:r w:rsidRPr="009E1B38">
              <w:rPr>
                <w:rFonts w:ascii="Times New Roman" w:hAnsi="Times New Roman"/>
                <w:color w:val="000000" w:themeColor="text1"/>
              </w:rPr>
              <w:t>G160, G250, G400 (TL/</w:t>
            </w:r>
            <w:r w:rsidR="00414A6C" w:rsidRPr="009E1B38">
              <w:rPr>
                <w:rFonts w:ascii="Times New Roman" w:hAnsi="Times New Roman"/>
              </w:rPr>
              <w:t xml:space="preserve"> P</w:t>
            </w:r>
            <w:r w:rsidR="00414A6C" w:rsidRPr="009E1B38">
              <w:rPr>
                <w:rFonts w:ascii="Times New Roman" w:hAnsi="Times New Roman"/>
                <w:color w:val="000000" w:themeColor="text1"/>
              </w:rPr>
              <w:t>iece</w:t>
            </w:r>
            <w:r w:rsidRPr="009E1B38">
              <w:rPr>
                <w:rFonts w:ascii="Times New Roman" w:hAnsi="Times New Roman"/>
                <w:color w:val="000000" w:themeColor="text1"/>
              </w:rPr>
              <w:t>)</w:t>
            </w:r>
          </w:p>
        </w:tc>
        <w:tc>
          <w:tcPr>
            <w:tcW w:w="1185" w:type="pct"/>
            <w:shd w:val="clear" w:color="auto" w:fill="auto"/>
            <w:noWrap/>
            <w:vAlign w:val="center"/>
            <w:hideMark/>
          </w:tcPr>
          <w:p w14:paraId="7D4A892B"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295</w:t>
            </w:r>
          </w:p>
        </w:tc>
        <w:tc>
          <w:tcPr>
            <w:tcW w:w="1272" w:type="pct"/>
            <w:shd w:val="clear" w:color="auto" w:fill="auto"/>
            <w:noWrap/>
          </w:tcPr>
          <w:p w14:paraId="7D4A892C"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358</w:t>
            </w:r>
          </w:p>
        </w:tc>
      </w:tr>
      <w:tr w:rsidR="00D76625" w:rsidRPr="009E1B38" w14:paraId="7D4A8931" w14:textId="77777777" w:rsidTr="00B23DEA">
        <w:trPr>
          <w:trHeight w:val="330"/>
          <w:jc w:val="center"/>
        </w:trPr>
        <w:tc>
          <w:tcPr>
            <w:tcW w:w="2543" w:type="pct"/>
            <w:shd w:val="clear" w:color="auto" w:fill="auto"/>
            <w:noWrap/>
            <w:vAlign w:val="center"/>
            <w:hideMark/>
          </w:tcPr>
          <w:p w14:paraId="7D4A892E" w14:textId="5AE7F02B" w:rsidR="00D76625" w:rsidRPr="009E1B38" w:rsidRDefault="00414A6C" w:rsidP="00D76625">
            <w:pPr>
              <w:spacing w:after="0" w:line="240" w:lineRule="auto"/>
              <w:rPr>
                <w:rFonts w:ascii="Times New Roman" w:hAnsi="Times New Roman"/>
                <w:color w:val="000000" w:themeColor="text1"/>
              </w:rPr>
            </w:pPr>
            <w:r w:rsidRPr="009E1B38">
              <w:rPr>
                <w:rFonts w:ascii="Times New Roman" w:hAnsi="Times New Roman"/>
                <w:color w:val="000000" w:themeColor="text1"/>
              </w:rPr>
              <w:t>Bigger than G400 (TL/</w:t>
            </w:r>
            <w:r w:rsidRPr="009E1B38">
              <w:rPr>
                <w:rFonts w:ascii="Times New Roman" w:hAnsi="Times New Roman"/>
              </w:rPr>
              <w:t xml:space="preserve"> P</w:t>
            </w:r>
            <w:r w:rsidRPr="009E1B38">
              <w:rPr>
                <w:rFonts w:ascii="Times New Roman" w:hAnsi="Times New Roman"/>
                <w:color w:val="000000" w:themeColor="text1"/>
              </w:rPr>
              <w:t>iece)</w:t>
            </w:r>
          </w:p>
        </w:tc>
        <w:tc>
          <w:tcPr>
            <w:tcW w:w="1185" w:type="pct"/>
            <w:shd w:val="clear" w:color="auto" w:fill="auto"/>
            <w:noWrap/>
            <w:vAlign w:val="center"/>
            <w:hideMark/>
          </w:tcPr>
          <w:p w14:paraId="7D4A892F"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397</w:t>
            </w:r>
          </w:p>
        </w:tc>
        <w:tc>
          <w:tcPr>
            <w:tcW w:w="1272" w:type="pct"/>
            <w:shd w:val="clear" w:color="auto" w:fill="auto"/>
            <w:noWrap/>
          </w:tcPr>
          <w:p w14:paraId="7D4A8930"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482</w:t>
            </w:r>
          </w:p>
        </w:tc>
      </w:tr>
      <w:tr w:rsidR="00D76625" w:rsidRPr="009E1B38" w14:paraId="7D4A8935" w14:textId="77777777" w:rsidTr="00B23DEA">
        <w:trPr>
          <w:trHeight w:val="330"/>
          <w:jc w:val="center"/>
        </w:trPr>
        <w:tc>
          <w:tcPr>
            <w:tcW w:w="2543" w:type="pct"/>
            <w:shd w:val="clear" w:color="auto" w:fill="auto"/>
            <w:noWrap/>
            <w:vAlign w:val="center"/>
            <w:hideMark/>
          </w:tcPr>
          <w:p w14:paraId="7D4A8932" w14:textId="7C995800" w:rsidR="00D76625" w:rsidRPr="009E1B38" w:rsidRDefault="00414A6C" w:rsidP="00D76625">
            <w:pPr>
              <w:spacing w:after="0" w:line="240" w:lineRule="auto"/>
              <w:rPr>
                <w:rFonts w:ascii="Times New Roman" w:hAnsi="Times New Roman"/>
                <w:color w:val="000000" w:themeColor="text1"/>
              </w:rPr>
            </w:pPr>
            <w:r w:rsidRPr="009E1B38">
              <w:rPr>
                <w:rFonts w:ascii="Times New Roman" w:hAnsi="Times New Roman"/>
                <w:color w:val="000000" w:themeColor="text1"/>
              </w:rPr>
              <w:t>Column Line (TL/Project)</w:t>
            </w:r>
          </w:p>
        </w:tc>
        <w:tc>
          <w:tcPr>
            <w:tcW w:w="1185" w:type="pct"/>
            <w:shd w:val="clear" w:color="auto" w:fill="auto"/>
            <w:noWrap/>
            <w:vAlign w:val="center"/>
            <w:hideMark/>
          </w:tcPr>
          <w:p w14:paraId="7D4A8933"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color w:val="000000" w:themeColor="text1"/>
              </w:rPr>
              <w:t>52</w:t>
            </w:r>
          </w:p>
        </w:tc>
        <w:tc>
          <w:tcPr>
            <w:tcW w:w="1272" w:type="pct"/>
            <w:shd w:val="clear" w:color="auto" w:fill="auto"/>
            <w:noWrap/>
          </w:tcPr>
          <w:p w14:paraId="7D4A8934" w14:textId="77777777" w:rsidR="00D76625" w:rsidRPr="009E1B38" w:rsidRDefault="00D76625" w:rsidP="00D76625">
            <w:pPr>
              <w:spacing w:after="0" w:line="240" w:lineRule="auto"/>
              <w:jc w:val="center"/>
              <w:rPr>
                <w:rFonts w:ascii="Times New Roman" w:hAnsi="Times New Roman"/>
                <w:color w:val="000000" w:themeColor="text1"/>
              </w:rPr>
            </w:pPr>
            <w:r w:rsidRPr="009E1B38">
              <w:rPr>
                <w:rFonts w:ascii="Times New Roman" w:hAnsi="Times New Roman"/>
              </w:rPr>
              <w:t>63</w:t>
            </w:r>
          </w:p>
        </w:tc>
      </w:tr>
    </w:tbl>
    <w:p w14:paraId="7D4A8936" w14:textId="77777777" w:rsidR="00D76625" w:rsidRPr="009E1B38" w:rsidRDefault="00D76625" w:rsidP="00D76625">
      <w:pPr>
        <w:rPr>
          <w:rFonts w:ascii="Times New Roman" w:hAnsi="Times New Roman"/>
        </w:rPr>
      </w:pPr>
    </w:p>
    <w:p w14:paraId="7D4A8937" w14:textId="7695DE01" w:rsidR="002C3099" w:rsidRPr="009E1B38" w:rsidRDefault="00414A6C" w:rsidP="003C5E4D">
      <w:pPr>
        <w:pStyle w:val="Balk3"/>
        <w:numPr>
          <w:ilvl w:val="2"/>
          <w:numId w:val="61"/>
        </w:numPr>
        <w:spacing w:after="240"/>
        <w:rPr>
          <w:rFonts w:ascii="Times New Roman" w:hAnsi="Times New Roman" w:cs="Times New Roman"/>
          <w:sz w:val="24"/>
          <w:szCs w:val="24"/>
        </w:rPr>
      </w:pPr>
      <w:bookmarkStart w:id="221" w:name="_Toc113615365"/>
      <w:r w:rsidRPr="009E1B38">
        <w:rPr>
          <w:rFonts w:ascii="Times New Roman" w:hAnsi="Times New Roman" w:cs="Times New Roman"/>
          <w:sz w:val="24"/>
          <w:szCs w:val="24"/>
        </w:rPr>
        <w:t>Wholesale Tariffs</w:t>
      </w:r>
      <w:bookmarkEnd w:id="221"/>
    </w:p>
    <w:p w14:paraId="2AD7B1F9" w14:textId="77777777" w:rsidR="00C4761E" w:rsidRPr="009E1B38" w:rsidRDefault="00C4761E" w:rsidP="00C4761E">
      <w:pPr>
        <w:spacing w:after="240"/>
        <w:rPr>
          <w:rFonts w:ascii="Times New Roman" w:hAnsi="Times New Roman"/>
          <w:color w:val="000000" w:themeColor="text1"/>
        </w:rPr>
      </w:pPr>
      <w:r w:rsidRPr="009E1B38">
        <w:rPr>
          <w:rFonts w:ascii="Times New Roman" w:hAnsi="Times New Roman"/>
          <w:color w:val="000000" w:themeColor="text1"/>
        </w:rPr>
        <w:t>With the Board Decision dated 22.12.2011 and numbered 3577, it was decided to determine the wholesale prices of natural gas freely between the parties, to be implemented as of 01.01.2012 until a new regulation is made in this regard, and this practice still continues.</w:t>
      </w:r>
    </w:p>
    <w:p w14:paraId="7D4A8939" w14:textId="528170E4" w:rsidR="002C3099" w:rsidRPr="009E1B38" w:rsidRDefault="00414A6C" w:rsidP="003C5E4D">
      <w:pPr>
        <w:pStyle w:val="Balk3"/>
        <w:numPr>
          <w:ilvl w:val="2"/>
          <w:numId w:val="61"/>
        </w:numPr>
        <w:spacing w:after="240"/>
        <w:rPr>
          <w:rFonts w:ascii="Times New Roman" w:hAnsi="Times New Roman" w:cs="Times New Roman"/>
          <w:sz w:val="24"/>
          <w:szCs w:val="24"/>
        </w:rPr>
      </w:pPr>
      <w:bookmarkStart w:id="222" w:name="_Toc113615366"/>
      <w:r w:rsidRPr="009E1B38">
        <w:rPr>
          <w:rFonts w:ascii="Times New Roman" w:hAnsi="Times New Roman" w:cs="Times New Roman"/>
          <w:sz w:val="24"/>
          <w:szCs w:val="24"/>
        </w:rPr>
        <w:t>Retail Tariffs</w:t>
      </w:r>
      <w:bookmarkEnd w:id="222"/>
    </w:p>
    <w:p w14:paraId="47BA6525" w14:textId="77777777" w:rsidR="00BF0316" w:rsidRPr="009E1B38" w:rsidRDefault="00BF0316" w:rsidP="00BF0316">
      <w:pPr>
        <w:spacing w:line="240" w:lineRule="auto"/>
        <w:rPr>
          <w:rStyle w:val="Gl"/>
          <w:rFonts w:ascii="Times New Roman" w:hAnsi="Times New Roman"/>
          <w:b w:val="0"/>
          <w:color w:val="000000" w:themeColor="text1"/>
        </w:rPr>
      </w:pPr>
      <w:r w:rsidRPr="009E1B38">
        <w:rPr>
          <w:rFonts w:ascii="Times New Roman" w:hAnsi="Times New Roman"/>
        </w:rPr>
        <w:t>Tariff Calculation Procedures and Principles (Methodology) for Natural Gas Distribution Companies, adopted with the Board Decision dated 22.06.2017 and numbered 7139, published in the Official Gazette dated 01.07.2017 and numbered 30111, Board Decision dated 30.05.2019 and numbered 8647-2 Board Decision dated 10/07/2014 and numbered 5120-1, amended by the Board Decisions regarding the retail sales tariffs for the 2017-2021 tariff implementation period were taken.</w:t>
      </w:r>
    </w:p>
    <w:p w14:paraId="7D4A893B" w14:textId="0B40227D" w:rsidR="00512686" w:rsidRPr="009E1B38" w:rsidRDefault="002C3099" w:rsidP="009C057D">
      <w:pPr>
        <w:pStyle w:val="Balk5"/>
        <w:jc w:val="center"/>
        <w:rPr>
          <w:rStyle w:val="Gl"/>
          <w:rFonts w:ascii="Times New Roman" w:hAnsi="Times New Roman" w:cs="Times New Roman"/>
          <w:b/>
          <w:bCs w:val="0"/>
        </w:rPr>
      </w:pPr>
      <w:bookmarkStart w:id="223" w:name="_Toc107499532"/>
      <w:r w:rsidRPr="009E1B38">
        <w:rPr>
          <w:rStyle w:val="Gl"/>
          <w:rFonts w:ascii="Times New Roman" w:hAnsi="Times New Roman" w:cs="Times New Roman"/>
          <w:b/>
          <w:bCs w:val="0"/>
        </w:rPr>
        <w:t>Tabl</w:t>
      </w:r>
      <w:r w:rsidR="00FA0983" w:rsidRPr="009E1B38">
        <w:rPr>
          <w:rStyle w:val="Gl"/>
          <w:rFonts w:ascii="Times New Roman" w:hAnsi="Times New Roman" w:cs="Times New Roman"/>
          <w:b/>
          <w:bCs w:val="0"/>
        </w:rPr>
        <w:t>e</w:t>
      </w:r>
      <w:r w:rsidRPr="009E1B38">
        <w:rPr>
          <w:rStyle w:val="Gl"/>
          <w:rFonts w:ascii="Times New Roman" w:hAnsi="Times New Roman" w:cs="Times New Roman"/>
          <w:b/>
          <w:bCs w:val="0"/>
        </w:rPr>
        <w:t xml:space="preserve"> 4.2</w:t>
      </w:r>
      <w:r w:rsidR="00F12D15" w:rsidRPr="009E1B38">
        <w:rPr>
          <w:rStyle w:val="Gl"/>
          <w:rFonts w:ascii="Times New Roman" w:hAnsi="Times New Roman" w:cs="Times New Roman"/>
          <w:b/>
          <w:bCs w:val="0"/>
        </w:rPr>
        <w:t>5</w:t>
      </w:r>
      <w:r w:rsidRPr="009E1B38">
        <w:rPr>
          <w:rStyle w:val="Gl"/>
          <w:rFonts w:ascii="Times New Roman" w:hAnsi="Times New Roman" w:cs="Times New Roman"/>
          <w:b/>
          <w:bCs w:val="0"/>
        </w:rPr>
        <w:t xml:space="preserve">: </w:t>
      </w:r>
      <w:r w:rsidR="00FA0983" w:rsidRPr="009E1B38">
        <w:rPr>
          <w:rStyle w:val="Gl"/>
          <w:rFonts w:ascii="Times New Roman" w:hAnsi="Times New Roman" w:cs="Times New Roman"/>
          <w:b/>
          <w:bCs w:val="0"/>
        </w:rPr>
        <w:t>Natural Gas Distribution Companies with Board Decisions Regarding Retail Sales Tariffs in 2021</w:t>
      </w:r>
      <w:bookmarkEnd w:id="223"/>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329"/>
        <w:gridCol w:w="1740"/>
        <w:gridCol w:w="1310"/>
        <w:gridCol w:w="3759"/>
      </w:tblGrid>
      <w:tr w:rsidR="00127883" w:rsidRPr="009E1B38" w14:paraId="7D4A8940" w14:textId="77777777" w:rsidTr="00683EA0">
        <w:trPr>
          <w:cantSplit/>
          <w:trHeight w:val="20"/>
          <w:tblHeader/>
          <w:jc w:val="center"/>
        </w:trPr>
        <w:tc>
          <w:tcPr>
            <w:tcW w:w="1642" w:type="pct"/>
            <w:tcBorders>
              <w:bottom w:val="single" w:sz="4" w:space="0" w:color="D9D9D9" w:themeColor="background1" w:themeShade="D9"/>
            </w:tcBorders>
            <w:shd w:val="clear" w:color="auto" w:fill="6E9ECA"/>
            <w:vAlign w:val="center"/>
          </w:tcPr>
          <w:p w14:paraId="7D4A893C" w14:textId="0F26E6D1" w:rsidR="00127883" w:rsidRPr="009E1B38" w:rsidRDefault="006B127E" w:rsidP="00127883">
            <w:pPr>
              <w:jc w:val="center"/>
              <w:rPr>
                <w:rFonts w:ascii="Times New Roman" w:hAnsi="Times New Roman"/>
                <w:color w:val="FFFFFF" w:themeColor="background1"/>
                <w:sz w:val="20"/>
                <w:szCs w:val="20"/>
              </w:rPr>
            </w:pPr>
            <w:r w:rsidRPr="009E1B38">
              <w:rPr>
                <w:rFonts w:ascii="Times New Roman" w:hAnsi="Times New Roman"/>
                <w:b/>
                <w:color w:val="FFFFFF" w:themeColor="background1"/>
                <w:sz w:val="20"/>
                <w:szCs w:val="20"/>
              </w:rPr>
              <w:t>Natural Gas Distribution Company Title</w:t>
            </w:r>
          </w:p>
        </w:tc>
        <w:tc>
          <w:tcPr>
            <w:tcW w:w="858" w:type="pct"/>
            <w:tcBorders>
              <w:bottom w:val="single" w:sz="4" w:space="0" w:color="D9D9D9" w:themeColor="background1" w:themeShade="D9"/>
            </w:tcBorders>
            <w:shd w:val="clear" w:color="auto" w:fill="6E9ECA"/>
            <w:vAlign w:val="center"/>
          </w:tcPr>
          <w:p w14:paraId="7D4A893D" w14:textId="39FA0A8C" w:rsidR="00127883" w:rsidRPr="009E1B38" w:rsidRDefault="006B127E" w:rsidP="00127883">
            <w:pPr>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Board Decision Date</w:t>
            </w:r>
          </w:p>
        </w:tc>
        <w:tc>
          <w:tcPr>
            <w:tcW w:w="646" w:type="pct"/>
            <w:tcBorders>
              <w:bottom w:val="single" w:sz="4" w:space="0" w:color="D9D9D9" w:themeColor="background1" w:themeShade="D9"/>
            </w:tcBorders>
            <w:shd w:val="clear" w:color="auto" w:fill="6E9ECA"/>
            <w:vAlign w:val="center"/>
          </w:tcPr>
          <w:p w14:paraId="7D4A893E" w14:textId="10C8A0C3" w:rsidR="00127883" w:rsidRPr="009E1B38" w:rsidRDefault="006B127E" w:rsidP="00127883">
            <w:pPr>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Number of Board Decisions</w:t>
            </w:r>
          </w:p>
        </w:tc>
        <w:tc>
          <w:tcPr>
            <w:tcW w:w="1854" w:type="pct"/>
            <w:tcBorders>
              <w:bottom w:val="single" w:sz="4" w:space="0" w:color="D9D9D9" w:themeColor="background1" w:themeShade="D9"/>
            </w:tcBorders>
            <w:shd w:val="clear" w:color="auto" w:fill="6E9ECA"/>
            <w:vAlign w:val="center"/>
          </w:tcPr>
          <w:p w14:paraId="7D4A893F" w14:textId="602C1823" w:rsidR="00127883" w:rsidRPr="009E1B38" w:rsidRDefault="006B127E" w:rsidP="00127883">
            <w:pPr>
              <w:jc w:val="center"/>
              <w:rPr>
                <w:rFonts w:ascii="Times New Roman" w:hAnsi="Times New Roman"/>
                <w:b/>
                <w:color w:val="FFFFFF" w:themeColor="background1"/>
                <w:sz w:val="20"/>
                <w:szCs w:val="20"/>
              </w:rPr>
            </w:pPr>
            <w:r w:rsidRPr="009E1B38">
              <w:rPr>
                <w:rFonts w:ascii="Times New Roman" w:hAnsi="Times New Roman"/>
                <w:b/>
                <w:color w:val="FFFFFF" w:themeColor="background1"/>
                <w:sz w:val="20"/>
                <w:szCs w:val="20"/>
              </w:rPr>
              <w:t>Scope</w:t>
            </w:r>
          </w:p>
        </w:tc>
      </w:tr>
      <w:tr w:rsidR="00127883" w:rsidRPr="009E1B38" w14:paraId="7D4A8945" w14:textId="77777777" w:rsidTr="00127883">
        <w:trPr>
          <w:cantSplit/>
          <w:trHeight w:val="20"/>
          <w:jc w:val="center"/>
        </w:trPr>
        <w:tc>
          <w:tcPr>
            <w:tcW w:w="1642" w:type="pct"/>
            <w:shd w:val="clear" w:color="auto" w:fill="auto"/>
            <w:vAlign w:val="center"/>
          </w:tcPr>
          <w:p w14:paraId="7D4A8941"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sz w:val="20"/>
              </w:rPr>
              <w:t>Torosgaz Isparta Burdur Doğalgaz Dağıtım Anonim Şirketi</w:t>
            </w:r>
          </w:p>
        </w:tc>
        <w:tc>
          <w:tcPr>
            <w:tcW w:w="858" w:type="pct"/>
            <w:shd w:val="clear" w:color="auto" w:fill="auto"/>
            <w:vAlign w:val="center"/>
          </w:tcPr>
          <w:p w14:paraId="7D4A8942"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14.01.2021</w:t>
            </w:r>
          </w:p>
        </w:tc>
        <w:tc>
          <w:tcPr>
            <w:tcW w:w="646" w:type="pct"/>
            <w:shd w:val="clear" w:color="auto" w:fill="auto"/>
            <w:vAlign w:val="center"/>
          </w:tcPr>
          <w:p w14:paraId="7D4A8943"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9980</w:t>
            </w:r>
          </w:p>
        </w:tc>
        <w:tc>
          <w:tcPr>
            <w:tcW w:w="1854" w:type="pct"/>
            <w:shd w:val="clear" w:color="auto" w:fill="auto"/>
            <w:vAlign w:val="center"/>
          </w:tcPr>
          <w:p w14:paraId="7D4A8944" w14:textId="3E09C597" w:rsidR="00127883" w:rsidRPr="009E1B38" w:rsidRDefault="005128FD"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4A" w14:textId="77777777" w:rsidTr="00127883">
        <w:trPr>
          <w:cantSplit/>
          <w:trHeight w:val="20"/>
          <w:jc w:val="center"/>
        </w:trPr>
        <w:tc>
          <w:tcPr>
            <w:tcW w:w="1642" w:type="pct"/>
            <w:shd w:val="clear" w:color="auto" w:fill="auto"/>
            <w:vAlign w:val="center"/>
          </w:tcPr>
          <w:p w14:paraId="7D4A8946"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sz w:val="20"/>
              </w:rPr>
              <w:t>Aksa Siirt Batman Doğal Gaz Dağıtım Anonim Şirketi</w:t>
            </w:r>
          </w:p>
        </w:tc>
        <w:tc>
          <w:tcPr>
            <w:tcW w:w="858" w:type="pct"/>
            <w:shd w:val="clear" w:color="auto" w:fill="auto"/>
            <w:vAlign w:val="center"/>
          </w:tcPr>
          <w:p w14:paraId="7D4A8947"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14.01.2021</w:t>
            </w:r>
          </w:p>
        </w:tc>
        <w:tc>
          <w:tcPr>
            <w:tcW w:w="646" w:type="pct"/>
            <w:shd w:val="clear" w:color="auto" w:fill="auto"/>
            <w:vAlign w:val="center"/>
          </w:tcPr>
          <w:p w14:paraId="7D4A8948"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9979</w:t>
            </w:r>
          </w:p>
        </w:tc>
        <w:tc>
          <w:tcPr>
            <w:tcW w:w="1854" w:type="pct"/>
            <w:shd w:val="clear" w:color="auto" w:fill="auto"/>
            <w:vAlign w:val="center"/>
          </w:tcPr>
          <w:p w14:paraId="7D4A8949" w14:textId="2528ECEB" w:rsidR="00127883" w:rsidRPr="009E1B38" w:rsidRDefault="005128FD"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4F" w14:textId="77777777" w:rsidTr="00127883">
        <w:trPr>
          <w:cantSplit/>
          <w:trHeight w:val="20"/>
          <w:jc w:val="center"/>
        </w:trPr>
        <w:tc>
          <w:tcPr>
            <w:tcW w:w="1642" w:type="pct"/>
            <w:shd w:val="clear" w:color="auto" w:fill="auto"/>
            <w:vAlign w:val="center"/>
          </w:tcPr>
          <w:p w14:paraId="7D4A894B" w14:textId="77777777" w:rsidR="00127883" w:rsidRPr="009E1B38" w:rsidRDefault="00127883" w:rsidP="00127883">
            <w:pPr>
              <w:spacing w:after="0" w:line="240" w:lineRule="auto"/>
              <w:rPr>
                <w:rFonts w:ascii="Times New Roman" w:hAnsi="Times New Roman"/>
                <w:sz w:val="20"/>
              </w:rPr>
            </w:pPr>
            <w:r w:rsidRPr="009E1B38">
              <w:rPr>
                <w:rFonts w:ascii="Times New Roman" w:hAnsi="Times New Roman"/>
                <w:sz w:val="20"/>
              </w:rPr>
              <w:t>Aksa Tokat Amasya Doğal Gaz Dağıtım Anonim Şirketi</w:t>
            </w:r>
          </w:p>
        </w:tc>
        <w:tc>
          <w:tcPr>
            <w:tcW w:w="858" w:type="pct"/>
            <w:shd w:val="clear" w:color="auto" w:fill="auto"/>
            <w:vAlign w:val="center"/>
          </w:tcPr>
          <w:p w14:paraId="7D4A894C"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14.01.2021</w:t>
            </w:r>
          </w:p>
        </w:tc>
        <w:tc>
          <w:tcPr>
            <w:tcW w:w="646" w:type="pct"/>
            <w:shd w:val="clear" w:color="auto" w:fill="auto"/>
            <w:vAlign w:val="center"/>
          </w:tcPr>
          <w:p w14:paraId="7D4A894D"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9978</w:t>
            </w:r>
          </w:p>
        </w:tc>
        <w:tc>
          <w:tcPr>
            <w:tcW w:w="1854" w:type="pct"/>
            <w:shd w:val="clear" w:color="auto" w:fill="auto"/>
            <w:vAlign w:val="center"/>
          </w:tcPr>
          <w:p w14:paraId="7D4A894E" w14:textId="1BA4F19F" w:rsidR="00127883" w:rsidRPr="009E1B38" w:rsidRDefault="005128FD"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54" w14:textId="77777777" w:rsidTr="00127883">
        <w:trPr>
          <w:cantSplit/>
          <w:trHeight w:val="20"/>
          <w:jc w:val="center"/>
        </w:trPr>
        <w:tc>
          <w:tcPr>
            <w:tcW w:w="1642" w:type="pct"/>
            <w:shd w:val="clear" w:color="auto" w:fill="auto"/>
            <w:vAlign w:val="center"/>
          </w:tcPr>
          <w:p w14:paraId="7D4A8950"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Samgaz Doğal Gaz Dağıtım Anonim Şirketi</w:t>
            </w:r>
          </w:p>
        </w:tc>
        <w:tc>
          <w:tcPr>
            <w:tcW w:w="858" w:type="pct"/>
            <w:shd w:val="clear" w:color="auto" w:fill="auto"/>
            <w:vAlign w:val="center"/>
          </w:tcPr>
          <w:p w14:paraId="7D4A8951"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18.03.2021</w:t>
            </w:r>
          </w:p>
        </w:tc>
        <w:tc>
          <w:tcPr>
            <w:tcW w:w="646" w:type="pct"/>
            <w:shd w:val="clear" w:color="auto" w:fill="auto"/>
            <w:vAlign w:val="center"/>
          </w:tcPr>
          <w:p w14:paraId="7D4A8952"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10088</w:t>
            </w:r>
          </w:p>
        </w:tc>
        <w:tc>
          <w:tcPr>
            <w:tcW w:w="1854" w:type="pct"/>
            <w:shd w:val="clear" w:color="auto" w:fill="auto"/>
            <w:vAlign w:val="center"/>
          </w:tcPr>
          <w:p w14:paraId="7D4A8953" w14:textId="29175EAC" w:rsidR="00127883" w:rsidRPr="009E1B38" w:rsidRDefault="005128FD"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59" w14:textId="77777777" w:rsidTr="00127883">
        <w:trPr>
          <w:cantSplit/>
          <w:trHeight w:val="20"/>
          <w:jc w:val="center"/>
        </w:trPr>
        <w:tc>
          <w:tcPr>
            <w:tcW w:w="1642" w:type="pct"/>
            <w:shd w:val="clear" w:color="auto" w:fill="auto"/>
            <w:vAlign w:val="center"/>
          </w:tcPr>
          <w:p w14:paraId="7D4A8955"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Diyarbakır Doğal Gaz Dağıtım Anonim Şirketi</w:t>
            </w:r>
          </w:p>
        </w:tc>
        <w:tc>
          <w:tcPr>
            <w:tcW w:w="858" w:type="pct"/>
            <w:shd w:val="clear" w:color="auto" w:fill="auto"/>
            <w:vAlign w:val="center"/>
          </w:tcPr>
          <w:p w14:paraId="7D4A8956"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18.03.2021</w:t>
            </w:r>
          </w:p>
        </w:tc>
        <w:tc>
          <w:tcPr>
            <w:tcW w:w="646" w:type="pct"/>
            <w:shd w:val="clear" w:color="auto" w:fill="auto"/>
            <w:vAlign w:val="center"/>
          </w:tcPr>
          <w:p w14:paraId="7D4A8957"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10087</w:t>
            </w:r>
          </w:p>
        </w:tc>
        <w:tc>
          <w:tcPr>
            <w:tcW w:w="1854" w:type="pct"/>
            <w:shd w:val="clear" w:color="auto" w:fill="auto"/>
            <w:vAlign w:val="center"/>
          </w:tcPr>
          <w:p w14:paraId="7D4A8958" w14:textId="15054BA6" w:rsidR="00127883" w:rsidRPr="009E1B38" w:rsidRDefault="005128FD"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5E" w14:textId="77777777" w:rsidTr="00C4345A">
        <w:trPr>
          <w:cantSplit/>
          <w:trHeight w:val="20"/>
          <w:jc w:val="center"/>
        </w:trPr>
        <w:tc>
          <w:tcPr>
            <w:tcW w:w="1642" w:type="pct"/>
            <w:shd w:val="clear" w:color="auto" w:fill="auto"/>
            <w:vAlign w:val="center"/>
          </w:tcPr>
          <w:p w14:paraId="7D4A895A"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Udaş Uşak Doğalgaz Dağıtım Sanayi ve Ticaret Anonim Şirketi</w:t>
            </w:r>
          </w:p>
        </w:tc>
        <w:tc>
          <w:tcPr>
            <w:tcW w:w="858" w:type="pct"/>
            <w:shd w:val="clear" w:color="auto" w:fill="auto"/>
            <w:vAlign w:val="center"/>
          </w:tcPr>
          <w:p w14:paraId="7D4A895B"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15.04.2021</w:t>
            </w:r>
          </w:p>
        </w:tc>
        <w:tc>
          <w:tcPr>
            <w:tcW w:w="646" w:type="pct"/>
            <w:shd w:val="clear" w:color="auto" w:fill="auto"/>
            <w:vAlign w:val="center"/>
          </w:tcPr>
          <w:p w14:paraId="7D4A895C"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10153</w:t>
            </w:r>
          </w:p>
        </w:tc>
        <w:tc>
          <w:tcPr>
            <w:tcW w:w="1854" w:type="pct"/>
            <w:shd w:val="clear" w:color="auto" w:fill="auto"/>
          </w:tcPr>
          <w:p w14:paraId="7D4A895D" w14:textId="20D6D395" w:rsidR="00127883" w:rsidRPr="009E1B38" w:rsidRDefault="001843DB" w:rsidP="00127883">
            <w:pPr>
              <w:spacing w:after="0" w:line="240" w:lineRule="auto"/>
              <w:rPr>
                <w:rFonts w:ascii="Times New Roman" w:hAnsi="Times New Roman"/>
                <w:color w:val="000000" w:themeColor="text1"/>
                <w:sz w:val="20"/>
                <w:szCs w:val="20"/>
              </w:rPr>
            </w:pPr>
            <w:r w:rsidRPr="009E1B38">
              <w:rPr>
                <w:rFonts w:ascii="Times New Roman" w:hAnsi="Times New Roman"/>
              </w:rPr>
              <w:t>Unit Price Revision Based on Consumption Estimation</w:t>
            </w:r>
          </w:p>
        </w:tc>
      </w:tr>
      <w:tr w:rsidR="00127883" w:rsidRPr="009E1B38" w14:paraId="7D4A8963" w14:textId="77777777" w:rsidTr="00C4345A">
        <w:trPr>
          <w:cantSplit/>
          <w:trHeight w:val="20"/>
          <w:jc w:val="center"/>
        </w:trPr>
        <w:tc>
          <w:tcPr>
            <w:tcW w:w="1642" w:type="pct"/>
            <w:shd w:val="clear" w:color="auto" w:fill="auto"/>
            <w:vAlign w:val="center"/>
          </w:tcPr>
          <w:p w14:paraId="7D4A895F"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Sürmeli Doğal Gaz Dağıtım Sanayi ve Ticaret Anonim Şirketi</w:t>
            </w:r>
          </w:p>
        </w:tc>
        <w:tc>
          <w:tcPr>
            <w:tcW w:w="858" w:type="pct"/>
            <w:shd w:val="clear" w:color="auto" w:fill="auto"/>
            <w:vAlign w:val="center"/>
          </w:tcPr>
          <w:p w14:paraId="7D4A8960"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15.04.2021</w:t>
            </w:r>
          </w:p>
        </w:tc>
        <w:tc>
          <w:tcPr>
            <w:tcW w:w="646" w:type="pct"/>
            <w:shd w:val="clear" w:color="auto" w:fill="auto"/>
            <w:vAlign w:val="center"/>
          </w:tcPr>
          <w:p w14:paraId="7D4A8961"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10152</w:t>
            </w:r>
          </w:p>
        </w:tc>
        <w:tc>
          <w:tcPr>
            <w:tcW w:w="1854" w:type="pct"/>
            <w:shd w:val="clear" w:color="auto" w:fill="auto"/>
          </w:tcPr>
          <w:p w14:paraId="7D4A8962" w14:textId="7CEC58DA" w:rsidR="00127883" w:rsidRPr="009E1B38" w:rsidRDefault="001843DB" w:rsidP="00127883">
            <w:pPr>
              <w:spacing w:after="0" w:line="240" w:lineRule="auto"/>
              <w:rPr>
                <w:rFonts w:ascii="Times New Roman" w:hAnsi="Times New Roman"/>
                <w:color w:val="000000" w:themeColor="text1"/>
                <w:sz w:val="20"/>
                <w:szCs w:val="20"/>
              </w:rPr>
            </w:pPr>
            <w:r w:rsidRPr="009E1B38">
              <w:rPr>
                <w:rFonts w:ascii="Times New Roman" w:hAnsi="Times New Roman"/>
              </w:rPr>
              <w:t>Unit Price Revision Based on Consumption Estimation</w:t>
            </w:r>
          </w:p>
        </w:tc>
      </w:tr>
      <w:tr w:rsidR="00127883" w:rsidRPr="009E1B38" w14:paraId="7D4A8968" w14:textId="77777777" w:rsidTr="00C4345A">
        <w:trPr>
          <w:cantSplit/>
          <w:trHeight w:val="20"/>
          <w:jc w:val="center"/>
        </w:trPr>
        <w:tc>
          <w:tcPr>
            <w:tcW w:w="1642" w:type="pct"/>
            <w:shd w:val="clear" w:color="auto" w:fill="auto"/>
            <w:vAlign w:val="center"/>
          </w:tcPr>
          <w:p w14:paraId="7D4A8964"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Selçuk Doğal Gaz Dağıtım Anonim Şirketi</w:t>
            </w:r>
          </w:p>
        </w:tc>
        <w:tc>
          <w:tcPr>
            <w:tcW w:w="858" w:type="pct"/>
            <w:shd w:val="clear" w:color="auto" w:fill="auto"/>
            <w:vAlign w:val="center"/>
          </w:tcPr>
          <w:p w14:paraId="7D4A8965"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15.04.2021</w:t>
            </w:r>
          </w:p>
        </w:tc>
        <w:tc>
          <w:tcPr>
            <w:tcW w:w="646" w:type="pct"/>
            <w:shd w:val="clear" w:color="auto" w:fill="auto"/>
            <w:vAlign w:val="center"/>
          </w:tcPr>
          <w:p w14:paraId="7D4A8966"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10149</w:t>
            </w:r>
          </w:p>
        </w:tc>
        <w:tc>
          <w:tcPr>
            <w:tcW w:w="1854" w:type="pct"/>
            <w:shd w:val="clear" w:color="auto" w:fill="auto"/>
          </w:tcPr>
          <w:p w14:paraId="7D4A8967" w14:textId="7BA15D2E" w:rsidR="00127883" w:rsidRPr="009E1B38" w:rsidRDefault="001843DB" w:rsidP="00127883">
            <w:pPr>
              <w:spacing w:after="0" w:line="240" w:lineRule="auto"/>
              <w:rPr>
                <w:rFonts w:ascii="Times New Roman" w:hAnsi="Times New Roman"/>
                <w:color w:val="000000" w:themeColor="text1"/>
                <w:sz w:val="20"/>
                <w:szCs w:val="20"/>
              </w:rPr>
            </w:pPr>
            <w:r w:rsidRPr="009E1B38">
              <w:rPr>
                <w:rFonts w:ascii="Times New Roman" w:hAnsi="Times New Roman"/>
              </w:rPr>
              <w:t>Unit Price Revision Based on Consumption Estimation</w:t>
            </w:r>
          </w:p>
        </w:tc>
      </w:tr>
      <w:tr w:rsidR="00127883" w:rsidRPr="009E1B38" w14:paraId="7D4A896D" w14:textId="77777777" w:rsidTr="00C4345A">
        <w:trPr>
          <w:cantSplit/>
          <w:trHeight w:val="20"/>
          <w:jc w:val="center"/>
        </w:trPr>
        <w:tc>
          <w:tcPr>
            <w:tcW w:w="1642" w:type="pct"/>
            <w:shd w:val="clear" w:color="auto" w:fill="auto"/>
            <w:vAlign w:val="center"/>
          </w:tcPr>
          <w:p w14:paraId="7D4A8969"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Polgaz Polatlı Doğal Gaz Dağıtım Anonim Şirketi</w:t>
            </w:r>
          </w:p>
        </w:tc>
        <w:tc>
          <w:tcPr>
            <w:tcW w:w="858" w:type="pct"/>
            <w:shd w:val="clear" w:color="auto" w:fill="auto"/>
            <w:vAlign w:val="center"/>
          </w:tcPr>
          <w:p w14:paraId="7D4A896A"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15.04.2021</w:t>
            </w:r>
          </w:p>
        </w:tc>
        <w:tc>
          <w:tcPr>
            <w:tcW w:w="646" w:type="pct"/>
            <w:shd w:val="clear" w:color="auto" w:fill="auto"/>
            <w:vAlign w:val="center"/>
          </w:tcPr>
          <w:p w14:paraId="7D4A896B"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10148</w:t>
            </w:r>
          </w:p>
        </w:tc>
        <w:tc>
          <w:tcPr>
            <w:tcW w:w="1854" w:type="pct"/>
            <w:shd w:val="clear" w:color="auto" w:fill="auto"/>
          </w:tcPr>
          <w:p w14:paraId="7D4A896C" w14:textId="7971F4C9" w:rsidR="00127883" w:rsidRPr="009E1B38" w:rsidRDefault="001843DB" w:rsidP="00127883">
            <w:pPr>
              <w:spacing w:after="0" w:line="240" w:lineRule="auto"/>
              <w:rPr>
                <w:rFonts w:ascii="Times New Roman" w:hAnsi="Times New Roman"/>
                <w:color w:val="000000" w:themeColor="text1"/>
                <w:sz w:val="20"/>
                <w:szCs w:val="20"/>
              </w:rPr>
            </w:pPr>
            <w:r w:rsidRPr="009E1B38">
              <w:rPr>
                <w:rFonts w:ascii="Times New Roman" w:hAnsi="Times New Roman"/>
              </w:rPr>
              <w:t>Unit Price Revision Based on Consumption Estimation</w:t>
            </w:r>
          </w:p>
        </w:tc>
      </w:tr>
      <w:tr w:rsidR="00127883" w:rsidRPr="009E1B38" w14:paraId="7D4A8972" w14:textId="77777777" w:rsidTr="00C4345A">
        <w:trPr>
          <w:cantSplit/>
          <w:trHeight w:val="20"/>
          <w:jc w:val="center"/>
        </w:trPr>
        <w:tc>
          <w:tcPr>
            <w:tcW w:w="1642" w:type="pct"/>
            <w:shd w:val="clear" w:color="auto" w:fill="auto"/>
            <w:vAlign w:val="center"/>
          </w:tcPr>
          <w:p w14:paraId="7D4A896E"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Kırgaz Kırıkkale Kırşehir Doğal Gaz Dağıtım Pazarlama Ticaret Anonim Şirketi</w:t>
            </w:r>
          </w:p>
        </w:tc>
        <w:tc>
          <w:tcPr>
            <w:tcW w:w="858" w:type="pct"/>
            <w:shd w:val="clear" w:color="auto" w:fill="auto"/>
            <w:vAlign w:val="center"/>
          </w:tcPr>
          <w:p w14:paraId="7D4A896F"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15.04.2021</w:t>
            </w:r>
          </w:p>
        </w:tc>
        <w:tc>
          <w:tcPr>
            <w:tcW w:w="646" w:type="pct"/>
            <w:shd w:val="clear" w:color="auto" w:fill="auto"/>
            <w:vAlign w:val="center"/>
          </w:tcPr>
          <w:p w14:paraId="7D4A8970"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10147</w:t>
            </w:r>
          </w:p>
        </w:tc>
        <w:tc>
          <w:tcPr>
            <w:tcW w:w="1854" w:type="pct"/>
            <w:shd w:val="clear" w:color="auto" w:fill="auto"/>
          </w:tcPr>
          <w:p w14:paraId="7D4A8971" w14:textId="6874ADC3" w:rsidR="00127883" w:rsidRPr="009E1B38" w:rsidRDefault="001843DB" w:rsidP="00127883">
            <w:pPr>
              <w:spacing w:after="0" w:line="240" w:lineRule="auto"/>
              <w:rPr>
                <w:rFonts w:ascii="Times New Roman" w:hAnsi="Times New Roman"/>
                <w:color w:val="000000" w:themeColor="text1"/>
                <w:sz w:val="20"/>
                <w:szCs w:val="20"/>
              </w:rPr>
            </w:pPr>
            <w:r w:rsidRPr="009E1B38">
              <w:rPr>
                <w:rFonts w:ascii="Times New Roman" w:hAnsi="Times New Roman"/>
              </w:rPr>
              <w:t>Unit Price Revision Based on Consumption Estimation</w:t>
            </w:r>
          </w:p>
        </w:tc>
      </w:tr>
      <w:tr w:rsidR="00127883" w:rsidRPr="009E1B38" w14:paraId="7D4A8978" w14:textId="77777777" w:rsidTr="00C4345A">
        <w:trPr>
          <w:cantSplit/>
          <w:trHeight w:val="297"/>
          <w:jc w:val="center"/>
        </w:trPr>
        <w:tc>
          <w:tcPr>
            <w:tcW w:w="1642" w:type="pct"/>
            <w:shd w:val="clear" w:color="auto" w:fill="auto"/>
            <w:vAlign w:val="center"/>
          </w:tcPr>
          <w:p w14:paraId="7D4A8973"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Aksa Ordu Giresun Doğal Gaz Dağıtım Anonim Şirketi</w:t>
            </w:r>
          </w:p>
        </w:tc>
        <w:tc>
          <w:tcPr>
            <w:tcW w:w="858" w:type="pct"/>
            <w:shd w:val="clear" w:color="auto" w:fill="auto"/>
            <w:vAlign w:val="center"/>
          </w:tcPr>
          <w:p w14:paraId="7D4A8974"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15.04.2021</w:t>
            </w:r>
          </w:p>
        </w:tc>
        <w:tc>
          <w:tcPr>
            <w:tcW w:w="646" w:type="pct"/>
            <w:shd w:val="clear" w:color="auto" w:fill="auto"/>
            <w:vAlign w:val="center"/>
          </w:tcPr>
          <w:p w14:paraId="7D4A8975"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br/>
              <w:t>10146</w:t>
            </w:r>
          </w:p>
          <w:p w14:paraId="7D4A8976" w14:textId="77777777" w:rsidR="00127883" w:rsidRPr="009E1B38" w:rsidRDefault="00127883" w:rsidP="00127883">
            <w:pPr>
              <w:spacing w:after="0" w:line="240" w:lineRule="auto"/>
              <w:jc w:val="center"/>
              <w:rPr>
                <w:rFonts w:ascii="Times New Roman" w:hAnsi="Times New Roman"/>
                <w:color w:val="000000" w:themeColor="text1"/>
                <w:sz w:val="20"/>
                <w:szCs w:val="20"/>
              </w:rPr>
            </w:pPr>
          </w:p>
        </w:tc>
        <w:tc>
          <w:tcPr>
            <w:tcW w:w="1854" w:type="pct"/>
            <w:shd w:val="clear" w:color="auto" w:fill="auto"/>
          </w:tcPr>
          <w:p w14:paraId="7D4A8977" w14:textId="7B63B1C7" w:rsidR="00127883" w:rsidRPr="009E1B38" w:rsidRDefault="00655027" w:rsidP="00127883">
            <w:pPr>
              <w:spacing w:after="0" w:line="240" w:lineRule="auto"/>
              <w:rPr>
                <w:rFonts w:ascii="Times New Roman" w:hAnsi="Times New Roman"/>
                <w:color w:val="000000" w:themeColor="text1"/>
                <w:sz w:val="20"/>
                <w:szCs w:val="20"/>
              </w:rPr>
            </w:pPr>
            <w:r w:rsidRPr="009E1B38">
              <w:rPr>
                <w:rFonts w:ascii="Times New Roman" w:hAnsi="Times New Roman"/>
              </w:rPr>
              <w:t>Unit Price Revision Based on Consumption Estimation</w:t>
            </w:r>
          </w:p>
        </w:tc>
      </w:tr>
      <w:tr w:rsidR="00127883" w:rsidRPr="009E1B38" w14:paraId="7D4A897D" w14:textId="77777777" w:rsidTr="00C4345A">
        <w:trPr>
          <w:cantSplit/>
          <w:trHeight w:val="20"/>
          <w:jc w:val="center"/>
        </w:trPr>
        <w:tc>
          <w:tcPr>
            <w:tcW w:w="1642" w:type="pct"/>
            <w:shd w:val="clear" w:color="auto" w:fill="auto"/>
            <w:vAlign w:val="center"/>
          </w:tcPr>
          <w:p w14:paraId="7D4A8979"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lastRenderedPageBreak/>
              <w:t>Enerya Konya Gaz Dağıtım Anonim Şirketi</w:t>
            </w:r>
          </w:p>
        </w:tc>
        <w:tc>
          <w:tcPr>
            <w:tcW w:w="858" w:type="pct"/>
            <w:shd w:val="clear" w:color="auto" w:fill="auto"/>
            <w:vAlign w:val="center"/>
          </w:tcPr>
          <w:p w14:paraId="7D4A897A"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22.04.2021</w:t>
            </w:r>
          </w:p>
        </w:tc>
        <w:tc>
          <w:tcPr>
            <w:tcW w:w="646" w:type="pct"/>
            <w:shd w:val="clear" w:color="auto" w:fill="auto"/>
            <w:vAlign w:val="center"/>
          </w:tcPr>
          <w:p w14:paraId="7D4A897B"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10171</w:t>
            </w:r>
          </w:p>
        </w:tc>
        <w:tc>
          <w:tcPr>
            <w:tcW w:w="1854" w:type="pct"/>
            <w:shd w:val="clear" w:color="auto" w:fill="auto"/>
          </w:tcPr>
          <w:p w14:paraId="7D4A897C" w14:textId="5CB0B532" w:rsidR="00127883" w:rsidRPr="009E1B38" w:rsidRDefault="00655027" w:rsidP="00127883">
            <w:pPr>
              <w:spacing w:after="0" w:line="240" w:lineRule="auto"/>
              <w:rPr>
                <w:rFonts w:ascii="Times New Roman" w:hAnsi="Times New Roman"/>
                <w:color w:val="000000" w:themeColor="text1"/>
                <w:sz w:val="20"/>
                <w:szCs w:val="20"/>
              </w:rPr>
            </w:pPr>
            <w:r w:rsidRPr="009E1B38">
              <w:rPr>
                <w:rFonts w:ascii="Times New Roman" w:hAnsi="Times New Roman"/>
              </w:rPr>
              <w:t>Unit Price Revision Based on Consumption Estimation</w:t>
            </w:r>
          </w:p>
        </w:tc>
      </w:tr>
      <w:tr w:rsidR="00127883" w:rsidRPr="009E1B38" w14:paraId="7D4A8982" w14:textId="77777777" w:rsidTr="00C4345A">
        <w:trPr>
          <w:cantSplit/>
          <w:trHeight w:val="20"/>
          <w:jc w:val="center"/>
        </w:trPr>
        <w:tc>
          <w:tcPr>
            <w:tcW w:w="1642" w:type="pct"/>
            <w:shd w:val="clear" w:color="auto" w:fill="auto"/>
            <w:vAlign w:val="center"/>
          </w:tcPr>
          <w:p w14:paraId="7D4A897E"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Çorum Doğal Gaz Dağıtım Sanayi ve Ticaret Anonim Şirketi</w:t>
            </w:r>
          </w:p>
        </w:tc>
        <w:tc>
          <w:tcPr>
            <w:tcW w:w="858" w:type="pct"/>
            <w:shd w:val="clear" w:color="auto" w:fill="auto"/>
            <w:vAlign w:val="center"/>
          </w:tcPr>
          <w:p w14:paraId="7D4A897F"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22.04.2021</w:t>
            </w:r>
          </w:p>
        </w:tc>
        <w:tc>
          <w:tcPr>
            <w:tcW w:w="646" w:type="pct"/>
            <w:shd w:val="clear" w:color="auto" w:fill="auto"/>
            <w:vAlign w:val="center"/>
          </w:tcPr>
          <w:p w14:paraId="7D4A8980"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10170</w:t>
            </w:r>
          </w:p>
        </w:tc>
        <w:tc>
          <w:tcPr>
            <w:tcW w:w="1854" w:type="pct"/>
            <w:shd w:val="clear" w:color="auto" w:fill="auto"/>
          </w:tcPr>
          <w:p w14:paraId="7D4A8981" w14:textId="3FF994DA" w:rsidR="00127883" w:rsidRPr="009E1B38" w:rsidRDefault="00655027" w:rsidP="00127883">
            <w:pPr>
              <w:spacing w:after="0" w:line="240" w:lineRule="auto"/>
              <w:rPr>
                <w:rFonts w:ascii="Times New Roman" w:hAnsi="Times New Roman"/>
                <w:color w:val="000000" w:themeColor="text1"/>
                <w:sz w:val="20"/>
                <w:szCs w:val="20"/>
              </w:rPr>
            </w:pPr>
            <w:r w:rsidRPr="009E1B38">
              <w:rPr>
                <w:rFonts w:ascii="Times New Roman" w:hAnsi="Times New Roman"/>
              </w:rPr>
              <w:t>Unit Price Revision Based on Consumption Estimation</w:t>
            </w:r>
          </w:p>
        </w:tc>
      </w:tr>
      <w:tr w:rsidR="00127883" w:rsidRPr="009E1B38" w14:paraId="7D4A8987" w14:textId="77777777" w:rsidTr="00127883">
        <w:trPr>
          <w:cantSplit/>
          <w:trHeight w:val="20"/>
          <w:jc w:val="center"/>
        </w:trPr>
        <w:tc>
          <w:tcPr>
            <w:tcW w:w="1642" w:type="pct"/>
            <w:shd w:val="clear" w:color="auto" w:fill="auto"/>
            <w:vAlign w:val="center"/>
          </w:tcPr>
          <w:p w14:paraId="7D4A8983"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Başkent Doğalgaz Dağıtım Gayrimenkul Yatırım Ortaklığı A.Ş.</w:t>
            </w:r>
            <w:r w:rsidRPr="009E1B38" w:rsidDel="004B256E">
              <w:rPr>
                <w:rFonts w:ascii="Times New Roman" w:hAnsi="Times New Roman"/>
                <w:color w:val="000000" w:themeColor="text1"/>
                <w:sz w:val="20"/>
                <w:szCs w:val="20"/>
              </w:rPr>
              <w:t xml:space="preserve"> </w:t>
            </w:r>
          </w:p>
        </w:tc>
        <w:tc>
          <w:tcPr>
            <w:tcW w:w="858" w:type="pct"/>
            <w:shd w:val="clear" w:color="auto" w:fill="auto"/>
            <w:vAlign w:val="center"/>
          </w:tcPr>
          <w:p w14:paraId="7D4A8984"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06.05.2021</w:t>
            </w:r>
          </w:p>
        </w:tc>
        <w:tc>
          <w:tcPr>
            <w:tcW w:w="646" w:type="pct"/>
            <w:shd w:val="clear" w:color="auto" w:fill="auto"/>
            <w:vAlign w:val="center"/>
          </w:tcPr>
          <w:p w14:paraId="7D4A8985"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10206</w:t>
            </w:r>
          </w:p>
        </w:tc>
        <w:tc>
          <w:tcPr>
            <w:tcW w:w="1854" w:type="pct"/>
            <w:shd w:val="clear" w:color="auto" w:fill="auto"/>
            <w:vAlign w:val="center"/>
          </w:tcPr>
          <w:p w14:paraId="7D4A8986" w14:textId="55B70B21" w:rsidR="00127883" w:rsidRPr="009E1B38" w:rsidRDefault="008D1E1F"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Determination of Retail Sales Tariffs for the 2017-2021 Tariff Implementation Period</w:t>
            </w:r>
          </w:p>
        </w:tc>
      </w:tr>
      <w:tr w:rsidR="00127883" w:rsidRPr="009E1B38" w14:paraId="7D4A898C" w14:textId="77777777" w:rsidTr="00127883">
        <w:trPr>
          <w:cantSplit/>
          <w:trHeight w:val="20"/>
          <w:jc w:val="center"/>
        </w:trPr>
        <w:tc>
          <w:tcPr>
            <w:tcW w:w="1642" w:type="pct"/>
            <w:shd w:val="clear" w:color="auto" w:fill="auto"/>
            <w:vAlign w:val="center"/>
          </w:tcPr>
          <w:p w14:paraId="7D4A8988"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İzgaz İzmit Gaz Dağıtım Sanayi ve Ticaret Anonim Şirketi</w:t>
            </w:r>
          </w:p>
        </w:tc>
        <w:tc>
          <w:tcPr>
            <w:tcW w:w="858" w:type="pct"/>
            <w:shd w:val="clear" w:color="auto" w:fill="auto"/>
            <w:vAlign w:val="center"/>
          </w:tcPr>
          <w:p w14:paraId="7D4A8989"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17.06.2021</w:t>
            </w:r>
          </w:p>
        </w:tc>
        <w:tc>
          <w:tcPr>
            <w:tcW w:w="646" w:type="pct"/>
            <w:shd w:val="clear" w:color="auto" w:fill="auto"/>
            <w:vAlign w:val="center"/>
          </w:tcPr>
          <w:p w14:paraId="7D4A898A"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10267</w:t>
            </w:r>
          </w:p>
        </w:tc>
        <w:tc>
          <w:tcPr>
            <w:tcW w:w="1854" w:type="pct"/>
            <w:shd w:val="clear" w:color="auto" w:fill="auto"/>
            <w:vAlign w:val="center"/>
          </w:tcPr>
          <w:p w14:paraId="7D4A898B" w14:textId="5296C43E"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91" w14:textId="77777777" w:rsidTr="00C4345A">
        <w:trPr>
          <w:cantSplit/>
          <w:trHeight w:val="20"/>
          <w:jc w:val="center"/>
        </w:trPr>
        <w:tc>
          <w:tcPr>
            <w:tcW w:w="1642" w:type="pct"/>
            <w:shd w:val="clear" w:color="auto" w:fill="auto"/>
            <w:vAlign w:val="center"/>
          </w:tcPr>
          <w:p w14:paraId="7D4A898D"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Palen Enerji Doğal Gaz Dağıtım End. ve Ticaret Anonim Şirketi</w:t>
            </w:r>
          </w:p>
        </w:tc>
        <w:tc>
          <w:tcPr>
            <w:tcW w:w="858" w:type="pct"/>
            <w:shd w:val="clear" w:color="auto" w:fill="auto"/>
            <w:vAlign w:val="center"/>
          </w:tcPr>
          <w:p w14:paraId="7D4A898E"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24.06.2021</w:t>
            </w:r>
          </w:p>
        </w:tc>
        <w:tc>
          <w:tcPr>
            <w:tcW w:w="646" w:type="pct"/>
            <w:shd w:val="clear" w:color="auto" w:fill="auto"/>
            <w:vAlign w:val="center"/>
          </w:tcPr>
          <w:p w14:paraId="7D4A898F"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 xml:space="preserve">10279  </w:t>
            </w:r>
          </w:p>
        </w:tc>
        <w:tc>
          <w:tcPr>
            <w:tcW w:w="1854" w:type="pct"/>
            <w:shd w:val="clear" w:color="auto" w:fill="auto"/>
          </w:tcPr>
          <w:p w14:paraId="7D4A8990" w14:textId="2B09AEF4" w:rsidR="00127883" w:rsidRPr="009E1B38" w:rsidRDefault="00892794" w:rsidP="00127883">
            <w:pPr>
              <w:spacing w:after="0" w:line="240" w:lineRule="auto"/>
              <w:rPr>
                <w:rFonts w:ascii="Times New Roman" w:hAnsi="Times New Roman"/>
                <w:color w:val="000000" w:themeColor="text1"/>
                <w:sz w:val="20"/>
                <w:szCs w:val="20"/>
              </w:rPr>
            </w:pPr>
            <w:r w:rsidRPr="009E1B38">
              <w:rPr>
                <w:rFonts w:ascii="Times New Roman" w:hAnsi="Times New Roman"/>
              </w:rPr>
              <w:t>Tariff Revision Due to CNG Price Difference Request</w:t>
            </w:r>
          </w:p>
        </w:tc>
      </w:tr>
      <w:tr w:rsidR="00127883" w:rsidRPr="009E1B38" w14:paraId="7D4A8996" w14:textId="77777777" w:rsidTr="00127883">
        <w:trPr>
          <w:cantSplit/>
          <w:trHeight w:val="20"/>
          <w:jc w:val="center"/>
        </w:trPr>
        <w:tc>
          <w:tcPr>
            <w:tcW w:w="1642" w:type="pct"/>
            <w:shd w:val="clear" w:color="auto" w:fill="auto"/>
            <w:vAlign w:val="center"/>
          </w:tcPr>
          <w:p w14:paraId="7D4A8992"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Akmercan Muğla Doğal Gaz Dağıtım Sanayi ve Ticaret A.Ş.</w:t>
            </w:r>
          </w:p>
        </w:tc>
        <w:tc>
          <w:tcPr>
            <w:tcW w:w="858" w:type="pct"/>
            <w:shd w:val="clear" w:color="auto" w:fill="auto"/>
            <w:vAlign w:val="center"/>
          </w:tcPr>
          <w:p w14:paraId="7D4A8993"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24.06.2021</w:t>
            </w:r>
          </w:p>
        </w:tc>
        <w:tc>
          <w:tcPr>
            <w:tcW w:w="646" w:type="pct"/>
            <w:shd w:val="clear" w:color="auto" w:fill="auto"/>
            <w:vAlign w:val="center"/>
          </w:tcPr>
          <w:p w14:paraId="7D4A8994"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10278</w:t>
            </w:r>
          </w:p>
        </w:tc>
        <w:tc>
          <w:tcPr>
            <w:tcW w:w="1854" w:type="pct"/>
            <w:shd w:val="clear" w:color="auto" w:fill="auto"/>
            <w:vAlign w:val="center"/>
          </w:tcPr>
          <w:p w14:paraId="7D4A8995" w14:textId="77CFD70C" w:rsidR="00127883" w:rsidRPr="009E1B38" w:rsidRDefault="00496C65" w:rsidP="00127883">
            <w:pPr>
              <w:spacing w:after="0" w:line="240" w:lineRule="auto"/>
              <w:rPr>
                <w:rFonts w:ascii="Times New Roman" w:hAnsi="Times New Roman"/>
                <w:color w:val="000000" w:themeColor="text1"/>
              </w:rPr>
            </w:pPr>
            <w:r w:rsidRPr="009E1B38">
              <w:rPr>
                <w:rFonts w:ascii="Times New Roman" w:hAnsi="Times New Roman"/>
                <w:color w:val="000000" w:themeColor="text1"/>
              </w:rPr>
              <w:t>Determination of Retail Sales Tariffs</w:t>
            </w:r>
          </w:p>
        </w:tc>
      </w:tr>
      <w:tr w:rsidR="00127883" w:rsidRPr="009E1B38" w14:paraId="7D4A899B" w14:textId="77777777" w:rsidTr="00127883">
        <w:trPr>
          <w:cantSplit/>
          <w:trHeight w:val="20"/>
          <w:jc w:val="center"/>
        </w:trPr>
        <w:tc>
          <w:tcPr>
            <w:tcW w:w="1642" w:type="pct"/>
            <w:shd w:val="clear" w:color="auto" w:fill="auto"/>
            <w:vAlign w:val="center"/>
          </w:tcPr>
          <w:p w14:paraId="7D4A8997"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Agdaş Adapazarı Gaz Dağıtım Anonim Şirketi</w:t>
            </w:r>
          </w:p>
        </w:tc>
        <w:tc>
          <w:tcPr>
            <w:tcW w:w="858" w:type="pct"/>
            <w:shd w:val="clear" w:color="auto" w:fill="auto"/>
            <w:vAlign w:val="center"/>
          </w:tcPr>
          <w:p w14:paraId="7D4A8998"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30.06.2021</w:t>
            </w:r>
          </w:p>
        </w:tc>
        <w:tc>
          <w:tcPr>
            <w:tcW w:w="646" w:type="pct"/>
            <w:shd w:val="clear" w:color="auto" w:fill="auto"/>
            <w:vAlign w:val="center"/>
          </w:tcPr>
          <w:p w14:paraId="7D4A8999"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10296</w:t>
            </w:r>
          </w:p>
        </w:tc>
        <w:tc>
          <w:tcPr>
            <w:tcW w:w="1854" w:type="pct"/>
            <w:shd w:val="clear" w:color="auto" w:fill="auto"/>
            <w:vAlign w:val="center"/>
          </w:tcPr>
          <w:p w14:paraId="7D4A899A" w14:textId="4EB1F3EC" w:rsidR="00127883" w:rsidRPr="009E1B38" w:rsidRDefault="003E54BE" w:rsidP="00127883">
            <w:pPr>
              <w:spacing w:after="0" w:line="240" w:lineRule="auto"/>
              <w:rPr>
                <w:rFonts w:ascii="Times New Roman" w:hAnsi="Times New Roman"/>
                <w:color w:val="000000" w:themeColor="text1"/>
              </w:rPr>
            </w:pPr>
            <w:r w:rsidRPr="009E1B38">
              <w:rPr>
                <w:rFonts w:ascii="Times New Roman" w:hAnsi="Times New Roman"/>
                <w:color w:val="000000" w:themeColor="text1"/>
              </w:rPr>
              <w:t>Tariff Revision Due to Power Plant Consumption</w:t>
            </w:r>
          </w:p>
        </w:tc>
      </w:tr>
      <w:tr w:rsidR="00127883" w:rsidRPr="009E1B38" w14:paraId="7D4A89A0" w14:textId="77777777" w:rsidTr="00127883">
        <w:trPr>
          <w:cantSplit/>
          <w:trHeight w:val="20"/>
          <w:jc w:val="center"/>
        </w:trPr>
        <w:tc>
          <w:tcPr>
            <w:tcW w:w="1642" w:type="pct"/>
            <w:shd w:val="clear" w:color="auto" w:fill="auto"/>
            <w:vAlign w:val="center"/>
          </w:tcPr>
          <w:p w14:paraId="7D4A899C"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Enerya Konya Gaz Dağıtım Anonim Şirketi</w:t>
            </w:r>
          </w:p>
        </w:tc>
        <w:tc>
          <w:tcPr>
            <w:tcW w:w="858" w:type="pct"/>
            <w:shd w:val="clear" w:color="auto" w:fill="auto"/>
            <w:vAlign w:val="center"/>
          </w:tcPr>
          <w:p w14:paraId="7D4A899D"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08.07.2021</w:t>
            </w:r>
          </w:p>
        </w:tc>
        <w:tc>
          <w:tcPr>
            <w:tcW w:w="646" w:type="pct"/>
            <w:shd w:val="clear" w:color="auto" w:fill="auto"/>
            <w:vAlign w:val="center"/>
          </w:tcPr>
          <w:p w14:paraId="7D4A899E"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10315</w:t>
            </w:r>
          </w:p>
        </w:tc>
        <w:tc>
          <w:tcPr>
            <w:tcW w:w="1854" w:type="pct"/>
            <w:shd w:val="clear" w:color="auto" w:fill="auto"/>
            <w:vAlign w:val="center"/>
          </w:tcPr>
          <w:p w14:paraId="7D4A899F" w14:textId="6EC00349"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A5" w14:textId="77777777" w:rsidTr="00127883">
        <w:trPr>
          <w:cantSplit/>
          <w:trHeight w:val="20"/>
          <w:jc w:val="center"/>
        </w:trPr>
        <w:tc>
          <w:tcPr>
            <w:tcW w:w="1642" w:type="pct"/>
            <w:shd w:val="clear" w:color="auto" w:fill="auto"/>
            <w:vAlign w:val="center"/>
          </w:tcPr>
          <w:p w14:paraId="7D4A89A1"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Enerya Kapadokya Gaz Dağıtım Anonim Şirketi</w:t>
            </w:r>
          </w:p>
        </w:tc>
        <w:tc>
          <w:tcPr>
            <w:tcW w:w="858" w:type="pct"/>
            <w:shd w:val="clear" w:color="auto" w:fill="auto"/>
            <w:vAlign w:val="center"/>
          </w:tcPr>
          <w:p w14:paraId="7D4A89A2"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08.07.2021</w:t>
            </w:r>
          </w:p>
        </w:tc>
        <w:tc>
          <w:tcPr>
            <w:tcW w:w="646" w:type="pct"/>
            <w:shd w:val="clear" w:color="auto" w:fill="auto"/>
            <w:vAlign w:val="center"/>
          </w:tcPr>
          <w:p w14:paraId="7D4A89A3"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10314</w:t>
            </w:r>
          </w:p>
        </w:tc>
        <w:tc>
          <w:tcPr>
            <w:tcW w:w="1854" w:type="pct"/>
            <w:shd w:val="clear" w:color="auto" w:fill="auto"/>
            <w:vAlign w:val="center"/>
          </w:tcPr>
          <w:p w14:paraId="7D4A89A4" w14:textId="5FD76815"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AA" w14:textId="77777777" w:rsidTr="00127883">
        <w:trPr>
          <w:cantSplit/>
          <w:trHeight w:val="20"/>
          <w:jc w:val="center"/>
        </w:trPr>
        <w:tc>
          <w:tcPr>
            <w:tcW w:w="1642" w:type="pct"/>
            <w:shd w:val="clear" w:color="auto" w:fill="auto"/>
            <w:vAlign w:val="center"/>
          </w:tcPr>
          <w:p w14:paraId="7D4A89A6"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Enerya Aydın Gaz Dağıtım Anonim Şirketi</w:t>
            </w:r>
          </w:p>
        </w:tc>
        <w:tc>
          <w:tcPr>
            <w:tcW w:w="858" w:type="pct"/>
            <w:shd w:val="clear" w:color="auto" w:fill="auto"/>
            <w:vAlign w:val="center"/>
          </w:tcPr>
          <w:p w14:paraId="7D4A89A7"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08.07.2021</w:t>
            </w:r>
          </w:p>
        </w:tc>
        <w:tc>
          <w:tcPr>
            <w:tcW w:w="646" w:type="pct"/>
            <w:shd w:val="clear" w:color="auto" w:fill="auto"/>
            <w:vAlign w:val="center"/>
          </w:tcPr>
          <w:p w14:paraId="7D4A89A8"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10313</w:t>
            </w:r>
          </w:p>
        </w:tc>
        <w:tc>
          <w:tcPr>
            <w:tcW w:w="1854" w:type="pct"/>
            <w:shd w:val="clear" w:color="auto" w:fill="auto"/>
            <w:vAlign w:val="center"/>
          </w:tcPr>
          <w:p w14:paraId="7D4A89A9" w14:textId="55D91644"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AF" w14:textId="77777777" w:rsidTr="00127883">
        <w:trPr>
          <w:cantSplit/>
          <w:trHeight w:val="20"/>
          <w:jc w:val="center"/>
        </w:trPr>
        <w:tc>
          <w:tcPr>
            <w:tcW w:w="1642" w:type="pct"/>
            <w:shd w:val="clear" w:color="auto" w:fill="auto"/>
            <w:vAlign w:val="center"/>
          </w:tcPr>
          <w:p w14:paraId="7D4A89AB"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Enerya Antalya Gaz Dağıtım Anonim Şirketi</w:t>
            </w:r>
          </w:p>
        </w:tc>
        <w:tc>
          <w:tcPr>
            <w:tcW w:w="858" w:type="pct"/>
            <w:shd w:val="clear" w:color="auto" w:fill="auto"/>
            <w:vAlign w:val="center"/>
          </w:tcPr>
          <w:p w14:paraId="7D4A89AC"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08.07.2021</w:t>
            </w:r>
          </w:p>
        </w:tc>
        <w:tc>
          <w:tcPr>
            <w:tcW w:w="646" w:type="pct"/>
            <w:shd w:val="clear" w:color="auto" w:fill="auto"/>
            <w:vAlign w:val="center"/>
          </w:tcPr>
          <w:p w14:paraId="7D4A89AD"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10312</w:t>
            </w:r>
          </w:p>
        </w:tc>
        <w:tc>
          <w:tcPr>
            <w:tcW w:w="1854" w:type="pct"/>
            <w:shd w:val="clear" w:color="auto" w:fill="auto"/>
            <w:vAlign w:val="center"/>
          </w:tcPr>
          <w:p w14:paraId="7D4A89AE" w14:textId="12CE9B7B"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B4" w14:textId="77777777" w:rsidTr="00127883">
        <w:trPr>
          <w:cantSplit/>
          <w:trHeight w:val="20"/>
          <w:jc w:val="center"/>
        </w:trPr>
        <w:tc>
          <w:tcPr>
            <w:tcW w:w="1642" w:type="pct"/>
            <w:shd w:val="clear" w:color="auto" w:fill="auto"/>
            <w:vAlign w:val="center"/>
          </w:tcPr>
          <w:p w14:paraId="7D4A89B0"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Kayserigaz Kayseri Doğalgaz Dağıtım Pazarlama ve Ticaret Anonim Şirketi</w:t>
            </w:r>
          </w:p>
        </w:tc>
        <w:tc>
          <w:tcPr>
            <w:tcW w:w="858" w:type="pct"/>
            <w:shd w:val="clear" w:color="auto" w:fill="auto"/>
            <w:vAlign w:val="center"/>
          </w:tcPr>
          <w:p w14:paraId="7D4A89B1"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14.07.2021</w:t>
            </w:r>
          </w:p>
        </w:tc>
        <w:tc>
          <w:tcPr>
            <w:tcW w:w="646" w:type="pct"/>
            <w:shd w:val="clear" w:color="auto" w:fill="auto"/>
            <w:vAlign w:val="center"/>
          </w:tcPr>
          <w:p w14:paraId="7D4A89B2"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10330</w:t>
            </w:r>
          </w:p>
        </w:tc>
        <w:tc>
          <w:tcPr>
            <w:tcW w:w="1854" w:type="pct"/>
            <w:shd w:val="clear" w:color="auto" w:fill="auto"/>
            <w:vAlign w:val="center"/>
          </w:tcPr>
          <w:p w14:paraId="7D4A89B3" w14:textId="505B7EFB"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B9" w14:textId="77777777" w:rsidTr="00127883">
        <w:trPr>
          <w:cantSplit/>
          <w:trHeight w:val="20"/>
          <w:jc w:val="center"/>
        </w:trPr>
        <w:tc>
          <w:tcPr>
            <w:tcW w:w="1642" w:type="pct"/>
            <w:shd w:val="clear" w:color="auto" w:fill="auto"/>
            <w:vAlign w:val="center"/>
          </w:tcPr>
          <w:p w14:paraId="7D4A89B5"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Bursa Şehiriçi Doğal Gaz Dağıtım Ticaret ve Taah</w:t>
            </w:r>
            <w:r w:rsidR="00DC690D" w:rsidRPr="009E1B38">
              <w:rPr>
                <w:rFonts w:ascii="Times New Roman" w:hAnsi="Times New Roman"/>
                <w:color w:val="000000" w:themeColor="text1"/>
                <w:sz w:val="20"/>
                <w:szCs w:val="20"/>
              </w:rPr>
              <w:t>hüt</w:t>
            </w:r>
            <w:r w:rsidRPr="009E1B38">
              <w:rPr>
                <w:rFonts w:ascii="Times New Roman" w:hAnsi="Times New Roman"/>
                <w:color w:val="000000" w:themeColor="text1"/>
                <w:sz w:val="20"/>
                <w:szCs w:val="20"/>
              </w:rPr>
              <w:t xml:space="preserve"> Anonim Şirketi</w:t>
            </w:r>
          </w:p>
        </w:tc>
        <w:tc>
          <w:tcPr>
            <w:tcW w:w="858" w:type="pct"/>
            <w:shd w:val="clear" w:color="auto" w:fill="auto"/>
            <w:vAlign w:val="center"/>
          </w:tcPr>
          <w:p w14:paraId="7D4A89B6"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14.07.2021</w:t>
            </w:r>
          </w:p>
        </w:tc>
        <w:tc>
          <w:tcPr>
            <w:tcW w:w="646" w:type="pct"/>
            <w:shd w:val="clear" w:color="auto" w:fill="auto"/>
            <w:vAlign w:val="center"/>
          </w:tcPr>
          <w:p w14:paraId="7D4A89B7"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10329</w:t>
            </w:r>
          </w:p>
        </w:tc>
        <w:tc>
          <w:tcPr>
            <w:tcW w:w="1854" w:type="pct"/>
            <w:shd w:val="clear" w:color="auto" w:fill="auto"/>
            <w:vAlign w:val="center"/>
          </w:tcPr>
          <w:p w14:paraId="7D4A89B8" w14:textId="2C15DDC6"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BE" w14:textId="77777777" w:rsidTr="00127883">
        <w:trPr>
          <w:cantSplit/>
          <w:trHeight w:val="20"/>
          <w:jc w:val="center"/>
        </w:trPr>
        <w:tc>
          <w:tcPr>
            <w:tcW w:w="1642" w:type="pct"/>
            <w:shd w:val="clear" w:color="auto" w:fill="auto"/>
            <w:vAlign w:val="center"/>
          </w:tcPr>
          <w:p w14:paraId="7D4A89BA"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Kırgaz Kırıkkale Kırşehir Doğal Gaz Dağıtım Pazarlama Ticaret Anonim Şirketi</w:t>
            </w:r>
          </w:p>
        </w:tc>
        <w:tc>
          <w:tcPr>
            <w:tcW w:w="858" w:type="pct"/>
            <w:shd w:val="clear" w:color="auto" w:fill="auto"/>
            <w:vAlign w:val="center"/>
          </w:tcPr>
          <w:p w14:paraId="7D4A89BB"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29.07.2021</w:t>
            </w:r>
          </w:p>
        </w:tc>
        <w:tc>
          <w:tcPr>
            <w:tcW w:w="646" w:type="pct"/>
            <w:shd w:val="clear" w:color="auto" w:fill="auto"/>
            <w:vAlign w:val="center"/>
          </w:tcPr>
          <w:p w14:paraId="7D4A89BC"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10340</w:t>
            </w:r>
          </w:p>
        </w:tc>
        <w:tc>
          <w:tcPr>
            <w:tcW w:w="1854" w:type="pct"/>
            <w:shd w:val="clear" w:color="auto" w:fill="auto"/>
            <w:vAlign w:val="center"/>
          </w:tcPr>
          <w:p w14:paraId="7D4A89BD" w14:textId="1A163771"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C3" w14:textId="77777777" w:rsidTr="00127883">
        <w:trPr>
          <w:cantSplit/>
          <w:trHeight w:val="20"/>
          <w:jc w:val="center"/>
        </w:trPr>
        <w:tc>
          <w:tcPr>
            <w:tcW w:w="1642" w:type="pct"/>
            <w:shd w:val="clear" w:color="auto" w:fill="auto"/>
            <w:vAlign w:val="center"/>
          </w:tcPr>
          <w:p w14:paraId="7D4A89BF"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Aksa Bilecik Bolu Doğal Gaz Dağıtım Anonim Şirketi</w:t>
            </w:r>
          </w:p>
        </w:tc>
        <w:tc>
          <w:tcPr>
            <w:tcW w:w="858" w:type="pct"/>
            <w:shd w:val="clear" w:color="auto" w:fill="auto"/>
            <w:vAlign w:val="center"/>
          </w:tcPr>
          <w:p w14:paraId="7D4A89C0"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16.09.2021</w:t>
            </w:r>
          </w:p>
        </w:tc>
        <w:tc>
          <w:tcPr>
            <w:tcW w:w="646" w:type="pct"/>
            <w:shd w:val="clear" w:color="auto" w:fill="auto"/>
            <w:vAlign w:val="center"/>
          </w:tcPr>
          <w:p w14:paraId="7D4A89C1"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10412</w:t>
            </w:r>
          </w:p>
        </w:tc>
        <w:tc>
          <w:tcPr>
            <w:tcW w:w="1854" w:type="pct"/>
            <w:shd w:val="clear" w:color="auto" w:fill="auto"/>
            <w:vAlign w:val="center"/>
          </w:tcPr>
          <w:p w14:paraId="7D4A89C2" w14:textId="697097BF"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C8" w14:textId="77777777" w:rsidTr="00127883">
        <w:trPr>
          <w:cantSplit/>
          <w:trHeight w:val="20"/>
          <w:jc w:val="center"/>
        </w:trPr>
        <w:tc>
          <w:tcPr>
            <w:tcW w:w="1642" w:type="pct"/>
            <w:shd w:val="clear" w:color="auto" w:fill="auto"/>
            <w:vAlign w:val="center"/>
          </w:tcPr>
          <w:p w14:paraId="7D4A89C4"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Akmercan Batıkar Doğalgaz Dağıtım Sanayi ve Ticaret Anonim Şirketi</w:t>
            </w:r>
          </w:p>
        </w:tc>
        <w:tc>
          <w:tcPr>
            <w:tcW w:w="858" w:type="pct"/>
            <w:shd w:val="clear" w:color="auto" w:fill="auto"/>
            <w:vAlign w:val="center"/>
          </w:tcPr>
          <w:p w14:paraId="7D4A89C5"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30.09.2021</w:t>
            </w:r>
          </w:p>
        </w:tc>
        <w:tc>
          <w:tcPr>
            <w:tcW w:w="646" w:type="pct"/>
            <w:shd w:val="clear" w:color="auto" w:fill="auto"/>
            <w:vAlign w:val="center"/>
          </w:tcPr>
          <w:p w14:paraId="7D4A89C6"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10449</w:t>
            </w:r>
          </w:p>
        </w:tc>
        <w:tc>
          <w:tcPr>
            <w:tcW w:w="1854" w:type="pct"/>
            <w:shd w:val="clear" w:color="auto" w:fill="auto"/>
            <w:vAlign w:val="center"/>
          </w:tcPr>
          <w:p w14:paraId="7D4A89C7" w14:textId="6F216A14" w:rsidR="00127883" w:rsidRPr="009E1B38" w:rsidRDefault="003B4C14" w:rsidP="00127883">
            <w:pPr>
              <w:spacing w:after="0" w:line="240" w:lineRule="auto"/>
              <w:rPr>
                <w:rFonts w:ascii="Times New Roman" w:hAnsi="Times New Roman"/>
                <w:color w:val="000000" w:themeColor="text1"/>
              </w:rPr>
            </w:pPr>
            <w:r w:rsidRPr="009E1B38">
              <w:rPr>
                <w:rFonts w:ascii="Times New Roman" w:hAnsi="Times New Roman"/>
                <w:color w:val="000000" w:themeColor="text1"/>
              </w:rPr>
              <w:t>Determination of Retail Sales Tariffs for the Tariff Implementation Period 2017-2021</w:t>
            </w:r>
          </w:p>
        </w:tc>
      </w:tr>
      <w:tr w:rsidR="00127883" w:rsidRPr="009E1B38" w14:paraId="7D4A89CD" w14:textId="77777777" w:rsidTr="00127883">
        <w:trPr>
          <w:cantSplit/>
          <w:trHeight w:val="20"/>
          <w:jc w:val="center"/>
        </w:trPr>
        <w:tc>
          <w:tcPr>
            <w:tcW w:w="1642" w:type="pct"/>
            <w:shd w:val="clear" w:color="auto" w:fill="auto"/>
            <w:vAlign w:val="center"/>
          </w:tcPr>
          <w:p w14:paraId="7D4A89C9"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Enerya Konya Gaz Dağıtım Anonim Şirketi</w:t>
            </w:r>
          </w:p>
        </w:tc>
        <w:tc>
          <w:tcPr>
            <w:tcW w:w="858" w:type="pct"/>
            <w:shd w:val="clear" w:color="auto" w:fill="auto"/>
            <w:vAlign w:val="center"/>
          </w:tcPr>
          <w:p w14:paraId="7D4A89CA"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11.11.2021</w:t>
            </w:r>
          </w:p>
        </w:tc>
        <w:tc>
          <w:tcPr>
            <w:tcW w:w="646" w:type="pct"/>
            <w:shd w:val="clear" w:color="auto" w:fill="auto"/>
            <w:vAlign w:val="center"/>
          </w:tcPr>
          <w:p w14:paraId="7D4A89CB"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10552</w:t>
            </w:r>
          </w:p>
        </w:tc>
        <w:tc>
          <w:tcPr>
            <w:tcW w:w="1854" w:type="pct"/>
            <w:shd w:val="clear" w:color="auto" w:fill="auto"/>
            <w:vAlign w:val="center"/>
          </w:tcPr>
          <w:p w14:paraId="7D4A89CC" w14:textId="4887B1F5"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D2" w14:textId="77777777" w:rsidTr="00127883">
        <w:trPr>
          <w:cantSplit/>
          <w:trHeight w:val="20"/>
          <w:jc w:val="center"/>
        </w:trPr>
        <w:tc>
          <w:tcPr>
            <w:tcW w:w="1642" w:type="pct"/>
            <w:shd w:val="clear" w:color="auto" w:fill="auto"/>
            <w:vAlign w:val="center"/>
          </w:tcPr>
          <w:p w14:paraId="7D4A89CE"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Enerya Erzincan Gaz Dağıtım Anonim Şirketi</w:t>
            </w:r>
          </w:p>
        </w:tc>
        <w:tc>
          <w:tcPr>
            <w:tcW w:w="858" w:type="pct"/>
            <w:shd w:val="clear" w:color="auto" w:fill="auto"/>
            <w:vAlign w:val="center"/>
          </w:tcPr>
          <w:p w14:paraId="7D4A89CF"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11.11.2021</w:t>
            </w:r>
          </w:p>
        </w:tc>
        <w:tc>
          <w:tcPr>
            <w:tcW w:w="646" w:type="pct"/>
            <w:shd w:val="clear" w:color="auto" w:fill="auto"/>
            <w:vAlign w:val="center"/>
          </w:tcPr>
          <w:p w14:paraId="7D4A89D0"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10551</w:t>
            </w:r>
          </w:p>
        </w:tc>
        <w:tc>
          <w:tcPr>
            <w:tcW w:w="1854" w:type="pct"/>
            <w:shd w:val="clear" w:color="auto" w:fill="auto"/>
            <w:vAlign w:val="center"/>
          </w:tcPr>
          <w:p w14:paraId="7D4A89D1" w14:textId="717D85C2"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D7" w14:textId="77777777" w:rsidTr="00127883">
        <w:trPr>
          <w:cantSplit/>
          <w:trHeight w:val="20"/>
          <w:jc w:val="center"/>
        </w:trPr>
        <w:tc>
          <w:tcPr>
            <w:tcW w:w="1642" w:type="pct"/>
            <w:shd w:val="clear" w:color="auto" w:fill="auto"/>
            <w:vAlign w:val="center"/>
          </w:tcPr>
          <w:p w14:paraId="7D4A89D3"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İnegöl Gaz Dağıtım Sanayi ve Ticaret Anonim Şirketi</w:t>
            </w:r>
          </w:p>
        </w:tc>
        <w:tc>
          <w:tcPr>
            <w:tcW w:w="858" w:type="pct"/>
            <w:shd w:val="clear" w:color="auto" w:fill="auto"/>
            <w:vAlign w:val="center"/>
          </w:tcPr>
          <w:p w14:paraId="7D4A89D4"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18.11.2021</w:t>
            </w:r>
          </w:p>
        </w:tc>
        <w:tc>
          <w:tcPr>
            <w:tcW w:w="646" w:type="pct"/>
            <w:shd w:val="clear" w:color="auto" w:fill="auto"/>
            <w:vAlign w:val="center"/>
          </w:tcPr>
          <w:p w14:paraId="7D4A89D5"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10570</w:t>
            </w:r>
          </w:p>
        </w:tc>
        <w:tc>
          <w:tcPr>
            <w:tcW w:w="1854" w:type="pct"/>
            <w:shd w:val="clear" w:color="auto" w:fill="auto"/>
            <w:vAlign w:val="center"/>
          </w:tcPr>
          <w:p w14:paraId="7D4A89D6" w14:textId="02616576"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DC" w14:textId="77777777" w:rsidTr="00127883">
        <w:trPr>
          <w:cantSplit/>
          <w:trHeight w:val="20"/>
          <w:jc w:val="center"/>
        </w:trPr>
        <w:tc>
          <w:tcPr>
            <w:tcW w:w="1642" w:type="pct"/>
            <w:shd w:val="clear" w:color="auto" w:fill="auto"/>
            <w:vAlign w:val="center"/>
          </w:tcPr>
          <w:p w14:paraId="7D4A89D8"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Çordaş Çorlu Doğalgaz Dağıtım Anonim Şirketi</w:t>
            </w:r>
          </w:p>
        </w:tc>
        <w:tc>
          <w:tcPr>
            <w:tcW w:w="858" w:type="pct"/>
            <w:shd w:val="clear" w:color="auto" w:fill="auto"/>
            <w:vAlign w:val="center"/>
          </w:tcPr>
          <w:p w14:paraId="7D4A89D9"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18.11.2021</w:t>
            </w:r>
          </w:p>
        </w:tc>
        <w:tc>
          <w:tcPr>
            <w:tcW w:w="646" w:type="pct"/>
            <w:shd w:val="clear" w:color="auto" w:fill="auto"/>
            <w:vAlign w:val="center"/>
          </w:tcPr>
          <w:p w14:paraId="7D4A89DA"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10569</w:t>
            </w:r>
          </w:p>
        </w:tc>
        <w:tc>
          <w:tcPr>
            <w:tcW w:w="1854" w:type="pct"/>
            <w:shd w:val="clear" w:color="auto" w:fill="auto"/>
            <w:vAlign w:val="center"/>
          </w:tcPr>
          <w:p w14:paraId="7D4A89DB" w14:textId="5026A773"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E1" w14:textId="77777777" w:rsidTr="00127883">
        <w:trPr>
          <w:cantSplit/>
          <w:trHeight w:val="20"/>
          <w:jc w:val="center"/>
        </w:trPr>
        <w:tc>
          <w:tcPr>
            <w:tcW w:w="1642" w:type="pct"/>
            <w:shd w:val="clear" w:color="auto" w:fill="auto"/>
            <w:vAlign w:val="center"/>
          </w:tcPr>
          <w:p w14:paraId="7D4A89DD"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Armagaz Arsan Marmara Doğal Gaz Dağıtım Anonim Şirketi</w:t>
            </w:r>
          </w:p>
        </w:tc>
        <w:tc>
          <w:tcPr>
            <w:tcW w:w="858" w:type="pct"/>
            <w:shd w:val="clear" w:color="auto" w:fill="auto"/>
            <w:vAlign w:val="center"/>
          </w:tcPr>
          <w:p w14:paraId="7D4A89DE"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18.11.2021</w:t>
            </w:r>
          </w:p>
        </w:tc>
        <w:tc>
          <w:tcPr>
            <w:tcW w:w="646" w:type="pct"/>
            <w:shd w:val="clear" w:color="auto" w:fill="auto"/>
            <w:vAlign w:val="center"/>
          </w:tcPr>
          <w:p w14:paraId="7D4A89DF"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10568</w:t>
            </w:r>
          </w:p>
        </w:tc>
        <w:tc>
          <w:tcPr>
            <w:tcW w:w="1854" w:type="pct"/>
            <w:shd w:val="clear" w:color="auto" w:fill="auto"/>
            <w:vAlign w:val="center"/>
          </w:tcPr>
          <w:p w14:paraId="7D4A89E0" w14:textId="2F967064"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r w:rsidR="00127883" w:rsidRPr="009E1B38" w14:paraId="7D4A89E6" w14:textId="77777777" w:rsidTr="00127883">
        <w:trPr>
          <w:cantSplit/>
          <w:trHeight w:val="20"/>
          <w:jc w:val="center"/>
        </w:trPr>
        <w:tc>
          <w:tcPr>
            <w:tcW w:w="1642" w:type="pct"/>
            <w:shd w:val="clear" w:color="auto" w:fill="auto"/>
            <w:vAlign w:val="center"/>
          </w:tcPr>
          <w:p w14:paraId="7D4A89E2" w14:textId="77777777" w:rsidR="00127883" w:rsidRPr="009E1B38" w:rsidRDefault="00127883" w:rsidP="00127883">
            <w:pPr>
              <w:spacing w:after="0" w:line="240" w:lineRule="auto"/>
              <w:rPr>
                <w:rFonts w:ascii="Times New Roman" w:hAnsi="Times New Roman"/>
                <w:color w:val="000000" w:themeColor="text1"/>
                <w:sz w:val="20"/>
                <w:szCs w:val="20"/>
              </w:rPr>
            </w:pPr>
            <w:r w:rsidRPr="009E1B38">
              <w:rPr>
                <w:rFonts w:ascii="Times New Roman" w:hAnsi="Times New Roman"/>
                <w:color w:val="000000" w:themeColor="text1"/>
                <w:sz w:val="20"/>
                <w:szCs w:val="20"/>
              </w:rPr>
              <w:t>Armadaş Arsan Maraş Doğal Gaz Dağıtım Anonim Şirketi</w:t>
            </w:r>
          </w:p>
        </w:tc>
        <w:tc>
          <w:tcPr>
            <w:tcW w:w="858" w:type="pct"/>
            <w:shd w:val="clear" w:color="auto" w:fill="auto"/>
            <w:vAlign w:val="center"/>
          </w:tcPr>
          <w:p w14:paraId="7D4A89E3"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18.11.2021</w:t>
            </w:r>
          </w:p>
        </w:tc>
        <w:tc>
          <w:tcPr>
            <w:tcW w:w="646" w:type="pct"/>
            <w:shd w:val="clear" w:color="auto" w:fill="auto"/>
            <w:vAlign w:val="center"/>
          </w:tcPr>
          <w:p w14:paraId="7D4A89E4" w14:textId="77777777" w:rsidR="00127883" w:rsidRPr="009E1B38" w:rsidRDefault="00127883" w:rsidP="00127883">
            <w:pPr>
              <w:spacing w:after="0" w:line="240" w:lineRule="auto"/>
              <w:jc w:val="center"/>
              <w:rPr>
                <w:rFonts w:ascii="Times New Roman" w:hAnsi="Times New Roman"/>
                <w:color w:val="000000" w:themeColor="text1"/>
                <w:sz w:val="20"/>
                <w:szCs w:val="20"/>
              </w:rPr>
            </w:pPr>
            <w:r w:rsidRPr="009E1B38">
              <w:rPr>
                <w:rFonts w:ascii="Times New Roman" w:hAnsi="Times New Roman"/>
                <w:color w:val="000000" w:themeColor="text1"/>
                <w:sz w:val="20"/>
                <w:szCs w:val="20"/>
              </w:rPr>
              <w:t>10567</w:t>
            </w:r>
          </w:p>
        </w:tc>
        <w:tc>
          <w:tcPr>
            <w:tcW w:w="1854" w:type="pct"/>
            <w:shd w:val="clear" w:color="auto" w:fill="auto"/>
            <w:vAlign w:val="center"/>
          </w:tcPr>
          <w:p w14:paraId="7D4A89E5" w14:textId="264AF1AD" w:rsidR="00127883" w:rsidRPr="009E1B38" w:rsidRDefault="002D59AE" w:rsidP="00127883">
            <w:pPr>
              <w:spacing w:after="0" w:line="240" w:lineRule="auto"/>
              <w:rPr>
                <w:rFonts w:ascii="Times New Roman" w:hAnsi="Times New Roman"/>
                <w:color w:val="000000" w:themeColor="text1"/>
                <w:sz w:val="20"/>
                <w:szCs w:val="20"/>
              </w:rPr>
            </w:pPr>
            <w:r w:rsidRPr="009E1B38">
              <w:rPr>
                <w:rFonts w:ascii="Times New Roman" w:hAnsi="Times New Roman"/>
              </w:rPr>
              <w:t>Investment Ceiling Revision Due to Additional İnvestment Demand</w:t>
            </w:r>
          </w:p>
        </w:tc>
      </w:tr>
    </w:tbl>
    <w:p w14:paraId="7D4A89E7" w14:textId="77777777" w:rsidR="001C0851" w:rsidRPr="009E1B38" w:rsidRDefault="001C0851" w:rsidP="001C0851">
      <w:pPr>
        <w:spacing w:line="240" w:lineRule="auto"/>
        <w:rPr>
          <w:rStyle w:val="Gl"/>
          <w:rFonts w:ascii="Times New Roman" w:hAnsi="Times New Roman"/>
          <w:b w:val="0"/>
          <w:bCs w:val="0"/>
          <w:color w:val="000000" w:themeColor="text1"/>
        </w:rPr>
      </w:pPr>
    </w:p>
    <w:p w14:paraId="7D4A89E8" w14:textId="756EDA1F" w:rsidR="008A2954" w:rsidRPr="009E1B38" w:rsidRDefault="00776E2A" w:rsidP="003C5E4D">
      <w:pPr>
        <w:pStyle w:val="Balk3"/>
        <w:numPr>
          <w:ilvl w:val="2"/>
          <w:numId w:val="61"/>
        </w:numPr>
        <w:spacing w:after="240"/>
        <w:rPr>
          <w:rFonts w:ascii="Times New Roman" w:eastAsia="Times New Roman" w:hAnsi="Times New Roman" w:cs="Times New Roman"/>
          <w:sz w:val="24"/>
          <w:szCs w:val="24"/>
        </w:rPr>
      </w:pPr>
      <w:bookmarkStart w:id="224" w:name="_Toc113615367"/>
      <w:r w:rsidRPr="009E1B38">
        <w:rPr>
          <w:rFonts w:ascii="Times New Roman" w:eastAsia="Times New Roman" w:hAnsi="Times New Roman" w:cs="Times New Roman"/>
          <w:sz w:val="24"/>
          <w:szCs w:val="24"/>
        </w:rPr>
        <w:lastRenderedPageBreak/>
        <w:t>Other Tariff Board Decisions Regarding the Natural Gas Market</w:t>
      </w:r>
      <w:bookmarkEnd w:id="224"/>
    </w:p>
    <w:p w14:paraId="3B9A195B" w14:textId="77777777" w:rsidR="008A2954" w:rsidRPr="009E1B38" w:rsidRDefault="008A2954" w:rsidP="003C5E4D">
      <w:pPr>
        <w:pStyle w:val="ListeParagraf"/>
        <w:numPr>
          <w:ilvl w:val="0"/>
          <w:numId w:val="33"/>
        </w:numPr>
        <w:tabs>
          <w:tab w:val="left" w:pos="708"/>
        </w:tabs>
        <w:suppressAutoHyphens/>
        <w:spacing w:after="160" w:line="259" w:lineRule="auto"/>
        <w:rPr>
          <w:rFonts w:ascii="Times New Roman" w:eastAsia="Times New Roman" w:hAnsi="Times New Roman"/>
          <w:lang w:eastAsia="tr-TR"/>
        </w:rPr>
      </w:pPr>
      <w:bookmarkStart w:id="225" w:name="_Hlk94658823"/>
      <w:r w:rsidRPr="009E1B38">
        <w:rPr>
          <w:rFonts w:ascii="Times New Roman" w:eastAsia="Times New Roman" w:hAnsi="Times New Roman"/>
          <w:lang w:eastAsia="tr-TR"/>
        </w:rPr>
        <w:t xml:space="preserve"> </w:t>
      </w:r>
      <w:r w:rsidR="00F5435D" w:rsidRPr="009E1B38">
        <w:rPr>
          <w:rFonts w:ascii="Times New Roman" w:eastAsia="Times New Roman" w:hAnsi="Times New Roman"/>
          <w:lang w:eastAsia="tr-TR"/>
        </w:rPr>
        <w:t>With the Board decision dated 18.02.2021 and numbered 10036 published in the Official Gazette dated 20.02.2021 and numbered 31401, it was taken for the approval of the national transmission network investment program of Boru Hatları ve Petrol Taşıma A.Ş. (BOTAŞ). The 2020 transmission network investment ceiling amount of "762,892,500 TL" in the 1st article of the Board Decision numbered was changed to "866.150,500 TL".</w:t>
      </w:r>
    </w:p>
    <w:p w14:paraId="16A3B905" w14:textId="77777777" w:rsidR="00683EA0" w:rsidRPr="009E1B38" w:rsidRDefault="00683EA0" w:rsidP="00683EA0">
      <w:pPr>
        <w:pStyle w:val="ListeParagraf"/>
        <w:tabs>
          <w:tab w:val="left" w:pos="708"/>
        </w:tabs>
        <w:suppressAutoHyphens/>
        <w:spacing w:after="160" w:line="259" w:lineRule="auto"/>
        <w:ind w:left="770"/>
        <w:rPr>
          <w:rFonts w:ascii="Times New Roman" w:eastAsia="Times New Roman" w:hAnsi="Times New Roman"/>
          <w:lang w:eastAsia="tr-TR"/>
        </w:rPr>
      </w:pPr>
    </w:p>
    <w:bookmarkEnd w:id="225"/>
    <w:p w14:paraId="37716C27" w14:textId="21CB7DBE" w:rsidR="00CC52F5" w:rsidRPr="009E1B38" w:rsidRDefault="00CC52F5" w:rsidP="003C5E4D">
      <w:pPr>
        <w:pStyle w:val="ListeParagraf"/>
        <w:numPr>
          <w:ilvl w:val="0"/>
          <w:numId w:val="33"/>
        </w:numPr>
        <w:tabs>
          <w:tab w:val="left" w:pos="708"/>
        </w:tabs>
        <w:suppressAutoHyphens/>
        <w:spacing w:after="160" w:line="259" w:lineRule="auto"/>
        <w:rPr>
          <w:rFonts w:ascii="Times New Roman" w:eastAsia="Times New Roman" w:hAnsi="Times New Roman"/>
          <w:lang w:eastAsia="tr-TR"/>
        </w:rPr>
      </w:pPr>
      <w:r w:rsidRPr="009E1B38">
        <w:rPr>
          <w:rFonts w:ascii="Times New Roman" w:hAnsi="Times New Roman"/>
        </w:rPr>
        <w:t>Silivri Underground Natural Gas with underground storage license of Pipelines and Petrol Transport Joint Stock Company within the framework of “Price Calculation Procedures and Principles for Underground Natural Gas Storage Companies” adopted by Board Decision dated 11.03.2021 and numbered 10072  and Board Decision dated 23.03.2017 and numbered 6990 published in the dated 13.03.2021 and numbered 31422 Official Gazette. A decision was taken as a basis for the storage tariffs to be applied by the Gas Storage Facility (BOTAŞ Silivri Storage Facility) in 2021.with an underground storage license dated 01.09.2016 and numbered DEP/6457-3/402 belonging to Pipelines Petrol Transport Anonim Şirketi taken.</w:t>
      </w:r>
    </w:p>
    <w:p w14:paraId="7D4A89EC" w14:textId="77777777" w:rsidR="008A2954" w:rsidRPr="009E1B38" w:rsidRDefault="008A2954" w:rsidP="008A2954">
      <w:pPr>
        <w:pStyle w:val="ListeParagraf"/>
        <w:spacing w:after="160" w:line="259" w:lineRule="auto"/>
        <w:rPr>
          <w:rFonts w:ascii="Times New Roman" w:hAnsi="Times New Roman"/>
        </w:rPr>
      </w:pPr>
    </w:p>
    <w:p w14:paraId="123FED6C" w14:textId="77777777" w:rsidR="00C143EE" w:rsidRPr="009E1B38" w:rsidRDefault="00C143EE" w:rsidP="003C5E4D">
      <w:pPr>
        <w:pStyle w:val="ListeParagraf"/>
        <w:numPr>
          <w:ilvl w:val="0"/>
          <w:numId w:val="33"/>
        </w:numPr>
        <w:tabs>
          <w:tab w:val="left" w:pos="708"/>
        </w:tabs>
        <w:suppressAutoHyphens/>
        <w:spacing w:after="0" w:line="240" w:lineRule="auto"/>
        <w:rPr>
          <w:rFonts w:ascii="Times New Roman" w:hAnsi="Times New Roman"/>
        </w:rPr>
      </w:pPr>
      <w:r w:rsidRPr="009E1B38">
        <w:rPr>
          <w:rFonts w:ascii="Times New Roman" w:hAnsi="Times New Roman"/>
        </w:rPr>
        <w:t>With the Board Decision dated 11.03.2021 and numbered 10073 published in the Official Gazette dated 13.03.2021 and numbered 31422, the eighth sub-clause of the fourth subparagraph (c) of the fourth paragraph of the Natural Gas Market Law numbered 4646 and the 22nd paragraph of the Natural Gas Market License Regulation. Pursuant to the article, the following decision has been taken regarding the approval of the Natural Gas Transmission Network Investment Program for the Year 2021, including the transit natural gas transmission of Boru Hatları ve Petrol Taşıma A.Ş.</w:t>
      </w:r>
    </w:p>
    <w:p w14:paraId="7D4A89EE" w14:textId="77777777" w:rsidR="00942F21" w:rsidRPr="009E1B38" w:rsidRDefault="00942F21" w:rsidP="00942F21">
      <w:pPr>
        <w:tabs>
          <w:tab w:val="left" w:pos="708"/>
        </w:tabs>
        <w:suppressAutoHyphens/>
        <w:spacing w:after="0" w:line="240" w:lineRule="auto"/>
        <w:ind w:firstLine="567"/>
        <w:rPr>
          <w:rFonts w:ascii="Times New Roman" w:hAnsi="Times New Roman"/>
          <w:bCs/>
        </w:rPr>
      </w:pPr>
    </w:p>
    <w:p w14:paraId="7D4A89EF" w14:textId="6042AB1E" w:rsidR="00942F21" w:rsidRPr="009E1B38" w:rsidRDefault="007F1582" w:rsidP="007F1582">
      <w:pPr>
        <w:pStyle w:val="ListeParagraf"/>
        <w:tabs>
          <w:tab w:val="left" w:pos="708"/>
        </w:tabs>
        <w:suppressAutoHyphens/>
        <w:spacing w:after="0" w:line="240" w:lineRule="auto"/>
        <w:ind w:left="1418"/>
        <w:rPr>
          <w:rFonts w:ascii="Times New Roman" w:hAnsi="Times New Roman"/>
        </w:rPr>
      </w:pPr>
      <w:r w:rsidRPr="009E1B38">
        <w:rPr>
          <w:rFonts w:ascii="Times New Roman" w:hAnsi="Times New Roman"/>
          <w:b/>
          <w:bCs/>
          <w:iCs/>
        </w:rPr>
        <w:t>Article 1-</w:t>
      </w:r>
      <w:r w:rsidRPr="009E1B38">
        <w:rPr>
          <w:rFonts w:ascii="Times New Roman" w:hAnsi="Times New Roman"/>
          <w:iCs/>
        </w:rPr>
        <w:t xml:space="preserve"> The total amount of the transmission network investments of BOTAŞ for the year 2021 prepared within the scope of the 2021 Investment Program, annexed to the President's Decision No 3428 on the Adoption and Implementation of the 2021 Investment Program, published in the Repetitive Official Gazette dated 15/01/2021 and numbered 31365, as approved TL 1,151,067,750</w:t>
      </w:r>
      <w:r w:rsidR="00942F21" w:rsidRPr="009E1B38">
        <w:rPr>
          <w:rFonts w:ascii="Times New Roman" w:hAnsi="Times New Roman"/>
          <w:iCs/>
        </w:rPr>
        <w:t>.</w:t>
      </w:r>
    </w:p>
    <w:p w14:paraId="6CDF4825" w14:textId="77777777" w:rsidR="00296527" w:rsidRPr="009E1B38" w:rsidRDefault="00296527" w:rsidP="008379AC">
      <w:pPr>
        <w:pStyle w:val="ListeParagraf"/>
        <w:tabs>
          <w:tab w:val="left" w:pos="708"/>
        </w:tabs>
        <w:suppressAutoHyphens/>
        <w:spacing w:after="0" w:line="240" w:lineRule="auto"/>
        <w:ind w:left="1440"/>
        <w:rPr>
          <w:rFonts w:ascii="Times New Roman" w:hAnsi="Times New Roman"/>
          <w:iCs/>
        </w:rPr>
      </w:pPr>
      <w:r w:rsidRPr="009E1B38">
        <w:rPr>
          <w:rFonts w:ascii="Times New Roman" w:hAnsi="Times New Roman"/>
          <w:b/>
          <w:bCs/>
          <w:iCs/>
        </w:rPr>
        <w:t>Article 2-</w:t>
      </w:r>
      <w:r w:rsidRPr="009E1B38">
        <w:rPr>
          <w:rFonts w:ascii="Times New Roman" w:hAnsi="Times New Roman"/>
          <w:iCs/>
        </w:rPr>
        <w:t xml:space="preserve"> Any changes to be made in the national transmission network investment program for 2021 to be implemented by BOTAŞ are subject to Board approval.</w:t>
      </w:r>
    </w:p>
    <w:p w14:paraId="24B75ECF" w14:textId="77777777" w:rsidR="005114FF" w:rsidRPr="009E1B38" w:rsidRDefault="005114FF" w:rsidP="008379AC">
      <w:pPr>
        <w:pStyle w:val="ListeParagraf"/>
        <w:tabs>
          <w:tab w:val="left" w:pos="708"/>
        </w:tabs>
        <w:suppressAutoHyphens/>
        <w:spacing w:after="0" w:line="240" w:lineRule="auto"/>
        <w:ind w:left="1440"/>
        <w:rPr>
          <w:rFonts w:ascii="Times New Roman" w:hAnsi="Times New Roman"/>
          <w:b/>
          <w:bCs/>
          <w:i/>
        </w:rPr>
      </w:pPr>
      <w:r w:rsidRPr="009E1B38">
        <w:rPr>
          <w:rFonts w:ascii="Times New Roman" w:hAnsi="Times New Roman"/>
          <w:b/>
          <w:bCs/>
          <w:i/>
        </w:rPr>
        <w:t xml:space="preserve">Article 3- </w:t>
      </w:r>
      <w:r w:rsidRPr="009E1B38">
        <w:rPr>
          <w:rFonts w:ascii="Times New Roman" w:hAnsi="Times New Roman"/>
          <w:iCs/>
        </w:rPr>
        <w:t>The development of the national transmission network investment program for 2021, approved by the Board, shall be notified to the Authority within 30 (thirty) days at the latest following the end of the period, covering the periods between 1 January - 30 June, 1 July - 31 December.</w:t>
      </w:r>
    </w:p>
    <w:p w14:paraId="77D860AB" w14:textId="646EFEFC" w:rsidR="008379AC" w:rsidRPr="009E1B38" w:rsidRDefault="008379AC" w:rsidP="008379AC">
      <w:pPr>
        <w:pStyle w:val="ListeParagraf"/>
        <w:tabs>
          <w:tab w:val="left" w:pos="708"/>
        </w:tabs>
        <w:suppressAutoHyphens/>
        <w:spacing w:after="0" w:line="240" w:lineRule="auto"/>
        <w:ind w:left="1440"/>
        <w:rPr>
          <w:rFonts w:ascii="Times New Roman" w:hAnsi="Times New Roman"/>
          <w:b/>
          <w:i/>
        </w:rPr>
      </w:pPr>
      <w:r w:rsidRPr="009E1B38">
        <w:rPr>
          <w:rFonts w:ascii="Times New Roman" w:hAnsi="Times New Roman"/>
          <w:b/>
          <w:i/>
        </w:rPr>
        <w:t xml:space="preserve">Article 4- </w:t>
      </w:r>
      <w:r w:rsidRPr="009E1B38">
        <w:rPr>
          <w:rFonts w:ascii="Times New Roman" w:hAnsi="Times New Roman"/>
        </w:rPr>
        <w:t>This Decision enters into force on the date of its publication.</w:t>
      </w:r>
    </w:p>
    <w:p w14:paraId="7D4A89F4" w14:textId="35C766E5" w:rsidR="008A2954" w:rsidRPr="009E1B38" w:rsidRDefault="41921CC4" w:rsidP="008A2954">
      <w:pPr>
        <w:pStyle w:val="ListeParagraf"/>
        <w:tabs>
          <w:tab w:val="left" w:pos="708"/>
        </w:tabs>
        <w:suppressAutoHyphens/>
        <w:spacing w:after="0" w:line="240" w:lineRule="auto"/>
        <w:ind w:left="1440"/>
        <w:rPr>
          <w:rFonts w:ascii="Times New Roman" w:hAnsi="Times New Roman"/>
        </w:rPr>
      </w:pPr>
      <w:r w:rsidRPr="009E1B38">
        <w:rPr>
          <w:rFonts w:ascii="Times New Roman" w:hAnsi="Times New Roman"/>
          <w:b/>
          <w:bCs/>
          <w:i/>
          <w:iCs/>
        </w:rPr>
        <w:t xml:space="preserve">Article 5- </w:t>
      </w:r>
      <w:r w:rsidRPr="009E1B38">
        <w:rPr>
          <w:rFonts w:ascii="Times New Roman" w:hAnsi="Times New Roman"/>
        </w:rPr>
        <w:t>This Decision is executed by the President of the Energy Market Regulatory Authority.</w:t>
      </w:r>
    </w:p>
    <w:p w14:paraId="164FF0AD" w14:textId="35C766E5" w:rsidR="00321DFB" w:rsidRPr="009E1B38" w:rsidRDefault="438EFFD3" w:rsidP="003C5E4D">
      <w:pPr>
        <w:numPr>
          <w:ilvl w:val="0"/>
          <w:numId w:val="27"/>
        </w:numPr>
        <w:spacing w:after="160" w:line="259" w:lineRule="auto"/>
        <w:contextualSpacing/>
        <w:rPr>
          <w:rFonts w:ascii="Times New Roman" w:hAnsi="Times New Roman"/>
        </w:rPr>
      </w:pPr>
      <w:r w:rsidRPr="009E1B38">
        <w:rPr>
          <w:rFonts w:ascii="Times New Roman" w:hAnsi="Times New Roman"/>
        </w:rPr>
        <w:t>With the Board Decision dated 29.04.2021 and numbered 10189 published in the Official Gazette dated 30.04.2021 and numbered 31470, the Board Decision dated 13.07.2017 and numbered 7185 regarding the determination of meter material costs and updating the costs to the following years has been repealed.</w:t>
      </w:r>
    </w:p>
    <w:p w14:paraId="11689F5F" w14:textId="77777777" w:rsidR="00183881" w:rsidRPr="009E1B38" w:rsidRDefault="00183881" w:rsidP="00183881">
      <w:pPr>
        <w:spacing w:after="160" w:line="259" w:lineRule="auto"/>
        <w:ind w:left="720"/>
        <w:contextualSpacing/>
        <w:rPr>
          <w:rFonts w:ascii="Times New Roman" w:hAnsi="Times New Roman"/>
        </w:rPr>
      </w:pPr>
    </w:p>
    <w:p w14:paraId="729B34A7" w14:textId="2F86B1E2" w:rsidR="00183881" w:rsidRPr="009E1B38" w:rsidRDefault="00183881" w:rsidP="003C5E4D">
      <w:pPr>
        <w:numPr>
          <w:ilvl w:val="0"/>
          <w:numId w:val="27"/>
        </w:numPr>
        <w:spacing w:after="160" w:line="259" w:lineRule="auto"/>
        <w:contextualSpacing/>
        <w:rPr>
          <w:rFonts w:ascii="Times New Roman" w:hAnsi="Times New Roman"/>
        </w:rPr>
      </w:pPr>
      <w:r w:rsidRPr="009E1B38">
        <w:rPr>
          <w:rFonts w:ascii="Times New Roman" w:hAnsi="Times New Roman"/>
        </w:rPr>
        <w:t>With the Board Decision dated 27.05.2021 and numbered 10232-3 published in the Official Gazette dated 02.06.2021 and numbered 31499, Energy Markets İşletme Anonim Şirketi, which is the determination of the price and commissions to be applied to meet the futures natural gas market operating income ceiling and the method of implementation. The Method Statement Regarding Fees and Commissions to be Applied in Meeting the Forward Natural Gas Market Operating Income Ceiling has been accepted.</w:t>
      </w:r>
    </w:p>
    <w:p w14:paraId="7D4A89F9" w14:textId="7229D248" w:rsidR="008A2954" w:rsidRPr="009E1B38" w:rsidRDefault="41921CC4" w:rsidP="003C5E4D">
      <w:pPr>
        <w:pStyle w:val="ListeParagraf"/>
        <w:numPr>
          <w:ilvl w:val="0"/>
          <w:numId w:val="33"/>
        </w:numPr>
        <w:tabs>
          <w:tab w:val="left" w:pos="708"/>
        </w:tabs>
        <w:suppressAutoHyphens/>
        <w:spacing w:after="0" w:line="240" w:lineRule="auto"/>
        <w:rPr>
          <w:rFonts w:ascii="Times New Roman" w:hAnsi="Times New Roman"/>
        </w:rPr>
      </w:pPr>
      <w:r w:rsidRPr="009E1B38">
        <w:rPr>
          <w:rFonts w:ascii="Times New Roman" w:hAnsi="Times New Roman"/>
        </w:rPr>
        <w:t xml:space="preserve"> </w:t>
      </w:r>
      <w:r w:rsidR="0067581C" w:rsidRPr="009E1B38">
        <w:rPr>
          <w:rFonts w:ascii="Times New Roman" w:hAnsi="Times New Roman"/>
        </w:rPr>
        <w:t xml:space="preserve">With the Board Decision dated 29.07.2021 and numbered 10339-1 published in the Official Gazette dated 31.07.2021 and numbered 31554, the third tariff implementation period regarding the retail sales </w:t>
      </w:r>
      <w:r w:rsidR="0067581C" w:rsidRPr="009E1B38">
        <w:rPr>
          <w:rFonts w:ascii="Times New Roman" w:hAnsi="Times New Roman"/>
        </w:rPr>
        <w:lastRenderedPageBreak/>
        <w:t>tariffs of natural gas distribution companies is 01/01/2022 (inclusive) - 31/12/2026. It has been decided to determine the period of 5 (five) years.</w:t>
      </w:r>
    </w:p>
    <w:p w14:paraId="27C3CB66" w14:textId="77777777" w:rsidR="00183881" w:rsidRPr="009E1B38" w:rsidRDefault="00183881" w:rsidP="00183881">
      <w:pPr>
        <w:pStyle w:val="ListeParagraf"/>
        <w:tabs>
          <w:tab w:val="left" w:pos="708"/>
        </w:tabs>
        <w:suppressAutoHyphens/>
        <w:spacing w:after="0" w:line="240" w:lineRule="auto"/>
        <w:ind w:left="770"/>
        <w:rPr>
          <w:rFonts w:ascii="Times New Roman" w:hAnsi="Times New Roman"/>
        </w:rPr>
      </w:pPr>
    </w:p>
    <w:p w14:paraId="14124F78" w14:textId="5A147C5B" w:rsidR="003D598F" w:rsidRPr="009E1B38" w:rsidRDefault="003D598F" w:rsidP="003C5E4D">
      <w:pPr>
        <w:pStyle w:val="ListeParagraf"/>
        <w:numPr>
          <w:ilvl w:val="0"/>
          <w:numId w:val="33"/>
        </w:numPr>
        <w:spacing w:after="160" w:line="259" w:lineRule="auto"/>
        <w:rPr>
          <w:rFonts w:ascii="Times New Roman" w:hAnsi="Times New Roman"/>
        </w:rPr>
      </w:pPr>
      <w:r w:rsidRPr="009E1B38">
        <w:rPr>
          <w:rFonts w:ascii="Times New Roman" w:hAnsi="Times New Roman"/>
        </w:rPr>
        <w:t>With the Board Decision dated 29.07.2021 and numbered 10339-2 published in the Official Gazette dated 31.07.2021 and numbered 31554, in calculating the system usage fees to be applied by natural gas distribution companies, it has been decided to set the redemption period as 22 (twenty-two) years for the third tariff application period.</w:t>
      </w:r>
    </w:p>
    <w:p w14:paraId="7D4A89FB" w14:textId="369E18E9" w:rsidR="008A2954" w:rsidRPr="009E1B38" w:rsidRDefault="438EFFD3" w:rsidP="003C5E4D">
      <w:pPr>
        <w:numPr>
          <w:ilvl w:val="0"/>
          <w:numId w:val="28"/>
        </w:numPr>
        <w:spacing w:after="160" w:line="259" w:lineRule="auto"/>
        <w:contextualSpacing/>
        <w:rPr>
          <w:rFonts w:ascii="Times New Roman" w:hAnsi="Times New Roman"/>
        </w:rPr>
      </w:pPr>
      <w:r w:rsidRPr="009E1B38">
        <w:rPr>
          <w:rFonts w:ascii="Times New Roman" w:hAnsi="Times New Roman"/>
        </w:rPr>
        <w:t>With the Board Decision dated 16.12.2021 and numbered 10647 published in the Official Gazette dated 21.12.2021 and numbered 31696, for the year 2022, a decision has been taken to determine the fees stated in the "Notice on the Fees to be Applied to Meet the Operational Revenue Cap in the Organized Wholesale Natural Gas Sales Market and the Method of Implementation".</w:t>
      </w:r>
    </w:p>
    <w:p w14:paraId="7D4A89FC" w14:textId="7C0521B7" w:rsidR="004E756C" w:rsidRPr="009E1B38" w:rsidRDefault="004E756C" w:rsidP="004E756C">
      <w:pPr>
        <w:spacing w:after="160" w:line="259" w:lineRule="auto"/>
        <w:ind w:left="720"/>
        <w:contextualSpacing/>
        <w:rPr>
          <w:rFonts w:ascii="Times New Roman" w:hAnsi="Times New Roman"/>
        </w:rPr>
      </w:pPr>
    </w:p>
    <w:p w14:paraId="5E3A1E78" w14:textId="77777777" w:rsidR="00707FE6" w:rsidRPr="009E1B38" w:rsidRDefault="00707FE6" w:rsidP="003C5E4D">
      <w:pPr>
        <w:numPr>
          <w:ilvl w:val="0"/>
          <w:numId w:val="28"/>
        </w:numPr>
        <w:spacing w:after="160" w:line="259" w:lineRule="auto"/>
        <w:contextualSpacing/>
        <w:rPr>
          <w:rFonts w:ascii="Times New Roman" w:hAnsi="Times New Roman"/>
          <w:lang w:eastAsia="tr-TR"/>
        </w:rPr>
      </w:pPr>
      <w:r w:rsidRPr="009E1B38">
        <w:rPr>
          <w:rFonts w:ascii="Times New Roman" w:hAnsi="Times New Roman"/>
        </w:rPr>
        <w:t>With the Board Decision dated 16.12.2021 and numbered 10648 published in the Official Gazette dated 21.12.2021 and numbered 31696, the decision regarding the determination of the fees stated in the “Fees and Commissions to be Applied for Meeting the Term Natural Gas Market Operation Income Cap and the Notification of the Implementation Method” given. Thus, the unit fees that will be valid on the Term Natural Gas Market in 2022, including the Value-Added Tax, are formed as shown in the table below.</w:t>
      </w:r>
    </w:p>
    <w:p w14:paraId="7D4A89FE" w14:textId="77777777" w:rsidR="004E756C" w:rsidRPr="009E1B38" w:rsidRDefault="004E756C" w:rsidP="004E756C">
      <w:pPr>
        <w:shd w:val="clear" w:color="auto" w:fill="FFFFFF"/>
        <w:spacing w:after="0" w:line="240" w:lineRule="auto"/>
        <w:ind w:firstLine="567"/>
        <w:rPr>
          <w:rFonts w:ascii="Times New Roman" w:hAnsi="Times New Roman"/>
          <w:lang w:eastAsia="tr-TR"/>
        </w:rPr>
      </w:pPr>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111"/>
        <w:gridCol w:w="1735"/>
      </w:tblGrid>
      <w:tr w:rsidR="00D76625" w:rsidRPr="009E1B38" w14:paraId="7D4A8A01" w14:textId="77777777" w:rsidTr="00B23DEA">
        <w:trPr>
          <w:jc w:val="center"/>
        </w:trPr>
        <w:tc>
          <w:tcPr>
            <w:tcW w:w="4111" w:type="dxa"/>
            <w:shd w:val="clear" w:color="auto" w:fill="4F81BD" w:themeFill="accent1"/>
          </w:tcPr>
          <w:p w14:paraId="7D4A89FF" w14:textId="55217CFA" w:rsidR="00D76625" w:rsidRPr="009E1B38" w:rsidRDefault="00627512" w:rsidP="00D76625">
            <w:pPr>
              <w:tabs>
                <w:tab w:val="left" w:pos="284"/>
                <w:tab w:val="left" w:pos="709"/>
                <w:tab w:val="left" w:pos="851"/>
              </w:tabs>
              <w:spacing w:line="269" w:lineRule="auto"/>
              <w:contextualSpacing/>
              <w:jc w:val="left"/>
              <w:rPr>
                <w:rFonts w:ascii="Times New Roman" w:hAnsi="Times New Roman"/>
                <w:b/>
                <w:color w:val="FFFFFF" w:themeColor="background1"/>
              </w:rPr>
            </w:pPr>
            <w:r w:rsidRPr="009E1B38">
              <w:rPr>
                <w:rFonts w:ascii="Times New Roman" w:hAnsi="Times New Roman"/>
                <w:b/>
                <w:color w:val="FFFFFF" w:themeColor="background1"/>
              </w:rPr>
              <w:t>Fee Name</w:t>
            </w:r>
          </w:p>
        </w:tc>
        <w:tc>
          <w:tcPr>
            <w:tcW w:w="1696" w:type="dxa"/>
            <w:shd w:val="clear" w:color="auto" w:fill="4F81BD" w:themeFill="accent1"/>
          </w:tcPr>
          <w:p w14:paraId="7D4A8A00" w14:textId="08AD8ADD" w:rsidR="00D76625" w:rsidRPr="009E1B38" w:rsidRDefault="00627512" w:rsidP="00D76625">
            <w:pPr>
              <w:tabs>
                <w:tab w:val="left" w:pos="284"/>
                <w:tab w:val="left" w:pos="709"/>
                <w:tab w:val="left" w:pos="851"/>
              </w:tabs>
              <w:spacing w:line="269" w:lineRule="auto"/>
              <w:contextualSpacing/>
              <w:jc w:val="center"/>
              <w:rPr>
                <w:rFonts w:ascii="Times New Roman" w:hAnsi="Times New Roman"/>
                <w:b/>
                <w:color w:val="FFFFFF" w:themeColor="background1"/>
              </w:rPr>
            </w:pPr>
            <w:r w:rsidRPr="009E1B38">
              <w:rPr>
                <w:rFonts w:ascii="Times New Roman" w:hAnsi="Times New Roman"/>
                <w:b/>
                <w:color w:val="FFFFFF" w:themeColor="background1"/>
              </w:rPr>
              <w:t>Unit price</w:t>
            </w:r>
          </w:p>
        </w:tc>
      </w:tr>
      <w:tr w:rsidR="00D76625" w:rsidRPr="009E1B38" w14:paraId="7D4A8A04" w14:textId="77777777" w:rsidTr="00B23DEA">
        <w:trPr>
          <w:jc w:val="center"/>
        </w:trPr>
        <w:tc>
          <w:tcPr>
            <w:tcW w:w="4111" w:type="dxa"/>
          </w:tcPr>
          <w:p w14:paraId="7D4A8A02" w14:textId="35DEE8CB" w:rsidR="00D76625" w:rsidRPr="009E1B38" w:rsidRDefault="00627512" w:rsidP="00D76625">
            <w:pPr>
              <w:tabs>
                <w:tab w:val="left" w:pos="284"/>
                <w:tab w:val="left" w:pos="709"/>
                <w:tab w:val="left" w:pos="851"/>
              </w:tabs>
              <w:spacing w:line="269" w:lineRule="auto"/>
              <w:contextualSpacing/>
              <w:rPr>
                <w:rFonts w:ascii="Times New Roman" w:hAnsi="Times New Roman"/>
                <w:color w:val="000000" w:themeColor="text1"/>
              </w:rPr>
            </w:pPr>
            <w:r w:rsidRPr="009E1B38">
              <w:rPr>
                <w:rFonts w:ascii="Times New Roman" w:hAnsi="Times New Roman"/>
              </w:rPr>
              <w:t>Unit Operation Fee</w:t>
            </w:r>
          </w:p>
        </w:tc>
        <w:tc>
          <w:tcPr>
            <w:tcW w:w="1696" w:type="dxa"/>
          </w:tcPr>
          <w:p w14:paraId="7D4A8A03" w14:textId="77777777" w:rsidR="00D76625" w:rsidRPr="009E1B38" w:rsidRDefault="00D76625" w:rsidP="00D76625">
            <w:pPr>
              <w:tabs>
                <w:tab w:val="left" w:pos="284"/>
                <w:tab w:val="left" w:pos="709"/>
                <w:tab w:val="left" w:pos="851"/>
              </w:tabs>
              <w:spacing w:line="269" w:lineRule="auto"/>
              <w:contextualSpacing/>
              <w:jc w:val="center"/>
              <w:rPr>
                <w:rFonts w:ascii="Times New Roman" w:hAnsi="Times New Roman"/>
                <w:color w:val="000000" w:themeColor="text1"/>
              </w:rPr>
            </w:pPr>
            <w:r w:rsidRPr="009E1B38">
              <w:rPr>
                <w:rFonts w:ascii="Times New Roman" w:hAnsi="Times New Roman"/>
                <w:color w:val="000000" w:themeColor="text1"/>
              </w:rPr>
              <w:t>0,000450TL/Sm</w:t>
            </w:r>
            <w:r w:rsidRPr="009E1B38">
              <w:rPr>
                <w:rFonts w:ascii="Times New Roman" w:hAnsi="Times New Roman"/>
                <w:color w:val="000000" w:themeColor="text1"/>
                <w:vertAlign w:val="superscript"/>
              </w:rPr>
              <w:t>3</w:t>
            </w:r>
          </w:p>
        </w:tc>
      </w:tr>
      <w:tr w:rsidR="00D76625" w:rsidRPr="009E1B38" w14:paraId="7D4A8A07" w14:textId="77777777" w:rsidTr="00B23DEA">
        <w:trPr>
          <w:jc w:val="center"/>
        </w:trPr>
        <w:tc>
          <w:tcPr>
            <w:tcW w:w="4111" w:type="dxa"/>
          </w:tcPr>
          <w:p w14:paraId="7D4A8A05" w14:textId="56B96831" w:rsidR="00D76625" w:rsidRPr="009E1B38" w:rsidRDefault="00C5095B" w:rsidP="00D76625">
            <w:pPr>
              <w:tabs>
                <w:tab w:val="left" w:pos="284"/>
                <w:tab w:val="left" w:pos="709"/>
                <w:tab w:val="left" w:pos="851"/>
              </w:tabs>
              <w:spacing w:line="269" w:lineRule="auto"/>
              <w:contextualSpacing/>
              <w:rPr>
                <w:rFonts w:ascii="Times New Roman" w:hAnsi="Times New Roman"/>
                <w:color w:val="000000" w:themeColor="text1"/>
              </w:rPr>
            </w:pPr>
            <w:r w:rsidRPr="009E1B38">
              <w:rPr>
                <w:rFonts w:ascii="Times New Roman" w:hAnsi="Times New Roman"/>
              </w:rPr>
              <w:t>Annual Participation Fee</w:t>
            </w:r>
          </w:p>
        </w:tc>
        <w:tc>
          <w:tcPr>
            <w:tcW w:w="1696" w:type="dxa"/>
          </w:tcPr>
          <w:p w14:paraId="7D4A8A06" w14:textId="77777777" w:rsidR="00D76625" w:rsidRPr="009E1B38" w:rsidRDefault="00D76625" w:rsidP="00D76625">
            <w:pPr>
              <w:tabs>
                <w:tab w:val="left" w:pos="284"/>
                <w:tab w:val="left" w:pos="709"/>
                <w:tab w:val="left" w:pos="851"/>
              </w:tabs>
              <w:spacing w:line="269" w:lineRule="auto"/>
              <w:contextualSpacing/>
              <w:jc w:val="center"/>
              <w:rPr>
                <w:rFonts w:ascii="Times New Roman" w:hAnsi="Times New Roman"/>
                <w:color w:val="000000" w:themeColor="text1"/>
              </w:rPr>
            </w:pPr>
            <w:r w:rsidRPr="009E1B38">
              <w:rPr>
                <w:rFonts w:ascii="Times New Roman" w:hAnsi="Times New Roman"/>
                <w:color w:val="000000" w:themeColor="text1"/>
              </w:rPr>
              <w:t>2.500 TL</w:t>
            </w:r>
          </w:p>
        </w:tc>
      </w:tr>
      <w:tr w:rsidR="00D76625" w:rsidRPr="009E1B38" w14:paraId="7D4A8A0A" w14:textId="77777777" w:rsidTr="00B23DEA">
        <w:trPr>
          <w:jc w:val="center"/>
        </w:trPr>
        <w:tc>
          <w:tcPr>
            <w:tcW w:w="4111" w:type="dxa"/>
          </w:tcPr>
          <w:p w14:paraId="7D4A8A08" w14:textId="04608021" w:rsidR="00D76625" w:rsidRPr="009E1B38" w:rsidRDefault="00C5095B" w:rsidP="00D76625">
            <w:pPr>
              <w:tabs>
                <w:tab w:val="left" w:pos="284"/>
                <w:tab w:val="left" w:pos="709"/>
                <w:tab w:val="left" w:pos="851"/>
              </w:tabs>
              <w:spacing w:line="269" w:lineRule="auto"/>
              <w:contextualSpacing/>
              <w:rPr>
                <w:rFonts w:ascii="Times New Roman" w:hAnsi="Times New Roman"/>
                <w:color w:val="000000" w:themeColor="text1"/>
              </w:rPr>
            </w:pPr>
            <w:r w:rsidRPr="009E1B38">
              <w:rPr>
                <w:rFonts w:ascii="Times New Roman" w:hAnsi="Times New Roman"/>
              </w:rPr>
              <w:t>Unaccepted Appeal Fee</w:t>
            </w:r>
          </w:p>
        </w:tc>
        <w:tc>
          <w:tcPr>
            <w:tcW w:w="1696" w:type="dxa"/>
          </w:tcPr>
          <w:p w14:paraId="7D4A8A09" w14:textId="4E405F94" w:rsidR="00D76625" w:rsidRPr="009E1B38" w:rsidRDefault="00D76625" w:rsidP="00D76625">
            <w:pPr>
              <w:tabs>
                <w:tab w:val="left" w:pos="284"/>
                <w:tab w:val="left" w:pos="709"/>
                <w:tab w:val="left" w:pos="851"/>
              </w:tabs>
              <w:spacing w:line="269" w:lineRule="auto"/>
              <w:contextualSpacing/>
              <w:jc w:val="center"/>
              <w:rPr>
                <w:rFonts w:ascii="Times New Roman" w:hAnsi="Times New Roman"/>
                <w:color w:val="000000" w:themeColor="text1"/>
              </w:rPr>
            </w:pPr>
            <w:r w:rsidRPr="009E1B38">
              <w:rPr>
                <w:rFonts w:ascii="Times New Roman" w:hAnsi="Times New Roman"/>
                <w:color w:val="000000" w:themeColor="text1"/>
              </w:rPr>
              <w:t>200 TL/</w:t>
            </w:r>
            <w:r w:rsidR="00707FE6" w:rsidRPr="009E1B38">
              <w:rPr>
                <w:rFonts w:ascii="Times New Roman" w:hAnsi="Times New Roman"/>
                <w:color w:val="000000" w:themeColor="text1"/>
              </w:rPr>
              <w:t>piece</w:t>
            </w:r>
          </w:p>
        </w:tc>
      </w:tr>
    </w:tbl>
    <w:p w14:paraId="7D4A8A0B" w14:textId="77777777" w:rsidR="004E756C" w:rsidRPr="009E1B38" w:rsidRDefault="004E756C" w:rsidP="004E756C">
      <w:pPr>
        <w:spacing w:after="160" w:line="259" w:lineRule="auto"/>
        <w:ind w:left="720"/>
        <w:contextualSpacing/>
        <w:rPr>
          <w:rFonts w:ascii="Times New Roman" w:hAnsi="Times New Roman"/>
        </w:rPr>
      </w:pPr>
    </w:p>
    <w:p w14:paraId="0036D706" w14:textId="77777777" w:rsidR="00A34DFB" w:rsidRPr="009E1B38" w:rsidRDefault="00A34DFB" w:rsidP="003C5E4D">
      <w:pPr>
        <w:numPr>
          <w:ilvl w:val="0"/>
          <w:numId w:val="28"/>
        </w:numPr>
        <w:spacing w:after="160" w:line="259" w:lineRule="auto"/>
        <w:contextualSpacing/>
        <w:rPr>
          <w:rFonts w:ascii="Times New Roman" w:hAnsi="Times New Roman"/>
        </w:rPr>
      </w:pPr>
      <w:r w:rsidRPr="009E1B38">
        <w:rPr>
          <w:rFonts w:ascii="Times New Roman" w:hAnsi="Times New Roman"/>
        </w:rPr>
        <w:t>Its purpose with the Board Decision dated 23.12.2021 and numbered 10658 published in the Official Gazette dated 25.12.2021 and numbered 31700; Natural Gas Distribution Companies dated 22.06.2017 No. 7139 published in the Official Gazette dated 01.07.2017 No. 3011, which is to determine the rules regarding the price ceiling methodology to be used as a basis for determining the system usage fees to be applied by legal entities holding natural gas distribution licenses in order to make natural gas available to consumers in a reliable, quality, continuous and low-cost manner. Tariff Calculation Procedures and Principles have been amended and these amendments have entered into force as of 01.01.2022.</w:t>
      </w:r>
    </w:p>
    <w:p w14:paraId="7D4A8A0D" w14:textId="77777777" w:rsidR="002C3099" w:rsidRPr="009E1B38" w:rsidRDefault="002C3099" w:rsidP="002C3099">
      <w:pPr>
        <w:rPr>
          <w:rFonts w:ascii="Times New Roman" w:hAnsi="Times New Roman"/>
        </w:rPr>
      </w:pPr>
    </w:p>
    <w:p w14:paraId="7D4A8A10" w14:textId="11E7C74F" w:rsidR="002C3099" w:rsidRPr="009E1B38" w:rsidRDefault="002C3099" w:rsidP="003C5E4D">
      <w:pPr>
        <w:pStyle w:val="Balk3"/>
        <w:numPr>
          <w:ilvl w:val="2"/>
          <w:numId w:val="61"/>
        </w:numPr>
        <w:spacing w:after="240"/>
        <w:rPr>
          <w:rFonts w:ascii="Times New Roman" w:hAnsi="Times New Roman" w:cs="Times New Roman"/>
        </w:rPr>
      </w:pPr>
      <w:bookmarkStart w:id="226" w:name="_Toc66267391"/>
      <w:bookmarkStart w:id="227" w:name="_Toc113615368"/>
      <w:r w:rsidRPr="009E1B38">
        <w:rPr>
          <w:rFonts w:ascii="Times New Roman" w:hAnsi="Times New Roman" w:cs="Times New Roman"/>
        </w:rPr>
        <w:t>Li</w:t>
      </w:r>
      <w:bookmarkEnd w:id="226"/>
      <w:r w:rsidR="005D51FA" w:rsidRPr="009E1B38">
        <w:rPr>
          <w:rFonts w:ascii="Times New Roman" w:hAnsi="Times New Roman" w:cs="Times New Roman"/>
        </w:rPr>
        <w:t>cense Fees</w:t>
      </w:r>
      <w:bookmarkEnd w:id="227"/>
    </w:p>
    <w:p w14:paraId="2E66918B" w14:textId="77777777" w:rsidR="000B2748" w:rsidRPr="009E1B38" w:rsidRDefault="000B2748" w:rsidP="000B2748">
      <w:pPr>
        <w:tabs>
          <w:tab w:val="left" w:pos="284"/>
          <w:tab w:val="left" w:pos="567"/>
          <w:tab w:val="left" w:pos="709"/>
          <w:tab w:val="left" w:pos="851"/>
        </w:tabs>
        <w:spacing w:after="0"/>
        <w:rPr>
          <w:rFonts w:ascii="Times New Roman" w:hAnsi="Times New Roman"/>
          <w:color w:val="000000" w:themeColor="text1"/>
        </w:rPr>
      </w:pPr>
      <w:r w:rsidRPr="009E1B38">
        <w:rPr>
          <w:rFonts w:ascii="Times New Roman" w:hAnsi="Times New Roman"/>
          <w:color w:val="000000" w:themeColor="text1"/>
        </w:rPr>
        <w:t>With the Board Decision dated 16.12.2021 and numbered 10636  published in the Official Gazette dated 22.12.2020 and numbered 31697, the participation rate to be applied in the natural gas market in 2022 has been determined in accordance with subparagraph (a) of paragraph (B) as amended by Law No. 4646 of Article 10 of the Law No. 4628.</w:t>
      </w:r>
    </w:p>
    <w:p w14:paraId="2FEA503F" w14:textId="77777777" w:rsidR="000B2748" w:rsidRPr="009E1B38" w:rsidRDefault="000B2748" w:rsidP="000B2748">
      <w:pPr>
        <w:pStyle w:val="ListeParagraf"/>
        <w:tabs>
          <w:tab w:val="left" w:pos="284"/>
          <w:tab w:val="left" w:pos="567"/>
          <w:tab w:val="left" w:pos="709"/>
          <w:tab w:val="left" w:pos="851"/>
        </w:tabs>
        <w:spacing w:after="0"/>
        <w:ind w:left="435"/>
        <w:rPr>
          <w:rFonts w:ascii="Times New Roman" w:hAnsi="Times New Roman"/>
          <w:color w:val="000000" w:themeColor="text1"/>
        </w:rPr>
      </w:pPr>
    </w:p>
    <w:p w14:paraId="4B15570E" w14:textId="5B9B1254" w:rsidR="000B2748" w:rsidRPr="009E1B38" w:rsidRDefault="000B2748" w:rsidP="000B2748">
      <w:pPr>
        <w:tabs>
          <w:tab w:val="left" w:pos="284"/>
          <w:tab w:val="left" w:pos="567"/>
          <w:tab w:val="left" w:pos="709"/>
          <w:tab w:val="left" w:pos="851"/>
        </w:tabs>
        <w:spacing w:after="0"/>
        <w:rPr>
          <w:rFonts w:ascii="Times New Roman" w:hAnsi="Times New Roman"/>
          <w:color w:val="000000" w:themeColor="text1"/>
        </w:rPr>
      </w:pPr>
      <w:r w:rsidRPr="009E1B38">
        <w:rPr>
          <w:rFonts w:ascii="Times New Roman" w:hAnsi="Times New Roman"/>
          <w:color w:val="000000" w:themeColor="text1"/>
        </w:rPr>
        <w:t xml:space="preserve">In accordance with the Board Decision dated 16.12.2021 and numbered 10637 published in the Official Gazette dated 22.12.2021 and numbered 31697, in accordance with the Natural Gas Market Regulation to be applied in </w:t>
      </w:r>
      <w:r w:rsidR="00C66BC3" w:rsidRPr="009E1B38">
        <w:rPr>
          <w:rFonts w:ascii="Times New Roman" w:hAnsi="Times New Roman"/>
          <w:color w:val="000000" w:themeColor="text1"/>
        </w:rPr>
        <w:t>2022,</w:t>
      </w:r>
      <w:r w:rsidRPr="009E1B38">
        <w:rPr>
          <w:rFonts w:ascii="Times New Roman" w:hAnsi="Times New Roman"/>
          <w:color w:val="000000" w:themeColor="text1"/>
        </w:rPr>
        <w:t xml:space="preserve"> the fees for obtaining licenses, annual licenses, license renewals, license amendments and copying licenses, and obtaining certificate, certificate renewal, certificate amendment, issuing certificate copy, certificate visa </w:t>
      </w:r>
      <w:r w:rsidR="00C66BC3" w:rsidRPr="009E1B38">
        <w:rPr>
          <w:rFonts w:ascii="Times New Roman" w:hAnsi="Times New Roman"/>
          <w:color w:val="000000" w:themeColor="text1"/>
        </w:rPr>
        <w:t>fees have</w:t>
      </w:r>
      <w:r w:rsidRPr="009E1B38">
        <w:rPr>
          <w:rFonts w:ascii="Times New Roman" w:hAnsi="Times New Roman"/>
          <w:color w:val="000000" w:themeColor="text1"/>
        </w:rPr>
        <w:t xml:space="preserve"> been determined.</w:t>
      </w:r>
    </w:p>
    <w:p w14:paraId="2BFF15DE" w14:textId="77777777" w:rsidR="007D51CD" w:rsidRPr="009E1B38" w:rsidRDefault="007D51CD" w:rsidP="002C3099">
      <w:pPr>
        <w:tabs>
          <w:tab w:val="left" w:pos="284"/>
          <w:tab w:val="left" w:pos="567"/>
          <w:tab w:val="left" w:pos="709"/>
          <w:tab w:val="left" w:pos="851"/>
        </w:tabs>
        <w:spacing w:after="0"/>
        <w:rPr>
          <w:rFonts w:ascii="Times New Roman" w:hAnsi="Times New Roman"/>
          <w:color w:val="000000" w:themeColor="text1"/>
        </w:rPr>
      </w:pPr>
    </w:p>
    <w:p w14:paraId="7D4A8A11" w14:textId="43659B2E" w:rsidR="002C3099" w:rsidRPr="009E1B38" w:rsidRDefault="002C3099" w:rsidP="002C3099">
      <w:pPr>
        <w:tabs>
          <w:tab w:val="left" w:pos="284"/>
          <w:tab w:val="left" w:pos="567"/>
          <w:tab w:val="left" w:pos="709"/>
          <w:tab w:val="left" w:pos="851"/>
        </w:tabs>
        <w:spacing w:after="0"/>
        <w:rPr>
          <w:rFonts w:ascii="Times New Roman" w:hAnsi="Times New Roman"/>
          <w:color w:val="000000" w:themeColor="text1"/>
        </w:rPr>
      </w:pPr>
      <w:r w:rsidRPr="009E1B38">
        <w:rPr>
          <w:rFonts w:ascii="Times New Roman" w:hAnsi="Times New Roman"/>
          <w:color w:val="000000" w:themeColor="text1"/>
        </w:rPr>
        <w:br w:type="page"/>
      </w:r>
    </w:p>
    <w:p w14:paraId="7D4A8A12" w14:textId="21D688B0" w:rsidR="002C3099" w:rsidRPr="009E1B38" w:rsidRDefault="002C3099" w:rsidP="003C5E4D">
      <w:pPr>
        <w:pStyle w:val="Balk2"/>
        <w:numPr>
          <w:ilvl w:val="1"/>
          <w:numId w:val="61"/>
        </w:numPr>
        <w:rPr>
          <w:rFonts w:cs="Times New Roman"/>
        </w:rPr>
      </w:pPr>
      <w:bookmarkStart w:id="228" w:name="_Toc113615369"/>
      <w:bookmarkStart w:id="229" w:name="_Toc66267392"/>
      <w:r w:rsidRPr="009E1B38">
        <w:rPr>
          <w:rFonts w:cs="Times New Roman"/>
        </w:rPr>
        <w:lastRenderedPageBreak/>
        <w:t>Petro</w:t>
      </w:r>
      <w:r w:rsidR="00841587" w:rsidRPr="009E1B38">
        <w:rPr>
          <w:rFonts w:cs="Times New Roman"/>
        </w:rPr>
        <w:t>leum Market Tariffs</w:t>
      </w:r>
      <w:bookmarkEnd w:id="228"/>
      <w:r w:rsidR="00841587" w:rsidRPr="009E1B38">
        <w:rPr>
          <w:rFonts w:cs="Times New Roman"/>
        </w:rPr>
        <w:t xml:space="preserve"> </w:t>
      </w:r>
      <w:bookmarkEnd w:id="229"/>
    </w:p>
    <w:p w14:paraId="0DF75086" w14:textId="77777777" w:rsidR="00C51AFE" w:rsidRPr="009E1B38" w:rsidRDefault="00C51AFE" w:rsidP="00C51AFE">
      <w:pPr>
        <w:spacing w:after="0"/>
        <w:rPr>
          <w:rFonts w:ascii="Times New Roman" w:hAnsi="Times New Roman"/>
        </w:rPr>
      </w:pPr>
      <w:r w:rsidRPr="009E1B38">
        <w:rPr>
          <w:rFonts w:ascii="Times New Roman" w:hAnsi="Times New Roman"/>
        </w:rPr>
        <w:t>Following the entry into force of the Petroleum Market Law No. 5015, free price application was started as of 01.01.2005. İt has been accepted that the prices in oil purchase and sale will be determined by taking into account the closest accessible world free market conditions. For domestic crude oil, the "Market Price" formed at the nearest port or refinery to the place of delivery has been accepted as the price.</w:t>
      </w:r>
    </w:p>
    <w:p w14:paraId="63D8D947" w14:textId="77777777" w:rsidR="00C51AFE" w:rsidRPr="009E1B38" w:rsidRDefault="00C51AFE" w:rsidP="00C51AFE">
      <w:pPr>
        <w:spacing w:after="0"/>
        <w:rPr>
          <w:rFonts w:ascii="Times New Roman" w:hAnsi="Times New Roman"/>
        </w:rPr>
      </w:pPr>
    </w:p>
    <w:p w14:paraId="11146644" w14:textId="77777777" w:rsidR="00C51AFE" w:rsidRPr="009E1B38" w:rsidRDefault="00C51AFE" w:rsidP="00C51AFE">
      <w:pPr>
        <w:spacing w:after="0"/>
        <w:rPr>
          <w:rFonts w:ascii="Times New Roman" w:hAnsi="Times New Roman"/>
        </w:rPr>
      </w:pPr>
      <w:r w:rsidRPr="009E1B38">
        <w:rPr>
          <w:rFonts w:ascii="Times New Roman" w:hAnsi="Times New Roman"/>
        </w:rPr>
        <w:t>Tariffs in the oil market can be considered in four categories in terms of the transaction they are subject to. These;</w:t>
      </w:r>
    </w:p>
    <w:p w14:paraId="56A400A4" w14:textId="77777777" w:rsidR="00C51AFE" w:rsidRPr="009E1B38" w:rsidRDefault="00C51AFE" w:rsidP="003E1A6A">
      <w:pPr>
        <w:pStyle w:val="ListeParagraf"/>
        <w:numPr>
          <w:ilvl w:val="0"/>
          <w:numId w:val="1"/>
        </w:numPr>
        <w:spacing w:after="0"/>
        <w:rPr>
          <w:rFonts w:ascii="Times New Roman" w:hAnsi="Times New Roman"/>
        </w:rPr>
      </w:pPr>
      <w:r w:rsidRPr="009E1B38">
        <w:rPr>
          <w:rFonts w:ascii="Times New Roman" w:hAnsi="Times New Roman"/>
        </w:rPr>
        <w:t>Tariffs Subject to Approval: Refers to the transmission tariff for the transport activity carried out within the scope of the transmission license and the tariffs for the licensed storage activities in the storage facilities connected to the transmission lines.</w:t>
      </w:r>
    </w:p>
    <w:p w14:paraId="6CB9676C" w14:textId="77777777" w:rsidR="00C51AFE" w:rsidRPr="009E1B38" w:rsidRDefault="00C51AFE" w:rsidP="00C51AFE">
      <w:pPr>
        <w:spacing w:after="0"/>
        <w:rPr>
          <w:rFonts w:ascii="Times New Roman" w:hAnsi="Times New Roman"/>
        </w:rPr>
      </w:pPr>
    </w:p>
    <w:p w14:paraId="1FC17DE4" w14:textId="77777777" w:rsidR="00C51AFE" w:rsidRPr="009E1B38" w:rsidRDefault="00C51AFE" w:rsidP="003E1A6A">
      <w:pPr>
        <w:pStyle w:val="ListeParagraf"/>
        <w:numPr>
          <w:ilvl w:val="0"/>
          <w:numId w:val="1"/>
        </w:numPr>
        <w:spacing w:after="0"/>
        <w:rPr>
          <w:rFonts w:ascii="Times New Roman" w:hAnsi="Times New Roman"/>
        </w:rPr>
      </w:pPr>
      <w:r w:rsidRPr="009E1B38">
        <w:rPr>
          <w:rFonts w:ascii="Times New Roman" w:hAnsi="Times New Roman"/>
        </w:rPr>
        <w:t>Tariffs Subject to Notification: İt refers to the changes in the tariffs for licensed storage activities not related to processing and transmission lines, and the ceiling price tariffs of refinery and distributor license holders, which are started to be applied after notification to the Authority.</w:t>
      </w:r>
    </w:p>
    <w:p w14:paraId="5D075DC8" w14:textId="77777777" w:rsidR="00C51AFE" w:rsidRPr="009E1B38" w:rsidRDefault="00C51AFE" w:rsidP="00C51AFE">
      <w:pPr>
        <w:spacing w:after="0"/>
        <w:rPr>
          <w:rFonts w:ascii="Times New Roman" w:hAnsi="Times New Roman"/>
        </w:rPr>
      </w:pPr>
    </w:p>
    <w:p w14:paraId="7EA5A635" w14:textId="77777777" w:rsidR="00C51AFE" w:rsidRPr="009E1B38" w:rsidRDefault="00C51AFE" w:rsidP="003E1A6A">
      <w:pPr>
        <w:pStyle w:val="ListeParagraf"/>
        <w:numPr>
          <w:ilvl w:val="0"/>
          <w:numId w:val="1"/>
        </w:numPr>
        <w:spacing w:after="0"/>
        <w:rPr>
          <w:rFonts w:ascii="Times New Roman" w:hAnsi="Times New Roman"/>
        </w:rPr>
      </w:pPr>
      <w:r w:rsidRPr="009E1B38">
        <w:rPr>
          <w:rFonts w:ascii="Times New Roman" w:hAnsi="Times New Roman"/>
        </w:rPr>
        <w:t>Price Announcement: Refers to the prices announced as the fuel ceiling prices on the boards that are visibly placed at the fuel stations by the dealership license holders, which do not require approval or notification.</w:t>
      </w:r>
    </w:p>
    <w:p w14:paraId="33E63651" w14:textId="77777777" w:rsidR="00C51AFE" w:rsidRPr="009E1B38" w:rsidRDefault="00C51AFE" w:rsidP="00C51AFE">
      <w:pPr>
        <w:spacing w:after="0"/>
        <w:rPr>
          <w:rFonts w:ascii="Times New Roman" w:hAnsi="Times New Roman"/>
        </w:rPr>
      </w:pPr>
    </w:p>
    <w:p w14:paraId="21BE8D08" w14:textId="77777777" w:rsidR="00C51AFE" w:rsidRPr="009E1B38" w:rsidRDefault="00C51AFE" w:rsidP="003E1A6A">
      <w:pPr>
        <w:pStyle w:val="ListeParagraf"/>
        <w:numPr>
          <w:ilvl w:val="0"/>
          <w:numId w:val="1"/>
        </w:numPr>
        <w:spacing w:after="0"/>
        <w:rPr>
          <w:rFonts w:ascii="Times New Roman" w:hAnsi="Times New Roman"/>
        </w:rPr>
      </w:pPr>
      <w:r w:rsidRPr="009E1B38">
        <w:rPr>
          <w:rFonts w:ascii="Times New Roman" w:hAnsi="Times New Roman"/>
        </w:rPr>
        <w:t>Price List: İt refers to the changes in the price lists notified to the Authority by the processing license holders regarding the products under their licenses and put into practice.</w:t>
      </w:r>
    </w:p>
    <w:p w14:paraId="263529F3" w14:textId="77777777" w:rsidR="00C51AFE" w:rsidRPr="009E1B38" w:rsidRDefault="00C51AFE" w:rsidP="00C51AFE">
      <w:pPr>
        <w:spacing w:after="0"/>
        <w:rPr>
          <w:rFonts w:ascii="Times New Roman" w:hAnsi="Times New Roman"/>
        </w:rPr>
      </w:pPr>
    </w:p>
    <w:p w14:paraId="60971209" w14:textId="77777777" w:rsidR="00C51AFE" w:rsidRPr="009E1B38" w:rsidRDefault="00C51AFE" w:rsidP="00C51AFE">
      <w:pPr>
        <w:spacing w:after="0"/>
        <w:rPr>
          <w:rFonts w:ascii="Times New Roman" w:hAnsi="Times New Roman"/>
        </w:rPr>
      </w:pPr>
      <w:r w:rsidRPr="009E1B38">
        <w:rPr>
          <w:rFonts w:ascii="Times New Roman" w:hAnsi="Times New Roman"/>
        </w:rPr>
        <w:t>A database was created for the electronic notification and monitoring of the fuel "warehouse prices" of the distributors and the "recommended" prices to the dealers or the "ceiling prices" determined on behalf of the dealers. The database is updated with electronic notifications of distribution companies. As a result of compiling the data in the database, the average fuel prices of the eight companies with the highest transaction volume on the İstanbul European Side are announced to the public, to be used in the calculation of the dealer ceiling prices by province and the fuel price difference within the scope of the Public Procurement Legislation.</w:t>
      </w:r>
    </w:p>
    <w:p w14:paraId="1E9BDD68" w14:textId="77777777" w:rsidR="00C51AFE" w:rsidRPr="009E1B38" w:rsidRDefault="00C51AFE" w:rsidP="00C51AFE">
      <w:pPr>
        <w:spacing w:after="0"/>
        <w:rPr>
          <w:rFonts w:ascii="Times New Roman" w:hAnsi="Times New Roman"/>
        </w:rPr>
      </w:pPr>
    </w:p>
    <w:p w14:paraId="5C89951A" w14:textId="77777777" w:rsidR="00C51AFE" w:rsidRPr="009E1B38" w:rsidRDefault="00C51AFE" w:rsidP="00C51AFE">
      <w:pPr>
        <w:spacing w:after="0"/>
        <w:rPr>
          <w:rFonts w:ascii="Times New Roman" w:hAnsi="Times New Roman"/>
        </w:rPr>
      </w:pPr>
      <w:r w:rsidRPr="009E1B38">
        <w:rPr>
          <w:rFonts w:ascii="Times New Roman" w:hAnsi="Times New Roman"/>
        </w:rPr>
        <w:t>Regarding the companies holding refinery and distributor licenses in Article 10 of the Law No. 5015 on price formation, “Prices related to market activities carried out within the scope of refinery and distributor license are notified to the Authority as the ceiling prices prepared by the license holders, taking into account the closest accessible world free market formation.” provision is included. Within the framework of this provision; Pricing practices of refiner license holder TÜPRAŞ and distributor license holders by market shares, which are among the market actors whose market shares hold approximately 90% of the market;</w:t>
      </w:r>
    </w:p>
    <w:p w14:paraId="2529FABC" w14:textId="77777777" w:rsidR="00C51AFE" w:rsidRPr="009E1B38" w:rsidRDefault="00C51AFE" w:rsidP="00C51AFE">
      <w:pPr>
        <w:spacing w:after="0"/>
        <w:rPr>
          <w:rFonts w:ascii="Times New Roman" w:hAnsi="Times New Roman"/>
        </w:rPr>
      </w:pPr>
    </w:p>
    <w:p w14:paraId="5684D48A" w14:textId="77777777" w:rsidR="00C51AFE" w:rsidRPr="009E1B38" w:rsidRDefault="00C51AFE" w:rsidP="00C51AFE">
      <w:pPr>
        <w:spacing w:after="0"/>
        <w:rPr>
          <w:rFonts w:ascii="Times New Roman" w:hAnsi="Times New Roman"/>
        </w:rPr>
      </w:pPr>
      <w:r w:rsidRPr="009E1B38">
        <w:rPr>
          <w:rFonts w:ascii="Times New Roman" w:hAnsi="Times New Roman"/>
        </w:rPr>
        <w:t>• Price formation,</w:t>
      </w:r>
    </w:p>
    <w:p w14:paraId="40DA8E98" w14:textId="77777777" w:rsidR="00C51AFE" w:rsidRPr="009E1B38" w:rsidRDefault="00C51AFE" w:rsidP="00C51AFE">
      <w:pPr>
        <w:spacing w:after="0"/>
        <w:rPr>
          <w:rFonts w:ascii="Times New Roman" w:hAnsi="Times New Roman"/>
        </w:rPr>
      </w:pPr>
      <w:r w:rsidRPr="009E1B38">
        <w:rPr>
          <w:rFonts w:ascii="Times New Roman" w:hAnsi="Times New Roman"/>
        </w:rPr>
        <w:t>• Fuel prices in our country,</w:t>
      </w:r>
    </w:p>
    <w:p w14:paraId="1B9D3C9B" w14:textId="77777777" w:rsidR="00C51AFE" w:rsidRPr="009E1B38" w:rsidRDefault="00C51AFE" w:rsidP="00C51AFE">
      <w:pPr>
        <w:spacing w:after="0"/>
        <w:rPr>
          <w:rFonts w:ascii="Times New Roman" w:hAnsi="Times New Roman"/>
        </w:rPr>
      </w:pPr>
      <w:r w:rsidRPr="009E1B38">
        <w:rPr>
          <w:rFonts w:ascii="Times New Roman" w:hAnsi="Times New Roman"/>
        </w:rPr>
        <w:t>• Changes in these prices over the years,</w:t>
      </w:r>
    </w:p>
    <w:p w14:paraId="7A2AC28C" w14:textId="0F16D175" w:rsidR="00C51AFE" w:rsidRPr="009E1B38" w:rsidRDefault="00C51AFE" w:rsidP="00C51AFE">
      <w:pPr>
        <w:spacing w:after="0"/>
        <w:rPr>
          <w:rFonts w:ascii="Times New Roman" w:hAnsi="Times New Roman"/>
        </w:rPr>
      </w:pPr>
      <w:r w:rsidRPr="009E1B38">
        <w:rPr>
          <w:rFonts w:ascii="Times New Roman" w:hAnsi="Times New Roman"/>
        </w:rPr>
        <w:t xml:space="preserve">• Change of distribution and dealer shares in </w:t>
      </w:r>
      <w:r w:rsidR="0082470D" w:rsidRPr="009E1B38">
        <w:rPr>
          <w:rFonts w:ascii="Times New Roman" w:hAnsi="Times New Roman"/>
        </w:rPr>
        <w:t>Türkiye</w:t>
      </w:r>
      <w:r w:rsidRPr="009E1B38">
        <w:rPr>
          <w:rFonts w:ascii="Times New Roman" w:hAnsi="Times New Roman"/>
        </w:rPr>
        <w:t>,</w:t>
      </w:r>
    </w:p>
    <w:p w14:paraId="5576768F" w14:textId="77777777" w:rsidR="00C51AFE" w:rsidRPr="009E1B38" w:rsidRDefault="00C51AFE" w:rsidP="00C51AFE">
      <w:pPr>
        <w:spacing w:after="0"/>
        <w:rPr>
          <w:rFonts w:ascii="Times New Roman" w:hAnsi="Times New Roman"/>
        </w:rPr>
      </w:pPr>
      <w:r w:rsidRPr="009E1B38">
        <w:rPr>
          <w:rFonts w:ascii="Times New Roman" w:hAnsi="Times New Roman"/>
        </w:rPr>
        <w:t>• Reflecting price movements to consumers,</w:t>
      </w:r>
    </w:p>
    <w:p w14:paraId="3CAF35F9" w14:textId="14DBB7B1" w:rsidR="00C51AFE" w:rsidRPr="009E1B38" w:rsidRDefault="00C51AFE" w:rsidP="00C51AFE">
      <w:pPr>
        <w:spacing w:after="0"/>
        <w:rPr>
          <w:rFonts w:ascii="Times New Roman" w:hAnsi="Times New Roman"/>
        </w:rPr>
      </w:pPr>
      <w:r w:rsidRPr="009E1B38">
        <w:rPr>
          <w:rFonts w:ascii="Times New Roman" w:hAnsi="Times New Roman"/>
        </w:rPr>
        <w:t xml:space="preserve">• </w:t>
      </w:r>
      <w:r w:rsidR="0082470D" w:rsidRPr="009E1B38">
        <w:rPr>
          <w:rFonts w:ascii="Times New Roman" w:hAnsi="Times New Roman"/>
        </w:rPr>
        <w:t>Türkiye</w:t>
      </w:r>
      <w:r w:rsidRPr="009E1B38">
        <w:rPr>
          <w:rFonts w:ascii="Times New Roman" w:hAnsi="Times New Roman"/>
        </w:rPr>
        <w:t>-EU comparisons with the prices formed in the closest accessible world free market</w:t>
      </w:r>
    </w:p>
    <w:p w14:paraId="28B66C1F" w14:textId="77777777" w:rsidR="00C51AFE" w:rsidRPr="009E1B38" w:rsidRDefault="00C51AFE" w:rsidP="00C51AFE">
      <w:pPr>
        <w:spacing w:after="0"/>
        <w:rPr>
          <w:rFonts w:ascii="Times New Roman" w:hAnsi="Times New Roman"/>
        </w:rPr>
      </w:pPr>
    </w:p>
    <w:p w14:paraId="795EB2DB" w14:textId="77777777" w:rsidR="00C51AFE" w:rsidRPr="009E1B38" w:rsidRDefault="00C51AFE" w:rsidP="00C51AFE">
      <w:pPr>
        <w:spacing w:after="0"/>
        <w:rPr>
          <w:rFonts w:ascii="Times New Roman" w:hAnsi="Times New Roman"/>
        </w:rPr>
      </w:pPr>
      <w:r w:rsidRPr="009E1B38">
        <w:rPr>
          <w:rFonts w:ascii="Times New Roman" w:hAnsi="Times New Roman"/>
        </w:rPr>
        <w:t>framework is examined. The findings obtained as a result of these examinations are evaluated at various times by meeting with market participants and relevant Ministries.</w:t>
      </w:r>
    </w:p>
    <w:p w14:paraId="60C644A4" w14:textId="77777777" w:rsidR="004C7335" w:rsidRPr="009E1B38" w:rsidRDefault="004C7335" w:rsidP="004C7335">
      <w:pPr>
        <w:spacing w:after="0"/>
        <w:rPr>
          <w:rFonts w:ascii="Times New Roman" w:hAnsi="Times New Roman"/>
        </w:rPr>
      </w:pPr>
      <w:r w:rsidRPr="009E1B38">
        <w:rPr>
          <w:rFonts w:ascii="Times New Roman" w:hAnsi="Times New Roman"/>
        </w:rPr>
        <w:lastRenderedPageBreak/>
        <w:t>Opinions were given on the tariff files of companies that applied to the Authority to obtain distribution, transmission and storage licenses. İn addition, the transactions regarding the amendment of the storage and transmission tariffs were finalized.</w:t>
      </w:r>
    </w:p>
    <w:p w14:paraId="31442A43" w14:textId="77777777" w:rsidR="004C7335" w:rsidRPr="009E1B38" w:rsidRDefault="004C7335" w:rsidP="004C7335">
      <w:pPr>
        <w:spacing w:after="0"/>
        <w:rPr>
          <w:rFonts w:ascii="Times New Roman" w:hAnsi="Times New Roman"/>
        </w:rPr>
      </w:pPr>
      <w:r w:rsidRPr="009E1B38">
        <w:rPr>
          <w:rFonts w:ascii="Times New Roman" w:hAnsi="Times New Roman"/>
        </w:rPr>
        <w:t>İt is stated in the third paragraph of Article 8 of the Petroleum Market Pricing System Regulation that "License applications for which the tariff file is not suitable" will be rejected. İn this context, the tariff files attached to the license applications made to the Petroleum Market Department were examined and the relevant department was given an opinion.</w:t>
      </w:r>
    </w:p>
    <w:p w14:paraId="1F160849" w14:textId="77777777" w:rsidR="004C7335" w:rsidRPr="009E1B38" w:rsidRDefault="004C7335" w:rsidP="004C7335">
      <w:pPr>
        <w:spacing w:after="0"/>
        <w:rPr>
          <w:rFonts w:ascii="Times New Roman" w:hAnsi="Times New Roman"/>
        </w:rPr>
      </w:pPr>
    </w:p>
    <w:p w14:paraId="2B4897FC" w14:textId="77777777" w:rsidR="004C7335" w:rsidRPr="009E1B38" w:rsidRDefault="004C7335" w:rsidP="004C7335">
      <w:pPr>
        <w:spacing w:after="0"/>
        <w:rPr>
          <w:rFonts w:ascii="Times New Roman" w:hAnsi="Times New Roman"/>
        </w:rPr>
      </w:pPr>
      <w:r w:rsidRPr="009E1B38">
        <w:rPr>
          <w:rFonts w:ascii="Times New Roman" w:hAnsi="Times New Roman"/>
        </w:rPr>
        <w:t>Within the scope of the Energy Market Notification Regulation, the management of the price section of the notification system is carried out, price notifications are followed and necessary corrections are made.</w:t>
      </w:r>
    </w:p>
    <w:p w14:paraId="1AFB729E" w14:textId="77777777" w:rsidR="004C7335" w:rsidRPr="009E1B38" w:rsidRDefault="004C7335" w:rsidP="004C7335">
      <w:pPr>
        <w:spacing w:after="0"/>
        <w:rPr>
          <w:rFonts w:ascii="Times New Roman" w:hAnsi="Times New Roman"/>
        </w:rPr>
      </w:pPr>
    </w:p>
    <w:p w14:paraId="7D4A8A32" w14:textId="2DA72749" w:rsidR="002C3099" w:rsidRPr="009E1B38" w:rsidRDefault="004C7335" w:rsidP="00E9030A">
      <w:pPr>
        <w:pStyle w:val="ListeParagraf"/>
        <w:numPr>
          <w:ilvl w:val="0"/>
          <w:numId w:val="3"/>
        </w:numPr>
        <w:autoSpaceDE w:val="0"/>
        <w:autoSpaceDN w:val="0"/>
        <w:adjustRightInd w:val="0"/>
        <w:spacing w:after="0"/>
        <w:rPr>
          <w:rFonts w:ascii="Times New Roman" w:hAnsi="Times New Roman"/>
        </w:rPr>
      </w:pPr>
      <w:r w:rsidRPr="009E1B38">
        <w:rPr>
          <w:rFonts w:ascii="Times New Roman" w:hAnsi="Times New Roman"/>
        </w:rPr>
        <w:t>In addition to tracking domestic prices through the notification system, FOB and CİF prices of product prices such as crude oil (Brent-dated) and gasoline, diesel, fuel oil types, kerosene, jet fuel, especially in the Mediterranean market, within the scope of Platts subscription, EU countries taxable and foreign price movements such as tax-free fuel dealer sales prices are also monitored. Reports are produced from the data obtained and used in analyzes to monitor price movements within the scope of price formation in the closest accessible world free market of distributor and refiner license holders, as well as in the process of determining the ceiling price. In this framework, the Petroleum Market Pricing Reports, which started to be published monthly in 2014, continued to be published on the Authority's website.</w:t>
      </w:r>
    </w:p>
    <w:p w14:paraId="7D4A8A33" w14:textId="77777777" w:rsidR="00846A82" w:rsidRPr="009E1B38" w:rsidRDefault="00846A82" w:rsidP="00846A82">
      <w:pPr>
        <w:pStyle w:val="ListeParagraf"/>
        <w:autoSpaceDE w:val="0"/>
        <w:autoSpaceDN w:val="0"/>
        <w:adjustRightInd w:val="0"/>
        <w:spacing w:after="0"/>
        <w:rPr>
          <w:rFonts w:ascii="Times New Roman" w:hAnsi="Times New Roman"/>
        </w:rPr>
      </w:pPr>
    </w:p>
    <w:p w14:paraId="755C200B" w14:textId="77777777" w:rsidR="00C37842" w:rsidRPr="009E1B38" w:rsidRDefault="00C37842" w:rsidP="00C37842">
      <w:pPr>
        <w:autoSpaceDE w:val="0"/>
        <w:autoSpaceDN w:val="0"/>
        <w:adjustRightInd w:val="0"/>
        <w:spacing w:after="0"/>
        <w:rPr>
          <w:rFonts w:ascii="Times New Roman" w:hAnsi="Times New Roman"/>
          <w:color w:val="000000" w:themeColor="text1"/>
        </w:rPr>
      </w:pPr>
      <w:r w:rsidRPr="009E1B38">
        <w:rPr>
          <w:rFonts w:ascii="Times New Roman" w:hAnsi="Times New Roman"/>
          <w:color w:val="000000" w:themeColor="text1"/>
        </w:rPr>
        <w:t>In 2021, the following Tariff Board Decisions were made in the oil market:</w:t>
      </w:r>
    </w:p>
    <w:p w14:paraId="7D4A8A35" w14:textId="77777777" w:rsidR="00C95F2B" w:rsidRPr="009E1B38" w:rsidRDefault="00C95F2B" w:rsidP="002C3099">
      <w:pPr>
        <w:autoSpaceDE w:val="0"/>
        <w:autoSpaceDN w:val="0"/>
        <w:adjustRightInd w:val="0"/>
        <w:spacing w:after="0"/>
        <w:rPr>
          <w:rFonts w:ascii="Times New Roman" w:hAnsi="Times New Roman"/>
          <w:color w:val="000000" w:themeColor="text1"/>
        </w:rPr>
      </w:pPr>
    </w:p>
    <w:p w14:paraId="7D4A8A36" w14:textId="301085D2" w:rsidR="00C95F2B" w:rsidRPr="009E1B38" w:rsidRDefault="00295CCE" w:rsidP="003C5E4D">
      <w:pPr>
        <w:numPr>
          <w:ilvl w:val="0"/>
          <w:numId w:val="34"/>
        </w:numPr>
        <w:spacing w:after="160" w:line="259" w:lineRule="auto"/>
        <w:contextualSpacing/>
        <w:rPr>
          <w:rFonts w:ascii="Times New Roman" w:hAnsi="Times New Roman"/>
        </w:rPr>
      </w:pPr>
      <w:r w:rsidRPr="009E1B38">
        <w:rPr>
          <w:rFonts w:ascii="Times New Roman" w:hAnsi="Times New Roman"/>
          <w:i/>
        </w:rPr>
        <w:t>With the Board Decision dated 17.03.2021 and numbered 10081 published in the Official Gazette dated 18.03.2021 and numbered 31427, a decision was taken to determine the fuel price to be applied in the petroleum market for two months in accordance with Article 10 of the Petroleum Market Law No. 5015.</w:t>
      </w:r>
    </w:p>
    <w:p w14:paraId="7D4A8A37" w14:textId="77777777" w:rsidR="00C95F2B" w:rsidRPr="009E1B38" w:rsidRDefault="00C95F2B" w:rsidP="00C95F2B">
      <w:pPr>
        <w:spacing w:after="160" w:line="259" w:lineRule="auto"/>
        <w:ind w:left="720"/>
        <w:contextualSpacing/>
        <w:rPr>
          <w:rFonts w:ascii="Times New Roman" w:hAnsi="Times New Roman"/>
        </w:rPr>
      </w:pPr>
    </w:p>
    <w:p w14:paraId="7D4A8A38" w14:textId="439F117A" w:rsidR="00C95F2B" w:rsidRPr="009E1B38" w:rsidRDefault="00463BCE" w:rsidP="003C5E4D">
      <w:pPr>
        <w:pStyle w:val="ListeParagraf"/>
        <w:numPr>
          <w:ilvl w:val="0"/>
          <w:numId w:val="34"/>
        </w:numPr>
        <w:spacing w:after="160" w:line="259" w:lineRule="auto"/>
        <w:rPr>
          <w:rFonts w:ascii="Times New Roman" w:hAnsi="Times New Roman"/>
          <w:b/>
        </w:rPr>
      </w:pPr>
      <w:r w:rsidRPr="009E1B38">
        <w:rPr>
          <w:rFonts w:ascii="Times New Roman" w:hAnsi="Times New Roman"/>
        </w:rPr>
        <w:t>With the Board Decision dated 08.04.2021 and numbered 10132 published in the Official Gazette dated 10.04.2021 and numbered 31450, it was decided to change the "Price Difference Table" in the annex of the Board Decision dated 17.03.2021 and numbered 10081.</w:t>
      </w:r>
    </w:p>
    <w:p w14:paraId="6804B597" w14:textId="77777777" w:rsidR="00463BCE" w:rsidRPr="009E1B38" w:rsidRDefault="00463BCE" w:rsidP="00463BCE">
      <w:pPr>
        <w:pStyle w:val="ListeParagraf"/>
        <w:rPr>
          <w:rFonts w:ascii="Times New Roman" w:hAnsi="Times New Roman"/>
          <w:b/>
        </w:rPr>
      </w:pPr>
    </w:p>
    <w:p w14:paraId="49FF73A7" w14:textId="77777777" w:rsidR="00463BCE" w:rsidRPr="009E1B38" w:rsidRDefault="00463BCE" w:rsidP="00463BCE">
      <w:pPr>
        <w:pStyle w:val="ListeParagraf"/>
        <w:spacing w:after="160" w:line="259" w:lineRule="auto"/>
        <w:rPr>
          <w:rFonts w:ascii="Times New Roman" w:hAnsi="Times New Roman"/>
          <w:b/>
        </w:rPr>
      </w:pPr>
    </w:p>
    <w:p w14:paraId="589CC8C2" w14:textId="20C93DEA" w:rsidR="00C11681" w:rsidRPr="009E1B38" w:rsidRDefault="00C11681" w:rsidP="003C5E4D">
      <w:pPr>
        <w:pStyle w:val="ListeParagraf"/>
        <w:numPr>
          <w:ilvl w:val="0"/>
          <w:numId w:val="30"/>
        </w:numPr>
        <w:spacing w:after="160" w:line="259" w:lineRule="auto"/>
        <w:rPr>
          <w:rFonts w:ascii="Times New Roman" w:hAnsi="Times New Roman"/>
          <w:bCs/>
        </w:rPr>
      </w:pPr>
      <w:r w:rsidRPr="009E1B38">
        <w:rPr>
          <w:rFonts w:ascii="Times New Roman" w:hAnsi="Times New Roman"/>
          <w:bCs/>
        </w:rPr>
        <w:t xml:space="preserve">Approved by the Board Decision dated 30.12.2021 and numbered 10692 published in the Official Gazette dated 31.12.2021 and numbered 31706 (6.repeated), and approved by the Board Decision dated 26.09.2019 and numbered 8851, and </w:t>
      </w:r>
      <w:r w:rsidRPr="009E1B38">
        <w:rPr>
          <w:rFonts w:ascii="Times New Roman" w:hAnsi="Times New Roman"/>
          <w:b/>
        </w:rPr>
        <w:t>The Board Decision Regarding the Sharing of Distributor and Dealer Margins</w:t>
      </w:r>
      <w:r w:rsidRPr="009E1B38">
        <w:rPr>
          <w:rFonts w:ascii="Times New Roman" w:hAnsi="Times New Roman"/>
          <w:bCs/>
        </w:rPr>
        <w:t xml:space="preserve">, which was approved by the Board Decision No. 8851 and entered into force by being published in the Official Gazette dated 01.10.2019 and numbered 30905 </w:t>
      </w:r>
    </w:p>
    <w:p w14:paraId="7D4A8A3A" w14:textId="11CE991D" w:rsidR="00C95F2B" w:rsidRPr="009E1B38" w:rsidRDefault="00C95F2B" w:rsidP="00C95F2B">
      <w:pPr>
        <w:pStyle w:val="ListeParagraf"/>
        <w:spacing w:after="160" w:line="259" w:lineRule="auto"/>
        <w:rPr>
          <w:rFonts w:ascii="Times New Roman" w:hAnsi="Times New Roman"/>
          <w:b/>
        </w:rPr>
      </w:pPr>
    </w:p>
    <w:p w14:paraId="616914CE" w14:textId="77777777" w:rsidR="008732E1" w:rsidRPr="009E1B38" w:rsidRDefault="008732E1" w:rsidP="003C5E4D">
      <w:pPr>
        <w:pStyle w:val="ListeParagraf"/>
        <w:numPr>
          <w:ilvl w:val="0"/>
          <w:numId w:val="41"/>
        </w:numPr>
        <w:spacing w:after="160" w:line="259" w:lineRule="auto"/>
        <w:rPr>
          <w:rFonts w:ascii="Times New Roman" w:hAnsi="Times New Roman"/>
        </w:rPr>
      </w:pPr>
      <w:r w:rsidRPr="009E1B38">
        <w:rPr>
          <w:rFonts w:ascii="Times New Roman" w:hAnsi="Times New Roman"/>
        </w:rPr>
        <w:t>Amending the first paragraph of Article 4 entitled ”Total margin and minimum margin sharing ratios" as follows, removing the second paragraph and consolidating the subsequent paragraphs of the same article,</w:t>
      </w:r>
    </w:p>
    <w:p w14:paraId="17500B10" w14:textId="77777777" w:rsidR="008732E1" w:rsidRPr="009E1B38" w:rsidRDefault="008732E1" w:rsidP="008732E1">
      <w:pPr>
        <w:pStyle w:val="ListeParagraf"/>
        <w:ind w:left="1440"/>
        <w:rPr>
          <w:rFonts w:ascii="Times New Roman" w:hAnsi="Times New Roman"/>
          <w:i/>
        </w:rPr>
      </w:pPr>
      <w:r w:rsidRPr="009E1B38">
        <w:rPr>
          <w:rFonts w:ascii="Times New Roman" w:hAnsi="Times New Roman"/>
          <w:i/>
        </w:rPr>
        <w:t>“(1) The total margin (distributor and dealer) is determined by deducting the nearest refinery outlet price, including the blending cost to the relevant dealer, from the price recommended by the distributor to the dealer for each type of gasoline and diesel or set as a ceiling. If there are more than one refinery in the same province, the lowest price is based on. The dealer margin is determined freely between the distributor and the dealer in such a way that it is not less than the difference between the Decommissioning price of the nearest refinery and the Decommissioning Price of Fuel Oil, including the blending cost to the relevant dealer.”</w:t>
      </w:r>
    </w:p>
    <w:p w14:paraId="7D4A8A3D" w14:textId="77777777" w:rsidR="00C95F2B" w:rsidRPr="009E1B38" w:rsidRDefault="00C95F2B" w:rsidP="00C95F2B">
      <w:pPr>
        <w:pStyle w:val="ListeParagraf"/>
        <w:ind w:left="1440"/>
        <w:rPr>
          <w:rFonts w:ascii="Times New Roman" w:hAnsi="Times New Roman"/>
          <w:i/>
        </w:rPr>
      </w:pPr>
    </w:p>
    <w:p w14:paraId="4762D3DE" w14:textId="77777777" w:rsidR="000C38DF" w:rsidRPr="009E1B38" w:rsidRDefault="000C38DF" w:rsidP="003C5E4D">
      <w:pPr>
        <w:pStyle w:val="ListeParagraf"/>
        <w:numPr>
          <w:ilvl w:val="0"/>
          <w:numId w:val="41"/>
        </w:numPr>
        <w:autoSpaceDE w:val="0"/>
        <w:autoSpaceDN w:val="0"/>
        <w:adjustRightInd w:val="0"/>
        <w:spacing w:after="0" w:line="259" w:lineRule="auto"/>
        <w:rPr>
          <w:rFonts w:ascii="Times New Roman" w:hAnsi="Times New Roman"/>
        </w:rPr>
      </w:pPr>
      <w:r w:rsidRPr="009E1B38">
        <w:rPr>
          <w:rFonts w:ascii="Times New Roman" w:hAnsi="Times New Roman"/>
        </w:rPr>
        <w:lastRenderedPageBreak/>
        <w:t>Within 1 (one) month from the entry into force of this Decision, it has been decided that the fuel tariffs will be updated and submitted to the Institution by the refinery license holders.</w:t>
      </w:r>
    </w:p>
    <w:p w14:paraId="7D4A8A3F" w14:textId="77777777" w:rsidR="00846A82" w:rsidRPr="009E1B38" w:rsidRDefault="00846A82" w:rsidP="002C3099">
      <w:pPr>
        <w:autoSpaceDE w:val="0"/>
        <w:autoSpaceDN w:val="0"/>
        <w:adjustRightInd w:val="0"/>
        <w:spacing w:after="0"/>
        <w:rPr>
          <w:rFonts w:ascii="Times New Roman" w:hAnsi="Times New Roman"/>
        </w:rPr>
      </w:pPr>
    </w:p>
    <w:p w14:paraId="7D4A8A40" w14:textId="659F5AB1" w:rsidR="00A024D9" w:rsidRPr="009E1B38" w:rsidRDefault="002C3099" w:rsidP="003C5E4D">
      <w:pPr>
        <w:pStyle w:val="Balk3"/>
        <w:numPr>
          <w:ilvl w:val="2"/>
          <w:numId w:val="61"/>
        </w:numPr>
        <w:spacing w:before="0" w:after="240"/>
        <w:rPr>
          <w:rFonts w:ascii="Times New Roman" w:hAnsi="Times New Roman" w:cs="Times New Roman"/>
        </w:rPr>
      </w:pPr>
      <w:bookmarkStart w:id="230" w:name="_Toc66267393"/>
      <w:bookmarkStart w:id="231" w:name="_Toc113615370"/>
      <w:r w:rsidRPr="009E1B38">
        <w:rPr>
          <w:rFonts w:ascii="Times New Roman" w:hAnsi="Times New Roman" w:cs="Times New Roman"/>
        </w:rPr>
        <w:t>Li</w:t>
      </w:r>
      <w:bookmarkEnd w:id="230"/>
      <w:r w:rsidR="000C38DF" w:rsidRPr="009E1B38">
        <w:rPr>
          <w:rFonts w:ascii="Times New Roman" w:hAnsi="Times New Roman" w:cs="Times New Roman"/>
        </w:rPr>
        <w:t>cense Fees</w:t>
      </w:r>
      <w:bookmarkEnd w:id="231"/>
    </w:p>
    <w:p w14:paraId="1E4B5FB7" w14:textId="77777777" w:rsidR="00084BDC" w:rsidRPr="009E1B38" w:rsidRDefault="00084BDC" w:rsidP="00084BDC">
      <w:pPr>
        <w:spacing w:after="0"/>
        <w:rPr>
          <w:rFonts w:ascii="Times New Roman" w:hAnsi="Times New Roman"/>
          <w:color w:val="000000" w:themeColor="text1"/>
        </w:rPr>
      </w:pPr>
      <w:r w:rsidRPr="009E1B38">
        <w:rPr>
          <w:rFonts w:ascii="Times New Roman" w:hAnsi="Times New Roman"/>
          <w:color w:val="000000" w:themeColor="text1"/>
        </w:rPr>
        <w:t>With the Board Decision dated 16.12.2021 and numbered 10639 published in the Official Gazette dated 22.12.2021 and numbered 31697, and subparagraph (i) of the seventh paragraph of the 5th article of the Law No. 4628 on the Organization and Duties of the Energy Market Regulatory Authority and the Petroleum Market Number 5015 of the 10th article. Pursuant to Article 27 of the Law, subparagraph (b) of paragraph (C) and Article 13 of the Petroleum Market License Regulation, obtaining licenses, license amendments, time extensions (visa), issuing a copy of the license, tariff approval, fuel trade permit and coupon service permit fees have been determined.</w:t>
      </w:r>
    </w:p>
    <w:p w14:paraId="730C6216" w14:textId="77777777" w:rsidR="00084BDC" w:rsidRPr="009E1B38" w:rsidRDefault="00084BDC" w:rsidP="00084BDC">
      <w:pPr>
        <w:pStyle w:val="ListeParagraf"/>
        <w:spacing w:after="0"/>
        <w:ind w:left="435"/>
        <w:rPr>
          <w:rFonts w:ascii="Times New Roman" w:hAnsi="Times New Roman"/>
          <w:color w:val="000000" w:themeColor="text1"/>
        </w:rPr>
      </w:pPr>
    </w:p>
    <w:p w14:paraId="7D4A8A42" w14:textId="246C7A7B" w:rsidR="002C3099" w:rsidRPr="009E1B38" w:rsidRDefault="00084BDC" w:rsidP="002C3099">
      <w:pPr>
        <w:spacing w:after="0"/>
        <w:rPr>
          <w:rFonts w:ascii="Times New Roman" w:hAnsi="Times New Roman"/>
          <w:color w:val="000000" w:themeColor="text1"/>
        </w:rPr>
      </w:pPr>
      <w:r w:rsidRPr="009E1B38">
        <w:rPr>
          <w:rFonts w:ascii="Times New Roman" w:hAnsi="Times New Roman"/>
          <w:color w:val="000000" w:themeColor="text1"/>
        </w:rPr>
        <w:t xml:space="preserve">With the Board Decision dated 16.12.2021 and numbered 10638 published in the Official Gazette dated 22.12.2021 and numbered 31697, article 10 of the Law numbered 4628, article 27 of the Law numbered 5015. In accordance with the sub-paragraph (a) of the amended clause (C), the participation rates to be applied for the year 2022, which license holder real and </w:t>
      </w:r>
      <w:r w:rsidR="00135D72" w:rsidRPr="009E1B38">
        <w:rPr>
          <w:rFonts w:ascii="Times New Roman" w:hAnsi="Times New Roman"/>
          <w:color w:val="000000" w:themeColor="text1"/>
        </w:rPr>
        <w:t>legal entities</w:t>
      </w:r>
      <w:r w:rsidRPr="009E1B38">
        <w:rPr>
          <w:rFonts w:ascii="Times New Roman" w:hAnsi="Times New Roman"/>
          <w:color w:val="000000" w:themeColor="text1"/>
        </w:rPr>
        <w:t xml:space="preserve"> to operate in the oil market are obliged to pay, have been determined.</w:t>
      </w:r>
      <w:r w:rsidR="002C3099" w:rsidRPr="009E1B38">
        <w:rPr>
          <w:rFonts w:ascii="Times New Roman" w:hAnsi="Times New Roman"/>
        </w:rPr>
        <w:br w:type="page"/>
      </w:r>
    </w:p>
    <w:p w14:paraId="7D4A8A43" w14:textId="4AF7FA38" w:rsidR="00F17ADC" w:rsidRPr="009E1B38" w:rsidRDefault="002C3099" w:rsidP="003C5E4D">
      <w:pPr>
        <w:pStyle w:val="Balk2"/>
        <w:numPr>
          <w:ilvl w:val="1"/>
          <w:numId w:val="61"/>
        </w:numPr>
        <w:rPr>
          <w:rFonts w:cs="Times New Roman"/>
        </w:rPr>
      </w:pPr>
      <w:bookmarkStart w:id="232" w:name="_Toc66267394"/>
      <w:bookmarkStart w:id="233" w:name="_Toc113615371"/>
      <w:r w:rsidRPr="009E1B38">
        <w:rPr>
          <w:rFonts w:cs="Times New Roman"/>
        </w:rPr>
        <w:lastRenderedPageBreak/>
        <w:t>P</w:t>
      </w:r>
      <w:bookmarkEnd w:id="232"/>
      <w:r w:rsidR="005E7136" w:rsidRPr="009E1B38">
        <w:rPr>
          <w:rFonts w:cs="Times New Roman"/>
        </w:rPr>
        <w:t>rices in the Liquefied Petroleum Gas (LPG) Market</w:t>
      </w:r>
      <w:bookmarkEnd w:id="233"/>
    </w:p>
    <w:p w14:paraId="26470E16" w14:textId="77777777" w:rsidR="005E7136" w:rsidRPr="009E1B38" w:rsidRDefault="005E7136" w:rsidP="005E7136">
      <w:pPr>
        <w:rPr>
          <w:rFonts w:ascii="Times New Roman" w:hAnsi="Times New Roman"/>
        </w:rPr>
      </w:pPr>
    </w:p>
    <w:p w14:paraId="0B313ED2" w14:textId="0EF4305F" w:rsidR="005E7136" w:rsidRPr="009E1B38" w:rsidRDefault="005E7136" w:rsidP="005E7136">
      <w:pPr>
        <w:spacing w:after="0"/>
        <w:rPr>
          <w:rFonts w:ascii="Times New Roman" w:eastAsiaTheme="minorHAnsi" w:hAnsi="Times New Roman"/>
        </w:rPr>
      </w:pPr>
      <w:r w:rsidRPr="009E1B38">
        <w:rPr>
          <w:rFonts w:ascii="Times New Roman" w:eastAsiaTheme="minorHAnsi" w:hAnsi="Times New Roman"/>
        </w:rPr>
        <w:t>The Law No. 5307 on Liquefied Petroleum Gas (LPG) Market Law and the Law on Amendment to the Electricity Market Law stipulates that the prices in LPG purchase and sale will be determined in accordance with the accessible world free market conditions. According to the law, refiners and distributors report to the Authority the prices related to the market activities they perform under their licenses as ceiling prices, taking into account the price formation in the accessible world free markets.</w:t>
      </w:r>
    </w:p>
    <w:p w14:paraId="48F05FD6" w14:textId="77777777" w:rsidR="005E7136" w:rsidRPr="009E1B38" w:rsidRDefault="005E7136" w:rsidP="005E7136">
      <w:pPr>
        <w:spacing w:after="0"/>
        <w:rPr>
          <w:rFonts w:ascii="Times New Roman" w:eastAsiaTheme="minorHAnsi" w:hAnsi="Times New Roman"/>
        </w:rPr>
      </w:pPr>
    </w:p>
    <w:p w14:paraId="6E1328DD" w14:textId="77777777" w:rsidR="005E7136" w:rsidRPr="009E1B38" w:rsidRDefault="005E7136" w:rsidP="005E7136">
      <w:pPr>
        <w:spacing w:after="0"/>
        <w:rPr>
          <w:rFonts w:ascii="Times New Roman" w:eastAsiaTheme="minorHAnsi" w:hAnsi="Times New Roman"/>
        </w:rPr>
      </w:pPr>
      <w:r w:rsidRPr="009E1B38">
        <w:rPr>
          <w:rFonts w:ascii="Times New Roman" w:eastAsiaTheme="minorHAnsi" w:hAnsi="Times New Roman"/>
        </w:rPr>
        <w:t>In this context, developments in domestic LPG prices were regularly monitored, taking into account the ceiling price notifications given by refiners and distributors regarding their market activities under their licenses. In addition to the notifications given to the Authority regularly, extensive studies were carried out on autogas prices. The developments in the prices of the LPG market in our country have been compared with the price movements in the EU countries.</w:t>
      </w:r>
    </w:p>
    <w:p w14:paraId="7D4A8A47" w14:textId="5EC14B64" w:rsidR="00F17ADC" w:rsidRPr="009E1B38" w:rsidRDefault="002C3099" w:rsidP="003C5E4D">
      <w:pPr>
        <w:pStyle w:val="Balk3"/>
        <w:numPr>
          <w:ilvl w:val="2"/>
          <w:numId w:val="61"/>
        </w:numPr>
        <w:spacing w:after="240"/>
        <w:rPr>
          <w:rFonts w:ascii="Times New Roman" w:hAnsi="Times New Roman" w:cs="Times New Roman"/>
        </w:rPr>
      </w:pPr>
      <w:bookmarkStart w:id="234" w:name="_Toc113615372"/>
      <w:r w:rsidRPr="009E1B38">
        <w:rPr>
          <w:rFonts w:ascii="Times New Roman" w:hAnsi="Times New Roman" w:cs="Times New Roman"/>
        </w:rPr>
        <w:t>Li</w:t>
      </w:r>
      <w:r w:rsidR="005E7136" w:rsidRPr="009E1B38">
        <w:rPr>
          <w:rFonts w:ascii="Times New Roman" w:hAnsi="Times New Roman" w:cs="Times New Roman"/>
        </w:rPr>
        <w:t>cense Fees</w:t>
      </w:r>
      <w:bookmarkEnd w:id="234"/>
    </w:p>
    <w:p w14:paraId="6C02A781" w14:textId="2F2E5B4C" w:rsidR="005E7136" w:rsidRPr="009E1B38" w:rsidRDefault="005E7136" w:rsidP="005E7136">
      <w:pPr>
        <w:spacing w:after="240"/>
        <w:rPr>
          <w:rFonts w:ascii="Times New Roman" w:hAnsi="Times New Roman"/>
          <w:color w:val="000000" w:themeColor="text1"/>
        </w:rPr>
      </w:pPr>
      <w:r w:rsidRPr="009E1B38">
        <w:rPr>
          <w:rFonts w:ascii="Times New Roman" w:hAnsi="Times New Roman"/>
          <w:color w:val="000000" w:themeColor="text1"/>
        </w:rPr>
        <w:t>With the Board Decision dated 16.12.2021 and numbered 10641 published in the Official Gazette dated 22.12.2021 and numbered 31697, the Liquefied Petroleum Gases (LPG) Market Law and the Law on Amending the Electricity Market Law and Liquefied Petroleum Gases (LPG) Market License Regulation. The fees for obtaining licenses, license amendments, time extensions (visa) and issuing license copies to be applied in the LPG market for 2022 have been determined.</w:t>
      </w:r>
    </w:p>
    <w:p w14:paraId="5AF10967" w14:textId="38761DC9" w:rsidR="005E7136" w:rsidRPr="009E1B38" w:rsidRDefault="005E7136" w:rsidP="005E7136">
      <w:pPr>
        <w:rPr>
          <w:rFonts w:ascii="Times New Roman" w:hAnsi="Times New Roman"/>
          <w:color w:val="000000" w:themeColor="text1"/>
        </w:rPr>
      </w:pPr>
      <w:r w:rsidRPr="009E1B38">
        <w:rPr>
          <w:rFonts w:ascii="Times New Roman" w:hAnsi="Times New Roman"/>
          <w:color w:val="000000" w:themeColor="text1"/>
        </w:rPr>
        <w:t>With the Board Decision dated 16.12.2021 and numbered 10640 published in the Official Gazette dated 22.12.2021 and numbered 31697, Article 10 of the Law No. 4628 was amended with Article 27 of the Law No. 5015, sub-clause (a) of clause (D) and Article 41 of the LPG Market License Regulation. In accordance with the article, the participation rates to be applied in the LPG market for 2022 have been determined.</w:t>
      </w:r>
    </w:p>
    <w:p w14:paraId="7D4A8A4B" w14:textId="77777777" w:rsidR="002C3099" w:rsidRPr="009E1B38" w:rsidRDefault="002C3099" w:rsidP="007E5AE9">
      <w:pPr>
        <w:spacing w:after="240"/>
        <w:rPr>
          <w:rFonts w:ascii="Times New Roman" w:hAnsi="Times New Roman"/>
          <w:highlight w:val="yellow"/>
        </w:rPr>
      </w:pPr>
    </w:p>
    <w:p w14:paraId="7D4A8A4C" w14:textId="77777777" w:rsidR="002C3099" w:rsidRPr="009E1B38" w:rsidRDefault="002C3099" w:rsidP="007E5AE9">
      <w:pPr>
        <w:spacing w:after="240"/>
        <w:rPr>
          <w:rFonts w:ascii="Times New Roman" w:hAnsi="Times New Roman"/>
          <w:highlight w:val="yellow"/>
        </w:rPr>
      </w:pPr>
    </w:p>
    <w:p w14:paraId="7D4A8A4D" w14:textId="77777777" w:rsidR="002C3099" w:rsidRPr="009E1B38" w:rsidRDefault="002C3099" w:rsidP="007E5AE9">
      <w:pPr>
        <w:spacing w:after="240"/>
        <w:rPr>
          <w:rFonts w:ascii="Times New Roman" w:hAnsi="Times New Roman"/>
          <w:highlight w:val="yellow"/>
        </w:rPr>
      </w:pPr>
    </w:p>
    <w:p w14:paraId="7D4A8A4E" w14:textId="77777777" w:rsidR="002C3099" w:rsidRPr="009E1B38" w:rsidRDefault="002C3099" w:rsidP="007E5AE9">
      <w:pPr>
        <w:spacing w:after="240"/>
        <w:rPr>
          <w:rFonts w:ascii="Times New Roman" w:hAnsi="Times New Roman"/>
          <w:highlight w:val="yellow"/>
        </w:rPr>
      </w:pPr>
    </w:p>
    <w:p w14:paraId="7D4A8A4F" w14:textId="77777777" w:rsidR="002C3099" w:rsidRPr="009E1B38" w:rsidRDefault="002C3099" w:rsidP="007E5AE9">
      <w:pPr>
        <w:spacing w:after="240"/>
        <w:rPr>
          <w:rFonts w:ascii="Times New Roman" w:hAnsi="Times New Roman"/>
          <w:highlight w:val="yellow"/>
        </w:rPr>
      </w:pPr>
    </w:p>
    <w:p w14:paraId="7D4A8A50" w14:textId="77777777" w:rsidR="00870442" w:rsidRPr="009E1B38" w:rsidRDefault="00870442" w:rsidP="00A02EDE">
      <w:pPr>
        <w:rPr>
          <w:rFonts w:ascii="Times New Roman" w:hAnsi="Times New Roman"/>
          <w:color w:val="000000" w:themeColor="text1"/>
        </w:rPr>
        <w:sectPr w:rsidR="00870442" w:rsidRPr="009E1B38" w:rsidSect="007650B8">
          <w:footerReference w:type="first" r:id="rId40"/>
          <w:pgSz w:w="11906" w:h="16838"/>
          <w:pgMar w:top="1418" w:right="566" w:bottom="1418" w:left="1418" w:header="709" w:footer="709" w:gutter="0"/>
          <w:cols w:space="708"/>
          <w:docGrid w:linePitch="360"/>
        </w:sectPr>
      </w:pPr>
    </w:p>
    <w:p w14:paraId="7D4A8A51" w14:textId="64E8777D" w:rsidR="00C16EC8" w:rsidRPr="009E1B38" w:rsidRDefault="00A406AD" w:rsidP="003C5E4D">
      <w:pPr>
        <w:pStyle w:val="Balk1"/>
        <w:numPr>
          <w:ilvl w:val="0"/>
          <w:numId w:val="46"/>
        </w:numPr>
        <w:spacing w:before="0"/>
        <w:rPr>
          <w:rFonts w:eastAsia="Times New Roman" w:cs="Times New Roman"/>
          <w:szCs w:val="24"/>
        </w:rPr>
      </w:pPr>
      <w:bookmarkStart w:id="235" w:name="_Toc113615373"/>
      <w:r w:rsidRPr="009E1B38">
        <w:rPr>
          <w:rFonts w:eastAsia="Times New Roman" w:cs="Times New Roman"/>
          <w:szCs w:val="24"/>
        </w:rPr>
        <w:lastRenderedPageBreak/>
        <w:t>INFORMATION SYSTEM ACTIVITIES</w:t>
      </w:r>
      <w:bookmarkEnd w:id="235"/>
    </w:p>
    <w:p w14:paraId="7D4A8A52" w14:textId="77777777" w:rsidR="00997D3F" w:rsidRPr="009E1B38" w:rsidRDefault="00997D3F" w:rsidP="00997D3F">
      <w:pPr>
        <w:rPr>
          <w:rFonts w:ascii="Times New Roman" w:eastAsia="Times New Roman" w:hAnsi="Times New Roman"/>
        </w:rPr>
      </w:pPr>
    </w:p>
    <w:p w14:paraId="3222ED1B" w14:textId="7864AB2D" w:rsidR="00371CC2" w:rsidRPr="009E1B38" w:rsidRDefault="00371CC2" w:rsidP="007304A5">
      <w:pPr>
        <w:ind w:firstLine="360"/>
        <w:rPr>
          <w:rFonts w:ascii="Times New Roman" w:eastAsia="Times New Roman" w:hAnsi="Times New Roman"/>
          <w:color w:val="000000" w:themeColor="text1"/>
        </w:rPr>
      </w:pPr>
      <w:bookmarkStart w:id="236" w:name="_Toc36205075"/>
      <w:r w:rsidRPr="009E1B38">
        <w:rPr>
          <w:rFonts w:ascii="Times New Roman" w:eastAsia="Times New Roman" w:hAnsi="Times New Roman"/>
          <w:color w:val="000000" w:themeColor="text1"/>
        </w:rPr>
        <w:t>In this section, the activities carried out in 2021 within the scope of information services within the Authority are explained. Within the scope of information systems, EPVYS, EBİS, EPARS, EBYS, VEPS and KKP have been installed within the Authority, and studies for the development of these systems are continuing. Significant progress has been made within the scope of the İSMS operation and the National Cyber Security Strategy and Action Plan 2020-2023.</w:t>
      </w:r>
    </w:p>
    <w:p w14:paraId="5B8C3714" w14:textId="3052893F" w:rsidR="00F57685" w:rsidRPr="009E1B38" w:rsidRDefault="00F57685" w:rsidP="00F57685">
      <w:pPr>
        <w:pStyle w:val="Balk2"/>
        <w:rPr>
          <w:rFonts w:eastAsia="Times New Roman" w:cs="Times New Roman"/>
          <w:color w:val="000000" w:themeColor="text1"/>
        </w:rPr>
      </w:pPr>
      <w:bookmarkStart w:id="237" w:name="_Toc113615374"/>
      <w:bookmarkEnd w:id="236"/>
      <w:r w:rsidRPr="009E1B38">
        <w:rPr>
          <w:rFonts w:eastAsia="Times New Roman" w:cs="Times New Roman"/>
          <w:color w:val="000000" w:themeColor="text1"/>
        </w:rPr>
        <w:t>5.1 Information Security Management System (ISMS)</w:t>
      </w:r>
      <w:bookmarkEnd w:id="237"/>
    </w:p>
    <w:p w14:paraId="15AC1FF7" w14:textId="77777777" w:rsidR="00A84E13" w:rsidRPr="009E1B38" w:rsidRDefault="00A84E13" w:rsidP="000F0439">
      <w:pPr>
        <w:rPr>
          <w:rFonts w:ascii="Times New Roman" w:eastAsia="Times New Roman" w:hAnsi="Times New Roman"/>
          <w:color w:val="000000" w:themeColor="text1"/>
        </w:rPr>
      </w:pPr>
      <w:r w:rsidRPr="009E1B38">
        <w:rPr>
          <w:rFonts w:ascii="Times New Roman" w:eastAsia="Times New Roman" w:hAnsi="Times New Roman"/>
          <w:color w:val="000000" w:themeColor="text1"/>
        </w:rPr>
        <w:t>Within the scope of the TS İSO/İEC 27001:2013 certificate obtained with the İSMS operated in the authority, the document renewal studies have been successfully completed.</w:t>
      </w:r>
    </w:p>
    <w:p w14:paraId="305C3AF1" w14:textId="77777777" w:rsidR="000F0439" w:rsidRPr="009E1B38" w:rsidRDefault="000F0439" w:rsidP="000F0439">
      <w:pPr>
        <w:rPr>
          <w:rFonts w:ascii="Times New Roman" w:eastAsia="Times New Roman" w:hAnsi="Times New Roman"/>
          <w:color w:val="000000" w:themeColor="text1"/>
        </w:rPr>
      </w:pPr>
      <w:r w:rsidRPr="009E1B38">
        <w:rPr>
          <w:rFonts w:ascii="Times New Roman" w:eastAsia="Times New Roman" w:hAnsi="Times New Roman"/>
          <w:color w:val="000000" w:themeColor="text1"/>
        </w:rPr>
        <w:t>In accordance with the “Information Security Regulation in Industrial Control Systems Used in the Energy Sector” published in the Official Gazette dated 13.07.2017 and numbered 30123, within the scope of the necessary legislative arrangements and subsequent audits in order for the Sectoral SOMEs to have an effective control and sanction power over the Authorial SOMEs. Audit activities could not be carried out due to the global Covid-19 outbreak, instead, remote monitoring of sector information security activities was carried out.</w:t>
      </w:r>
    </w:p>
    <w:p w14:paraId="35104181" w14:textId="77777777" w:rsidR="00F1497D" w:rsidRPr="009E1B38" w:rsidRDefault="00F1497D" w:rsidP="00F1497D">
      <w:pPr>
        <w:rPr>
          <w:rFonts w:ascii="Times New Roman" w:eastAsia="Times New Roman" w:hAnsi="Times New Roman"/>
          <w:color w:val="000000" w:themeColor="text1"/>
        </w:rPr>
      </w:pPr>
      <w:r w:rsidRPr="009E1B38">
        <w:rPr>
          <w:rFonts w:ascii="Times New Roman" w:eastAsia="Times New Roman" w:hAnsi="Times New Roman"/>
          <w:color w:val="000000" w:themeColor="text1"/>
        </w:rPr>
        <w:t>Within the framework of compliance with the Information and Communication Security Guide prepared by the Presidency's Digital Transformation Office and opened to access on 27.07.2020, work has been started both in our Authority and in businesses defined as critical infrastructure in the energy sector.</w:t>
      </w:r>
    </w:p>
    <w:p w14:paraId="37AF113B" w14:textId="77777777" w:rsidR="002E4AB5" w:rsidRPr="009E1B38" w:rsidRDefault="002E4AB5" w:rsidP="002E4AB5">
      <w:pPr>
        <w:rPr>
          <w:rFonts w:ascii="Times New Roman" w:eastAsia="Times New Roman" w:hAnsi="Times New Roman"/>
          <w:color w:val="000000" w:themeColor="text1"/>
        </w:rPr>
      </w:pPr>
      <w:r w:rsidRPr="009E1B38">
        <w:rPr>
          <w:rFonts w:ascii="Times New Roman" w:eastAsia="Times New Roman" w:hAnsi="Times New Roman"/>
          <w:color w:val="000000" w:themeColor="text1"/>
        </w:rPr>
        <w:t>Cyber ​​security maturity model studies in the energy sector continued.</w:t>
      </w:r>
    </w:p>
    <w:p w14:paraId="57A714B2" w14:textId="4F399BBD" w:rsidR="00E4000C" w:rsidRPr="009E1B38" w:rsidRDefault="00AC590F" w:rsidP="002E4AB5">
      <w:pPr>
        <w:rPr>
          <w:rFonts w:ascii="Times New Roman" w:eastAsia="Times New Roman" w:hAnsi="Times New Roman"/>
          <w:color w:val="000000" w:themeColor="text1"/>
        </w:rPr>
      </w:pPr>
      <w:bookmarkStart w:id="238" w:name="_Toc36205076"/>
      <w:r w:rsidRPr="009E1B38">
        <w:rPr>
          <w:rFonts w:ascii="Times New Roman" w:eastAsia="Times New Roman" w:hAnsi="Times New Roman"/>
          <w:color w:val="000000" w:themeColor="text1"/>
        </w:rPr>
        <w:t xml:space="preserve">Within the scope of the National Cyber Security Strategy and Action Plan (2020-2023); In accordance with action article 10.2 "Performing sectoral cyber security </w:t>
      </w:r>
      <w:r w:rsidR="00C77693" w:rsidRPr="009E1B38">
        <w:rPr>
          <w:rFonts w:ascii="Times New Roman" w:eastAsia="Times New Roman" w:hAnsi="Times New Roman"/>
          <w:color w:val="000000" w:themeColor="text1"/>
        </w:rPr>
        <w:t>drill</w:t>
      </w:r>
      <w:r w:rsidRPr="009E1B38">
        <w:rPr>
          <w:rFonts w:ascii="Times New Roman" w:eastAsia="Times New Roman" w:hAnsi="Times New Roman"/>
          <w:color w:val="000000" w:themeColor="text1"/>
        </w:rPr>
        <w:t>", preparation studies are carried out by the Authority, which is the sectoral SOME of the energy sector.</w:t>
      </w:r>
    </w:p>
    <w:p w14:paraId="7D4A8A5A" w14:textId="2740FECD" w:rsidR="00127EAE" w:rsidRPr="009E1B38" w:rsidRDefault="00120E92" w:rsidP="004C0F08">
      <w:pPr>
        <w:pStyle w:val="Balk2"/>
        <w:rPr>
          <w:rFonts w:eastAsia="Times New Roman" w:cs="Times New Roman"/>
        </w:rPr>
      </w:pPr>
      <w:bookmarkStart w:id="239" w:name="_Toc113615375"/>
      <w:bookmarkEnd w:id="238"/>
      <w:r w:rsidRPr="009E1B38">
        <w:rPr>
          <w:rFonts w:eastAsia="Times New Roman" w:cs="Times New Roman"/>
        </w:rPr>
        <w:t>5</w:t>
      </w:r>
      <w:r w:rsidR="004C0F08" w:rsidRPr="009E1B38">
        <w:rPr>
          <w:rFonts w:eastAsia="Times New Roman" w:cs="Times New Roman"/>
        </w:rPr>
        <w:t>.2</w:t>
      </w:r>
      <w:r w:rsidR="004945F0" w:rsidRPr="009E1B38">
        <w:rPr>
          <w:rFonts w:eastAsia="Times New Roman" w:cs="Times New Roman"/>
        </w:rPr>
        <w:t xml:space="preserve"> </w:t>
      </w:r>
      <w:r w:rsidR="00A406AD" w:rsidRPr="009E1B38">
        <w:rPr>
          <w:rFonts w:eastAsia="Times New Roman" w:cs="Times New Roman"/>
        </w:rPr>
        <w:t>Information Inf</w:t>
      </w:r>
      <w:r w:rsidR="00C25CDB" w:rsidRPr="009E1B38">
        <w:rPr>
          <w:rFonts w:eastAsia="Times New Roman" w:cs="Times New Roman"/>
        </w:rPr>
        <w:t>rastructure System and Support Services</w:t>
      </w:r>
      <w:bookmarkEnd w:id="239"/>
    </w:p>
    <w:p w14:paraId="10371C9C" w14:textId="77777777" w:rsidR="003A2B73" w:rsidRPr="009E1B38" w:rsidRDefault="003A2B73" w:rsidP="00127EAE">
      <w:pPr>
        <w:rPr>
          <w:rFonts w:ascii="Times New Roman" w:eastAsia="Times New Roman" w:hAnsi="Times New Roman"/>
          <w:color w:val="000000" w:themeColor="text1"/>
        </w:rPr>
      </w:pPr>
      <w:r w:rsidRPr="009E1B38">
        <w:rPr>
          <w:rFonts w:ascii="Times New Roman" w:eastAsia="Times New Roman" w:hAnsi="Times New Roman"/>
          <w:color w:val="000000" w:themeColor="text1"/>
        </w:rPr>
        <w:t>Configuration improvement and tightening of the newly supplied storage unit, backup and network control software were carried out. Access rights have been defined in line with their demands for group presidencies in need of storage space.</w:t>
      </w:r>
    </w:p>
    <w:p w14:paraId="3D48FD65" w14:textId="77777777" w:rsidR="003A2B73" w:rsidRPr="009E1B38" w:rsidRDefault="003A2B73" w:rsidP="00127EAE">
      <w:pPr>
        <w:rPr>
          <w:rFonts w:ascii="Times New Roman" w:eastAsia="Times New Roman" w:hAnsi="Times New Roman"/>
          <w:color w:val="000000" w:themeColor="text1"/>
        </w:rPr>
      </w:pPr>
      <w:r w:rsidRPr="009E1B38">
        <w:rPr>
          <w:rFonts w:ascii="Times New Roman" w:eastAsia="Times New Roman" w:hAnsi="Times New Roman"/>
          <w:color w:val="000000" w:themeColor="text1"/>
        </w:rPr>
        <w:t>The configuration works of the servers provided for the purpose of increasing the virtualization infrastructure capacity have been completed. Work on network virtualization continues.</w:t>
      </w:r>
    </w:p>
    <w:p w14:paraId="0A1F13C5" w14:textId="77777777" w:rsidR="003A2B73" w:rsidRPr="009E1B38" w:rsidRDefault="003A2B73" w:rsidP="00421965">
      <w:pPr>
        <w:rPr>
          <w:rFonts w:ascii="Times New Roman" w:eastAsia="Times New Roman" w:hAnsi="Times New Roman"/>
          <w:color w:val="000000" w:themeColor="text1"/>
        </w:rPr>
      </w:pPr>
      <w:r w:rsidRPr="009E1B38">
        <w:rPr>
          <w:rFonts w:ascii="Times New Roman" w:eastAsia="Times New Roman" w:hAnsi="Times New Roman"/>
          <w:color w:val="000000" w:themeColor="text1"/>
        </w:rPr>
        <w:t>In order to ensure secure access to the GIS data of electricity and natural gas distributor companies, the process of establishing site-to-site VPN tunnels with the said companies continued.</w:t>
      </w:r>
    </w:p>
    <w:p w14:paraId="74296F87" w14:textId="77777777" w:rsidR="00421965" w:rsidRPr="009E1B38" w:rsidRDefault="00421965" w:rsidP="00421965">
      <w:pPr>
        <w:rPr>
          <w:rFonts w:ascii="Times New Roman" w:eastAsia="Times New Roman" w:hAnsi="Times New Roman"/>
          <w:color w:val="000000" w:themeColor="text1"/>
        </w:rPr>
      </w:pPr>
      <w:r w:rsidRPr="009E1B38">
        <w:rPr>
          <w:rFonts w:ascii="Times New Roman" w:eastAsia="Times New Roman" w:hAnsi="Times New Roman"/>
          <w:color w:val="000000" w:themeColor="text1"/>
        </w:rPr>
        <w:t>In order to configure the EDVARS system in accordance with the relevant cyber security directives and user management provided by EMRA, studies have been initiated with companies holding Electricity Market Distributor License.</w:t>
      </w:r>
    </w:p>
    <w:p w14:paraId="1C59A687" w14:textId="77777777" w:rsidR="00C40A61" w:rsidRPr="009E1B38" w:rsidRDefault="00C40A61" w:rsidP="00127EAE">
      <w:pPr>
        <w:rPr>
          <w:rFonts w:ascii="Times New Roman" w:eastAsia="Times New Roman" w:hAnsi="Times New Roman"/>
          <w:color w:val="000000" w:themeColor="text1"/>
        </w:rPr>
      </w:pPr>
      <w:r w:rsidRPr="009E1B38">
        <w:rPr>
          <w:rFonts w:ascii="Times New Roman" w:eastAsia="Times New Roman" w:hAnsi="Times New Roman"/>
          <w:color w:val="000000" w:themeColor="text1"/>
        </w:rPr>
        <w:t>POC studies have been initiated for the PIM/PAM product, which is planned to be supplied in order to ensure authorized accounts and remote access security.</w:t>
      </w:r>
    </w:p>
    <w:p w14:paraId="7A332BE3" w14:textId="77777777" w:rsidR="0064755F" w:rsidRPr="009E1B38" w:rsidRDefault="0064755F" w:rsidP="00127EAE">
      <w:pPr>
        <w:rPr>
          <w:rFonts w:ascii="Times New Roman" w:eastAsia="Times New Roman" w:hAnsi="Times New Roman"/>
          <w:color w:val="000000" w:themeColor="text1"/>
        </w:rPr>
      </w:pPr>
    </w:p>
    <w:p w14:paraId="3469109E" w14:textId="77777777" w:rsidR="0064755F" w:rsidRPr="009E1B38" w:rsidRDefault="00F5278B" w:rsidP="0064755F">
      <w:pPr>
        <w:rPr>
          <w:rStyle w:val="q4iawc"/>
          <w:rFonts w:ascii="Times New Roman" w:eastAsia="Times New Roman" w:hAnsi="Times New Roman"/>
          <w:color w:val="000000"/>
        </w:rPr>
      </w:pPr>
      <w:r w:rsidRPr="009E1B38">
        <w:rPr>
          <w:rFonts w:ascii="Times New Roman" w:eastAsia="Times New Roman" w:hAnsi="Times New Roman"/>
          <w:color w:val="000000" w:themeColor="text1"/>
        </w:rPr>
        <w:t xml:space="preserve">Vulnerability and asset management software was provided in order to maintain a healthier vulnerability management. The process of assigning and monitoring the findings of the vulnerability scanning and annual </w:t>
      </w:r>
      <w:r w:rsidRPr="009E1B38">
        <w:rPr>
          <w:rFonts w:ascii="Times New Roman" w:eastAsia="Times New Roman" w:hAnsi="Times New Roman"/>
          <w:color w:val="000000" w:themeColor="text1"/>
        </w:rPr>
        <w:lastRenderedPageBreak/>
        <w:t>penetration test carried out under the coordination of the product to the responsible persons started to be carried out with the product in question.</w:t>
      </w:r>
      <w:r w:rsidR="0064755F" w:rsidRPr="009E1B38">
        <w:rPr>
          <w:rStyle w:val="q4iawc"/>
          <w:rFonts w:ascii="Times New Roman" w:eastAsia="Times New Roman" w:hAnsi="Times New Roman"/>
          <w:color w:val="000000" w:themeColor="text1"/>
        </w:rPr>
        <w:t xml:space="preserve"> </w:t>
      </w:r>
    </w:p>
    <w:p w14:paraId="2269A21C" w14:textId="73D7AF32" w:rsidR="00F5278B" w:rsidRPr="009E1B38" w:rsidRDefault="00F5278B" w:rsidP="0064755F">
      <w:pPr>
        <w:rPr>
          <w:rFonts w:ascii="Times New Roman" w:eastAsia="Times New Roman" w:hAnsi="Times New Roman"/>
          <w:color w:val="000000" w:themeColor="text1"/>
        </w:rPr>
      </w:pPr>
      <w:r w:rsidRPr="009E1B38">
        <w:rPr>
          <w:rStyle w:val="q4iawc"/>
          <w:rFonts w:ascii="Times New Roman" w:eastAsia="Times New Roman" w:hAnsi="Times New Roman"/>
          <w:color w:val="000000" w:themeColor="text1"/>
        </w:rPr>
        <w:t>Routine studies regarding corporate systems, networks and cyber security infrastructure were continued, and development and improvement activities were carried out in line with the regular reviews and requests of the relevant groups</w:t>
      </w:r>
    </w:p>
    <w:p w14:paraId="7D4A8A62" w14:textId="1A72048A" w:rsidR="00127EAE" w:rsidRPr="009E1B38" w:rsidRDefault="00335C35" w:rsidP="003C5E4D">
      <w:pPr>
        <w:pStyle w:val="Balk2"/>
        <w:numPr>
          <w:ilvl w:val="1"/>
          <w:numId w:val="62"/>
        </w:numPr>
        <w:rPr>
          <w:rFonts w:eastAsia="Times New Roman" w:cs="Times New Roman"/>
        </w:rPr>
      </w:pPr>
      <w:bookmarkStart w:id="240" w:name="_Toc113615376"/>
      <w:r w:rsidRPr="009E1B38">
        <w:rPr>
          <w:rFonts w:eastAsia="Times New Roman" w:cs="Times New Roman"/>
        </w:rPr>
        <w:t>Electric Document Management System</w:t>
      </w:r>
      <w:r w:rsidR="004945F0" w:rsidRPr="009E1B38">
        <w:rPr>
          <w:rFonts w:eastAsia="Times New Roman" w:cs="Times New Roman"/>
        </w:rPr>
        <w:t xml:space="preserve"> (E</w:t>
      </w:r>
      <w:r w:rsidRPr="009E1B38">
        <w:rPr>
          <w:rFonts w:eastAsia="Times New Roman" w:cs="Times New Roman"/>
        </w:rPr>
        <w:t>DM</w:t>
      </w:r>
      <w:r w:rsidR="004945F0" w:rsidRPr="009E1B38">
        <w:rPr>
          <w:rFonts w:eastAsia="Times New Roman" w:cs="Times New Roman"/>
        </w:rPr>
        <w:t>S)</w:t>
      </w:r>
      <w:bookmarkEnd w:id="240"/>
    </w:p>
    <w:p w14:paraId="24CB47C8" w14:textId="77777777" w:rsidR="000F2661" w:rsidRPr="009E1B38" w:rsidRDefault="000F2661" w:rsidP="000F2661">
      <w:pPr>
        <w:rPr>
          <w:rFonts w:ascii="Times New Roman" w:eastAsia="Times New Roman" w:hAnsi="Times New Roman"/>
        </w:rPr>
      </w:pPr>
    </w:p>
    <w:p w14:paraId="7E2B5890" w14:textId="21F08FD9" w:rsidR="000F2661" w:rsidRPr="009E1B38" w:rsidRDefault="000F2661" w:rsidP="000F2661">
      <w:pPr>
        <w:rPr>
          <w:rFonts w:ascii="Times New Roman" w:eastAsia="Times New Roman" w:hAnsi="Times New Roman"/>
        </w:rPr>
      </w:pPr>
      <w:r w:rsidRPr="009E1B38">
        <w:rPr>
          <w:rFonts w:ascii="Times New Roman" w:eastAsia="Times New Roman" w:hAnsi="Times New Roman"/>
        </w:rPr>
        <w:t>Within the scope of the "Regulation on the Procedures and Principles to be Applied in Official Correspondence", which was published in the Official Gazette dated 10.06.2020 and numbered 31151, the harmonization of the EBYS application with the new regulation was completed and activated as of 01.01.2021.</w:t>
      </w:r>
    </w:p>
    <w:p w14:paraId="0749654B"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Work flows were updated within the scope of the regulation.</w:t>
      </w:r>
    </w:p>
    <w:p w14:paraId="25BFAAB7"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Correspondence templates are arranged in accordance with the regulation.</w:t>
      </w:r>
    </w:p>
    <w:p w14:paraId="4504F85C"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Studies have been carried out to harmonize the system (EYP) with 2.0.</w:t>
      </w:r>
    </w:p>
    <w:p w14:paraId="6AB8BF01"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Hardware Security Module (HSM-Hardware Security Module), a secure e-signature creation tool for Electronic Seal and Corporate Encryption certificates, was purchased. It was commissioned after necessary integration with EBYS.</w:t>
      </w:r>
    </w:p>
    <w:p w14:paraId="4C84848C"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Corporate seal and corporate encryption certificates were obtained from Kamu SM within the framework of the updates made in the e-Correspondence (EYP 2.0) Technical Guide published by the Presidency's Digital Transformation Office on 28.08.2020.</w:t>
      </w:r>
    </w:p>
    <w:p w14:paraId="12DDBA04"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Remote technical support was provided to personnel who had problems with the system.</w:t>
      </w:r>
    </w:p>
    <w:p w14:paraId="5F35E60C"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Improvements were made in the EBYS Mobile Application.</w:t>
      </w:r>
    </w:p>
    <w:p w14:paraId="31C735D9"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An annual maintenance contract for the system has been made.</w:t>
      </w:r>
    </w:p>
    <w:p w14:paraId="4269975B"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Version updates were made periodically.</w:t>
      </w:r>
    </w:p>
    <w:p w14:paraId="67E04982"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Updates were made in the types of documents running on the system.</w:t>
      </w:r>
    </w:p>
    <w:p w14:paraId="2270FD0F"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System settings have been updated.</w:t>
      </w:r>
    </w:p>
    <w:p w14:paraId="63A8F373"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System Integration settings have been updated.</w:t>
      </w:r>
    </w:p>
    <w:p w14:paraId="63907C29"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Updates were made in UETS EBYS Integration processes.</w:t>
      </w:r>
    </w:p>
    <w:p w14:paraId="38F814A0"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DETSIS EBYS Integration was carried out.</w:t>
      </w:r>
    </w:p>
    <w:p w14:paraId="203C0EE6"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The Consumer Complaints Module published on the Institution's website has been made mobile compatible.</w:t>
      </w:r>
    </w:p>
    <w:p w14:paraId="3B14600D" w14:textId="77777777" w:rsidR="00BC75A5" w:rsidRPr="009E1B38" w:rsidRDefault="00BC75A5" w:rsidP="00BC75A5">
      <w:pPr>
        <w:rPr>
          <w:rFonts w:ascii="Times New Roman" w:eastAsia="Times New Roman" w:hAnsi="Times New Roman"/>
          <w:color w:val="000000" w:themeColor="text1"/>
        </w:rPr>
      </w:pPr>
      <w:r w:rsidRPr="009E1B38">
        <w:rPr>
          <w:rFonts w:ascii="Times New Roman" w:eastAsia="Times New Roman" w:hAnsi="Times New Roman"/>
          <w:color w:val="000000" w:themeColor="text1"/>
        </w:rPr>
        <w:t>• E-signatures were purchased for newly recruited personnel.</w:t>
      </w:r>
    </w:p>
    <w:p w14:paraId="7D4A8A75" w14:textId="17B5AC0A" w:rsidR="00127EAE" w:rsidRPr="009E1B38" w:rsidRDefault="00BC75A5" w:rsidP="00127EAE">
      <w:pPr>
        <w:rPr>
          <w:rFonts w:ascii="Times New Roman" w:eastAsia="Times New Roman" w:hAnsi="Times New Roman"/>
          <w:color w:val="000000" w:themeColor="text1"/>
        </w:rPr>
      </w:pPr>
      <w:r w:rsidRPr="009E1B38">
        <w:rPr>
          <w:rFonts w:ascii="Times New Roman" w:eastAsia="Times New Roman" w:hAnsi="Times New Roman"/>
          <w:color w:val="000000" w:themeColor="text1"/>
        </w:rPr>
        <w:t>• The e-signatures of the personnel whose e-signatures expired were renewed.</w:t>
      </w:r>
    </w:p>
    <w:p w14:paraId="7D4A8A76" w14:textId="263E6FCA" w:rsidR="004945F0" w:rsidRPr="009E1B38" w:rsidRDefault="00375E01" w:rsidP="003C5E4D">
      <w:pPr>
        <w:pStyle w:val="Balk2"/>
        <w:numPr>
          <w:ilvl w:val="1"/>
          <w:numId w:val="62"/>
        </w:numPr>
        <w:rPr>
          <w:rFonts w:eastAsia="Times New Roman" w:cs="Times New Roman"/>
        </w:rPr>
      </w:pPr>
      <w:bookmarkStart w:id="241" w:name="_Toc113615377"/>
      <w:r w:rsidRPr="009E1B38">
        <w:rPr>
          <w:rFonts w:eastAsia="Times New Roman" w:cs="Times New Roman"/>
        </w:rPr>
        <w:t>Authority’s Website</w:t>
      </w:r>
      <w:bookmarkEnd w:id="241"/>
    </w:p>
    <w:p w14:paraId="6C76836A" w14:textId="77777777" w:rsidR="00826F60" w:rsidRPr="009E1B38" w:rsidRDefault="00826F60" w:rsidP="00826F60">
      <w:pPr>
        <w:rPr>
          <w:rFonts w:ascii="Times New Roman" w:eastAsia="Times New Roman" w:hAnsi="Times New Roman"/>
          <w:color w:val="000000" w:themeColor="text1"/>
        </w:rPr>
      </w:pPr>
      <w:bookmarkStart w:id="242" w:name="_Toc442262794"/>
      <w:bookmarkStart w:id="243" w:name="_Toc514251678"/>
      <w:bookmarkStart w:id="244" w:name="_Toc36205081"/>
      <w:r w:rsidRPr="009E1B38">
        <w:rPr>
          <w:rFonts w:ascii="Times New Roman" w:eastAsia="Times New Roman" w:hAnsi="Times New Roman"/>
          <w:color w:val="000000" w:themeColor="text1"/>
        </w:rPr>
        <w:t>The development of the Authority's website continues in line with the requests from the Departments and users.</w:t>
      </w:r>
    </w:p>
    <w:p w14:paraId="7D4A8A78" w14:textId="250D5D02" w:rsidR="007A6D01" w:rsidRPr="009E1B38" w:rsidRDefault="00375E01" w:rsidP="003C5E4D">
      <w:pPr>
        <w:pStyle w:val="Balk2"/>
        <w:numPr>
          <w:ilvl w:val="1"/>
          <w:numId w:val="62"/>
        </w:numPr>
        <w:rPr>
          <w:rFonts w:eastAsia="Times New Roman" w:cs="Times New Roman"/>
        </w:rPr>
      </w:pPr>
      <w:bookmarkStart w:id="245" w:name="_Toc113615378"/>
      <w:r w:rsidRPr="009E1B38">
        <w:rPr>
          <w:rFonts w:eastAsia="Times New Roman" w:cs="Times New Roman"/>
        </w:rPr>
        <w:lastRenderedPageBreak/>
        <w:t>Enterprise Resource Planning (ERP</w:t>
      </w:r>
      <w:r w:rsidR="004945F0" w:rsidRPr="009E1B38">
        <w:rPr>
          <w:rFonts w:eastAsia="Times New Roman" w:cs="Times New Roman"/>
        </w:rPr>
        <w:t>)</w:t>
      </w:r>
      <w:bookmarkEnd w:id="245"/>
      <w:r w:rsidR="004945F0" w:rsidRPr="009E1B38">
        <w:rPr>
          <w:rFonts w:eastAsia="Times New Roman" w:cs="Times New Roman"/>
        </w:rPr>
        <w:t xml:space="preserve"> </w:t>
      </w:r>
      <w:bookmarkEnd w:id="242"/>
      <w:bookmarkEnd w:id="243"/>
      <w:bookmarkEnd w:id="244"/>
    </w:p>
    <w:p w14:paraId="11E87548" w14:textId="2A66692C" w:rsidR="000A5132" w:rsidRPr="009E1B38" w:rsidRDefault="000A5132" w:rsidP="007A6D01">
      <w:pPr>
        <w:pStyle w:val="Default"/>
        <w:spacing w:after="200" w:line="276" w:lineRule="auto"/>
        <w:jc w:val="both"/>
        <w:rPr>
          <w:rFonts w:eastAsia="Times New Roman"/>
          <w:color w:val="000000" w:themeColor="text1"/>
          <w:sz w:val="22"/>
          <w:szCs w:val="22"/>
          <w:lang w:val="en-US"/>
        </w:rPr>
      </w:pPr>
      <w:r w:rsidRPr="009E1B38">
        <w:rPr>
          <w:rFonts w:eastAsia="Times New Roman"/>
          <w:color w:val="000000" w:themeColor="text1"/>
          <w:sz w:val="22"/>
          <w:szCs w:val="22"/>
          <w:lang w:val="en-US"/>
        </w:rPr>
        <w:t>ERP modules, which have been developed and updated on the Institution Intranet Portal since June 2020, by our institution personnel together with all their modules</w:t>
      </w:r>
      <w:r w:rsidR="007E77B8" w:rsidRPr="009E1B38">
        <w:rPr>
          <w:rFonts w:eastAsia="Times New Roman"/>
          <w:lang w:val="en-US"/>
        </w:rPr>
        <w:t xml:space="preserve"> </w:t>
      </w:r>
      <w:r w:rsidR="007E77B8" w:rsidRPr="009E1B38">
        <w:rPr>
          <w:rFonts w:eastAsia="Times New Roman"/>
          <w:color w:val="000000" w:themeColor="text1"/>
          <w:sz w:val="22"/>
          <w:szCs w:val="22"/>
          <w:lang w:val="en-US"/>
        </w:rPr>
        <w:t>(Personnel compendiousness, promotion, staff, overtime, leave, salary, accrual, per diem, contract tracking, cafeteria, visitor tracking, personnel identity management, etc.)</w:t>
      </w:r>
      <w:r w:rsidRPr="009E1B38">
        <w:rPr>
          <w:rFonts w:eastAsia="Times New Roman"/>
          <w:color w:val="000000" w:themeColor="text1"/>
          <w:sz w:val="22"/>
          <w:szCs w:val="22"/>
          <w:lang w:val="en-US"/>
        </w:rPr>
        <w:t>, continue in 2021, and all corporate resource work and transactions are integrated with each other in the electronic environment.</w:t>
      </w:r>
    </w:p>
    <w:p w14:paraId="7D4A8A7A" w14:textId="0397CA78" w:rsidR="007A6D01" w:rsidRPr="009E1B38" w:rsidRDefault="007E77B8" w:rsidP="007A6D01">
      <w:pPr>
        <w:pStyle w:val="Default"/>
        <w:spacing w:after="200" w:line="276" w:lineRule="auto"/>
        <w:jc w:val="both"/>
        <w:rPr>
          <w:rFonts w:eastAsia="Times New Roman"/>
          <w:color w:val="000000" w:themeColor="text1"/>
          <w:sz w:val="22"/>
          <w:szCs w:val="22"/>
          <w:lang w:val="en-US"/>
        </w:rPr>
      </w:pPr>
      <w:r w:rsidRPr="009E1B38">
        <w:rPr>
          <w:rFonts w:eastAsia="Times New Roman"/>
          <w:color w:val="000000" w:themeColor="text1"/>
          <w:sz w:val="22"/>
          <w:szCs w:val="22"/>
          <w:lang w:val="en-US"/>
        </w:rPr>
        <w:t>Within the scope of combating the Covid-19 epidemic, personnel HES monitoring software activities were carried out on the Institution Intranet for the preparation of web services and interfaces using these services, within the scope of integration with the "Hayat Eve Sığar" Web Service Application regarding the Hayat Eve Sığar (HES) code query service.</w:t>
      </w:r>
    </w:p>
    <w:p w14:paraId="1DD1B671" w14:textId="1A440BAB" w:rsidR="000112D9" w:rsidRPr="009E1B38" w:rsidRDefault="000112D9" w:rsidP="007A6D01">
      <w:pPr>
        <w:pStyle w:val="Default"/>
        <w:spacing w:after="200" w:line="276" w:lineRule="auto"/>
        <w:jc w:val="both"/>
        <w:rPr>
          <w:rFonts w:eastAsia="Times New Roman"/>
          <w:color w:val="000000" w:themeColor="text1"/>
          <w:sz w:val="22"/>
          <w:szCs w:val="22"/>
          <w:lang w:val="en-US"/>
        </w:rPr>
      </w:pPr>
      <w:r w:rsidRPr="009E1B38">
        <w:rPr>
          <w:rFonts w:eastAsia="Times New Roman"/>
          <w:color w:val="000000" w:themeColor="text1"/>
          <w:sz w:val="22"/>
          <w:szCs w:val="22"/>
          <w:lang w:val="en-US"/>
        </w:rPr>
        <w:t>Purchasing module started to be developed on the Institution Intranet on May 18, 2021, and the development process of the module continues.</w:t>
      </w:r>
    </w:p>
    <w:p w14:paraId="7D4A8A7C" w14:textId="53A0AF76" w:rsidR="007A6D01" w:rsidRPr="009E1B38" w:rsidRDefault="000112D9" w:rsidP="003C5E4D">
      <w:pPr>
        <w:pStyle w:val="Balk2"/>
        <w:numPr>
          <w:ilvl w:val="1"/>
          <w:numId w:val="62"/>
        </w:numPr>
        <w:rPr>
          <w:rFonts w:eastAsia="Times New Roman" w:cs="Times New Roman"/>
        </w:rPr>
      </w:pPr>
      <w:bookmarkStart w:id="246" w:name="_Toc113615379"/>
      <w:r w:rsidRPr="009E1B38">
        <w:rPr>
          <w:rFonts w:eastAsia="Times New Roman" w:cs="Times New Roman"/>
        </w:rPr>
        <w:t>Energy Market Analysis and Reporting System (EPARS</w:t>
      </w:r>
      <w:r w:rsidR="0080153B" w:rsidRPr="009E1B38">
        <w:rPr>
          <w:rFonts w:eastAsia="Times New Roman" w:cs="Times New Roman"/>
        </w:rPr>
        <w:t>)</w:t>
      </w:r>
      <w:bookmarkEnd w:id="246"/>
    </w:p>
    <w:p w14:paraId="22EDCFF3" w14:textId="77777777" w:rsidR="00A3232E" w:rsidRPr="009E1B38" w:rsidRDefault="00A3232E" w:rsidP="00A3232E">
      <w:pPr>
        <w:rPr>
          <w:rFonts w:ascii="Times New Roman" w:eastAsia="Times New Roman" w:hAnsi="Times New Roman"/>
          <w:color w:val="000000" w:themeColor="text1"/>
        </w:rPr>
      </w:pPr>
      <w:r w:rsidRPr="009E1B38">
        <w:rPr>
          <w:rFonts w:ascii="Times New Roman" w:eastAsia="Times New Roman" w:hAnsi="Times New Roman"/>
          <w:color w:val="000000" w:themeColor="text1"/>
        </w:rPr>
        <w:t>The Energy Market Analysis and Reporting System (EPARS), which serves the personnel of our authority, is a system established for the analysis and reporting of the energy market information needed in our authority. Data that may be meaningful for analysis and reporting on all systems used in the authority have been transferred to EPARS data warehouses, and other meaningful data continues to be transferred to these data warehouses in line with incoming requests. With EPARS, the data in these data warehouses can be queried, and reports can be generated by analyzing them.</w:t>
      </w:r>
    </w:p>
    <w:p w14:paraId="0A946492" w14:textId="77777777" w:rsidR="004D51E2" w:rsidRPr="009E1B38" w:rsidRDefault="004D51E2" w:rsidP="004D51E2">
      <w:pPr>
        <w:rPr>
          <w:rFonts w:ascii="Times New Roman" w:eastAsia="Times New Roman" w:hAnsi="Times New Roman"/>
          <w:color w:val="000000" w:themeColor="text1"/>
        </w:rPr>
      </w:pPr>
      <w:r w:rsidRPr="009E1B38">
        <w:rPr>
          <w:rFonts w:ascii="Times New Roman" w:eastAsia="Times New Roman" w:hAnsi="Times New Roman"/>
          <w:color w:val="000000" w:themeColor="text1"/>
        </w:rPr>
        <w:t>Within the scope of EPARS, authorized Authority personnel can dynamically generate their own reports, as well as use data that can be quickly queried based on more than one parameter and fixed reports prepared with these data. In reports; license data of petroleum, LPG, electricity, natural gas markets and data obtained from notifications sent to our Authority by companies operating in the mentioned sectors. The intercompany accuracy checks of the data sent by the companies are also carried out with EPARS cross-check reports.</w:t>
      </w:r>
    </w:p>
    <w:p w14:paraId="1579B691" w14:textId="0CC47ECB" w:rsidR="00861B9D" w:rsidRPr="009E1B38" w:rsidRDefault="00861B9D" w:rsidP="00861B9D">
      <w:pPr>
        <w:rPr>
          <w:rFonts w:ascii="Times New Roman" w:eastAsia="Times New Roman" w:hAnsi="Times New Roman"/>
          <w:color w:val="000000" w:themeColor="text1"/>
        </w:rPr>
      </w:pPr>
      <w:r w:rsidRPr="009E1B38">
        <w:rPr>
          <w:rFonts w:ascii="Times New Roman" w:eastAsia="Times New Roman" w:hAnsi="Times New Roman"/>
          <w:color w:val="000000" w:themeColor="text1"/>
        </w:rPr>
        <w:t xml:space="preserve">In 2021, in line with the report requests from the Departments, 47 new reports were </w:t>
      </w:r>
      <w:r w:rsidR="00C62C12" w:rsidRPr="009E1B38">
        <w:rPr>
          <w:rFonts w:ascii="Times New Roman" w:eastAsia="Times New Roman" w:hAnsi="Times New Roman"/>
          <w:color w:val="000000" w:themeColor="text1"/>
        </w:rPr>
        <w:t>created,</w:t>
      </w:r>
      <w:r w:rsidRPr="009E1B38">
        <w:rPr>
          <w:rFonts w:ascii="Times New Roman" w:eastAsia="Times New Roman" w:hAnsi="Times New Roman"/>
          <w:color w:val="000000" w:themeColor="text1"/>
        </w:rPr>
        <w:t xml:space="preserve"> and 143 existing reports were updated and made available to the authorized Authority personnel. In order to meet the data requests from other public authorities, the necessary web service queries were prepared.</w:t>
      </w:r>
    </w:p>
    <w:p w14:paraId="7BB47FB1" w14:textId="77777777" w:rsidR="00C62C12" w:rsidRPr="009E1B38" w:rsidRDefault="00C62C12" w:rsidP="00C62C12">
      <w:pPr>
        <w:rPr>
          <w:rFonts w:ascii="Times New Roman" w:eastAsia="Times New Roman" w:hAnsi="Times New Roman"/>
          <w:color w:val="000000" w:themeColor="text1"/>
        </w:rPr>
      </w:pPr>
      <w:r w:rsidRPr="009E1B38">
        <w:rPr>
          <w:rFonts w:ascii="Times New Roman" w:eastAsia="Times New Roman" w:hAnsi="Times New Roman"/>
          <w:color w:val="000000" w:themeColor="text1"/>
        </w:rPr>
        <w:t>During the year, maintenance, security, testing, performance and capacity increase studies were routinely carried out on data management and business intelligence servers.</w:t>
      </w:r>
    </w:p>
    <w:p w14:paraId="7D4A8A81" w14:textId="6138E930" w:rsidR="00120502" w:rsidRPr="009E1B38" w:rsidRDefault="007A1DDA" w:rsidP="003C5E4D">
      <w:pPr>
        <w:pStyle w:val="Balk2"/>
        <w:numPr>
          <w:ilvl w:val="1"/>
          <w:numId w:val="62"/>
        </w:numPr>
        <w:rPr>
          <w:rFonts w:eastAsia="Times New Roman" w:cs="Times New Roman"/>
        </w:rPr>
      </w:pPr>
      <w:bookmarkStart w:id="247" w:name="_Toc113615380"/>
      <w:r w:rsidRPr="009E1B38">
        <w:rPr>
          <w:rFonts w:eastAsia="Times New Roman" w:cs="Times New Roman"/>
        </w:rPr>
        <w:t>Energy Market Database Management System</w:t>
      </w:r>
      <w:r w:rsidR="00120502" w:rsidRPr="009E1B38">
        <w:rPr>
          <w:rFonts w:eastAsia="Times New Roman" w:cs="Times New Roman"/>
        </w:rPr>
        <w:t xml:space="preserve"> (E</w:t>
      </w:r>
      <w:r w:rsidRPr="009E1B38">
        <w:rPr>
          <w:rFonts w:eastAsia="Times New Roman" w:cs="Times New Roman"/>
        </w:rPr>
        <w:t>MDM</w:t>
      </w:r>
      <w:r w:rsidR="00120502" w:rsidRPr="009E1B38">
        <w:rPr>
          <w:rFonts w:eastAsia="Times New Roman" w:cs="Times New Roman"/>
        </w:rPr>
        <w:t>S)</w:t>
      </w:r>
      <w:bookmarkEnd w:id="247"/>
    </w:p>
    <w:p w14:paraId="20227B17" w14:textId="67847380" w:rsidR="00A61F47" w:rsidRPr="009E1B38" w:rsidRDefault="00A61F47" w:rsidP="00A61F47">
      <w:pPr>
        <w:rPr>
          <w:rFonts w:ascii="Times New Roman" w:eastAsia="Times New Roman" w:hAnsi="Times New Roman"/>
          <w:color w:val="000000" w:themeColor="text1"/>
        </w:rPr>
      </w:pPr>
      <w:r w:rsidRPr="009E1B38">
        <w:rPr>
          <w:rFonts w:ascii="Times New Roman" w:eastAsia="Times New Roman" w:hAnsi="Times New Roman"/>
          <w:color w:val="000000" w:themeColor="text1"/>
        </w:rPr>
        <w:t>Duties assigned to the authority by legislation; An information system was established and put into use, ensuring productivity and performance increase, being carried out in a fast and secure manner in electronic environment, and interoperability both within the Authority and with other Institutions and organizations. In this context, improvements and updates are made in line with the needs of License, Contact, Tariff, Litigation, Audit and Administrative Fines information for companies operating in the electricity, natural gas, petroleum and LPG markets. In this context, the works carried out in 202</w:t>
      </w:r>
      <w:r w:rsidR="00F03EB5" w:rsidRPr="009E1B38">
        <w:rPr>
          <w:rFonts w:ascii="Times New Roman" w:eastAsia="Times New Roman" w:hAnsi="Times New Roman"/>
          <w:color w:val="000000" w:themeColor="text1"/>
        </w:rPr>
        <w:t>1</w:t>
      </w:r>
      <w:r w:rsidRPr="009E1B38">
        <w:rPr>
          <w:rFonts w:ascii="Times New Roman" w:eastAsia="Times New Roman" w:hAnsi="Times New Roman"/>
          <w:color w:val="000000" w:themeColor="text1"/>
        </w:rPr>
        <w:t xml:space="preserve"> are as follows:</w:t>
      </w:r>
    </w:p>
    <w:p w14:paraId="2404E7FE" w14:textId="63B929B4" w:rsidR="006420C4" w:rsidRPr="009E1B38" w:rsidRDefault="006420C4"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EMDMS software development was carried out by the Institution personnel in line with the requests from the units.</w:t>
      </w:r>
    </w:p>
    <w:p w14:paraId="6B44D110" w14:textId="77777777" w:rsidR="006420C4" w:rsidRPr="009E1B38" w:rsidRDefault="006420C4" w:rsidP="006420C4">
      <w:pPr>
        <w:pStyle w:val="ListeParagraf"/>
        <w:rPr>
          <w:rFonts w:ascii="Times New Roman" w:eastAsia="Times New Roman" w:hAnsi="Times New Roman"/>
          <w:color w:val="000000" w:themeColor="text1"/>
        </w:rPr>
      </w:pPr>
    </w:p>
    <w:p w14:paraId="4A155231" w14:textId="3718A390" w:rsidR="006420C4" w:rsidRPr="009E1B38" w:rsidRDefault="006420C4"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 xml:space="preserve">Within the scope of Articles 6, 10, 11 and 12 of the Tax Procedure Law No. 7318 and the Law on Amendments to Some Laws, the due date to the Social Security Institution (SGK) in order to ensure the implementation of the legal regulations amending both the Law No. 5015 and the Law No. 5307 With </w:t>
      </w:r>
      <w:r w:rsidRPr="009E1B38">
        <w:rPr>
          <w:rFonts w:ascii="Times New Roman" w:eastAsia="Times New Roman" w:hAnsi="Times New Roman"/>
          <w:color w:val="000000" w:themeColor="text1"/>
        </w:rPr>
        <w:lastRenderedPageBreak/>
        <w:t>the Additional Protocol between the Energy Market Regulatory Authority and the Revenue Administration (GIB) on the Principles of Data Access, Sharing and Use, with the SGK and Energy in order to determine the past premium and administrative fine debt and the overdue debt to the tax offices within the scope of Article 22/A of the Law No. 6183. The Protocol on Data Sharing Between the Market Regulatory Authority has been revised, and in this context, online debt checks of the GİB and SGK have been made for the applications made to the Authority.</w:t>
      </w:r>
    </w:p>
    <w:p w14:paraId="2EFEF38D" w14:textId="77777777" w:rsidR="006420C4" w:rsidRPr="009E1B38" w:rsidRDefault="006420C4" w:rsidP="006420C4">
      <w:pPr>
        <w:pStyle w:val="ListeParagraf"/>
        <w:rPr>
          <w:rFonts w:ascii="Times New Roman" w:eastAsia="Times New Roman" w:hAnsi="Times New Roman"/>
          <w:color w:val="000000" w:themeColor="text1"/>
        </w:rPr>
      </w:pPr>
    </w:p>
    <w:p w14:paraId="05D22239" w14:textId="167E4A92" w:rsidR="006420C4" w:rsidRPr="009E1B38" w:rsidRDefault="006420C4"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Annual License Fee and Participation Fees are started to be tracked electronically. Annual License Fee and Revenue Share debt checks are made automatically for applications received electronically.</w:t>
      </w:r>
    </w:p>
    <w:p w14:paraId="69778872" w14:textId="77777777" w:rsidR="006420C4" w:rsidRPr="009E1B38" w:rsidRDefault="006420C4" w:rsidP="006420C4">
      <w:pPr>
        <w:pStyle w:val="ListeParagraf"/>
        <w:rPr>
          <w:rFonts w:ascii="Times New Roman" w:eastAsia="Times New Roman" w:hAnsi="Times New Roman"/>
          <w:color w:val="000000" w:themeColor="text1"/>
        </w:rPr>
      </w:pPr>
    </w:p>
    <w:p w14:paraId="29BA6FE8" w14:textId="0A8C10C8" w:rsidR="006420C4" w:rsidRPr="009E1B38" w:rsidRDefault="006420C4"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Multi-source generation facility applications for Electricity Market Generation licenses have started to be received electronically.</w:t>
      </w:r>
    </w:p>
    <w:p w14:paraId="7063DFBC" w14:textId="77777777" w:rsidR="006420C4" w:rsidRPr="009E1B38" w:rsidRDefault="006420C4" w:rsidP="006420C4">
      <w:pPr>
        <w:pStyle w:val="ListeParagraf"/>
        <w:rPr>
          <w:rFonts w:ascii="Times New Roman" w:eastAsia="Times New Roman" w:hAnsi="Times New Roman"/>
          <w:color w:val="000000" w:themeColor="text1"/>
        </w:rPr>
      </w:pPr>
    </w:p>
    <w:p w14:paraId="428B21F0" w14:textId="3E9E37FC" w:rsidR="006420C4" w:rsidRPr="009E1B38" w:rsidRDefault="006420C4"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Efforts have been initiated to receive the Charging Network Operation license applications in electronic form.</w:t>
      </w:r>
    </w:p>
    <w:p w14:paraId="6EA1CABA" w14:textId="77777777" w:rsidR="006420C4" w:rsidRPr="009E1B38" w:rsidRDefault="006420C4" w:rsidP="006420C4">
      <w:pPr>
        <w:pStyle w:val="ListeParagraf"/>
        <w:rPr>
          <w:rFonts w:ascii="Times New Roman" w:eastAsia="Times New Roman" w:hAnsi="Times New Roman"/>
          <w:color w:val="000000" w:themeColor="text1"/>
        </w:rPr>
      </w:pPr>
    </w:p>
    <w:p w14:paraId="4FEB39E8" w14:textId="11B8933E" w:rsidR="006420C4" w:rsidRPr="009E1B38" w:rsidRDefault="006420C4"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The development of the Free Access Platform, which was created for real-time viewing of all public charging stations connected to the charging networks, which provides live data of the charging stations within this scope, and where data exchange and other operations will be provided with standard protocols and interfaces, has begun.</w:t>
      </w:r>
    </w:p>
    <w:p w14:paraId="0E194855" w14:textId="77777777" w:rsidR="006420C4" w:rsidRPr="009E1B38" w:rsidRDefault="006420C4" w:rsidP="006420C4">
      <w:pPr>
        <w:pStyle w:val="ListeParagraf"/>
        <w:rPr>
          <w:rFonts w:ascii="Times New Roman" w:eastAsia="Times New Roman" w:hAnsi="Times New Roman"/>
          <w:color w:val="000000" w:themeColor="text1"/>
        </w:rPr>
      </w:pPr>
    </w:p>
    <w:p w14:paraId="7AF8B08E" w14:textId="1B2996AE" w:rsidR="006420C4" w:rsidRPr="009E1B38" w:rsidRDefault="006420C4"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Work on the development of a Mobile Application for instant monitoring of electric vehicle charging stations has begun.</w:t>
      </w:r>
    </w:p>
    <w:p w14:paraId="319A22F6" w14:textId="77777777" w:rsidR="006420C4" w:rsidRPr="009E1B38" w:rsidRDefault="006420C4" w:rsidP="006420C4">
      <w:pPr>
        <w:pStyle w:val="ListeParagraf"/>
        <w:rPr>
          <w:rFonts w:ascii="Times New Roman" w:eastAsia="Times New Roman" w:hAnsi="Times New Roman"/>
          <w:color w:val="000000" w:themeColor="text1"/>
        </w:rPr>
      </w:pPr>
    </w:p>
    <w:p w14:paraId="013BF616" w14:textId="0BA6BEE3" w:rsidR="006420C4" w:rsidRPr="009E1B38" w:rsidRDefault="006420C4"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Within the scope of the Petroleum Market legislation change, the necessary interfaces have been developed for the processes of defining Automation Firms, visa procedures, Automation Firm- Distributor contract information, and matching dealers and automation firms.</w:t>
      </w:r>
    </w:p>
    <w:p w14:paraId="745C5EBD" w14:textId="77777777" w:rsidR="006420C4" w:rsidRPr="009E1B38" w:rsidRDefault="006420C4" w:rsidP="006420C4">
      <w:pPr>
        <w:pStyle w:val="ListeParagraf"/>
        <w:rPr>
          <w:rFonts w:ascii="Times New Roman" w:eastAsia="Times New Roman" w:hAnsi="Times New Roman"/>
          <w:color w:val="000000" w:themeColor="text1"/>
        </w:rPr>
      </w:pPr>
    </w:p>
    <w:p w14:paraId="16AB7412" w14:textId="32055ADB" w:rsidR="006420C4" w:rsidRPr="009E1B38" w:rsidRDefault="006420C4"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In line with the decisions taken within the scope of YEKDEM Applications, the application process was updated and applications were received online.</w:t>
      </w:r>
    </w:p>
    <w:p w14:paraId="4A909BD9" w14:textId="77777777" w:rsidR="006420C4" w:rsidRPr="009E1B38" w:rsidRDefault="006420C4" w:rsidP="006420C4">
      <w:pPr>
        <w:pStyle w:val="ListeParagraf"/>
        <w:rPr>
          <w:rFonts w:ascii="Times New Roman" w:eastAsia="Times New Roman" w:hAnsi="Times New Roman"/>
          <w:color w:val="000000" w:themeColor="text1"/>
        </w:rPr>
      </w:pPr>
    </w:p>
    <w:p w14:paraId="28B7AE59" w14:textId="24E184C5" w:rsidR="006420C4" w:rsidRPr="009E1B38" w:rsidRDefault="006420C4"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Revision processes have been added to the expropriation applications received through the EMRA application system.</w:t>
      </w:r>
    </w:p>
    <w:p w14:paraId="29A84FFE" w14:textId="77777777" w:rsidR="006420C4" w:rsidRPr="009E1B38" w:rsidRDefault="006420C4" w:rsidP="006420C4">
      <w:pPr>
        <w:pStyle w:val="ListeParagraf"/>
        <w:rPr>
          <w:rFonts w:ascii="Times New Roman" w:eastAsia="Times New Roman" w:hAnsi="Times New Roman"/>
          <w:color w:val="000000" w:themeColor="text1"/>
        </w:rPr>
      </w:pPr>
    </w:p>
    <w:p w14:paraId="28008CE6" w14:textId="59192D21" w:rsidR="004F62F1" w:rsidRPr="009E1B38" w:rsidRDefault="006420C4"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Improvements were made to receive new applications and amendment applications for Natural Gas Market Transmission, Import, Wholesale and Export licenses, and applications for Compressed Natural Gas license amendments through the EMRA Application system.</w:t>
      </w:r>
    </w:p>
    <w:p w14:paraId="079D3A8F" w14:textId="35DC3A65" w:rsidR="009D0357" w:rsidRPr="009E1B38" w:rsidRDefault="009D0357" w:rsidP="003C5E4D">
      <w:pPr>
        <w:pStyle w:val="ListeParagraf"/>
        <w:numPr>
          <w:ilvl w:val="0"/>
          <w:numId w:val="30"/>
        </w:numPr>
        <w:rPr>
          <w:rFonts w:ascii="Times New Roman" w:eastAsia="Times New Roman" w:hAnsi="Times New Roman"/>
          <w:color w:val="000000" w:themeColor="text1"/>
        </w:rPr>
      </w:pPr>
      <w:r w:rsidRPr="009E1B38">
        <w:rPr>
          <w:rFonts w:ascii="Times New Roman" w:eastAsia="Times New Roman" w:hAnsi="Times New Roman"/>
          <w:color w:val="000000" w:themeColor="text1"/>
        </w:rPr>
        <w:t>Within the scope of the Presidential National Data Dictionary (UVS) project, participation is made in the National Data Dictionary. In this context, necessary data entries were made.</w:t>
      </w:r>
    </w:p>
    <w:p w14:paraId="22994104" w14:textId="77777777" w:rsidR="001F11F9" w:rsidRPr="009E1B38" w:rsidRDefault="001F11F9" w:rsidP="00850009">
      <w:pPr>
        <w:rPr>
          <w:rFonts w:ascii="Times New Roman" w:eastAsia="Times New Roman" w:hAnsi="Times New Roman"/>
          <w:color w:val="000000" w:themeColor="text1"/>
        </w:rPr>
      </w:pPr>
      <w:r w:rsidRPr="009E1B38">
        <w:rPr>
          <w:rFonts w:ascii="Times New Roman" w:eastAsia="Times New Roman" w:hAnsi="Times New Roman"/>
          <w:color w:val="000000" w:themeColor="text1"/>
        </w:rPr>
        <w:t>Work continues on accelerating the process by obtaining license and license amendment applications, certificate, permit, YEKDEM and expropriation transactions in electronic environment, simplifying/reducing the documents required in the transactions, and not receiving the documents that can be obtained in the electronic environment physically.</w:t>
      </w:r>
    </w:p>
    <w:p w14:paraId="7D4A8A9B" w14:textId="4A275981" w:rsidR="008A4529" w:rsidRPr="009E1B38" w:rsidRDefault="00287E07" w:rsidP="003C5E4D">
      <w:pPr>
        <w:pStyle w:val="Balk2"/>
        <w:numPr>
          <w:ilvl w:val="1"/>
          <w:numId w:val="62"/>
        </w:numPr>
        <w:rPr>
          <w:rFonts w:eastAsia="Times New Roman" w:cs="Times New Roman"/>
        </w:rPr>
      </w:pPr>
      <w:bookmarkStart w:id="248" w:name="_Toc113615381"/>
      <w:r w:rsidRPr="009E1B38">
        <w:rPr>
          <w:rFonts w:eastAsia="Times New Roman" w:cs="Times New Roman"/>
          <w:color w:val="000000" w:themeColor="text1"/>
        </w:rPr>
        <w:t>Data Sharing with Other Authorities and Organizations (Data Access and Sharing System</w:t>
      </w:r>
      <w:r w:rsidRPr="009E1B38">
        <w:rPr>
          <w:rFonts w:eastAsia="Times New Roman" w:cs="Times New Roman"/>
        </w:rPr>
        <w:t xml:space="preserve"> </w:t>
      </w:r>
      <w:r w:rsidR="00120502" w:rsidRPr="009E1B38">
        <w:rPr>
          <w:rFonts w:eastAsia="Times New Roman" w:cs="Times New Roman"/>
        </w:rPr>
        <w:t>(VEPS))</w:t>
      </w:r>
      <w:bookmarkStart w:id="249" w:name="_Toc36205086"/>
      <w:bookmarkEnd w:id="248"/>
    </w:p>
    <w:p w14:paraId="630A4F43" w14:textId="77777777" w:rsidR="000D3270" w:rsidRPr="009E1B38" w:rsidRDefault="000D3270" w:rsidP="000D3270">
      <w:pPr>
        <w:rPr>
          <w:rFonts w:ascii="Times New Roman" w:eastAsia="Times New Roman" w:hAnsi="Times New Roman"/>
          <w:color w:val="000000" w:themeColor="text1"/>
        </w:rPr>
      </w:pPr>
      <w:r w:rsidRPr="009E1B38">
        <w:rPr>
          <w:rFonts w:ascii="Times New Roman" w:eastAsia="Times New Roman" w:hAnsi="Times New Roman"/>
          <w:color w:val="000000" w:themeColor="text1"/>
        </w:rPr>
        <w:t>Data Sharing with Other Authorities and Organizations (Data Access and Sharing System</w:t>
      </w:r>
    </w:p>
    <w:p w14:paraId="7A4EF54F" w14:textId="4A5BE2D6" w:rsidR="009E53A1" w:rsidRPr="009E1B38" w:rsidRDefault="009E53A1" w:rsidP="002D3E19">
      <w:pPr>
        <w:ind w:left="708"/>
        <w:rPr>
          <w:rFonts w:ascii="Times New Roman" w:hAnsi="Times New Roman"/>
          <w:b/>
        </w:rPr>
      </w:pPr>
      <w:r w:rsidRPr="009E1B38">
        <w:rPr>
          <w:rFonts w:ascii="Times New Roman" w:hAnsi="Times New Roman"/>
        </w:rPr>
        <w:lastRenderedPageBreak/>
        <w:t xml:space="preserve">• The infrastructure and processes of the Dealer Automation System were updated within the scope </w:t>
      </w:r>
      <w:r w:rsidR="00C66BC3" w:rsidRPr="009E1B38">
        <w:rPr>
          <w:rFonts w:ascii="Times New Roman" w:hAnsi="Times New Roman"/>
        </w:rPr>
        <w:t>of the</w:t>
      </w:r>
      <w:r w:rsidRPr="009E1B38">
        <w:rPr>
          <w:rFonts w:ascii="Times New Roman" w:hAnsi="Times New Roman"/>
        </w:rPr>
        <w:t xml:space="preserve"> Petroleum Market legislation change.</w:t>
      </w:r>
    </w:p>
    <w:p w14:paraId="4057308F" w14:textId="6B13813D" w:rsidR="009E53A1" w:rsidRPr="009E1B38" w:rsidRDefault="009E53A1" w:rsidP="002D3E19">
      <w:pPr>
        <w:ind w:left="708"/>
        <w:rPr>
          <w:rFonts w:ascii="Times New Roman" w:hAnsi="Times New Roman"/>
          <w:b/>
        </w:rPr>
      </w:pPr>
      <w:r w:rsidRPr="009E1B38">
        <w:rPr>
          <w:rFonts w:ascii="Times New Roman" w:hAnsi="Times New Roman"/>
        </w:rPr>
        <w:t xml:space="preserve">• Integration with the Presidency's Digital </w:t>
      </w:r>
      <w:r w:rsidR="0082470D" w:rsidRPr="009E1B38">
        <w:rPr>
          <w:rFonts w:ascii="Times New Roman" w:hAnsi="Times New Roman"/>
        </w:rPr>
        <w:t>Türkiye</w:t>
      </w:r>
      <w:r w:rsidRPr="009E1B38">
        <w:rPr>
          <w:rFonts w:ascii="Times New Roman" w:hAnsi="Times New Roman"/>
        </w:rPr>
        <w:t xml:space="preserve"> Monitoring and Evaluation System has been achieved.</w:t>
      </w:r>
    </w:p>
    <w:p w14:paraId="411EA5C5" w14:textId="2FDD6FC6" w:rsidR="009E53A1" w:rsidRPr="009E1B38" w:rsidRDefault="009E53A1" w:rsidP="002D3E19">
      <w:pPr>
        <w:ind w:left="708"/>
        <w:rPr>
          <w:rFonts w:ascii="Times New Roman" w:hAnsi="Times New Roman"/>
          <w:b/>
        </w:rPr>
      </w:pPr>
      <w:r w:rsidRPr="009E1B38">
        <w:rPr>
          <w:rFonts w:ascii="Times New Roman" w:hAnsi="Times New Roman"/>
        </w:rPr>
        <w:t>• Integration was achieved with the National Security Council (NSC) General Secretariat Mobilization Resource Planning System (SEKAPS) project.</w:t>
      </w:r>
    </w:p>
    <w:p w14:paraId="1E3F45AE" w14:textId="6F9B861A" w:rsidR="009E53A1" w:rsidRPr="009E1B38" w:rsidRDefault="009E53A1" w:rsidP="002D3E19">
      <w:pPr>
        <w:ind w:firstLine="708"/>
        <w:rPr>
          <w:rFonts w:ascii="Times New Roman" w:hAnsi="Times New Roman"/>
          <w:b/>
        </w:rPr>
      </w:pPr>
      <w:r w:rsidRPr="009E1B38">
        <w:rPr>
          <w:rFonts w:ascii="Times New Roman" w:hAnsi="Times New Roman"/>
        </w:rPr>
        <w:t xml:space="preserve">• Integration with the Central Bank of the Republic of </w:t>
      </w:r>
      <w:r w:rsidR="0082470D" w:rsidRPr="009E1B38">
        <w:rPr>
          <w:rFonts w:ascii="Times New Roman" w:hAnsi="Times New Roman"/>
        </w:rPr>
        <w:t>Türkiye</w:t>
      </w:r>
      <w:r w:rsidRPr="009E1B38">
        <w:rPr>
          <w:rFonts w:ascii="Times New Roman" w:hAnsi="Times New Roman"/>
        </w:rPr>
        <w:t xml:space="preserve"> was achieved.</w:t>
      </w:r>
    </w:p>
    <w:p w14:paraId="770DBB6C" w14:textId="77777777" w:rsidR="009E53A1" w:rsidRPr="009E1B38" w:rsidRDefault="009E53A1" w:rsidP="002D3E19">
      <w:pPr>
        <w:ind w:left="708"/>
        <w:rPr>
          <w:rFonts w:ascii="Times New Roman" w:hAnsi="Times New Roman"/>
          <w:b/>
        </w:rPr>
      </w:pPr>
      <w:r w:rsidRPr="009E1B38">
        <w:rPr>
          <w:rFonts w:ascii="Times New Roman" w:hAnsi="Times New Roman"/>
        </w:rPr>
        <w:t>• Integration with the Decision Support System (KDS) of the Ministry of Energy and Natural Resources has been achieved</w:t>
      </w:r>
    </w:p>
    <w:p w14:paraId="7D4A8AA6" w14:textId="6C28EDF2" w:rsidR="009C74CA" w:rsidRPr="009E1B38" w:rsidRDefault="004945F0" w:rsidP="003C5E4D">
      <w:pPr>
        <w:pStyle w:val="Balk2"/>
        <w:numPr>
          <w:ilvl w:val="1"/>
          <w:numId w:val="62"/>
        </w:numPr>
        <w:rPr>
          <w:rFonts w:eastAsia="Times New Roman" w:cs="Times New Roman"/>
        </w:rPr>
      </w:pPr>
      <w:bookmarkStart w:id="250" w:name="_Toc113615382"/>
      <w:bookmarkEnd w:id="249"/>
      <w:r w:rsidRPr="009E1B38">
        <w:rPr>
          <w:rFonts w:eastAsia="Times New Roman" w:cs="Times New Roman"/>
        </w:rPr>
        <w:t>Ele</w:t>
      </w:r>
      <w:r w:rsidR="000623BE" w:rsidRPr="009E1B38">
        <w:rPr>
          <w:rFonts w:eastAsia="Times New Roman" w:cs="Times New Roman"/>
        </w:rPr>
        <w:t>c</w:t>
      </w:r>
      <w:r w:rsidRPr="009E1B38">
        <w:rPr>
          <w:rFonts w:eastAsia="Times New Roman" w:cs="Times New Roman"/>
        </w:rPr>
        <w:t>troni</w:t>
      </w:r>
      <w:r w:rsidR="000623BE" w:rsidRPr="009E1B38">
        <w:rPr>
          <w:rFonts w:eastAsia="Times New Roman" w:cs="Times New Roman"/>
        </w:rPr>
        <w:t>c</w:t>
      </w:r>
      <w:r w:rsidRPr="009E1B38">
        <w:rPr>
          <w:rFonts w:eastAsia="Times New Roman" w:cs="Times New Roman"/>
        </w:rPr>
        <w:t xml:space="preserve"> </w:t>
      </w:r>
      <w:r w:rsidR="000623BE" w:rsidRPr="009E1B38">
        <w:rPr>
          <w:rFonts w:eastAsia="Times New Roman" w:cs="Times New Roman"/>
        </w:rPr>
        <w:t xml:space="preserve">Notification System </w:t>
      </w:r>
      <w:r w:rsidRPr="009E1B38">
        <w:rPr>
          <w:rFonts w:eastAsia="Times New Roman" w:cs="Times New Roman"/>
        </w:rPr>
        <w:t>(EBİS)</w:t>
      </w:r>
      <w:bookmarkEnd w:id="250"/>
    </w:p>
    <w:p w14:paraId="7D4A8AA7" w14:textId="611E16B3" w:rsidR="007A6D01" w:rsidRPr="009E1B38" w:rsidRDefault="000623BE" w:rsidP="004945F0">
      <w:pPr>
        <w:rPr>
          <w:rFonts w:ascii="Times New Roman" w:eastAsia="Times New Roman" w:hAnsi="Times New Roman"/>
          <w:color w:val="000000" w:themeColor="text1"/>
        </w:rPr>
      </w:pPr>
      <w:r w:rsidRPr="009E1B38">
        <w:rPr>
          <w:rFonts w:ascii="Times New Roman" w:eastAsia="Times New Roman" w:hAnsi="Times New Roman"/>
          <w:color w:val="000000" w:themeColor="text1"/>
        </w:rPr>
        <w:t xml:space="preserve">EBİS software development was carried out by the Authority personnel in line with the requests from the units. The data received through the notification system are used in the preparation of the annual and monthly sector reports published by the Authority, and these reports are published on the Authority's website. Within the scope of reducing bureaucracy and Digital </w:t>
      </w:r>
      <w:r w:rsidR="0082470D" w:rsidRPr="009E1B38">
        <w:rPr>
          <w:rFonts w:ascii="Times New Roman" w:eastAsia="Times New Roman" w:hAnsi="Times New Roman"/>
          <w:color w:val="000000" w:themeColor="text1"/>
        </w:rPr>
        <w:t>Türkiye</w:t>
      </w:r>
      <w:r w:rsidRPr="009E1B38">
        <w:rPr>
          <w:rFonts w:ascii="Times New Roman" w:eastAsia="Times New Roman" w:hAnsi="Times New Roman"/>
          <w:color w:val="000000" w:themeColor="text1"/>
        </w:rPr>
        <w:t xml:space="preserve"> studies, necessary data for monitoring Subscription Application, Termination Application and Debt Inquiry transactions of Electricity and Natural Gas subscribers began to be received through notification systems, and these data were regularly transmitted to the Presidency. It has been provided via e-government.</w:t>
      </w:r>
    </w:p>
    <w:p w14:paraId="7D4A8AA8" w14:textId="77777777" w:rsidR="009C74CA" w:rsidRPr="009E1B38" w:rsidRDefault="009C74CA" w:rsidP="004945F0">
      <w:pPr>
        <w:rPr>
          <w:rFonts w:ascii="Times New Roman" w:eastAsia="Times New Roman" w:hAnsi="Times New Roman"/>
          <w:color w:val="000000" w:themeColor="text1"/>
        </w:rPr>
      </w:pPr>
    </w:p>
    <w:p w14:paraId="7D4A8AA9" w14:textId="77777777" w:rsidR="00C16EC8" w:rsidRPr="009E1B38" w:rsidRDefault="00C16EC8" w:rsidP="004C6AF7">
      <w:pPr>
        <w:rPr>
          <w:rFonts w:ascii="Times New Roman" w:hAnsi="Times New Roman"/>
        </w:rPr>
        <w:sectPr w:rsidR="00C16EC8" w:rsidRPr="009E1B38" w:rsidSect="007650B8">
          <w:pgSz w:w="11906" w:h="16838"/>
          <w:pgMar w:top="1418" w:right="566" w:bottom="1418" w:left="1418" w:header="709" w:footer="709" w:gutter="0"/>
          <w:cols w:space="708"/>
          <w:docGrid w:linePitch="360"/>
        </w:sectPr>
      </w:pPr>
    </w:p>
    <w:p w14:paraId="7D4A8AAA" w14:textId="518DD6CC" w:rsidR="00E12CFF" w:rsidRPr="009E1B38" w:rsidRDefault="00C25CDB" w:rsidP="003C5E4D">
      <w:pPr>
        <w:pStyle w:val="Balk1"/>
        <w:numPr>
          <w:ilvl w:val="0"/>
          <w:numId w:val="62"/>
        </w:numPr>
        <w:spacing w:before="0"/>
        <w:rPr>
          <w:rFonts w:eastAsia="Times New Roman" w:cs="Times New Roman"/>
          <w:sz w:val="22"/>
          <w:szCs w:val="22"/>
        </w:rPr>
      </w:pPr>
      <w:bookmarkStart w:id="251" w:name="_Toc113615383"/>
      <w:r w:rsidRPr="009E1B38">
        <w:rPr>
          <w:rFonts w:eastAsia="Times New Roman" w:cs="Times New Roman"/>
          <w:szCs w:val="24"/>
        </w:rPr>
        <w:lastRenderedPageBreak/>
        <w:t>AUDIT</w:t>
      </w:r>
      <w:bookmarkEnd w:id="251"/>
      <w:r w:rsidR="00E12CFF" w:rsidRPr="009E1B38">
        <w:rPr>
          <w:rFonts w:cs="Times New Roman"/>
        </w:rPr>
        <w:tab/>
      </w:r>
    </w:p>
    <w:p w14:paraId="7D4A8AAB" w14:textId="77777777" w:rsidR="00F5580D" w:rsidRPr="009E1B38" w:rsidRDefault="00F5580D" w:rsidP="003D0DD5">
      <w:pPr>
        <w:spacing w:after="0"/>
        <w:rPr>
          <w:rFonts w:ascii="Times New Roman" w:eastAsia="Times New Roman" w:hAnsi="Times New Roman"/>
        </w:rPr>
      </w:pPr>
      <w:bookmarkStart w:id="252" w:name="_Toc442431308"/>
    </w:p>
    <w:p w14:paraId="45CABE71" w14:textId="77777777" w:rsidR="00C25CDB" w:rsidRPr="009E1B38" w:rsidRDefault="00C25CDB" w:rsidP="00C25CDB">
      <w:pPr>
        <w:spacing w:after="0"/>
        <w:rPr>
          <w:rFonts w:ascii="Times New Roman" w:eastAsia="Times New Roman" w:hAnsi="Times New Roman"/>
        </w:rPr>
      </w:pPr>
      <w:r w:rsidRPr="009E1B38">
        <w:rPr>
          <w:rFonts w:ascii="Times New Roman" w:eastAsia="Times New Roman" w:hAnsi="Times New Roman"/>
        </w:rPr>
        <w:t>The Authority is authorized to conduct inspections in energy markets within the scope of Laws 4628, 4646, 5015, 5307 and 6446. İn this framework, four separate regulations on the procedures and principles to be followed in the audits to be carried out in the electricity, natural gas, petroleum and LPG markets and the preliminary research and investigations have determined how the audits and investigations will be conducted.</w:t>
      </w:r>
    </w:p>
    <w:p w14:paraId="7D4A8AAD" w14:textId="77777777" w:rsidR="00F5580D" w:rsidRPr="009E1B38" w:rsidRDefault="00F5580D" w:rsidP="00F5580D">
      <w:pPr>
        <w:spacing w:after="0"/>
        <w:rPr>
          <w:rFonts w:ascii="Times New Roman" w:eastAsia="Times New Roman" w:hAnsi="Times New Roman"/>
        </w:rPr>
      </w:pPr>
    </w:p>
    <w:p w14:paraId="60E0F158" w14:textId="4A4193D7" w:rsidR="004F3F1D" w:rsidRPr="009E1B38" w:rsidRDefault="004F3F1D" w:rsidP="004F3F1D">
      <w:pPr>
        <w:spacing w:after="0"/>
        <w:rPr>
          <w:rFonts w:ascii="Times New Roman" w:eastAsia="Times New Roman" w:hAnsi="Times New Roman"/>
        </w:rPr>
      </w:pPr>
      <w:r w:rsidRPr="009E1B38">
        <w:rPr>
          <w:rFonts w:ascii="Times New Roman" w:eastAsia="Times New Roman" w:hAnsi="Times New Roman"/>
        </w:rPr>
        <w:t xml:space="preserve">The Board may decide, ex officio or upon notifications or complaints received, to initiate a direct investigation or to conduct a preliminary investigation to determine whether it is necessary to open an investigation due to the activities and transactions of real or </w:t>
      </w:r>
      <w:r w:rsidR="00135D72" w:rsidRPr="009E1B38">
        <w:rPr>
          <w:rFonts w:ascii="Times New Roman" w:eastAsia="Times New Roman" w:hAnsi="Times New Roman"/>
        </w:rPr>
        <w:t>legal entities</w:t>
      </w:r>
      <w:r w:rsidRPr="009E1B38">
        <w:rPr>
          <w:rFonts w:ascii="Times New Roman" w:eastAsia="Times New Roman" w:hAnsi="Times New Roman"/>
        </w:rPr>
        <w:t xml:space="preserve"> operating in the market that are contrary to the provisions of the relevant legislation. İn this direction, necessary changes were made in the regulations regarding the execution of audit, preliminary research and investigation activities to be carried out in the electricity, natural gas, petroleum and LPG markets after the Law No. İt was published in the newspaper and entered into force. With the amendments made, the Board has transferred its authority to initiate preliminary research and investigation to the Presidency.</w:t>
      </w:r>
    </w:p>
    <w:p w14:paraId="45C7BF03" w14:textId="77777777" w:rsidR="004F3F1D" w:rsidRPr="009E1B38" w:rsidRDefault="004F3F1D" w:rsidP="004F3F1D">
      <w:pPr>
        <w:spacing w:after="0"/>
        <w:rPr>
          <w:rFonts w:ascii="Times New Roman" w:eastAsia="Times New Roman" w:hAnsi="Times New Roman"/>
        </w:rPr>
      </w:pPr>
    </w:p>
    <w:p w14:paraId="30979FCD" w14:textId="73274D27" w:rsidR="004F3F1D" w:rsidRPr="009E1B38" w:rsidRDefault="004F3F1D" w:rsidP="004F3F1D">
      <w:pPr>
        <w:spacing w:after="0"/>
        <w:rPr>
          <w:rFonts w:ascii="Times New Roman" w:eastAsia="Times New Roman" w:hAnsi="Times New Roman"/>
        </w:rPr>
      </w:pPr>
      <w:r w:rsidRPr="009E1B38">
        <w:rPr>
          <w:rFonts w:ascii="Times New Roman" w:eastAsia="Times New Roman" w:hAnsi="Times New Roman"/>
        </w:rPr>
        <w:t>The Authority audits market activities through its own personnel or service procurement from public authorities and organizations and private auditing firms.</w:t>
      </w:r>
    </w:p>
    <w:p w14:paraId="43DA455A" w14:textId="77777777" w:rsidR="004F3F1D" w:rsidRPr="009E1B38" w:rsidRDefault="004F3F1D" w:rsidP="004F3F1D">
      <w:pPr>
        <w:spacing w:after="0"/>
        <w:ind w:left="360"/>
        <w:rPr>
          <w:rFonts w:ascii="Times New Roman" w:eastAsia="Times New Roman" w:hAnsi="Times New Roman"/>
        </w:rPr>
      </w:pPr>
    </w:p>
    <w:p w14:paraId="27A36B48" w14:textId="2CCE7BFE" w:rsidR="004F3F1D" w:rsidRPr="009E1B38" w:rsidRDefault="004F3F1D" w:rsidP="004F3F1D">
      <w:pPr>
        <w:spacing w:after="0"/>
        <w:rPr>
          <w:rFonts w:ascii="Times New Roman" w:eastAsia="Times New Roman" w:hAnsi="Times New Roman"/>
        </w:rPr>
      </w:pPr>
      <w:r w:rsidRPr="009E1B38">
        <w:rPr>
          <w:rFonts w:ascii="Times New Roman" w:eastAsia="Times New Roman" w:hAnsi="Times New Roman"/>
        </w:rPr>
        <w:t>Audit activities carried out on behalf of the Authority by the relevant organizations within the scope of Cooperation Protocols Regarding Audits in the Petroleum Market and LPG Market continued intensively in 2021 as well.</w:t>
      </w:r>
    </w:p>
    <w:p w14:paraId="7D4A8AB2" w14:textId="0C141EC8" w:rsidR="00F5580D" w:rsidRPr="009E1B38" w:rsidRDefault="5B3E9DD7" w:rsidP="003C5E4D">
      <w:pPr>
        <w:pStyle w:val="Balk2"/>
        <w:numPr>
          <w:ilvl w:val="1"/>
          <w:numId w:val="63"/>
        </w:numPr>
        <w:rPr>
          <w:rFonts w:eastAsia="Times New Roman" w:cs="Times New Roman"/>
        </w:rPr>
      </w:pPr>
      <w:bookmarkStart w:id="253" w:name="_Toc113615384"/>
      <w:r w:rsidRPr="009E1B38">
        <w:rPr>
          <w:rFonts w:eastAsia="Times New Roman" w:cs="Times New Roman"/>
        </w:rPr>
        <w:t>Electricity Market Audit Activities</w:t>
      </w:r>
      <w:bookmarkEnd w:id="253"/>
    </w:p>
    <w:p w14:paraId="1302B91D" w14:textId="77777777" w:rsidR="00362ECB" w:rsidRPr="009E1B38" w:rsidRDefault="00362ECB" w:rsidP="00362ECB">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As a result of the inspections and investigations carried out in the electricity market, the sanctions and penalties within the scope of Article 16 of the Electricity Market Law No. 6446 are applied.</w:t>
      </w:r>
    </w:p>
    <w:p w14:paraId="6A8446DA" w14:textId="77777777" w:rsidR="00362ECB" w:rsidRPr="009E1B38" w:rsidRDefault="00362ECB" w:rsidP="00362ECB">
      <w:pPr>
        <w:spacing w:after="0"/>
        <w:ind w:left="360"/>
        <w:rPr>
          <w:rFonts w:ascii="Times New Roman" w:eastAsia="Times New Roman" w:hAnsi="Times New Roman"/>
          <w:color w:val="000000" w:themeColor="text1"/>
        </w:rPr>
      </w:pPr>
    </w:p>
    <w:p w14:paraId="5A553C9A" w14:textId="4B2DC181" w:rsidR="00362ECB" w:rsidRPr="009E1B38" w:rsidRDefault="00362ECB" w:rsidP="00942D99">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In 202</w:t>
      </w:r>
      <w:r w:rsidR="00885FA4" w:rsidRPr="009E1B38">
        <w:rPr>
          <w:rFonts w:ascii="Times New Roman" w:eastAsia="Times New Roman" w:hAnsi="Times New Roman"/>
          <w:color w:val="000000" w:themeColor="text1"/>
        </w:rPr>
        <w:t>1</w:t>
      </w:r>
      <w:r w:rsidRPr="009E1B38">
        <w:rPr>
          <w:rFonts w:ascii="Times New Roman" w:eastAsia="Times New Roman" w:hAnsi="Times New Roman"/>
          <w:color w:val="000000" w:themeColor="text1"/>
        </w:rPr>
        <w:t xml:space="preserve">, 354 new investigation processes were initiated against license holders who carried out works and transactions deemed to be in violation of the Electricity Market Law No. 6446 and the secondary legislation prepared in accordance with this Law. Within the scope of the investigations carried out during the year and started in the previous year and concluded during the year, </w:t>
      </w:r>
      <w:r w:rsidR="006869FE" w:rsidRPr="009E1B38">
        <w:rPr>
          <w:rFonts w:ascii="Times New Roman" w:eastAsia="Times New Roman" w:hAnsi="Times New Roman"/>
        </w:rPr>
        <w:t xml:space="preserve">365 </w:t>
      </w:r>
      <w:r w:rsidRPr="009E1B38">
        <w:rPr>
          <w:rFonts w:ascii="Times New Roman" w:eastAsia="Times New Roman" w:hAnsi="Times New Roman"/>
          <w:color w:val="000000" w:themeColor="text1"/>
        </w:rPr>
        <w:t>warning sanctions in 202</w:t>
      </w:r>
      <w:r w:rsidR="006869FE" w:rsidRPr="009E1B38">
        <w:rPr>
          <w:rFonts w:ascii="Times New Roman" w:eastAsia="Times New Roman" w:hAnsi="Times New Roman"/>
          <w:color w:val="000000" w:themeColor="text1"/>
        </w:rPr>
        <w:t>1</w:t>
      </w:r>
      <w:r w:rsidRPr="009E1B38">
        <w:rPr>
          <w:rFonts w:ascii="Times New Roman" w:eastAsia="Times New Roman" w:hAnsi="Times New Roman"/>
          <w:color w:val="000000" w:themeColor="text1"/>
        </w:rPr>
        <w:t xml:space="preserve">; A total of </w:t>
      </w:r>
      <w:r w:rsidRPr="009E1B38">
        <w:rPr>
          <w:rFonts w:ascii="Times New Roman" w:eastAsia="Times New Roman" w:hAnsi="Times New Roman"/>
        </w:rPr>
        <w:t>30.677.640</w:t>
      </w:r>
      <w:r w:rsidRPr="009E1B38">
        <w:rPr>
          <w:rFonts w:ascii="Times New Roman" w:eastAsia="Times New Roman" w:hAnsi="Times New Roman"/>
          <w:color w:val="000000" w:themeColor="text1"/>
        </w:rPr>
        <w:t xml:space="preserve">, -TL for 28 different license holders. A total of </w:t>
      </w:r>
      <w:r w:rsidR="006869FE" w:rsidRPr="009E1B38">
        <w:rPr>
          <w:rFonts w:ascii="Times New Roman" w:eastAsia="Times New Roman" w:hAnsi="Times New Roman"/>
          <w:color w:val="000000" w:themeColor="text1"/>
        </w:rPr>
        <w:t>25</w:t>
      </w:r>
      <w:r w:rsidRPr="009E1B38">
        <w:rPr>
          <w:rFonts w:ascii="Times New Roman" w:eastAsia="Times New Roman" w:hAnsi="Times New Roman"/>
          <w:color w:val="000000" w:themeColor="text1"/>
        </w:rPr>
        <w:t xml:space="preserve"> administrative fines were imposed.</w:t>
      </w:r>
    </w:p>
    <w:p w14:paraId="30B43E8B" w14:textId="77777777" w:rsidR="00942D99" w:rsidRPr="009E1B38" w:rsidRDefault="00942D99" w:rsidP="00942D99">
      <w:pPr>
        <w:spacing w:after="0"/>
        <w:rPr>
          <w:rFonts w:ascii="Times New Roman" w:eastAsia="Times New Roman" w:hAnsi="Times New Roman"/>
          <w:color w:val="000000" w:themeColor="text1"/>
        </w:rPr>
      </w:pPr>
    </w:p>
    <w:p w14:paraId="7D4A8AB6" w14:textId="53A0AF76" w:rsidR="003D0DD5" w:rsidRPr="009E1B38" w:rsidRDefault="5B3E9DD7" w:rsidP="003C5E4D">
      <w:pPr>
        <w:pStyle w:val="Balk2"/>
        <w:numPr>
          <w:ilvl w:val="1"/>
          <w:numId w:val="63"/>
        </w:numPr>
        <w:rPr>
          <w:rFonts w:eastAsia="Times New Roman" w:cs="Times New Roman"/>
        </w:rPr>
      </w:pPr>
      <w:bookmarkStart w:id="254" w:name="_Toc113615385"/>
      <w:r w:rsidRPr="009E1B38">
        <w:rPr>
          <w:rFonts w:eastAsia="Times New Roman" w:cs="Times New Roman"/>
        </w:rPr>
        <w:t>Naturel Gas Market Inspection and Audit Activities</w:t>
      </w:r>
      <w:bookmarkEnd w:id="254"/>
      <w:r w:rsidRPr="009E1B38">
        <w:rPr>
          <w:rFonts w:eastAsia="Times New Roman" w:cs="Times New Roman"/>
        </w:rPr>
        <w:t xml:space="preserve"> </w:t>
      </w:r>
    </w:p>
    <w:p w14:paraId="7D4A8AB7" w14:textId="2DC80A87" w:rsidR="00801036" w:rsidRPr="009E1B38" w:rsidRDefault="00380932" w:rsidP="003C5E4D">
      <w:pPr>
        <w:pStyle w:val="Balk3"/>
        <w:numPr>
          <w:ilvl w:val="2"/>
          <w:numId w:val="63"/>
        </w:numPr>
        <w:spacing w:after="240"/>
        <w:rPr>
          <w:rFonts w:ascii="Times New Roman" w:eastAsia="Times New Roman" w:hAnsi="Times New Roman" w:cs="Times New Roman"/>
        </w:rPr>
      </w:pPr>
      <w:bookmarkStart w:id="255" w:name="_Toc113615386"/>
      <w:r w:rsidRPr="009E1B38">
        <w:rPr>
          <w:rFonts w:ascii="Times New Roman" w:eastAsia="Times New Roman" w:hAnsi="Times New Roman" w:cs="Times New Roman"/>
        </w:rPr>
        <w:t>5-Year Investment Obligations of Natur</w:t>
      </w:r>
      <w:r w:rsidR="001D3D11" w:rsidRPr="009E1B38">
        <w:rPr>
          <w:rFonts w:ascii="Times New Roman" w:eastAsia="Times New Roman" w:hAnsi="Times New Roman" w:cs="Times New Roman"/>
        </w:rPr>
        <w:t>a</w:t>
      </w:r>
      <w:r w:rsidRPr="009E1B38">
        <w:rPr>
          <w:rFonts w:ascii="Times New Roman" w:eastAsia="Times New Roman" w:hAnsi="Times New Roman" w:cs="Times New Roman"/>
        </w:rPr>
        <w:t>l Gas</w:t>
      </w:r>
      <w:r w:rsidR="001D3D11" w:rsidRPr="009E1B38">
        <w:rPr>
          <w:rFonts w:ascii="Times New Roman" w:eastAsia="Times New Roman" w:hAnsi="Times New Roman" w:cs="Times New Roman"/>
        </w:rPr>
        <w:t xml:space="preserve"> Distribution Companies</w:t>
      </w:r>
      <w:bookmarkEnd w:id="255"/>
      <w:r w:rsidRPr="009E1B38">
        <w:rPr>
          <w:rFonts w:ascii="Times New Roman" w:eastAsia="Times New Roman" w:hAnsi="Times New Roman" w:cs="Times New Roman"/>
        </w:rPr>
        <w:t xml:space="preserve"> </w:t>
      </w:r>
    </w:p>
    <w:p w14:paraId="7B7ABD2B" w14:textId="77777777" w:rsidR="00AC6A50" w:rsidRPr="009E1B38" w:rsidRDefault="00AC6A50" w:rsidP="00AC6A50">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All distribution companies that are entitled to receive a license as a result of the "Natural Gas Distribution License Tender" made separately for each distribution region by the Authority, have investment obligations of 5 (five) years within the scope of the distribution license, the tender specification which is an integral part of the license, and the relevant legislation.</w:t>
      </w:r>
    </w:p>
    <w:p w14:paraId="2EB80FBC" w14:textId="77777777" w:rsidR="00AC6A50" w:rsidRPr="009E1B38" w:rsidRDefault="00AC6A50" w:rsidP="00AC6A50">
      <w:pPr>
        <w:spacing w:after="0"/>
        <w:rPr>
          <w:rFonts w:ascii="Times New Roman" w:eastAsia="Times New Roman" w:hAnsi="Times New Roman"/>
          <w:color w:val="000000" w:themeColor="text1"/>
        </w:rPr>
      </w:pPr>
    </w:p>
    <w:p w14:paraId="6640758A" w14:textId="765CCC58" w:rsidR="00AC6A50" w:rsidRPr="009E1B38" w:rsidRDefault="00AC6A50" w:rsidP="00AC6A50">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 xml:space="preserve">5 (five) year investment within the framework of the fifth paragraph of subparagraph (g) of the fourth paragraph of the 4th article of the Natural Gas Market Law No. 4646, the 30th article of the Natural Gas Market Distribution and Customer Services Regulation and the relevant article of the "General Provisions" section of the licensees of the licensee distribution companies. Board Decision dated 29.01.2009 and numbered 1955 was taken to determine whether the obligations were fulfilled. Within the framework of the relevant Board Decisions, for the monitoring and examination of the 5-year investment obligations of natural gas distribution </w:t>
      </w:r>
      <w:r w:rsidRPr="009E1B38">
        <w:rPr>
          <w:rFonts w:ascii="Times New Roman" w:eastAsia="Times New Roman" w:hAnsi="Times New Roman"/>
          <w:color w:val="000000" w:themeColor="text1"/>
        </w:rPr>
        <w:lastRenderedPageBreak/>
        <w:t xml:space="preserve">companies on behalf of the Authority, İstanbul </w:t>
      </w:r>
      <w:r w:rsidR="00C66BC3">
        <w:rPr>
          <w:rFonts w:ascii="Times New Roman" w:eastAsia="Times New Roman" w:hAnsi="Times New Roman"/>
          <w:color w:val="000000" w:themeColor="text1"/>
        </w:rPr>
        <w:t>Uygulamalı</w:t>
      </w:r>
      <w:r w:rsidRPr="009E1B38">
        <w:rPr>
          <w:rFonts w:ascii="Times New Roman" w:eastAsia="Times New Roman" w:hAnsi="Times New Roman"/>
          <w:color w:val="000000" w:themeColor="text1"/>
        </w:rPr>
        <w:t xml:space="preserve"> Gaz ve Enerji Teknolojileri </w:t>
      </w:r>
      <w:r w:rsidR="00C66BC3">
        <w:rPr>
          <w:rFonts w:ascii="Times New Roman" w:eastAsia="Times New Roman" w:hAnsi="Times New Roman"/>
          <w:color w:val="000000" w:themeColor="text1"/>
        </w:rPr>
        <w:t>Araştırma</w:t>
      </w:r>
      <w:r w:rsidRPr="009E1B38">
        <w:rPr>
          <w:rFonts w:ascii="Times New Roman" w:eastAsia="Times New Roman" w:hAnsi="Times New Roman"/>
          <w:color w:val="000000" w:themeColor="text1"/>
        </w:rPr>
        <w:t xml:space="preserve"> Mühendislik Sanayi Ticaret A.Ş. (UGETAM) and S&amp;Q Mart Kalite Güvenlik Sanayi ve Ticaret A.Ş. (S&amp;Q MART) and Elektrik Tesisleri Mühendislik Müteahhitlik Danişmanlik ve Ticaret A.Ş. (ELTEM-TEK) </w:t>
      </w:r>
      <w:r w:rsidR="003F5787">
        <w:rPr>
          <w:rFonts w:ascii="Times New Roman" w:eastAsia="Times New Roman" w:hAnsi="Times New Roman"/>
          <w:color w:val="000000" w:themeColor="text1"/>
        </w:rPr>
        <w:t>are</w:t>
      </w:r>
      <w:r w:rsidRPr="009E1B38">
        <w:rPr>
          <w:rFonts w:ascii="Times New Roman" w:eastAsia="Times New Roman" w:hAnsi="Times New Roman"/>
          <w:color w:val="000000" w:themeColor="text1"/>
        </w:rPr>
        <w:t xml:space="preserve"> authorized.</w:t>
      </w:r>
    </w:p>
    <w:p w14:paraId="51EA0B98" w14:textId="77777777" w:rsidR="00AC6A50" w:rsidRPr="009E1B38" w:rsidRDefault="00AC6A50" w:rsidP="00AC6A50">
      <w:pPr>
        <w:spacing w:after="0"/>
        <w:rPr>
          <w:rFonts w:ascii="Times New Roman" w:eastAsia="Times New Roman" w:hAnsi="Times New Roman"/>
          <w:color w:val="000000" w:themeColor="text1"/>
        </w:rPr>
      </w:pPr>
    </w:p>
    <w:p w14:paraId="1ACBA59B" w14:textId="65E313C8" w:rsidR="00AC6A50" w:rsidRPr="009E1B38" w:rsidRDefault="00AC6A50" w:rsidP="00AC6A50">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 xml:space="preserve">With the Board Decisions dated 05.07.2011 and numbered 3303-4 and dated 18.04.2012 and numbered 3783-2, the regulation regarding the examination of the investments that could not be made due to force majeure reasons not arising from the natural gas distribution companies within the scope of their 5-year investment obligations, also </w:t>
      </w:r>
      <w:r w:rsidR="005063A0">
        <w:rPr>
          <w:rFonts w:ascii="Times New Roman" w:eastAsia="Times New Roman" w:hAnsi="Times New Roman"/>
          <w:color w:val="000000" w:themeColor="text1"/>
        </w:rPr>
        <w:t>w</w:t>
      </w:r>
      <w:r w:rsidR="005063A0" w:rsidRPr="009E1B38">
        <w:rPr>
          <w:rFonts w:ascii="Times New Roman" w:eastAsia="Times New Roman" w:hAnsi="Times New Roman"/>
          <w:color w:val="000000" w:themeColor="text1"/>
        </w:rPr>
        <w:t>ithin the fra</w:t>
      </w:r>
      <w:r w:rsidR="005063A0">
        <w:rPr>
          <w:rFonts w:ascii="Times New Roman" w:eastAsia="Times New Roman" w:hAnsi="Times New Roman"/>
          <w:color w:val="000000" w:themeColor="text1"/>
        </w:rPr>
        <w:t xml:space="preserve">mework of the Board Decision dated </w:t>
      </w:r>
      <w:r w:rsidRPr="009E1B38">
        <w:rPr>
          <w:rFonts w:ascii="Times New Roman" w:eastAsia="Times New Roman" w:hAnsi="Times New Roman"/>
          <w:color w:val="000000" w:themeColor="text1"/>
        </w:rPr>
        <w:t>08.01.2015 and</w:t>
      </w:r>
      <w:r w:rsidR="005063A0">
        <w:rPr>
          <w:rFonts w:ascii="Times New Roman" w:eastAsia="Times New Roman" w:hAnsi="Times New Roman"/>
          <w:color w:val="000000" w:themeColor="text1"/>
        </w:rPr>
        <w:t xml:space="preserve"> numbered</w:t>
      </w:r>
      <w:r w:rsidRPr="009E1B38">
        <w:rPr>
          <w:rFonts w:ascii="Times New Roman" w:eastAsia="Times New Roman" w:hAnsi="Times New Roman"/>
          <w:color w:val="000000" w:themeColor="text1"/>
        </w:rPr>
        <w:t xml:space="preserve"> 5409-5, a regulation was made to determine the current status of the investments that appear as force majeure in the 5-year investment liability reports.</w:t>
      </w:r>
    </w:p>
    <w:p w14:paraId="119CE78E" w14:textId="77777777" w:rsidR="00AC6A50" w:rsidRPr="009E1B38" w:rsidRDefault="00AC6A50" w:rsidP="00AC6A50">
      <w:pPr>
        <w:spacing w:after="0"/>
        <w:rPr>
          <w:rFonts w:ascii="Times New Roman" w:eastAsia="Times New Roman" w:hAnsi="Times New Roman"/>
          <w:color w:val="000000" w:themeColor="text1"/>
        </w:rPr>
      </w:pPr>
    </w:p>
    <w:p w14:paraId="4B6BE78F" w14:textId="46210E46" w:rsidR="00AC6A50" w:rsidRPr="009E1B38" w:rsidRDefault="00AC6A50" w:rsidP="00AC6A50">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Within the framework of the authorization made for the scope and reporting de</w:t>
      </w:r>
      <w:r w:rsidR="002C13F3">
        <w:rPr>
          <w:rFonts w:ascii="Times New Roman" w:eastAsia="Times New Roman" w:hAnsi="Times New Roman"/>
          <w:color w:val="000000" w:themeColor="text1"/>
        </w:rPr>
        <w:t>termined for the said studies, t</w:t>
      </w:r>
      <w:r w:rsidRPr="009E1B38">
        <w:rPr>
          <w:rFonts w:ascii="Times New Roman" w:eastAsia="Times New Roman" w:hAnsi="Times New Roman"/>
          <w:color w:val="000000" w:themeColor="text1"/>
        </w:rPr>
        <w:t>he aforementioned reports are examined by the Commission established within the Authority and the matters that are considered to be against the legislation as a result of the Commission's examinations are referred to the Audit Department.</w:t>
      </w:r>
    </w:p>
    <w:p w14:paraId="059F42E7" w14:textId="77777777" w:rsidR="00AC6A50" w:rsidRPr="009E1B38" w:rsidRDefault="00AC6A50" w:rsidP="00AC6A50">
      <w:pPr>
        <w:spacing w:after="0"/>
        <w:rPr>
          <w:rFonts w:ascii="Times New Roman" w:eastAsia="Times New Roman" w:hAnsi="Times New Roman"/>
          <w:color w:val="000000" w:themeColor="text1"/>
        </w:rPr>
      </w:pPr>
    </w:p>
    <w:p w14:paraId="49D64540" w14:textId="77777777" w:rsidR="00AC6A50" w:rsidRPr="009E1B38" w:rsidRDefault="00AC6A50" w:rsidP="00AC6A50">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On the other hand, within the scope of Article 70 of the Natural Gas Market Distribution and Customer Services Regulation, the companies authorized/to be authorized by the Board Decision dated 29/01/2009 and numbered 1955-1, in order to examine the temporary liabilities of the cities included in the distribution region of natural gas distribution companies through expansion. Board Decision dated 24/10/2019 and numbered 8900 was taken regarding the examination of the issues within the scope of the Board Decision and the evaluation of the audit reports to be prepared by the Natural Gas Market Department.</w:t>
      </w:r>
    </w:p>
    <w:p w14:paraId="3C2B7DF8" w14:textId="77777777" w:rsidR="00AC6A50" w:rsidRPr="009E1B38" w:rsidRDefault="00AC6A50" w:rsidP="00AC6A50">
      <w:pPr>
        <w:spacing w:after="0"/>
        <w:rPr>
          <w:rFonts w:ascii="Times New Roman" w:eastAsia="Times New Roman" w:hAnsi="Times New Roman"/>
          <w:color w:val="000000" w:themeColor="text1"/>
        </w:rPr>
      </w:pPr>
    </w:p>
    <w:p w14:paraId="6B8C6523" w14:textId="77777777" w:rsidR="00AC6A50" w:rsidRPr="009E1B38" w:rsidRDefault="00AC6A50" w:rsidP="00AC6A50">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In accordance with the aforementioned Board Decision, the inspections in the expansion areas are continuing by the authorized companies UGETAM, S&amp;Q MART and ELTEM-TEK and the completed inspection reports are submitted to the Authority.</w:t>
      </w:r>
    </w:p>
    <w:p w14:paraId="7D4A8AC3" w14:textId="77777777" w:rsidR="00467DA8" w:rsidRPr="009E1B38" w:rsidRDefault="00467DA8" w:rsidP="003D0DD5">
      <w:pPr>
        <w:spacing w:after="120"/>
        <w:rPr>
          <w:rFonts w:ascii="Times New Roman" w:eastAsia="Times New Roman" w:hAnsi="Times New Roman"/>
          <w:color w:val="000000" w:themeColor="text1"/>
        </w:rPr>
      </w:pPr>
    </w:p>
    <w:p w14:paraId="7D4A8AC4" w14:textId="0F7B86C0" w:rsidR="00F43485" w:rsidRPr="009E1B38" w:rsidRDefault="00AC6A50" w:rsidP="003C5E4D">
      <w:pPr>
        <w:pStyle w:val="Balk3"/>
        <w:numPr>
          <w:ilvl w:val="2"/>
          <w:numId w:val="63"/>
        </w:numPr>
        <w:spacing w:before="0" w:after="240"/>
        <w:rPr>
          <w:rFonts w:ascii="Times New Roman" w:eastAsia="Times New Roman" w:hAnsi="Times New Roman" w:cs="Times New Roman"/>
        </w:rPr>
      </w:pPr>
      <w:bookmarkStart w:id="256" w:name="_Toc113615387"/>
      <w:bookmarkStart w:id="257" w:name="_Toc416447612"/>
      <w:bookmarkStart w:id="258" w:name="_Toc442441762"/>
      <w:bookmarkStart w:id="259" w:name="_Toc505346203"/>
      <w:r w:rsidRPr="009E1B38">
        <w:rPr>
          <w:rFonts w:ascii="Times New Roman" w:eastAsia="Times New Roman" w:hAnsi="Times New Roman" w:cs="Times New Roman"/>
        </w:rPr>
        <w:t>Natural Gas Market Audit Activities</w:t>
      </w:r>
      <w:bookmarkEnd w:id="256"/>
    </w:p>
    <w:p w14:paraId="48B4C8DC" w14:textId="3CC3F706" w:rsidR="00AC6A50" w:rsidRPr="009E1B38" w:rsidRDefault="00AC6A50" w:rsidP="00AC6A50">
      <w:pPr>
        <w:rPr>
          <w:rFonts w:ascii="Times New Roman" w:eastAsia="Times New Roman" w:hAnsi="Times New Roman"/>
        </w:rPr>
      </w:pPr>
      <w:r w:rsidRPr="009E1B38">
        <w:rPr>
          <w:rFonts w:ascii="Times New Roman" w:eastAsia="Times New Roman" w:hAnsi="Times New Roman"/>
        </w:rPr>
        <w:t>Within the scope of the audit activities carried out for the natural gas market, in 2021 about the license and certificate holders;</w:t>
      </w:r>
    </w:p>
    <w:p w14:paraId="7D4A8AC7" w14:textId="60707082" w:rsidR="00F43485" w:rsidRPr="009E1B38" w:rsidRDefault="00AC6A50" w:rsidP="00C460E7">
      <w:pPr>
        <w:rPr>
          <w:rFonts w:ascii="Times New Roman" w:eastAsia="Times New Roman" w:hAnsi="Times New Roman"/>
        </w:rPr>
      </w:pPr>
      <w:r w:rsidRPr="009E1B38">
        <w:rPr>
          <w:rFonts w:ascii="Times New Roman" w:eastAsia="Times New Roman" w:hAnsi="Times New Roman"/>
        </w:rPr>
        <w:t>- 87 new investigations were started, a total of 12</w:t>
      </w:r>
      <w:r w:rsidR="000A12AA" w:rsidRPr="009E1B38">
        <w:rPr>
          <w:rFonts w:ascii="Times New Roman" w:eastAsia="Times New Roman" w:hAnsi="Times New Roman"/>
        </w:rPr>
        <w:t>0</w:t>
      </w:r>
      <w:r w:rsidRPr="009E1B38">
        <w:rPr>
          <w:rFonts w:ascii="Times New Roman" w:eastAsia="Times New Roman" w:hAnsi="Times New Roman"/>
        </w:rPr>
        <w:t xml:space="preserve"> investigations were carried out, including 3</w:t>
      </w:r>
      <w:r w:rsidR="00220063" w:rsidRPr="009E1B38">
        <w:rPr>
          <w:rFonts w:ascii="Times New Roman" w:eastAsia="Times New Roman" w:hAnsi="Times New Roman"/>
        </w:rPr>
        <w:t>3</w:t>
      </w:r>
      <w:r w:rsidRPr="009E1B38">
        <w:rPr>
          <w:rFonts w:ascii="Times New Roman" w:eastAsia="Times New Roman" w:hAnsi="Times New Roman"/>
        </w:rPr>
        <w:t xml:space="preserve"> investigations that were started but not terminated in previous years, </w:t>
      </w:r>
      <w:r w:rsidR="00220063" w:rsidRPr="009E1B38">
        <w:rPr>
          <w:rFonts w:ascii="Times New Roman" w:eastAsia="Times New Roman" w:hAnsi="Times New Roman"/>
        </w:rPr>
        <w:t>83</w:t>
      </w:r>
      <w:r w:rsidRPr="009E1B38">
        <w:rPr>
          <w:rFonts w:ascii="Times New Roman" w:eastAsia="Times New Roman" w:hAnsi="Times New Roman"/>
        </w:rPr>
        <w:t xml:space="preserve"> of the 12</w:t>
      </w:r>
      <w:r w:rsidR="00220063" w:rsidRPr="009E1B38">
        <w:rPr>
          <w:rFonts w:ascii="Times New Roman" w:eastAsia="Times New Roman" w:hAnsi="Times New Roman"/>
        </w:rPr>
        <w:t>0</w:t>
      </w:r>
      <w:r w:rsidRPr="009E1B38">
        <w:rPr>
          <w:rFonts w:ascii="Times New Roman" w:eastAsia="Times New Roman" w:hAnsi="Times New Roman"/>
        </w:rPr>
        <w:t xml:space="preserve"> investigations carried out were terminated and 3</w:t>
      </w:r>
      <w:r w:rsidR="00220063" w:rsidRPr="009E1B38">
        <w:rPr>
          <w:rFonts w:ascii="Times New Roman" w:eastAsia="Times New Roman" w:hAnsi="Times New Roman"/>
        </w:rPr>
        <w:t>7</w:t>
      </w:r>
      <w:r w:rsidRPr="009E1B38">
        <w:rPr>
          <w:rFonts w:ascii="Times New Roman" w:eastAsia="Times New Roman" w:hAnsi="Times New Roman"/>
        </w:rPr>
        <w:t xml:space="preserve"> of them were transferred to 2021,</w:t>
      </w:r>
    </w:p>
    <w:p w14:paraId="0E4D0460" w14:textId="77777777" w:rsidR="00C460E7" w:rsidRPr="009E1B38" w:rsidRDefault="00C460E7" w:rsidP="00C460E7">
      <w:pPr>
        <w:rPr>
          <w:rFonts w:ascii="Times New Roman" w:eastAsia="Times New Roman" w:hAnsi="Times New Roman"/>
        </w:rPr>
      </w:pPr>
    </w:p>
    <w:p w14:paraId="3BF298A9" w14:textId="4E738BAD" w:rsidR="00C460E7" w:rsidRPr="009E1B38" w:rsidRDefault="00C460E7" w:rsidP="00C460E7">
      <w:pPr>
        <w:rPr>
          <w:rFonts w:ascii="Times New Roman" w:eastAsia="Times New Roman" w:hAnsi="Times New Roman"/>
        </w:rPr>
      </w:pPr>
      <w:r w:rsidRPr="009E1B38">
        <w:rPr>
          <w:rFonts w:ascii="Times New Roman" w:eastAsia="Times New Roman" w:hAnsi="Times New Roman"/>
        </w:rPr>
        <w:t>- 56 investigations were concluded with the warning of licensees and certificate holders to act in accordance with the provisions of the relevant legislation from now on,</w:t>
      </w:r>
    </w:p>
    <w:p w14:paraId="0D47FD5C" w14:textId="44362371" w:rsidR="00C460E7" w:rsidRPr="009E1B38" w:rsidRDefault="00C460E7" w:rsidP="00C460E7">
      <w:pPr>
        <w:rPr>
          <w:rFonts w:ascii="Times New Roman" w:eastAsia="Times New Roman" w:hAnsi="Times New Roman"/>
        </w:rPr>
      </w:pPr>
      <w:r w:rsidRPr="009E1B38">
        <w:rPr>
          <w:rFonts w:ascii="Times New Roman" w:eastAsia="Times New Roman" w:hAnsi="Times New Roman"/>
        </w:rPr>
        <w:t>- In 21 investigations, due to actions that endanger the life safety of Interior Installation and Service Lines Certificate holders, certificate holders were warned to act in accordance with the provisions of the relevant legislation from now on, and the relevant certificates of the persons were revoked,</w:t>
      </w:r>
    </w:p>
    <w:p w14:paraId="33114C06" w14:textId="76B96A06" w:rsidR="00C460E7" w:rsidRPr="009E1B38" w:rsidRDefault="00C460E7" w:rsidP="00C460E7">
      <w:pPr>
        <w:rPr>
          <w:rFonts w:ascii="Times New Roman" w:eastAsia="Times New Roman" w:hAnsi="Times New Roman"/>
        </w:rPr>
      </w:pPr>
      <w:r w:rsidRPr="009E1B38">
        <w:rPr>
          <w:rFonts w:ascii="Times New Roman" w:eastAsia="Times New Roman" w:hAnsi="Times New Roman"/>
        </w:rPr>
        <w:t>- In 2 investigations, it has been decided to impose an administrative fine on the person who has 1 license and 1 holder of Internal Installation and Service Lines Certificate,</w:t>
      </w:r>
    </w:p>
    <w:p w14:paraId="7D4A8ACF" w14:textId="399E40D2" w:rsidR="00D1660C" w:rsidRPr="009E1B38" w:rsidRDefault="00C460E7" w:rsidP="003D0DD5">
      <w:pPr>
        <w:rPr>
          <w:rFonts w:ascii="Times New Roman" w:eastAsia="Times New Roman" w:hAnsi="Times New Roman"/>
        </w:rPr>
      </w:pPr>
      <w:r w:rsidRPr="009E1B38">
        <w:rPr>
          <w:rFonts w:ascii="Times New Roman" w:eastAsia="Times New Roman" w:hAnsi="Times New Roman"/>
        </w:rPr>
        <w:t>- 4 investigations were terminated without any administrative sanction.</w:t>
      </w:r>
    </w:p>
    <w:p w14:paraId="7AD9C067" w14:textId="77777777" w:rsidR="00C460E7" w:rsidRPr="009E1B38" w:rsidRDefault="00C460E7" w:rsidP="003C5E4D">
      <w:pPr>
        <w:pStyle w:val="Balk2"/>
        <w:numPr>
          <w:ilvl w:val="1"/>
          <w:numId w:val="63"/>
        </w:numPr>
        <w:rPr>
          <w:rFonts w:eastAsia="Times New Roman" w:cs="Times New Roman"/>
          <w:color w:val="000000" w:themeColor="text1"/>
        </w:rPr>
      </w:pPr>
      <w:bookmarkStart w:id="260" w:name="_Toc113615388"/>
      <w:bookmarkStart w:id="261" w:name="_Toc442431306"/>
      <w:bookmarkStart w:id="262" w:name="_Toc505346112"/>
      <w:r w:rsidRPr="009E1B38">
        <w:rPr>
          <w:rFonts w:eastAsia="Times New Roman" w:cs="Times New Roman"/>
        </w:rPr>
        <w:lastRenderedPageBreak/>
        <w:t>Petroleum Market Audit Activities</w:t>
      </w:r>
      <w:bookmarkEnd w:id="260"/>
      <w:r w:rsidRPr="009E1B38">
        <w:rPr>
          <w:rFonts w:eastAsia="Times New Roman" w:cs="Times New Roman"/>
        </w:rPr>
        <w:t xml:space="preserve"> </w:t>
      </w:r>
    </w:p>
    <w:p w14:paraId="561B9AE4" w14:textId="116F92B0" w:rsidR="00C460E7" w:rsidRPr="009E1B38" w:rsidRDefault="00C460E7" w:rsidP="00C460E7">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 xml:space="preserve">Petroleum market audits are the examination of the compliance of the market-related activities and accounts of the real or </w:t>
      </w:r>
      <w:r w:rsidR="00135D72" w:rsidRPr="009E1B38">
        <w:rPr>
          <w:rFonts w:ascii="Times New Roman" w:eastAsia="Times New Roman" w:hAnsi="Times New Roman"/>
          <w:color w:val="000000" w:themeColor="text1"/>
        </w:rPr>
        <w:t>legal entities</w:t>
      </w:r>
      <w:r w:rsidRPr="009E1B38">
        <w:rPr>
          <w:rFonts w:ascii="Times New Roman" w:eastAsia="Times New Roman" w:hAnsi="Times New Roman"/>
          <w:color w:val="000000" w:themeColor="text1"/>
        </w:rPr>
        <w:t xml:space="preserve"> operating in the market with the provisions of the relevant legislation, and the investigation of the compliance of the petroleum and mineral oil supplied to the market with the technical regulations, in case of detection of errors, contradictions, irregularities and abuses, work carried out through the application of sanctions. Administrative fines and administrative sanctions are imposed as a result of the examination and inspection activities carried out for oil market activities.</w:t>
      </w:r>
    </w:p>
    <w:p w14:paraId="7C11F936" w14:textId="77777777" w:rsidR="00C460E7" w:rsidRPr="009E1B38" w:rsidRDefault="00C460E7" w:rsidP="00C460E7">
      <w:pPr>
        <w:spacing w:after="0"/>
        <w:ind w:left="360"/>
        <w:rPr>
          <w:rFonts w:ascii="Times New Roman" w:eastAsia="Times New Roman" w:hAnsi="Times New Roman"/>
          <w:color w:val="000000" w:themeColor="text1"/>
        </w:rPr>
      </w:pPr>
    </w:p>
    <w:p w14:paraId="58928B65" w14:textId="77777777" w:rsidR="00C460E7" w:rsidRPr="009E1B38" w:rsidRDefault="00C460E7" w:rsidP="00C460E7">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Inspections within the scope of Cooperation Protocols on Inspections in the Petroleum Market and LPG Market are carried out under the coordination of the Authority. In this context, the market activities to be audited, the audit date and the regions where the audit will be carried out are determined by the Authority. Inspections of the owners, including the national marker, are carried out at least once a year.</w:t>
      </w:r>
    </w:p>
    <w:p w14:paraId="08FA886C" w14:textId="77777777" w:rsidR="00C460E7" w:rsidRPr="009E1B38" w:rsidRDefault="00C460E7" w:rsidP="00C460E7">
      <w:pPr>
        <w:spacing w:after="0"/>
        <w:ind w:left="360"/>
        <w:rPr>
          <w:rFonts w:ascii="Times New Roman" w:eastAsia="Times New Roman" w:hAnsi="Times New Roman"/>
          <w:color w:val="000000" w:themeColor="text1"/>
        </w:rPr>
      </w:pPr>
    </w:p>
    <w:p w14:paraId="0E504BD6" w14:textId="77777777" w:rsidR="00C460E7" w:rsidRPr="009E1B38" w:rsidRDefault="00C460E7" w:rsidP="00C460E7">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Inspections continued to be carried out by authorities and organizations authorized to conduct inspections on behalf of the Authority, both as a result of the determinations and within the framework of complaints and notices. Inspections were made by the Provincial Gendarmerie Commands and Provincial Police Departments under the supervision of the Ministry of Commerce and the Prosecutor's Office, especially for the facilities where smuggled fuel is sold with hidden tanks and mechanisms outside the settlement plan, and determinations were made regarding the sale of smuggled fuel.</w:t>
      </w:r>
    </w:p>
    <w:p w14:paraId="397A17DA" w14:textId="77777777" w:rsidR="00C460E7" w:rsidRPr="009E1B38" w:rsidRDefault="00C460E7" w:rsidP="00C460E7">
      <w:pPr>
        <w:spacing w:after="0"/>
        <w:ind w:left="360"/>
        <w:rPr>
          <w:rFonts w:ascii="Times New Roman" w:eastAsia="Times New Roman" w:hAnsi="Times New Roman"/>
          <w:color w:val="000000" w:themeColor="text1"/>
        </w:rPr>
      </w:pPr>
    </w:p>
    <w:p w14:paraId="1BF1C822" w14:textId="77777777" w:rsidR="00C460E7" w:rsidRPr="009E1B38" w:rsidRDefault="00C460E7" w:rsidP="00C460E7">
      <w:pPr>
        <w:spacing w:after="0"/>
        <w:rPr>
          <w:rFonts w:ascii="Times New Roman" w:eastAsia="Times New Roman" w:hAnsi="Times New Roman"/>
          <w:color w:val="000000" w:themeColor="text1"/>
        </w:rPr>
      </w:pPr>
      <w:r w:rsidRPr="009E1B38">
        <w:rPr>
          <w:rFonts w:ascii="Times New Roman" w:eastAsia="Times New Roman" w:hAnsi="Times New Roman"/>
          <w:color w:val="000000" w:themeColor="text1"/>
        </w:rPr>
        <w:t>The appropriation transfers made to the authorities with which the protocol is signed between the years 2019-2020 are shown in Table 6.1.</w:t>
      </w:r>
    </w:p>
    <w:p w14:paraId="7D4A8AD8" w14:textId="06437B29" w:rsidR="003D0DD5" w:rsidRPr="009E1B38" w:rsidRDefault="00C460E7" w:rsidP="009C057D">
      <w:pPr>
        <w:pStyle w:val="Balk5"/>
        <w:rPr>
          <w:rFonts w:ascii="Times New Roman" w:hAnsi="Times New Roman" w:cs="Times New Roman"/>
        </w:rPr>
      </w:pPr>
      <w:bookmarkStart w:id="263" w:name="_Toc107499533"/>
      <w:r w:rsidRPr="009E1B38">
        <w:rPr>
          <w:rStyle w:val="Gl"/>
          <w:rFonts w:ascii="Times New Roman" w:hAnsi="Times New Roman" w:cs="Times New Roman"/>
          <w:b/>
          <w:bCs w:val="0"/>
        </w:rPr>
        <w:t>Table</w:t>
      </w:r>
      <w:r w:rsidR="008C0C45" w:rsidRPr="009E1B38">
        <w:rPr>
          <w:rStyle w:val="Gl"/>
          <w:rFonts w:ascii="Times New Roman" w:hAnsi="Times New Roman" w:cs="Times New Roman"/>
          <w:b/>
          <w:bCs w:val="0"/>
        </w:rPr>
        <w:t xml:space="preserve"> 6.1: </w:t>
      </w:r>
      <w:r w:rsidRPr="009E1B38">
        <w:rPr>
          <w:rStyle w:val="Gl"/>
          <w:rFonts w:ascii="Times New Roman" w:hAnsi="Times New Roman" w:cs="Times New Roman"/>
          <w:b/>
          <w:bCs w:val="0"/>
        </w:rPr>
        <w:t>Transfer of Allowances to Organizations</w:t>
      </w:r>
      <w:r w:rsidR="00C66BC3">
        <w:rPr>
          <w:rStyle w:val="Gl"/>
          <w:rFonts w:ascii="Times New Roman" w:hAnsi="Times New Roman" w:cs="Times New Roman"/>
          <w:b/>
          <w:bCs w:val="0"/>
        </w:rPr>
        <w:t xml:space="preserve"> which signed Protocols</w:t>
      </w:r>
      <w:r w:rsidRPr="009E1B38">
        <w:rPr>
          <w:rStyle w:val="Gl"/>
          <w:rFonts w:ascii="Times New Roman" w:hAnsi="Times New Roman" w:cs="Times New Roman"/>
          <w:b/>
          <w:bCs w:val="0"/>
        </w:rPr>
        <w:t xml:space="preserve"> within the Scope of Audit in 2020 and 2021</w:t>
      </w:r>
      <w:bookmarkEnd w:id="257"/>
      <w:bookmarkEnd w:id="258"/>
      <w:bookmarkEnd w:id="259"/>
      <w:bookmarkEnd w:id="261"/>
      <w:bookmarkEnd w:id="262"/>
      <w:bookmarkEnd w:id="263"/>
    </w:p>
    <w:tbl>
      <w:tblPr>
        <w:tblW w:w="485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309"/>
        <w:gridCol w:w="2016"/>
        <w:gridCol w:w="2241"/>
        <w:gridCol w:w="2212"/>
      </w:tblGrid>
      <w:tr w:rsidR="00474AD0" w:rsidRPr="009E1B38" w14:paraId="7D4A8ADC" w14:textId="77777777" w:rsidTr="009767AF">
        <w:trPr>
          <w:trHeight w:val="353"/>
          <w:jc w:val="center"/>
        </w:trPr>
        <w:tc>
          <w:tcPr>
            <w:tcW w:w="1692" w:type="pct"/>
            <w:vMerge w:val="restart"/>
            <w:shd w:val="clear" w:color="auto" w:fill="6E9ECA"/>
            <w:vAlign w:val="center"/>
            <w:hideMark/>
          </w:tcPr>
          <w:p w14:paraId="7D4A8AD9" w14:textId="00A3F73A" w:rsidR="00474AD0" w:rsidRPr="009E1B38" w:rsidRDefault="00C460E7" w:rsidP="00C460E7">
            <w:pPr>
              <w:spacing w:after="0" w:line="240" w:lineRule="auto"/>
              <w:jc w:val="left"/>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Organizations Covered by the Protocol</w:t>
            </w:r>
          </w:p>
        </w:tc>
        <w:tc>
          <w:tcPr>
            <w:tcW w:w="2177" w:type="pct"/>
            <w:gridSpan w:val="2"/>
            <w:shd w:val="clear" w:color="auto" w:fill="6E9ECA"/>
            <w:vAlign w:val="center"/>
            <w:hideMark/>
          </w:tcPr>
          <w:p w14:paraId="7D4A8ADA" w14:textId="7CB3C8A6" w:rsidR="00474AD0" w:rsidRPr="009E1B38" w:rsidRDefault="00C460E7" w:rsidP="00772A4E">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Transferred Allowance Amount (TL)</w:t>
            </w:r>
          </w:p>
        </w:tc>
        <w:tc>
          <w:tcPr>
            <w:tcW w:w="1131" w:type="pct"/>
            <w:shd w:val="clear" w:color="auto" w:fill="6E9ECA"/>
            <w:vAlign w:val="center"/>
            <w:hideMark/>
          </w:tcPr>
          <w:p w14:paraId="7D4A8ADB" w14:textId="6F4C7F14" w:rsidR="00474AD0" w:rsidRPr="009E1B38" w:rsidRDefault="00C460E7" w:rsidP="00772A4E">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Change</w:t>
            </w:r>
            <w:r w:rsidR="00474AD0" w:rsidRPr="009E1B38">
              <w:rPr>
                <w:rFonts w:ascii="Times New Roman" w:eastAsia="Times New Roman" w:hAnsi="Times New Roman"/>
                <w:b/>
                <w:color w:val="FFFFFF" w:themeColor="background1"/>
                <w:lang w:eastAsia="tr-TR"/>
              </w:rPr>
              <w:t xml:space="preserve"> (%)</w:t>
            </w:r>
          </w:p>
        </w:tc>
      </w:tr>
      <w:tr w:rsidR="00474AD0" w:rsidRPr="009E1B38" w14:paraId="7D4A8AE1" w14:textId="77777777" w:rsidTr="009767AF">
        <w:trPr>
          <w:trHeight w:val="330"/>
          <w:jc w:val="center"/>
        </w:trPr>
        <w:tc>
          <w:tcPr>
            <w:tcW w:w="1692" w:type="pct"/>
            <w:vMerge/>
            <w:vAlign w:val="center"/>
            <w:hideMark/>
          </w:tcPr>
          <w:p w14:paraId="7D4A8ADD" w14:textId="77777777" w:rsidR="00474AD0" w:rsidRPr="009E1B38" w:rsidRDefault="00474AD0" w:rsidP="00772A4E">
            <w:pPr>
              <w:spacing w:after="0" w:line="240" w:lineRule="auto"/>
              <w:rPr>
                <w:rFonts w:ascii="Times New Roman" w:eastAsia="Times New Roman" w:hAnsi="Times New Roman"/>
                <w:b/>
                <w:bCs/>
                <w:color w:val="FFFFFF"/>
                <w:lang w:eastAsia="tr-TR"/>
              </w:rPr>
            </w:pPr>
          </w:p>
        </w:tc>
        <w:tc>
          <w:tcPr>
            <w:tcW w:w="1031" w:type="pct"/>
            <w:shd w:val="clear" w:color="auto" w:fill="6E9ECA"/>
            <w:vAlign w:val="center"/>
            <w:hideMark/>
          </w:tcPr>
          <w:p w14:paraId="7D4A8ADE" w14:textId="53F2F0ED" w:rsidR="00474AD0" w:rsidRPr="009E1B38" w:rsidRDefault="00C460E7" w:rsidP="00772A4E">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 xml:space="preserve">Year </w:t>
            </w:r>
            <w:r w:rsidR="00474AD0" w:rsidRPr="009E1B38">
              <w:rPr>
                <w:rFonts w:ascii="Times New Roman" w:eastAsia="Times New Roman" w:hAnsi="Times New Roman"/>
                <w:b/>
                <w:color w:val="FFFFFF" w:themeColor="background1"/>
                <w:lang w:eastAsia="tr-TR"/>
              </w:rPr>
              <w:t>20</w:t>
            </w:r>
            <w:r w:rsidR="000C2D59" w:rsidRPr="009E1B38">
              <w:rPr>
                <w:rFonts w:ascii="Times New Roman" w:eastAsia="Times New Roman" w:hAnsi="Times New Roman"/>
                <w:b/>
                <w:color w:val="FFFFFF" w:themeColor="background1"/>
                <w:lang w:eastAsia="tr-TR"/>
              </w:rPr>
              <w:t>20</w:t>
            </w:r>
            <w:r w:rsidR="00474AD0" w:rsidRPr="009E1B38">
              <w:rPr>
                <w:rFonts w:ascii="Times New Roman" w:eastAsia="Times New Roman" w:hAnsi="Times New Roman"/>
                <w:b/>
                <w:color w:val="FFFFFF" w:themeColor="background1"/>
                <w:lang w:eastAsia="tr-TR"/>
              </w:rPr>
              <w:t xml:space="preserve"> </w:t>
            </w:r>
          </w:p>
        </w:tc>
        <w:tc>
          <w:tcPr>
            <w:tcW w:w="1146" w:type="pct"/>
            <w:shd w:val="clear" w:color="auto" w:fill="6E9ECA"/>
            <w:vAlign w:val="center"/>
            <w:hideMark/>
          </w:tcPr>
          <w:p w14:paraId="7D4A8ADF" w14:textId="72655274" w:rsidR="00474AD0" w:rsidRPr="009E1B38" w:rsidRDefault="00C460E7" w:rsidP="00772A4E">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 xml:space="preserve">Year </w:t>
            </w:r>
            <w:r w:rsidR="00474AD0" w:rsidRPr="009E1B38">
              <w:rPr>
                <w:rFonts w:ascii="Times New Roman" w:eastAsia="Times New Roman" w:hAnsi="Times New Roman"/>
                <w:b/>
                <w:color w:val="FFFFFF" w:themeColor="background1"/>
                <w:lang w:eastAsia="tr-TR"/>
              </w:rPr>
              <w:t>202</w:t>
            </w:r>
            <w:r w:rsidR="000C2D59" w:rsidRPr="009E1B38">
              <w:rPr>
                <w:rFonts w:ascii="Times New Roman" w:eastAsia="Times New Roman" w:hAnsi="Times New Roman"/>
                <w:b/>
                <w:color w:val="FFFFFF" w:themeColor="background1"/>
                <w:lang w:eastAsia="tr-TR"/>
              </w:rPr>
              <w:t>1</w:t>
            </w:r>
            <w:r w:rsidR="00474AD0" w:rsidRPr="009E1B38">
              <w:rPr>
                <w:rFonts w:ascii="Times New Roman" w:eastAsia="Times New Roman" w:hAnsi="Times New Roman"/>
                <w:b/>
                <w:color w:val="FFFFFF" w:themeColor="background1"/>
                <w:lang w:eastAsia="tr-TR"/>
              </w:rPr>
              <w:t xml:space="preserve"> </w:t>
            </w:r>
          </w:p>
        </w:tc>
        <w:tc>
          <w:tcPr>
            <w:tcW w:w="1131" w:type="pct"/>
            <w:shd w:val="clear" w:color="auto" w:fill="6E9ECA"/>
            <w:vAlign w:val="center"/>
            <w:hideMark/>
          </w:tcPr>
          <w:p w14:paraId="7D4A8AE0" w14:textId="77777777" w:rsidR="00474AD0" w:rsidRPr="009E1B38" w:rsidRDefault="00474AD0" w:rsidP="00772A4E">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20</w:t>
            </w:r>
            <w:r w:rsidR="000C2D59" w:rsidRPr="009E1B38">
              <w:rPr>
                <w:rFonts w:ascii="Times New Roman" w:eastAsia="Times New Roman" w:hAnsi="Times New Roman"/>
                <w:b/>
                <w:color w:val="FFFFFF" w:themeColor="background1"/>
                <w:lang w:eastAsia="tr-TR"/>
              </w:rPr>
              <w:t>20</w:t>
            </w:r>
            <w:r w:rsidRPr="009E1B38">
              <w:rPr>
                <w:rFonts w:ascii="Times New Roman" w:eastAsia="Times New Roman" w:hAnsi="Times New Roman"/>
                <w:b/>
                <w:color w:val="FFFFFF" w:themeColor="background1"/>
                <w:lang w:eastAsia="tr-TR"/>
              </w:rPr>
              <w:t>→202</w:t>
            </w:r>
            <w:r w:rsidR="000C2D59" w:rsidRPr="009E1B38">
              <w:rPr>
                <w:rFonts w:ascii="Times New Roman" w:eastAsia="Times New Roman" w:hAnsi="Times New Roman"/>
                <w:b/>
                <w:color w:val="FFFFFF" w:themeColor="background1"/>
                <w:lang w:eastAsia="tr-TR"/>
              </w:rPr>
              <w:t>1</w:t>
            </w:r>
          </w:p>
        </w:tc>
      </w:tr>
      <w:tr w:rsidR="006831C9" w:rsidRPr="009E1B38" w14:paraId="7D4A8AE6" w14:textId="77777777" w:rsidTr="00CB19DC">
        <w:trPr>
          <w:trHeight w:val="330"/>
          <w:jc w:val="center"/>
        </w:trPr>
        <w:tc>
          <w:tcPr>
            <w:tcW w:w="1692" w:type="pct"/>
            <w:shd w:val="clear" w:color="auto" w:fill="auto"/>
            <w:hideMark/>
          </w:tcPr>
          <w:p w14:paraId="7D4A8AE2" w14:textId="4C90F9A7" w:rsidR="006831C9" w:rsidRPr="009E1B38" w:rsidRDefault="000E6948" w:rsidP="006831C9">
            <w:pPr>
              <w:spacing w:after="0" w:line="240" w:lineRule="auto"/>
              <w:jc w:val="left"/>
              <w:rPr>
                <w:rFonts w:ascii="Times New Roman" w:eastAsia="Times New Roman" w:hAnsi="Times New Roman"/>
                <w:b/>
                <w:color w:val="000000"/>
                <w:sz w:val="20"/>
                <w:szCs w:val="20"/>
                <w:lang w:eastAsia="tr-TR"/>
              </w:rPr>
            </w:pPr>
            <w:r w:rsidRPr="009E1B38">
              <w:rPr>
                <w:rFonts w:ascii="Times New Roman" w:eastAsia="Times New Roman" w:hAnsi="Times New Roman"/>
                <w:b/>
                <w:sz w:val="20"/>
                <w:szCs w:val="20"/>
              </w:rPr>
              <w:t>Gendarmerie General Command</w:t>
            </w:r>
          </w:p>
        </w:tc>
        <w:tc>
          <w:tcPr>
            <w:tcW w:w="1031" w:type="pct"/>
            <w:shd w:val="clear" w:color="auto" w:fill="auto"/>
            <w:vAlign w:val="center"/>
            <w:hideMark/>
          </w:tcPr>
          <w:p w14:paraId="7D4A8AE3"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6.000.000</w:t>
            </w:r>
          </w:p>
        </w:tc>
        <w:tc>
          <w:tcPr>
            <w:tcW w:w="1146" w:type="pct"/>
            <w:shd w:val="clear" w:color="auto" w:fill="auto"/>
            <w:vAlign w:val="center"/>
          </w:tcPr>
          <w:p w14:paraId="7D4A8AE4"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8.000.000</w:t>
            </w:r>
          </w:p>
        </w:tc>
        <w:tc>
          <w:tcPr>
            <w:tcW w:w="1131" w:type="pct"/>
            <w:shd w:val="clear" w:color="auto" w:fill="auto"/>
            <w:vAlign w:val="center"/>
          </w:tcPr>
          <w:p w14:paraId="7D4A8AE5" w14:textId="77777777" w:rsidR="006831C9" w:rsidRPr="009E1B38" w:rsidRDefault="006831C9" w:rsidP="006831C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33,33</w:t>
            </w:r>
          </w:p>
        </w:tc>
      </w:tr>
      <w:tr w:rsidR="006831C9" w:rsidRPr="009E1B38" w14:paraId="7D4A8AEB" w14:textId="77777777" w:rsidTr="00CB19DC">
        <w:trPr>
          <w:trHeight w:val="330"/>
          <w:jc w:val="center"/>
        </w:trPr>
        <w:tc>
          <w:tcPr>
            <w:tcW w:w="1692" w:type="pct"/>
            <w:shd w:val="clear" w:color="auto" w:fill="auto"/>
            <w:hideMark/>
          </w:tcPr>
          <w:p w14:paraId="7D4A8AE7" w14:textId="01A346BC" w:rsidR="006831C9" w:rsidRPr="009E1B38" w:rsidRDefault="000E6948" w:rsidP="006831C9">
            <w:pPr>
              <w:spacing w:after="0" w:line="240" w:lineRule="auto"/>
              <w:jc w:val="left"/>
              <w:rPr>
                <w:rFonts w:ascii="Times New Roman" w:eastAsia="Times New Roman" w:hAnsi="Times New Roman"/>
                <w:b/>
                <w:color w:val="000000"/>
                <w:sz w:val="20"/>
                <w:szCs w:val="20"/>
                <w:lang w:eastAsia="tr-TR"/>
              </w:rPr>
            </w:pPr>
            <w:r w:rsidRPr="009E1B38">
              <w:rPr>
                <w:rFonts w:ascii="Times New Roman" w:eastAsia="Times New Roman" w:hAnsi="Times New Roman"/>
                <w:b/>
                <w:sz w:val="20"/>
                <w:szCs w:val="20"/>
              </w:rPr>
              <w:t>General Directorate of Security</w:t>
            </w:r>
          </w:p>
        </w:tc>
        <w:tc>
          <w:tcPr>
            <w:tcW w:w="1031" w:type="pct"/>
            <w:shd w:val="clear" w:color="auto" w:fill="auto"/>
            <w:vAlign w:val="center"/>
            <w:hideMark/>
          </w:tcPr>
          <w:p w14:paraId="7D4A8AE8"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7.000.000</w:t>
            </w:r>
          </w:p>
        </w:tc>
        <w:tc>
          <w:tcPr>
            <w:tcW w:w="1146" w:type="pct"/>
            <w:shd w:val="clear" w:color="auto" w:fill="auto"/>
            <w:vAlign w:val="center"/>
          </w:tcPr>
          <w:p w14:paraId="7D4A8AE9"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10.000.000</w:t>
            </w:r>
          </w:p>
        </w:tc>
        <w:tc>
          <w:tcPr>
            <w:tcW w:w="1131" w:type="pct"/>
            <w:shd w:val="clear" w:color="auto" w:fill="auto"/>
            <w:vAlign w:val="center"/>
          </w:tcPr>
          <w:p w14:paraId="7D4A8AEA" w14:textId="77777777" w:rsidR="006831C9" w:rsidRPr="009E1B38" w:rsidRDefault="006831C9" w:rsidP="006831C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42,86</w:t>
            </w:r>
          </w:p>
        </w:tc>
      </w:tr>
      <w:tr w:rsidR="006831C9" w:rsidRPr="009E1B38" w14:paraId="7D4A8AF0" w14:textId="77777777" w:rsidTr="00CB19DC">
        <w:trPr>
          <w:trHeight w:val="330"/>
          <w:jc w:val="center"/>
        </w:trPr>
        <w:tc>
          <w:tcPr>
            <w:tcW w:w="1692" w:type="pct"/>
            <w:shd w:val="clear" w:color="auto" w:fill="auto"/>
            <w:hideMark/>
          </w:tcPr>
          <w:p w14:paraId="7D4A8AEC" w14:textId="15CA0FF4" w:rsidR="006831C9" w:rsidRPr="009E1B38" w:rsidRDefault="000E6948" w:rsidP="006831C9">
            <w:pPr>
              <w:spacing w:after="0" w:line="240" w:lineRule="auto"/>
              <w:jc w:val="left"/>
              <w:rPr>
                <w:rFonts w:ascii="Times New Roman" w:eastAsia="Times New Roman" w:hAnsi="Times New Roman"/>
                <w:b/>
                <w:color w:val="000000"/>
                <w:sz w:val="20"/>
                <w:szCs w:val="20"/>
                <w:lang w:eastAsia="tr-TR"/>
              </w:rPr>
            </w:pPr>
            <w:r w:rsidRPr="009E1B38">
              <w:rPr>
                <w:rFonts w:ascii="Times New Roman" w:eastAsia="Times New Roman" w:hAnsi="Times New Roman"/>
                <w:b/>
                <w:sz w:val="20"/>
                <w:szCs w:val="20"/>
              </w:rPr>
              <w:t>Coast Guard Command</w:t>
            </w:r>
          </w:p>
        </w:tc>
        <w:tc>
          <w:tcPr>
            <w:tcW w:w="1031" w:type="pct"/>
            <w:shd w:val="clear" w:color="auto" w:fill="auto"/>
            <w:vAlign w:val="center"/>
            <w:hideMark/>
          </w:tcPr>
          <w:p w14:paraId="7D4A8AED"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7.500.000</w:t>
            </w:r>
          </w:p>
        </w:tc>
        <w:tc>
          <w:tcPr>
            <w:tcW w:w="1146" w:type="pct"/>
            <w:shd w:val="clear" w:color="auto" w:fill="auto"/>
            <w:vAlign w:val="center"/>
          </w:tcPr>
          <w:p w14:paraId="7D4A8AEE"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7.500.000</w:t>
            </w:r>
          </w:p>
        </w:tc>
        <w:tc>
          <w:tcPr>
            <w:tcW w:w="1131" w:type="pct"/>
            <w:shd w:val="clear" w:color="auto" w:fill="auto"/>
            <w:vAlign w:val="center"/>
          </w:tcPr>
          <w:p w14:paraId="7D4A8AEF" w14:textId="77777777" w:rsidR="006831C9" w:rsidRPr="009E1B38" w:rsidRDefault="006831C9" w:rsidP="006831C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0,00</w:t>
            </w:r>
          </w:p>
        </w:tc>
      </w:tr>
      <w:tr w:rsidR="006831C9" w:rsidRPr="009E1B38" w14:paraId="7D4A8AF5" w14:textId="77777777" w:rsidTr="00CB19DC">
        <w:trPr>
          <w:trHeight w:val="330"/>
          <w:jc w:val="center"/>
        </w:trPr>
        <w:tc>
          <w:tcPr>
            <w:tcW w:w="1692" w:type="pct"/>
            <w:shd w:val="clear" w:color="auto" w:fill="auto"/>
            <w:hideMark/>
          </w:tcPr>
          <w:p w14:paraId="7D4A8AF1" w14:textId="47C1B4CF" w:rsidR="006831C9" w:rsidRPr="009E1B38" w:rsidRDefault="000E6948" w:rsidP="006831C9">
            <w:pPr>
              <w:spacing w:after="0" w:line="240" w:lineRule="auto"/>
              <w:rPr>
                <w:rFonts w:ascii="Times New Roman" w:eastAsia="Times New Roman" w:hAnsi="Times New Roman"/>
                <w:b/>
                <w:color w:val="000000"/>
                <w:sz w:val="20"/>
                <w:szCs w:val="20"/>
                <w:lang w:eastAsia="tr-TR"/>
              </w:rPr>
            </w:pPr>
            <w:r w:rsidRPr="009E1B38">
              <w:rPr>
                <w:rFonts w:ascii="Times New Roman" w:eastAsia="Times New Roman" w:hAnsi="Times New Roman"/>
                <w:b/>
                <w:sz w:val="20"/>
                <w:szCs w:val="20"/>
              </w:rPr>
              <w:t>Ministry of Industry and Technology</w:t>
            </w:r>
          </w:p>
        </w:tc>
        <w:tc>
          <w:tcPr>
            <w:tcW w:w="1031" w:type="pct"/>
            <w:shd w:val="clear" w:color="auto" w:fill="auto"/>
            <w:vAlign w:val="center"/>
            <w:hideMark/>
          </w:tcPr>
          <w:p w14:paraId="7D4A8AF2"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5.000.000</w:t>
            </w:r>
          </w:p>
        </w:tc>
        <w:tc>
          <w:tcPr>
            <w:tcW w:w="1146" w:type="pct"/>
            <w:shd w:val="clear" w:color="auto" w:fill="auto"/>
            <w:vAlign w:val="center"/>
          </w:tcPr>
          <w:p w14:paraId="7D4A8AF3"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5.000.000</w:t>
            </w:r>
          </w:p>
        </w:tc>
        <w:tc>
          <w:tcPr>
            <w:tcW w:w="1131" w:type="pct"/>
            <w:shd w:val="clear" w:color="auto" w:fill="auto"/>
            <w:vAlign w:val="center"/>
          </w:tcPr>
          <w:p w14:paraId="7D4A8AF4" w14:textId="77777777" w:rsidR="006831C9" w:rsidRPr="009E1B38" w:rsidRDefault="006831C9" w:rsidP="006831C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0,00</w:t>
            </w:r>
          </w:p>
        </w:tc>
      </w:tr>
      <w:tr w:rsidR="006831C9" w:rsidRPr="009E1B38" w14:paraId="7D4A8AFA" w14:textId="77777777" w:rsidTr="00474AD0">
        <w:trPr>
          <w:trHeight w:val="330"/>
          <w:jc w:val="center"/>
        </w:trPr>
        <w:tc>
          <w:tcPr>
            <w:tcW w:w="1692" w:type="pct"/>
            <w:shd w:val="clear" w:color="auto" w:fill="auto"/>
            <w:vAlign w:val="center"/>
          </w:tcPr>
          <w:p w14:paraId="7D4A8AF6" w14:textId="77777777" w:rsidR="006831C9" w:rsidRPr="009E1B38" w:rsidRDefault="006831C9" w:rsidP="006831C9">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ODTÜ-PAL</w:t>
            </w:r>
          </w:p>
        </w:tc>
        <w:tc>
          <w:tcPr>
            <w:tcW w:w="1031" w:type="pct"/>
            <w:shd w:val="clear" w:color="auto" w:fill="auto"/>
            <w:vAlign w:val="center"/>
          </w:tcPr>
          <w:p w14:paraId="7D4A8AF7"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150.000</w:t>
            </w:r>
          </w:p>
        </w:tc>
        <w:tc>
          <w:tcPr>
            <w:tcW w:w="1146" w:type="pct"/>
            <w:shd w:val="clear" w:color="auto" w:fill="auto"/>
            <w:vAlign w:val="center"/>
          </w:tcPr>
          <w:p w14:paraId="7D4A8AF8"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162.500</w:t>
            </w:r>
          </w:p>
        </w:tc>
        <w:tc>
          <w:tcPr>
            <w:tcW w:w="1131" w:type="pct"/>
            <w:shd w:val="clear" w:color="auto" w:fill="auto"/>
            <w:vAlign w:val="center"/>
          </w:tcPr>
          <w:p w14:paraId="7D4A8AF9" w14:textId="77777777" w:rsidR="006831C9" w:rsidRPr="009E1B38" w:rsidRDefault="006831C9" w:rsidP="006831C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8,33</w:t>
            </w:r>
          </w:p>
        </w:tc>
      </w:tr>
      <w:tr w:rsidR="006831C9" w:rsidRPr="009E1B38" w14:paraId="7D4A8AFF" w14:textId="77777777" w:rsidTr="000C2D59">
        <w:trPr>
          <w:trHeight w:val="330"/>
          <w:jc w:val="center"/>
        </w:trPr>
        <w:tc>
          <w:tcPr>
            <w:tcW w:w="1692" w:type="pct"/>
            <w:shd w:val="clear" w:color="auto" w:fill="auto"/>
            <w:vAlign w:val="center"/>
            <w:hideMark/>
          </w:tcPr>
          <w:p w14:paraId="7D4A8AFB" w14:textId="77777777" w:rsidR="006831C9" w:rsidRPr="009E1B38" w:rsidRDefault="006831C9" w:rsidP="006831C9">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 xml:space="preserve">TÜBİTAK </w:t>
            </w:r>
          </w:p>
        </w:tc>
        <w:tc>
          <w:tcPr>
            <w:tcW w:w="1031" w:type="pct"/>
            <w:shd w:val="clear" w:color="auto" w:fill="auto"/>
            <w:vAlign w:val="center"/>
            <w:hideMark/>
          </w:tcPr>
          <w:p w14:paraId="7D4A8AFC"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64.000.000</w:t>
            </w:r>
          </w:p>
        </w:tc>
        <w:tc>
          <w:tcPr>
            <w:tcW w:w="1146" w:type="pct"/>
            <w:shd w:val="clear" w:color="auto" w:fill="auto"/>
            <w:vAlign w:val="center"/>
          </w:tcPr>
          <w:p w14:paraId="7D4A8AFD" w14:textId="77777777" w:rsidR="006831C9" w:rsidRPr="009E1B38" w:rsidRDefault="006831C9" w:rsidP="006831C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70.000.000</w:t>
            </w:r>
          </w:p>
        </w:tc>
        <w:tc>
          <w:tcPr>
            <w:tcW w:w="1131" w:type="pct"/>
            <w:shd w:val="clear" w:color="auto" w:fill="auto"/>
            <w:vAlign w:val="center"/>
          </w:tcPr>
          <w:p w14:paraId="7D4A8AFE" w14:textId="77777777" w:rsidR="006831C9" w:rsidRPr="009E1B38" w:rsidRDefault="006831C9" w:rsidP="006831C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9,38</w:t>
            </w:r>
          </w:p>
        </w:tc>
      </w:tr>
      <w:tr w:rsidR="006831C9" w:rsidRPr="009E1B38" w14:paraId="7D4A8B04" w14:textId="77777777" w:rsidTr="000C2D59">
        <w:trPr>
          <w:trHeight w:val="330"/>
          <w:jc w:val="center"/>
        </w:trPr>
        <w:tc>
          <w:tcPr>
            <w:tcW w:w="1692" w:type="pct"/>
            <w:shd w:val="clear" w:color="auto" w:fill="auto"/>
            <w:vAlign w:val="center"/>
            <w:hideMark/>
          </w:tcPr>
          <w:p w14:paraId="7D4A8B00" w14:textId="36AEBCDD" w:rsidR="006831C9" w:rsidRPr="009E1B38" w:rsidRDefault="000E6948" w:rsidP="006831C9">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TOTAL</w:t>
            </w:r>
            <w:r w:rsidR="006831C9" w:rsidRPr="009E1B38">
              <w:rPr>
                <w:rFonts w:ascii="Times New Roman" w:eastAsia="Times New Roman" w:hAnsi="Times New Roman"/>
                <w:b/>
                <w:color w:val="000000" w:themeColor="text1"/>
                <w:lang w:eastAsia="tr-TR"/>
              </w:rPr>
              <w:t xml:space="preserve"> </w:t>
            </w:r>
          </w:p>
        </w:tc>
        <w:tc>
          <w:tcPr>
            <w:tcW w:w="1031" w:type="pct"/>
            <w:shd w:val="clear" w:color="auto" w:fill="auto"/>
            <w:vAlign w:val="center"/>
            <w:hideMark/>
          </w:tcPr>
          <w:p w14:paraId="7D4A8B01" w14:textId="77777777" w:rsidR="006831C9" w:rsidRPr="009E1B38" w:rsidRDefault="006831C9" w:rsidP="006831C9">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89.650.000</w:t>
            </w:r>
          </w:p>
        </w:tc>
        <w:tc>
          <w:tcPr>
            <w:tcW w:w="1146" w:type="pct"/>
            <w:shd w:val="clear" w:color="auto" w:fill="auto"/>
            <w:vAlign w:val="center"/>
          </w:tcPr>
          <w:p w14:paraId="7D4A8B02" w14:textId="77777777" w:rsidR="006831C9" w:rsidRPr="009E1B38" w:rsidRDefault="006831C9" w:rsidP="006831C9">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100.662.500</w:t>
            </w:r>
          </w:p>
        </w:tc>
        <w:tc>
          <w:tcPr>
            <w:tcW w:w="1131" w:type="pct"/>
            <w:shd w:val="clear" w:color="auto" w:fill="auto"/>
            <w:vAlign w:val="center"/>
          </w:tcPr>
          <w:p w14:paraId="7D4A8B03" w14:textId="77777777" w:rsidR="006831C9" w:rsidRPr="009E1B38" w:rsidRDefault="006831C9" w:rsidP="006831C9">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 xml:space="preserve"> 12,28</w:t>
            </w:r>
          </w:p>
        </w:tc>
      </w:tr>
    </w:tbl>
    <w:p w14:paraId="7D4A8B05" w14:textId="77777777" w:rsidR="00474AD0" w:rsidRPr="009E1B38" w:rsidRDefault="00474AD0" w:rsidP="003D0DD5">
      <w:pPr>
        <w:spacing w:after="0"/>
        <w:rPr>
          <w:rFonts w:ascii="Times New Roman" w:eastAsia="Times New Roman" w:hAnsi="Times New Roman"/>
        </w:rPr>
      </w:pPr>
    </w:p>
    <w:p w14:paraId="323DE3CB" w14:textId="77777777" w:rsidR="000E6948" w:rsidRPr="009E1B38" w:rsidRDefault="000E6948" w:rsidP="000E6948">
      <w:pPr>
        <w:spacing w:after="0"/>
        <w:rPr>
          <w:rFonts w:ascii="Times New Roman" w:eastAsia="Times New Roman" w:hAnsi="Times New Roman"/>
        </w:rPr>
      </w:pPr>
      <w:r w:rsidRPr="009E1B38">
        <w:rPr>
          <w:rFonts w:ascii="Times New Roman" w:eastAsia="Times New Roman" w:hAnsi="Times New Roman"/>
        </w:rPr>
        <w:t>It was also examined whether the license holders operate in accordance with the Law No. 5015 and the relevant legislation.</w:t>
      </w:r>
    </w:p>
    <w:p w14:paraId="7D4A8B07" w14:textId="77777777" w:rsidR="00E476DD" w:rsidRPr="009E1B38" w:rsidRDefault="00E476DD" w:rsidP="00E476DD">
      <w:pPr>
        <w:spacing w:after="0"/>
        <w:rPr>
          <w:rFonts w:ascii="Times New Roman" w:eastAsia="Times New Roman" w:hAnsi="Times New Roman"/>
        </w:rPr>
      </w:pPr>
    </w:p>
    <w:p w14:paraId="5D69371B" w14:textId="77777777" w:rsidR="000E6948" w:rsidRPr="009E1B38" w:rsidRDefault="000E6948" w:rsidP="000E6948">
      <w:pPr>
        <w:spacing w:after="0"/>
        <w:rPr>
          <w:rFonts w:ascii="Times New Roman" w:eastAsia="Times New Roman" w:hAnsi="Times New Roman"/>
        </w:rPr>
      </w:pPr>
      <w:r w:rsidRPr="009E1B38">
        <w:rPr>
          <w:rFonts w:ascii="Times New Roman" w:eastAsia="Times New Roman" w:hAnsi="Times New Roman"/>
        </w:rPr>
        <w:t xml:space="preserve">Within the scope of the inspections carried out with the participation of the personnel of the General Directorate of Security, the Ministry of Industry and Technology, the Ministry of Trade, the Gendarmerie General Command and the Coast Guard Command, in order to determine whether the fuel subject to market activity by the relevant licensees within the scope of petroleum market inspections contains national markers at sufficient conditions and levels Samples that were found to be invalid as a result of the measurement were transferred to TÜBİTAK, EGE-PAL, ODTÜ PAM, İNÖNÜ-PAL and KTÜ-YUAM. As a result of the said inspections, legal actions were taken regarding the facilities that were taken with the suspicion of non-standard or illegal fuel and </w:t>
      </w:r>
      <w:r w:rsidRPr="009E1B38">
        <w:rPr>
          <w:rFonts w:ascii="Times New Roman" w:eastAsia="Times New Roman" w:hAnsi="Times New Roman"/>
        </w:rPr>
        <w:lastRenderedPageBreak/>
        <w:t>which were found to be in violation of technical regulations as a result of the analyzes and/or the UM measurement results were invalid.</w:t>
      </w:r>
    </w:p>
    <w:p w14:paraId="7D4A8B09" w14:textId="78EF22BE" w:rsidR="003D0DD5" w:rsidRPr="009E1B38" w:rsidRDefault="003D0DD5" w:rsidP="009C057D">
      <w:pPr>
        <w:pStyle w:val="Balk5"/>
        <w:jc w:val="center"/>
        <w:rPr>
          <w:rStyle w:val="Gl"/>
          <w:rFonts w:ascii="Times New Roman" w:hAnsi="Times New Roman" w:cs="Times New Roman"/>
          <w:b/>
          <w:bCs w:val="0"/>
        </w:rPr>
      </w:pPr>
      <w:bookmarkStart w:id="264" w:name="_Toc107499534"/>
      <w:r w:rsidRPr="009E1B38">
        <w:rPr>
          <w:rStyle w:val="Gl"/>
          <w:rFonts w:ascii="Times New Roman" w:hAnsi="Times New Roman" w:cs="Times New Roman"/>
          <w:b/>
          <w:bCs w:val="0"/>
        </w:rPr>
        <w:t>Tabl</w:t>
      </w:r>
      <w:r w:rsidR="002A0058" w:rsidRPr="009E1B38">
        <w:rPr>
          <w:rStyle w:val="Gl"/>
          <w:rFonts w:ascii="Times New Roman" w:hAnsi="Times New Roman" w:cs="Times New Roman"/>
          <w:b/>
          <w:bCs w:val="0"/>
        </w:rPr>
        <w:t>e</w:t>
      </w:r>
      <w:r w:rsidRPr="009E1B38">
        <w:rPr>
          <w:rStyle w:val="Gl"/>
          <w:rFonts w:ascii="Times New Roman" w:hAnsi="Times New Roman" w:cs="Times New Roman"/>
          <w:b/>
          <w:bCs w:val="0"/>
        </w:rPr>
        <w:t xml:space="preserve"> 6.2: 201</w:t>
      </w:r>
      <w:r w:rsidR="000C2D59" w:rsidRPr="009E1B38">
        <w:rPr>
          <w:rStyle w:val="Gl"/>
          <w:rFonts w:ascii="Times New Roman" w:hAnsi="Times New Roman" w:cs="Times New Roman"/>
          <w:b/>
          <w:bCs w:val="0"/>
        </w:rPr>
        <w:t>9</w:t>
      </w:r>
      <w:r w:rsidR="00E476DD" w:rsidRPr="009E1B38">
        <w:rPr>
          <w:rStyle w:val="Gl"/>
          <w:rFonts w:ascii="Times New Roman" w:hAnsi="Times New Roman" w:cs="Times New Roman"/>
          <w:b/>
          <w:bCs w:val="0"/>
        </w:rPr>
        <w:t>-202</w:t>
      </w:r>
      <w:r w:rsidR="000C2D59" w:rsidRPr="009E1B38">
        <w:rPr>
          <w:rStyle w:val="Gl"/>
          <w:rFonts w:ascii="Times New Roman" w:hAnsi="Times New Roman" w:cs="Times New Roman"/>
          <w:b/>
          <w:bCs w:val="0"/>
        </w:rPr>
        <w:t>1</w:t>
      </w:r>
      <w:r w:rsidRPr="009E1B38">
        <w:rPr>
          <w:rStyle w:val="Gl"/>
          <w:rFonts w:ascii="Times New Roman" w:hAnsi="Times New Roman" w:cs="Times New Roman"/>
          <w:b/>
          <w:bCs w:val="0"/>
        </w:rPr>
        <w:t xml:space="preserve"> </w:t>
      </w:r>
      <w:r w:rsidR="002A0058" w:rsidRPr="009E1B38">
        <w:rPr>
          <w:rStyle w:val="Gl"/>
          <w:rFonts w:ascii="Times New Roman" w:hAnsi="Times New Roman" w:cs="Times New Roman"/>
          <w:b/>
          <w:bCs w:val="0"/>
        </w:rPr>
        <w:t>National Marker Field Device (XP) Analysis Results Comparison</w:t>
      </w:r>
      <w:bookmarkEnd w:id="264"/>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524"/>
        <w:gridCol w:w="855"/>
        <w:gridCol w:w="885"/>
        <w:gridCol w:w="745"/>
        <w:gridCol w:w="885"/>
        <w:gridCol w:w="1269"/>
        <w:gridCol w:w="745"/>
        <w:gridCol w:w="885"/>
        <w:gridCol w:w="1269"/>
      </w:tblGrid>
      <w:tr w:rsidR="00C6507D" w:rsidRPr="009E1B38" w14:paraId="7D4A8B10" w14:textId="77777777" w:rsidTr="009767AF">
        <w:trPr>
          <w:trHeight w:val="340"/>
          <w:tblHeader/>
          <w:jc w:val="center"/>
        </w:trPr>
        <w:tc>
          <w:tcPr>
            <w:tcW w:w="0" w:type="auto"/>
            <w:vMerge w:val="restart"/>
            <w:shd w:val="clear" w:color="auto" w:fill="6E9ECA"/>
            <w:vAlign w:val="center"/>
            <w:hideMark/>
          </w:tcPr>
          <w:p w14:paraId="7D4A8B0A" w14:textId="46F992EC"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Measurement Numbers</w:t>
            </w:r>
          </w:p>
        </w:tc>
        <w:tc>
          <w:tcPr>
            <w:tcW w:w="0" w:type="auto"/>
            <w:gridSpan w:val="2"/>
            <w:shd w:val="clear" w:color="auto" w:fill="6E9ECA"/>
            <w:noWrap/>
            <w:vAlign w:val="center"/>
            <w:hideMark/>
          </w:tcPr>
          <w:p w14:paraId="7D4A8B0B" w14:textId="5A858884"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Y</w:t>
            </w:r>
            <w:r w:rsidRPr="009E1B38">
              <w:rPr>
                <w:rFonts w:ascii="Times New Roman" w:eastAsia="Times New Roman" w:hAnsi="Times New Roman"/>
                <w:color w:val="FFFFFF" w:themeColor="background1"/>
                <w:lang w:eastAsia="tr-TR"/>
              </w:rPr>
              <w:t xml:space="preserve">ear </w:t>
            </w:r>
            <w:r w:rsidR="00E476DD" w:rsidRPr="009E1B38">
              <w:rPr>
                <w:rFonts w:ascii="Times New Roman" w:eastAsia="Times New Roman" w:hAnsi="Times New Roman"/>
                <w:b/>
                <w:color w:val="FFFFFF" w:themeColor="background1"/>
                <w:lang w:eastAsia="tr-TR"/>
              </w:rPr>
              <w:t>201</w:t>
            </w:r>
            <w:r w:rsidR="000C2D59" w:rsidRPr="009E1B38">
              <w:rPr>
                <w:rFonts w:ascii="Times New Roman" w:eastAsia="Times New Roman" w:hAnsi="Times New Roman"/>
                <w:b/>
                <w:color w:val="FFFFFF" w:themeColor="background1"/>
                <w:lang w:eastAsia="tr-TR"/>
              </w:rPr>
              <w:t>9</w:t>
            </w:r>
            <w:r w:rsidR="003D0DD5" w:rsidRPr="009E1B38">
              <w:rPr>
                <w:rFonts w:ascii="Times New Roman" w:eastAsia="Times New Roman" w:hAnsi="Times New Roman"/>
                <w:b/>
                <w:color w:val="FFFFFF" w:themeColor="background1"/>
                <w:lang w:eastAsia="tr-TR"/>
              </w:rPr>
              <w:t xml:space="preserve"> </w:t>
            </w:r>
          </w:p>
        </w:tc>
        <w:tc>
          <w:tcPr>
            <w:tcW w:w="0" w:type="auto"/>
            <w:gridSpan w:val="2"/>
            <w:shd w:val="clear" w:color="auto" w:fill="6E9ECA"/>
            <w:noWrap/>
            <w:vAlign w:val="center"/>
            <w:hideMark/>
          </w:tcPr>
          <w:p w14:paraId="7D4A8B0C" w14:textId="5A8DE260"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Ye</w:t>
            </w:r>
            <w:r w:rsidRPr="009E1B38">
              <w:rPr>
                <w:rFonts w:ascii="Times New Roman" w:eastAsia="Times New Roman" w:hAnsi="Times New Roman"/>
                <w:color w:val="FFFFFF" w:themeColor="background1"/>
                <w:lang w:eastAsia="tr-TR"/>
              </w:rPr>
              <w:t xml:space="preserve">ar </w:t>
            </w:r>
            <w:r w:rsidR="00E476DD" w:rsidRPr="009E1B38">
              <w:rPr>
                <w:rFonts w:ascii="Times New Roman" w:eastAsia="Times New Roman" w:hAnsi="Times New Roman"/>
                <w:b/>
                <w:color w:val="FFFFFF" w:themeColor="background1"/>
                <w:lang w:eastAsia="tr-TR"/>
              </w:rPr>
              <w:t>20</w:t>
            </w:r>
            <w:r w:rsidR="000C2D59" w:rsidRPr="009E1B38">
              <w:rPr>
                <w:rFonts w:ascii="Times New Roman" w:eastAsia="Times New Roman" w:hAnsi="Times New Roman"/>
                <w:b/>
                <w:color w:val="FFFFFF" w:themeColor="background1"/>
                <w:lang w:eastAsia="tr-TR"/>
              </w:rPr>
              <w:t>20</w:t>
            </w:r>
            <w:r w:rsidR="003D0DD5" w:rsidRPr="009E1B38">
              <w:rPr>
                <w:rFonts w:ascii="Times New Roman" w:eastAsia="Times New Roman" w:hAnsi="Times New Roman"/>
                <w:b/>
                <w:color w:val="FFFFFF" w:themeColor="background1"/>
                <w:lang w:eastAsia="tr-TR"/>
              </w:rPr>
              <w:t xml:space="preserve"> </w:t>
            </w:r>
          </w:p>
        </w:tc>
        <w:tc>
          <w:tcPr>
            <w:tcW w:w="0" w:type="auto"/>
            <w:shd w:val="clear" w:color="auto" w:fill="6E9ECA"/>
            <w:vAlign w:val="center"/>
            <w:hideMark/>
          </w:tcPr>
          <w:p w14:paraId="7D4A8B0D" w14:textId="22446D54"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Change</w:t>
            </w:r>
            <w:r w:rsidR="003D0DD5" w:rsidRPr="009E1B38">
              <w:rPr>
                <w:rFonts w:ascii="Times New Roman" w:eastAsia="Times New Roman" w:hAnsi="Times New Roman"/>
                <w:b/>
                <w:color w:val="FFFFFF" w:themeColor="background1"/>
                <w:lang w:eastAsia="tr-TR"/>
              </w:rPr>
              <w:t xml:space="preserve"> (%)</w:t>
            </w:r>
          </w:p>
        </w:tc>
        <w:tc>
          <w:tcPr>
            <w:tcW w:w="0" w:type="auto"/>
            <w:gridSpan w:val="2"/>
            <w:shd w:val="clear" w:color="auto" w:fill="6E9ECA"/>
            <w:vAlign w:val="center"/>
            <w:hideMark/>
          </w:tcPr>
          <w:p w14:paraId="7D4A8B0E" w14:textId="52B2F825"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 xml:space="preserve">Year </w:t>
            </w:r>
            <w:r w:rsidR="00E476DD" w:rsidRPr="009E1B38">
              <w:rPr>
                <w:rFonts w:ascii="Times New Roman" w:eastAsia="Times New Roman" w:hAnsi="Times New Roman"/>
                <w:b/>
                <w:color w:val="FFFFFF" w:themeColor="background1"/>
                <w:lang w:eastAsia="tr-TR"/>
              </w:rPr>
              <w:t>202</w:t>
            </w:r>
            <w:r w:rsidR="000C2D59" w:rsidRPr="009E1B38">
              <w:rPr>
                <w:rFonts w:ascii="Times New Roman" w:eastAsia="Times New Roman" w:hAnsi="Times New Roman"/>
                <w:b/>
                <w:color w:val="FFFFFF" w:themeColor="background1"/>
                <w:lang w:eastAsia="tr-TR"/>
              </w:rPr>
              <w:t>1</w:t>
            </w:r>
            <w:r w:rsidR="008D19D1" w:rsidRPr="009E1B38">
              <w:rPr>
                <w:rFonts w:ascii="Times New Roman" w:eastAsia="Times New Roman" w:hAnsi="Times New Roman"/>
                <w:b/>
                <w:color w:val="FFFFFF" w:themeColor="background1"/>
                <w:lang w:eastAsia="tr-TR"/>
              </w:rPr>
              <w:t xml:space="preserve"> </w:t>
            </w:r>
          </w:p>
        </w:tc>
        <w:tc>
          <w:tcPr>
            <w:tcW w:w="0" w:type="auto"/>
            <w:shd w:val="clear" w:color="auto" w:fill="6E9ECA"/>
            <w:vAlign w:val="center"/>
            <w:hideMark/>
          </w:tcPr>
          <w:p w14:paraId="7D4A8B0F" w14:textId="27E1C19B"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Change</w:t>
            </w:r>
            <w:r w:rsidR="003D0DD5" w:rsidRPr="009E1B38">
              <w:rPr>
                <w:rFonts w:ascii="Times New Roman" w:eastAsia="Times New Roman" w:hAnsi="Times New Roman"/>
                <w:b/>
                <w:color w:val="FFFFFF" w:themeColor="background1"/>
                <w:lang w:eastAsia="tr-TR"/>
              </w:rPr>
              <w:t xml:space="preserve"> (%)</w:t>
            </w:r>
          </w:p>
        </w:tc>
      </w:tr>
      <w:tr w:rsidR="00C6507D" w:rsidRPr="009E1B38" w14:paraId="7D4A8B1A" w14:textId="77777777" w:rsidTr="009767AF">
        <w:trPr>
          <w:trHeight w:val="340"/>
          <w:tblHeader/>
          <w:jc w:val="center"/>
        </w:trPr>
        <w:tc>
          <w:tcPr>
            <w:tcW w:w="0" w:type="auto"/>
            <w:vMerge/>
            <w:vAlign w:val="center"/>
            <w:hideMark/>
          </w:tcPr>
          <w:p w14:paraId="7D4A8B11" w14:textId="77777777" w:rsidR="003D0DD5" w:rsidRPr="009E1B38" w:rsidRDefault="003D0DD5" w:rsidP="00C079ED">
            <w:pPr>
              <w:spacing w:after="0" w:line="240" w:lineRule="auto"/>
              <w:rPr>
                <w:rFonts w:ascii="Times New Roman" w:eastAsia="Times New Roman" w:hAnsi="Times New Roman"/>
                <w:b/>
                <w:bCs/>
                <w:color w:val="FFFFFF"/>
                <w:szCs w:val="20"/>
                <w:lang w:eastAsia="tr-TR"/>
              </w:rPr>
            </w:pPr>
          </w:p>
        </w:tc>
        <w:tc>
          <w:tcPr>
            <w:tcW w:w="0" w:type="auto"/>
            <w:shd w:val="clear" w:color="auto" w:fill="6E9ECA"/>
            <w:vAlign w:val="center"/>
            <w:hideMark/>
          </w:tcPr>
          <w:p w14:paraId="7D4A8B12" w14:textId="2FB80782"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P</w:t>
            </w:r>
            <w:r w:rsidRPr="009E1B38">
              <w:rPr>
                <w:rFonts w:ascii="Times New Roman" w:eastAsia="Times New Roman" w:hAnsi="Times New Roman"/>
                <w:color w:val="FFFFFF" w:themeColor="background1"/>
                <w:lang w:eastAsia="tr-TR"/>
              </w:rPr>
              <w:t>iece</w:t>
            </w:r>
          </w:p>
        </w:tc>
        <w:tc>
          <w:tcPr>
            <w:tcW w:w="0" w:type="auto"/>
            <w:shd w:val="clear" w:color="auto" w:fill="6E9ECA"/>
            <w:vAlign w:val="center"/>
            <w:hideMark/>
          </w:tcPr>
          <w:p w14:paraId="7D4A8B13" w14:textId="4BADF08B"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c>
          <w:tcPr>
            <w:tcW w:w="0" w:type="auto"/>
            <w:shd w:val="clear" w:color="auto" w:fill="6E9ECA"/>
            <w:vAlign w:val="center"/>
            <w:hideMark/>
          </w:tcPr>
          <w:p w14:paraId="7D4A8B14" w14:textId="5C7B1472"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P</w:t>
            </w:r>
            <w:r w:rsidRPr="009E1B38">
              <w:rPr>
                <w:rFonts w:ascii="Times New Roman" w:eastAsia="Times New Roman" w:hAnsi="Times New Roman"/>
                <w:color w:val="FFFFFF" w:themeColor="background1"/>
                <w:lang w:eastAsia="tr-TR"/>
              </w:rPr>
              <w:t>iece</w:t>
            </w:r>
          </w:p>
        </w:tc>
        <w:tc>
          <w:tcPr>
            <w:tcW w:w="0" w:type="auto"/>
            <w:shd w:val="clear" w:color="auto" w:fill="6E9ECA"/>
            <w:vAlign w:val="center"/>
            <w:hideMark/>
          </w:tcPr>
          <w:p w14:paraId="7D4A8B15" w14:textId="4390A221"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c>
          <w:tcPr>
            <w:tcW w:w="0" w:type="auto"/>
            <w:shd w:val="clear" w:color="auto" w:fill="6E9ECA"/>
            <w:vAlign w:val="center"/>
            <w:hideMark/>
          </w:tcPr>
          <w:p w14:paraId="7D4A8B16" w14:textId="77777777" w:rsidR="003D0DD5" w:rsidRPr="009E1B38" w:rsidRDefault="00F1350A"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201</w:t>
            </w:r>
            <w:r w:rsidR="000C2D59" w:rsidRPr="009E1B38">
              <w:rPr>
                <w:rFonts w:ascii="Times New Roman" w:eastAsia="Times New Roman" w:hAnsi="Times New Roman"/>
                <w:b/>
                <w:color w:val="FFFFFF" w:themeColor="background1"/>
                <w:lang w:eastAsia="tr-TR"/>
              </w:rPr>
              <w:t>9</w:t>
            </w:r>
            <w:r w:rsidRPr="009E1B38">
              <w:rPr>
                <w:rFonts w:ascii="Times New Roman" w:eastAsia="Times New Roman" w:hAnsi="Times New Roman"/>
                <w:b/>
                <w:color w:val="FFFFFF" w:themeColor="background1"/>
                <w:lang w:eastAsia="tr-TR"/>
              </w:rPr>
              <w:t>→20</w:t>
            </w:r>
            <w:r w:rsidR="000C2D59" w:rsidRPr="009E1B38">
              <w:rPr>
                <w:rFonts w:ascii="Times New Roman" w:eastAsia="Times New Roman" w:hAnsi="Times New Roman"/>
                <w:b/>
                <w:color w:val="FFFFFF" w:themeColor="background1"/>
                <w:lang w:eastAsia="tr-TR"/>
              </w:rPr>
              <w:t>20</w:t>
            </w:r>
          </w:p>
        </w:tc>
        <w:tc>
          <w:tcPr>
            <w:tcW w:w="0" w:type="auto"/>
            <w:shd w:val="clear" w:color="auto" w:fill="6E9ECA"/>
            <w:vAlign w:val="center"/>
            <w:hideMark/>
          </w:tcPr>
          <w:p w14:paraId="7D4A8B17" w14:textId="29DA8DC6"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P</w:t>
            </w:r>
            <w:r w:rsidRPr="009E1B38">
              <w:rPr>
                <w:rFonts w:ascii="Times New Roman" w:eastAsia="Times New Roman" w:hAnsi="Times New Roman"/>
                <w:color w:val="FFFFFF" w:themeColor="background1"/>
                <w:lang w:eastAsia="tr-TR"/>
              </w:rPr>
              <w:t>iece</w:t>
            </w:r>
          </w:p>
        </w:tc>
        <w:tc>
          <w:tcPr>
            <w:tcW w:w="0" w:type="auto"/>
            <w:shd w:val="clear" w:color="auto" w:fill="6E9ECA"/>
            <w:vAlign w:val="center"/>
            <w:hideMark/>
          </w:tcPr>
          <w:p w14:paraId="7D4A8B18" w14:textId="272763A2" w:rsidR="003D0DD5" w:rsidRPr="009E1B38" w:rsidRDefault="00780B48"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c>
          <w:tcPr>
            <w:tcW w:w="0" w:type="auto"/>
            <w:shd w:val="clear" w:color="auto" w:fill="6E9ECA"/>
            <w:vAlign w:val="center"/>
            <w:hideMark/>
          </w:tcPr>
          <w:p w14:paraId="7D4A8B19" w14:textId="77777777" w:rsidR="003D0DD5" w:rsidRPr="009E1B38" w:rsidRDefault="00F1350A"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20</w:t>
            </w:r>
            <w:r w:rsidR="000C2D59" w:rsidRPr="009E1B38">
              <w:rPr>
                <w:rFonts w:ascii="Times New Roman" w:eastAsia="Times New Roman" w:hAnsi="Times New Roman"/>
                <w:b/>
                <w:color w:val="FFFFFF" w:themeColor="background1"/>
                <w:lang w:eastAsia="tr-TR"/>
              </w:rPr>
              <w:t>20</w:t>
            </w:r>
            <w:r w:rsidRPr="009E1B38">
              <w:rPr>
                <w:rFonts w:ascii="Times New Roman" w:eastAsia="Times New Roman" w:hAnsi="Times New Roman"/>
                <w:b/>
                <w:color w:val="FFFFFF" w:themeColor="background1"/>
                <w:lang w:eastAsia="tr-TR"/>
              </w:rPr>
              <w:t>→20</w:t>
            </w:r>
            <w:r w:rsidR="000C2D59" w:rsidRPr="009E1B38">
              <w:rPr>
                <w:rFonts w:ascii="Times New Roman" w:eastAsia="Times New Roman" w:hAnsi="Times New Roman"/>
                <w:b/>
                <w:color w:val="FFFFFF" w:themeColor="background1"/>
                <w:lang w:eastAsia="tr-TR"/>
              </w:rPr>
              <w:t>21</w:t>
            </w:r>
          </w:p>
        </w:tc>
      </w:tr>
      <w:tr w:rsidR="001537C6" w:rsidRPr="009E1B38" w14:paraId="7D4A8B24" w14:textId="77777777" w:rsidTr="001B71BB">
        <w:trPr>
          <w:trHeight w:val="340"/>
          <w:jc w:val="center"/>
        </w:trPr>
        <w:tc>
          <w:tcPr>
            <w:tcW w:w="0" w:type="auto"/>
            <w:shd w:val="clear" w:color="auto" w:fill="auto"/>
            <w:hideMark/>
          </w:tcPr>
          <w:p w14:paraId="7D4A8B1B" w14:textId="137FFC02" w:rsidR="000B0FFE" w:rsidRPr="009E1B38" w:rsidRDefault="00780B48" w:rsidP="000B0FFE">
            <w:pPr>
              <w:spacing w:after="0" w:line="240" w:lineRule="auto"/>
              <w:jc w:val="left"/>
              <w:rPr>
                <w:rFonts w:ascii="Times New Roman" w:eastAsia="Times New Roman" w:hAnsi="Times New Roman"/>
                <w:b/>
                <w:color w:val="000000"/>
                <w:lang w:eastAsia="tr-TR"/>
              </w:rPr>
            </w:pPr>
            <w:r w:rsidRPr="009E1B38">
              <w:rPr>
                <w:rFonts w:ascii="Times New Roman" w:eastAsia="Times New Roman" w:hAnsi="Times New Roman"/>
                <w:b/>
                <w:sz w:val="20"/>
                <w:szCs w:val="20"/>
              </w:rPr>
              <w:t>Number of Valid Measurements</w:t>
            </w:r>
          </w:p>
        </w:tc>
        <w:tc>
          <w:tcPr>
            <w:tcW w:w="0" w:type="auto"/>
            <w:shd w:val="clear" w:color="auto" w:fill="auto"/>
            <w:vAlign w:val="center"/>
            <w:hideMark/>
          </w:tcPr>
          <w:p w14:paraId="7D4A8B1C" w14:textId="77777777" w:rsidR="000B0FFE" w:rsidRPr="009E1B38" w:rsidRDefault="000B0FFE" w:rsidP="00263255">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101.109</w:t>
            </w:r>
          </w:p>
        </w:tc>
        <w:tc>
          <w:tcPr>
            <w:tcW w:w="0" w:type="auto"/>
            <w:shd w:val="clear" w:color="auto" w:fill="auto"/>
            <w:vAlign w:val="center"/>
            <w:hideMark/>
          </w:tcPr>
          <w:p w14:paraId="7D4A8B1D"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98,81</w:t>
            </w:r>
          </w:p>
        </w:tc>
        <w:tc>
          <w:tcPr>
            <w:tcW w:w="0" w:type="auto"/>
            <w:shd w:val="clear" w:color="auto" w:fill="auto"/>
            <w:vAlign w:val="center"/>
          </w:tcPr>
          <w:p w14:paraId="7D4A8B1E" w14:textId="77777777" w:rsidR="000B0FFE" w:rsidRPr="009E1B38" w:rsidRDefault="000B0FFE" w:rsidP="00263255">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85.668</w:t>
            </w:r>
          </w:p>
        </w:tc>
        <w:tc>
          <w:tcPr>
            <w:tcW w:w="0" w:type="auto"/>
            <w:shd w:val="clear" w:color="auto" w:fill="auto"/>
            <w:noWrap/>
            <w:vAlign w:val="center"/>
          </w:tcPr>
          <w:p w14:paraId="7D4A8B1F"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99,16</w:t>
            </w:r>
          </w:p>
        </w:tc>
        <w:tc>
          <w:tcPr>
            <w:tcW w:w="0" w:type="auto"/>
            <w:shd w:val="clear" w:color="auto" w:fill="auto"/>
            <w:noWrap/>
            <w:vAlign w:val="center"/>
            <w:hideMark/>
          </w:tcPr>
          <w:p w14:paraId="7D4A8B20"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-15,27</w:t>
            </w:r>
          </w:p>
        </w:tc>
        <w:tc>
          <w:tcPr>
            <w:tcW w:w="0" w:type="auto"/>
            <w:shd w:val="clear" w:color="auto" w:fill="auto"/>
            <w:vAlign w:val="center"/>
          </w:tcPr>
          <w:p w14:paraId="7D4A8B21" w14:textId="77777777" w:rsidR="000B0FFE" w:rsidRPr="009E1B38" w:rsidRDefault="000B0FFE" w:rsidP="00263255">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87.448</w:t>
            </w:r>
          </w:p>
        </w:tc>
        <w:tc>
          <w:tcPr>
            <w:tcW w:w="0" w:type="auto"/>
            <w:shd w:val="clear" w:color="auto" w:fill="auto"/>
            <w:vAlign w:val="center"/>
          </w:tcPr>
          <w:p w14:paraId="7D4A8B22"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99,29</w:t>
            </w:r>
          </w:p>
        </w:tc>
        <w:tc>
          <w:tcPr>
            <w:tcW w:w="0" w:type="auto"/>
            <w:shd w:val="clear" w:color="auto" w:fill="auto"/>
            <w:vAlign w:val="center"/>
          </w:tcPr>
          <w:p w14:paraId="7D4A8B23"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2,07</w:t>
            </w:r>
          </w:p>
        </w:tc>
      </w:tr>
      <w:tr w:rsidR="001537C6" w:rsidRPr="009E1B38" w14:paraId="7D4A8B2E" w14:textId="77777777" w:rsidTr="001B71BB">
        <w:trPr>
          <w:trHeight w:val="340"/>
          <w:jc w:val="center"/>
        </w:trPr>
        <w:tc>
          <w:tcPr>
            <w:tcW w:w="0" w:type="auto"/>
            <w:shd w:val="clear" w:color="auto" w:fill="auto"/>
            <w:hideMark/>
          </w:tcPr>
          <w:p w14:paraId="7D4A8B25" w14:textId="2BC9CA69" w:rsidR="000B0FFE" w:rsidRPr="009E1B38" w:rsidRDefault="00780B48" w:rsidP="000B0FFE">
            <w:pPr>
              <w:spacing w:after="0" w:line="240" w:lineRule="auto"/>
              <w:jc w:val="left"/>
              <w:rPr>
                <w:rFonts w:ascii="Times New Roman" w:eastAsia="Times New Roman" w:hAnsi="Times New Roman"/>
                <w:b/>
                <w:color w:val="000000"/>
                <w:lang w:eastAsia="tr-TR"/>
              </w:rPr>
            </w:pPr>
            <w:r w:rsidRPr="009E1B38">
              <w:rPr>
                <w:rFonts w:ascii="Times New Roman" w:eastAsia="Times New Roman" w:hAnsi="Times New Roman"/>
                <w:b/>
                <w:sz w:val="20"/>
                <w:szCs w:val="20"/>
              </w:rPr>
              <w:t>Number of Invalid Measurements</w:t>
            </w:r>
          </w:p>
        </w:tc>
        <w:tc>
          <w:tcPr>
            <w:tcW w:w="0" w:type="auto"/>
            <w:shd w:val="clear" w:color="auto" w:fill="auto"/>
            <w:vAlign w:val="center"/>
            <w:hideMark/>
          </w:tcPr>
          <w:p w14:paraId="7D4A8B26" w14:textId="77777777" w:rsidR="000B0FFE" w:rsidRPr="009E1B38" w:rsidRDefault="000B0FFE" w:rsidP="00263255">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1.218</w:t>
            </w:r>
          </w:p>
        </w:tc>
        <w:tc>
          <w:tcPr>
            <w:tcW w:w="0" w:type="auto"/>
            <w:shd w:val="clear" w:color="auto" w:fill="auto"/>
            <w:vAlign w:val="center"/>
            <w:hideMark/>
          </w:tcPr>
          <w:p w14:paraId="7D4A8B27"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1,19</w:t>
            </w:r>
          </w:p>
        </w:tc>
        <w:tc>
          <w:tcPr>
            <w:tcW w:w="0" w:type="auto"/>
            <w:shd w:val="clear" w:color="auto" w:fill="auto"/>
            <w:vAlign w:val="center"/>
          </w:tcPr>
          <w:p w14:paraId="7D4A8B28" w14:textId="77777777" w:rsidR="000B0FFE" w:rsidRPr="009E1B38" w:rsidRDefault="000B0FFE" w:rsidP="00263255">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725</w:t>
            </w:r>
          </w:p>
        </w:tc>
        <w:tc>
          <w:tcPr>
            <w:tcW w:w="0" w:type="auto"/>
            <w:shd w:val="clear" w:color="auto" w:fill="auto"/>
            <w:noWrap/>
            <w:vAlign w:val="center"/>
          </w:tcPr>
          <w:p w14:paraId="7D4A8B29"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0,84</w:t>
            </w:r>
          </w:p>
        </w:tc>
        <w:tc>
          <w:tcPr>
            <w:tcW w:w="0" w:type="auto"/>
            <w:shd w:val="clear" w:color="auto" w:fill="auto"/>
            <w:noWrap/>
            <w:vAlign w:val="center"/>
            <w:hideMark/>
          </w:tcPr>
          <w:p w14:paraId="7D4A8B2A"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-40,47</w:t>
            </w:r>
          </w:p>
        </w:tc>
        <w:tc>
          <w:tcPr>
            <w:tcW w:w="0" w:type="auto"/>
            <w:shd w:val="clear" w:color="auto" w:fill="auto"/>
            <w:vAlign w:val="center"/>
          </w:tcPr>
          <w:p w14:paraId="7D4A8B2B" w14:textId="77777777" w:rsidR="000B0FFE" w:rsidRPr="009E1B38" w:rsidRDefault="000B0FFE" w:rsidP="00263255">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622</w:t>
            </w:r>
          </w:p>
        </w:tc>
        <w:tc>
          <w:tcPr>
            <w:tcW w:w="0" w:type="auto"/>
            <w:shd w:val="clear" w:color="auto" w:fill="auto"/>
            <w:vAlign w:val="center"/>
          </w:tcPr>
          <w:p w14:paraId="7D4A8B2C"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0,71</w:t>
            </w:r>
          </w:p>
        </w:tc>
        <w:tc>
          <w:tcPr>
            <w:tcW w:w="0" w:type="auto"/>
            <w:shd w:val="clear" w:color="auto" w:fill="auto"/>
            <w:vAlign w:val="center"/>
          </w:tcPr>
          <w:p w14:paraId="7D4A8B2D"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-14,20</w:t>
            </w:r>
          </w:p>
        </w:tc>
      </w:tr>
      <w:tr w:rsidR="001537C6" w:rsidRPr="009E1B38" w14:paraId="7D4A8B38" w14:textId="77777777" w:rsidTr="001B71BB">
        <w:trPr>
          <w:trHeight w:val="340"/>
          <w:jc w:val="center"/>
        </w:trPr>
        <w:tc>
          <w:tcPr>
            <w:tcW w:w="0" w:type="auto"/>
            <w:shd w:val="clear" w:color="auto" w:fill="auto"/>
            <w:hideMark/>
          </w:tcPr>
          <w:p w14:paraId="7D4A8B2F" w14:textId="43305CA2" w:rsidR="000B0FFE" w:rsidRPr="009E1B38" w:rsidRDefault="00780B48" w:rsidP="000B0FFE">
            <w:pPr>
              <w:spacing w:after="0" w:line="240" w:lineRule="auto"/>
              <w:jc w:val="left"/>
              <w:rPr>
                <w:rFonts w:ascii="Times New Roman" w:eastAsia="Times New Roman" w:hAnsi="Times New Roman"/>
                <w:b/>
                <w:color w:val="000000"/>
                <w:lang w:eastAsia="tr-TR"/>
              </w:rPr>
            </w:pPr>
            <w:r w:rsidRPr="009E1B38">
              <w:rPr>
                <w:rFonts w:ascii="Times New Roman" w:eastAsia="Times New Roman" w:hAnsi="Times New Roman"/>
                <w:b/>
                <w:sz w:val="20"/>
                <w:szCs w:val="20"/>
              </w:rPr>
              <w:t>Total Number of Measurements</w:t>
            </w:r>
          </w:p>
        </w:tc>
        <w:tc>
          <w:tcPr>
            <w:tcW w:w="0" w:type="auto"/>
            <w:shd w:val="clear" w:color="auto" w:fill="auto"/>
            <w:vAlign w:val="center"/>
            <w:hideMark/>
          </w:tcPr>
          <w:p w14:paraId="7D4A8B30" w14:textId="77777777" w:rsidR="000B0FFE" w:rsidRPr="009E1B38" w:rsidRDefault="000B0FFE" w:rsidP="00263255">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102.327</w:t>
            </w:r>
          </w:p>
        </w:tc>
        <w:tc>
          <w:tcPr>
            <w:tcW w:w="0" w:type="auto"/>
            <w:shd w:val="clear" w:color="auto" w:fill="auto"/>
            <w:vAlign w:val="center"/>
            <w:hideMark/>
          </w:tcPr>
          <w:p w14:paraId="7D4A8B31" w14:textId="77777777" w:rsidR="000B0FFE" w:rsidRPr="009E1B38" w:rsidRDefault="000B0FFE" w:rsidP="000B0FFE">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c>
          <w:tcPr>
            <w:tcW w:w="0" w:type="auto"/>
            <w:shd w:val="clear" w:color="auto" w:fill="auto"/>
            <w:vAlign w:val="center"/>
          </w:tcPr>
          <w:p w14:paraId="7D4A8B32" w14:textId="77777777" w:rsidR="000B0FFE" w:rsidRPr="009E1B38" w:rsidRDefault="000B0FFE" w:rsidP="00263255">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86.393</w:t>
            </w:r>
          </w:p>
        </w:tc>
        <w:tc>
          <w:tcPr>
            <w:tcW w:w="0" w:type="auto"/>
            <w:shd w:val="clear" w:color="auto" w:fill="auto"/>
            <w:noWrap/>
            <w:vAlign w:val="center"/>
          </w:tcPr>
          <w:p w14:paraId="7D4A8B33" w14:textId="77777777" w:rsidR="000B0FFE" w:rsidRPr="009E1B38" w:rsidRDefault="000B0FFE" w:rsidP="000B0FFE">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c>
          <w:tcPr>
            <w:tcW w:w="0" w:type="auto"/>
            <w:shd w:val="clear" w:color="auto" w:fill="auto"/>
            <w:noWrap/>
            <w:vAlign w:val="center"/>
            <w:hideMark/>
          </w:tcPr>
          <w:p w14:paraId="7D4A8B34" w14:textId="77777777" w:rsidR="000B0FFE" w:rsidRPr="009E1B38" w:rsidRDefault="000B0FFE" w:rsidP="000B0FFE">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-15,57</w:t>
            </w:r>
          </w:p>
        </w:tc>
        <w:tc>
          <w:tcPr>
            <w:tcW w:w="0" w:type="auto"/>
            <w:shd w:val="clear" w:color="auto" w:fill="auto"/>
            <w:vAlign w:val="center"/>
          </w:tcPr>
          <w:p w14:paraId="7D4A8B35" w14:textId="77777777" w:rsidR="000B0FFE" w:rsidRPr="009E1B38" w:rsidRDefault="000B0FFE" w:rsidP="00263255">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88.070</w:t>
            </w:r>
          </w:p>
        </w:tc>
        <w:tc>
          <w:tcPr>
            <w:tcW w:w="0" w:type="auto"/>
            <w:shd w:val="clear" w:color="auto" w:fill="auto"/>
            <w:vAlign w:val="center"/>
          </w:tcPr>
          <w:p w14:paraId="7D4A8B36" w14:textId="77777777" w:rsidR="000B0FFE" w:rsidRPr="009E1B38" w:rsidRDefault="000B0FFE" w:rsidP="000B0FFE">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c>
          <w:tcPr>
            <w:tcW w:w="0" w:type="auto"/>
            <w:shd w:val="clear" w:color="auto" w:fill="auto"/>
            <w:vAlign w:val="center"/>
          </w:tcPr>
          <w:p w14:paraId="7D4A8B37" w14:textId="77777777" w:rsidR="000B0FFE" w:rsidRPr="009E1B38" w:rsidRDefault="000B0FFE" w:rsidP="000B0FFE">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1,9</w:t>
            </w:r>
            <w:r w:rsidR="00263255" w:rsidRPr="009E1B38">
              <w:rPr>
                <w:rFonts w:ascii="Times New Roman" w:eastAsia="Times New Roman" w:hAnsi="Times New Roman"/>
                <w:b/>
                <w:color w:val="000000" w:themeColor="text1"/>
                <w:lang w:eastAsia="tr-TR"/>
              </w:rPr>
              <w:t>4</w:t>
            </w:r>
          </w:p>
        </w:tc>
      </w:tr>
    </w:tbl>
    <w:p w14:paraId="3B509C19" w14:textId="77777777" w:rsidR="003D0DD5" w:rsidRPr="009E1B38" w:rsidRDefault="003D0DD5" w:rsidP="00473E3A">
      <w:pPr>
        <w:rPr>
          <w:rFonts w:ascii="Times New Roman" w:eastAsia="Times New Roman" w:hAnsi="Times New Roman"/>
        </w:rPr>
      </w:pPr>
    </w:p>
    <w:p w14:paraId="4EA80BE6" w14:textId="62268D6B" w:rsidR="00473E3A" w:rsidRPr="009E1B38" w:rsidRDefault="00473E3A" w:rsidP="00473E3A">
      <w:pPr>
        <w:rPr>
          <w:rFonts w:ascii="Times New Roman" w:eastAsia="Times New Roman" w:hAnsi="Times New Roman"/>
        </w:rPr>
      </w:pPr>
      <w:r w:rsidRPr="009E1B38">
        <w:rPr>
          <w:rFonts w:ascii="Times New Roman" w:eastAsia="Times New Roman" w:hAnsi="Times New Roman"/>
        </w:rPr>
        <w:t xml:space="preserve">As a result of the audits and investigations carried out in the oil market in 2021; İn the audits carried out within the scope of the actions that can be corrected by their nature, </w:t>
      </w:r>
      <w:r w:rsidRPr="009E1B38">
        <w:rPr>
          <w:rFonts w:ascii="Times New Roman" w:eastAsia="Times New Roman" w:hAnsi="Times New Roman"/>
          <w:b/>
        </w:rPr>
        <w:t>484</w:t>
      </w:r>
      <w:r w:rsidRPr="009E1B38">
        <w:rPr>
          <w:rFonts w:ascii="Times New Roman" w:eastAsia="Times New Roman" w:hAnsi="Times New Roman"/>
        </w:rPr>
        <w:t xml:space="preserve"> warning procedures were established, and the administrative fines imposed by the Authority are shown in Table 6.3 and Table 6.4.</w:t>
      </w:r>
    </w:p>
    <w:p w14:paraId="77C8D56A" w14:textId="77777777" w:rsidR="00473E3A" w:rsidRPr="009E1B38" w:rsidRDefault="00473E3A" w:rsidP="009C057D">
      <w:pPr>
        <w:pStyle w:val="Balk5"/>
        <w:jc w:val="center"/>
        <w:rPr>
          <w:rStyle w:val="Gl"/>
          <w:rFonts w:ascii="Times New Roman" w:hAnsi="Times New Roman" w:cs="Times New Roman"/>
          <w:b/>
          <w:bCs w:val="0"/>
        </w:rPr>
      </w:pPr>
      <w:bookmarkStart w:id="265" w:name="_Toc77092391"/>
      <w:bookmarkStart w:id="266" w:name="_Toc107499535"/>
      <w:r w:rsidRPr="009E1B38">
        <w:rPr>
          <w:rStyle w:val="Gl"/>
          <w:rFonts w:ascii="Times New Roman" w:hAnsi="Times New Roman" w:cs="Times New Roman"/>
          <w:b/>
          <w:bCs w:val="0"/>
        </w:rPr>
        <w:t>Table 6.3: Distribution of Administrative Fines İmplemented in the Petroleum Market in 2020 by License Type</w:t>
      </w:r>
      <w:bookmarkEnd w:id="265"/>
      <w:bookmarkEnd w:id="266"/>
    </w:p>
    <w:tbl>
      <w:tblPr>
        <w:tblW w:w="4432" w:type="pct"/>
        <w:jc w:val="center"/>
        <w:tblCellMar>
          <w:left w:w="70" w:type="dxa"/>
          <w:right w:w="70" w:type="dxa"/>
        </w:tblCellMar>
        <w:tblLook w:val="04A0" w:firstRow="1" w:lastRow="0" w:firstColumn="1" w:lastColumn="0" w:noHBand="0" w:noVBand="1"/>
      </w:tblPr>
      <w:tblGrid>
        <w:gridCol w:w="4363"/>
        <w:gridCol w:w="1728"/>
        <w:gridCol w:w="635"/>
        <w:gridCol w:w="1558"/>
        <w:gridCol w:w="635"/>
      </w:tblGrid>
      <w:tr w:rsidR="003D0DD5" w:rsidRPr="009E1B38" w14:paraId="7D4A8B41" w14:textId="77777777" w:rsidTr="009767AF">
        <w:trPr>
          <w:trHeight w:val="397"/>
          <w:jc w:val="center"/>
        </w:trPr>
        <w:tc>
          <w:tcPr>
            <w:tcW w:w="2107"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6E9ECA"/>
            <w:vAlign w:val="center"/>
            <w:hideMark/>
          </w:tcPr>
          <w:p w14:paraId="7D4A8B3C" w14:textId="7223B422" w:rsidR="003D0DD5" w:rsidRPr="009E1B38" w:rsidRDefault="00473E3A"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License Type</w:t>
            </w:r>
          </w:p>
        </w:tc>
        <w:tc>
          <w:tcPr>
            <w:tcW w:w="1240" w:type="pct"/>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vAlign w:val="center"/>
            <w:hideMark/>
          </w:tcPr>
          <w:p w14:paraId="7D4A8B3D" w14:textId="636E0525" w:rsidR="003D0DD5" w:rsidRPr="009E1B38" w:rsidRDefault="00473E3A"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Number of Administrative Fines Applied</w:t>
            </w:r>
          </w:p>
        </w:tc>
        <w:tc>
          <w:tcPr>
            <w:tcW w:w="359" w:type="pct"/>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vAlign w:val="center"/>
            <w:hideMark/>
          </w:tcPr>
          <w:p w14:paraId="7D4A8B3E" w14:textId="3543F262" w:rsidR="003D0DD5" w:rsidRPr="009E1B38" w:rsidRDefault="00473E3A"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c>
          <w:tcPr>
            <w:tcW w:w="934" w:type="pct"/>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vAlign w:val="center"/>
            <w:hideMark/>
          </w:tcPr>
          <w:p w14:paraId="7D4A8B3F" w14:textId="15C218DA" w:rsidR="003D0DD5" w:rsidRPr="009E1B38" w:rsidRDefault="00473E3A"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Administrative Fine Amount (TL)</w:t>
            </w:r>
          </w:p>
        </w:tc>
        <w:tc>
          <w:tcPr>
            <w:tcW w:w="359" w:type="pct"/>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vAlign w:val="center"/>
            <w:hideMark/>
          </w:tcPr>
          <w:p w14:paraId="7D4A8B40" w14:textId="0358CC21" w:rsidR="003D0DD5" w:rsidRPr="009E1B38" w:rsidRDefault="00473E3A"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color w:val="FFFFFF" w:themeColor="background1"/>
                <w:lang w:eastAsia="tr-TR"/>
              </w:rPr>
              <w:t>Rate</w:t>
            </w:r>
            <w:r w:rsidR="00750D7E" w:rsidRPr="009E1B38">
              <w:rPr>
                <w:rFonts w:ascii="Times New Roman" w:eastAsia="Times New Roman" w:hAnsi="Times New Roman"/>
                <w:color w:val="FFFFFF" w:themeColor="background1"/>
                <w:lang w:eastAsia="tr-TR"/>
              </w:rPr>
              <w:t xml:space="preserve"> (</w:t>
            </w:r>
            <w:r w:rsidR="003D0DD5" w:rsidRPr="009E1B38">
              <w:rPr>
                <w:rFonts w:ascii="Times New Roman" w:eastAsia="Times New Roman" w:hAnsi="Times New Roman"/>
                <w:b/>
                <w:color w:val="FFFFFF" w:themeColor="background1"/>
                <w:lang w:eastAsia="tr-TR"/>
              </w:rPr>
              <w:t>%)</w:t>
            </w:r>
          </w:p>
        </w:tc>
      </w:tr>
      <w:tr w:rsidR="000B0FFE" w:rsidRPr="009E1B38" w14:paraId="7D4A8B47" w14:textId="77777777" w:rsidTr="009767AF">
        <w:trPr>
          <w:trHeight w:val="397"/>
          <w:jc w:val="center"/>
        </w:trPr>
        <w:tc>
          <w:tcPr>
            <w:tcW w:w="2107"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noWrap/>
            <w:hideMark/>
          </w:tcPr>
          <w:p w14:paraId="7D4A8B42" w14:textId="1226BD68" w:rsidR="000B0FFE" w:rsidRPr="009E1B38" w:rsidRDefault="00473E3A" w:rsidP="000B0FFE">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Distributor</w:t>
            </w:r>
          </w:p>
        </w:tc>
        <w:tc>
          <w:tcPr>
            <w:tcW w:w="124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43"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244</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44"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36,</w:t>
            </w:r>
            <w:r w:rsidR="00705F7C" w:rsidRPr="009E1B38">
              <w:rPr>
                <w:rFonts w:ascii="Times New Roman" w:eastAsia="Times New Roman" w:hAnsi="Times New Roman"/>
                <w:color w:val="000000" w:themeColor="text1"/>
                <w:lang w:eastAsia="tr-TR"/>
              </w:rPr>
              <w:t>04</w:t>
            </w:r>
          </w:p>
        </w:tc>
        <w:tc>
          <w:tcPr>
            <w:tcW w:w="934"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45" w14:textId="77777777" w:rsidR="000B0FFE" w:rsidRPr="009E1B38" w:rsidRDefault="000B0FFE" w:rsidP="000B0FFE">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1.222.494.522   </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46" w14:textId="77777777" w:rsidR="000B0FFE" w:rsidRPr="009E1B38" w:rsidRDefault="00574EB9"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91,</w:t>
            </w:r>
            <w:r w:rsidR="00705F7C" w:rsidRPr="009E1B38">
              <w:rPr>
                <w:rFonts w:ascii="Times New Roman" w:eastAsia="Times New Roman" w:hAnsi="Times New Roman"/>
                <w:color w:val="000000" w:themeColor="text1"/>
                <w:lang w:eastAsia="tr-TR"/>
              </w:rPr>
              <w:t>1</w:t>
            </w:r>
            <w:r w:rsidRPr="009E1B38">
              <w:rPr>
                <w:rFonts w:ascii="Times New Roman" w:eastAsia="Times New Roman" w:hAnsi="Times New Roman"/>
                <w:color w:val="000000" w:themeColor="text1"/>
                <w:lang w:eastAsia="tr-TR"/>
              </w:rPr>
              <w:t>6</w:t>
            </w:r>
          </w:p>
        </w:tc>
      </w:tr>
      <w:tr w:rsidR="000B0FFE" w:rsidRPr="009E1B38" w14:paraId="7D4A8B4D" w14:textId="77777777" w:rsidTr="009767AF">
        <w:trPr>
          <w:trHeight w:val="397"/>
          <w:jc w:val="center"/>
        </w:trPr>
        <w:tc>
          <w:tcPr>
            <w:tcW w:w="2107"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noWrap/>
            <w:hideMark/>
          </w:tcPr>
          <w:p w14:paraId="7D4A8B48" w14:textId="0382C706" w:rsidR="000B0FFE" w:rsidRPr="009E1B38" w:rsidRDefault="00473E3A" w:rsidP="000B0FFE">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Dealership</w:t>
            </w:r>
          </w:p>
        </w:tc>
        <w:tc>
          <w:tcPr>
            <w:tcW w:w="124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49"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413</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4A"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61,</w:t>
            </w:r>
            <w:r w:rsidR="00705F7C" w:rsidRPr="009E1B38">
              <w:rPr>
                <w:rFonts w:ascii="Times New Roman" w:eastAsia="Times New Roman" w:hAnsi="Times New Roman"/>
                <w:color w:val="000000" w:themeColor="text1"/>
                <w:lang w:eastAsia="tr-TR"/>
              </w:rPr>
              <w:t>0</w:t>
            </w:r>
            <w:r w:rsidRPr="009E1B38">
              <w:rPr>
                <w:rFonts w:ascii="Times New Roman" w:eastAsia="Times New Roman" w:hAnsi="Times New Roman"/>
                <w:color w:val="000000" w:themeColor="text1"/>
                <w:lang w:eastAsia="tr-TR"/>
              </w:rPr>
              <w:t>0</w:t>
            </w:r>
          </w:p>
        </w:tc>
        <w:tc>
          <w:tcPr>
            <w:tcW w:w="934"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4B" w14:textId="77777777" w:rsidR="000B0FFE" w:rsidRPr="009E1B38" w:rsidRDefault="000B0FFE" w:rsidP="000B0FFE">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91.176.754   </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4C" w14:textId="77777777" w:rsidR="000B0FFE" w:rsidRPr="009E1B38" w:rsidRDefault="000B0FFE" w:rsidP="00574EB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w:t>
            </w:r>
            <w:r w:rsidR="00574EB9" w:rsidRPr="009E1B38">
              <w:rPr>
                <w:rFonts w:ascii="Times New Roman" w:eastAsia="Times New Roman" w:hAnsi="Times New Roman"/>
                <w:color w:val="000000" w:themeColor="text1"/>
                <w:lang w:eastAsia="tr-TR"/>
              </w:rPr>
              <w:t>80</w:t>
            </w:r>
          </w:p>
        </w:tc>
      </w:tr>
      <w:tr w:rsidR="00410A18" w:rsidRPr="009E1B38" w14:paraId="7D4A8B53" w14:textId="77777777" w:rsidTr="009767AF">
        <w:trPr>
          <w:trHeight w:val="397"/>
          <w:jc w:val="center"/>
        </w:trPr>
        <w:tc>
          <w:tcPr>
            <w:tcW w:w="2107"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noWrap/>
          </w:tcPr>
          <w:p w14:paraId="7D4A8B4E" w14:textId="3C0C8B34" w:rsidR="00410A18" w:rsidRPr="009E1B38" w:rsidRDefault="00473E3A" w:rsidP="00410A18">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Mineral oil</w:t>
            </w:r>
          </w:p>
        </w:tc>
        <w:tc>
          <w:tcPr>
            <w:tcW w:w="124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B4F" w14:textId="77777777" w:rsidR="00410A18" w:rsidRPr="009E1B38" w:rsidRDefault="00410A18" w:rsidP="00410A18">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B50" w14:textId="77777777" w:rsidR="00410A18" w:rsidRPr="009E1B38" w:rsidRDefault="00410A18" w:rsidP="00410A18">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0,89</w:t>
            </w:r>
          </w:p>
        </w:tc>
        <w:tc>
          <w:tcPr>
            <w:tcW w:w="934"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B51" w14:textId="77777777" w:rsidR="00410A18" w:rsidRPr="009E1B38" w:rsidRDefault="00410A18" w:rsidP="00410A1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17.788.520   </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B52" w14:textId="77777777" w:rsidR="00410A18" w:rsidRPr="009E1B38" w:rsidRDefault="00410A18" w:rsidP="00410A18">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1,3</w:t>
            </w:r>
            <w:r w:rsidR="00574EB9" w:rsidRPr="009E1B38">
              <w:rPr>
                <w:rFonts w:ascii="Times New Roman" w:eastAsia="Times New Roman" w:hAnsi="Times New Roman"/>
                <w:color w:val="000000" w:themeColor="text1"/>
                <w:lang w:eastAsia="tr-TR"/>
              </w:rPr>
              <w:t>3</w:t>
            </w:r>
          </w:p>
        </w:tc>
      </w:tr>
      <w:tr w:rsidR="000B0FFE" w:rsidRPr="009E1B38" w14:paraId="7D4A8B59" w14:textId="77777777" w:rsidTr="009767AF">
        <w:trPr>
          <w:trHeight w:val="397"/>
          <w:jc w:val="center"/>
        </w:trPr>
        <w:tc>
          <w:tcPr>
            <w:tcW w:w="2107"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noWrap/>
            <w:hideMark/>
          </w:tcPr>
          <w:p w14:paraId="7D4A8B54" w14:textId="1E141EA5" w:rsidR="000B0FFE" w:rsidRPr="009E1B38" w:rsidRDefault="00473E3A" w:rsidP="000B0FFE">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Surveillance Firms Authorized by the Authority</w:t>
            </w:r>
          </w:p>
        </w:tc>
        <w:tc>
          <w:tcPr>
            <w:tcW w:w="124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55"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13</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56" w14:textId="77777777" w:rsidR="000B0FFE" w:rsidRPr="009E1B38" w:rsidRDefault="000B0FFE"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1,92</w:t>
            </w:r>
          </w:p>
        </w:tc>
        <w:tc>
          <w:tcPr>
            <w:tcW w:w="934"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57" w14:textId="77777777" w:rsidR="000B0FFE" w:rsidRPr="009E1B38" w:rsidRDefault="000B0FFE" w:rsidP="000B0FFE">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8.676.361   </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58" w14:textId="77777777" w:rsidR="000B0FFE" w:rsidRPr="009E1B38" w:rsidRDefault="000B0FFE" w:rsidP="00574EB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0,6</w:t>
            </w:r>
            <w:r w:rsidR="00574EB9" w:rsidRPr="009E1B38">
              <w:rPr>
                <w:rFonts w:ascii="Times New Roman" w:eastAsia="Times New Roman" w:hAnsi="Times New Roman"/>
                <w:color w:val="000000" w:themeColor="text1"/>
                <w:lang w:eastAsia="tr-TR"/>
              </w:rPr>
              <w:t>5</w:t>
            </w:r>
          </w:p>
        </w:tc>
      </w:tr>
      <w:tr w:rsidR="00354D34" w:rsidRPr="009E1B38" w14:paraId="7D4A8B5F" w14:textId="77777777" w:rsidTr="009767AF">
        <w:trPr>
          <w:trHeight w:val="397"/>
          <w:jc w:val="center"/>
        </w:trPr>
        <w:tc>
          <w:tcPr>
            <w:tcW w:w="2107"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noWrap/>
          </w:tcPr>
          <w:p w14:paraId="7D4A8B5A" w14:textId="619B2D1C" w:rsidR="00354D34" w:rsidRPr="009E1B38" w:rsidRDefault="00473E3A" w:rsidP="00354D34">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Storage</w:t>
            </w:r>
          </w:p>
        </w:tc>
        <w:tc>
          <w:tcPr>
            <w:tcW w:w="124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B5B" w14:textId="77777777" w:rsidR="00354D34" w:rsidRPr="009E1B38" w:rsidRDefault="00705F7C" w:rsidP="00354D3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B5C" w14:textId="77777777" w:rsidR="00354D34" w:rsidRPr="009E1B38" w:rsidRDefault="00705F7C" w:rsidP="00354D3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0,15</w:t>
            </w:r>
          </w:p>
        </w:tc>
        <w:tc>
          <w:tcPr>
            <w:tcW w:w="934"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B5D" w14:textId="77777777" w:rsidR="00354D34" w:rsidRPr="009E1B38" w:rsidRDefault="00705F7C" w:rsidP="00354D34">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842.423</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B5E" w14:textId="77777777" w:rsidR="00354D34" w:rsidRPr="009E1B38" w:rsidRDefault="00705F7C" w:rsidP="00354D34">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0,06</w:t>
            </w:r>
          </w:p>
        </w:tc>
      </w:tr>
      <w:tr w:rsidR="00705F7C" w:rsidRPr="009E1B38" w14:paraId="7D4A8B65" w14:textId="77777777" w:rsidTr="009767AF">
        <w:trPr>
          <w:trHeight w:val="397"/>
          <w:jc w:val="center"/>
        </w:trPr>
        <w:tc>
          <w:tcPr>
            <w:tcW w:w="2107"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noWrap/>
            <w:hideMark/>
          </w:tcPr>
          <w:p w14:paraId="7D4A8B60" w14:textId="3E2CF4BA" w:rsidR="00705F7C" w:rsidRPr="009E1B38" w:rsidRDefault="00473E3A" w:rsidP="00705F7C">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rPr>
              <w:t>Total</w:t>
            </w:r>
          </w:p>
        </w:tc>
        <w:tc>
          <w:tcPr>
            <w:tcW w:w="124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61" w14:textId="77777777" w:rsidR="00705F7C" w:rsidRPr="009E1B38" w:rsidRDefault="00705F7C" w:rsidP="00705F7C">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6</w:t>
            </w:r>
            <w:r w:rsidR="003C5725" w:rsidRPr="009E1B38">
              <w:rPr>
                <w:rFonts w:ascii="Times New Roman" w:eastAsia="Times New Roman" w:hAnsi="Times New Roman"/>
                <w:b/>
                <w:color w:val="000000" w:themeColor="text1"/>
                <w:lang w:eastAsia="tr-TR"/>
              </w:rPr>
              <w:t>7</w:t>
            </w:r>
            <w:r w:rsidRPr="009E1B38">
              <w:rPr>
                <w:rFonts w:ascii="Times New Roman" w:eastAsia="Times New Roman" w:hAnsi="Times New Roman"/>
                <w:b/>
                <w:color w:val="000000" w:themeColor="text1"/>
                <w:lang w:eastAsia="tr-TR"/>
              </w:rPr>
              <w:t>7</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62" w14:textId="77777777" w:rsidR="00705F7C" w:rsidRPr="009E1B38" w:rsidRDefault="00705F7C" w:rsidP="00705F7C">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c>
          <w:tcPr>
            <w:tcW w:w="934"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63" w14:textId="77777777" w:rsidR="00705F7C" w:rsidRPr="009E1B38" w:rsidRDefault="00705F7C" w:rsidP="00705F7C">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 xml:space="preserve">1.340.978.580 </w:t>
            </w:r>
          </w:p>
        </w:tc>
        <w:tc>
          <w:tcPr>
            <w:tcW w:w="359"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B64" w14:textId="77777777" w:rsidR="00705F7C" w:rsidRPr="009E1B38" w:rsidRDefault="00705F7C" w:rsidP="00705F7C">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r>
    </w:tbl>
    <w:p w14:paraId="7D4A8B66" w14:textId="77777777" w:rsidR="003D0DD5" w:rsidRPr="009E1B38" w:rsidRDefault="003D0DD5" w:rsidP="003D0DD5">
      <w:pPr>
        <w:spacing w:after="0"/>
        <w:rPr>
          <w:rFonts w:ascii="Times New Roman" w:eastAsia="Times New Roman" w:hAnsi="Times New Roman"/>
        </w:rPr>
      </w:pPr>
    </w:p>
    <w:p w14:paraId="6421B941" w14:textId="77777777" w:rsidR="004C48D0" w:rsidRPr="009E1B38" w:rsidRDefault="004C48D0" w:rsidP="009C057D">
      <w:pPr>
        <w:pStyle w:val="Balk5"/>
        <w:jc w:val="center"/>
        <w:rPr>
          <w:rStyle w:val="Gl"/>
          <w:rFonts w:ascii="Times New Roman" w:hAnsi="Times New Roman" w:cs="Times New Roman"/>
          <w:b/>
          <w:bCs w:val="0"/>
        </w:rPr>
      </w:pPr>
      <w:bookmarkStart w:id="267" w:name="_Toc77092392"/>
      <w:bookmarkStart w:id="268" w:name="_Toc107499536"/>
      <w:r w:rsidRPr="009E1B38">
        <w:rPr>
          <w:rStyle w:val="Gl"/>
          <w:rFonts w:ascii="Times New Roman" w:hAnsi="Times New Roman" w:cs="Times New Roman"/>
          <w:b/>
          <w:bCs w:val="0"/>
        </w:rPr>
        <w:t>Table 6.4: Distribution of Administrative Fines İmplemented in the Petroleum Market in 2019-2020 by License Type</w:t>
      </w:r>
      <w:bookmarkEnd w:id="267"/>
      <w:bookmarkEnd w:id="268"/>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363"/>
        <w:gridCol w:w="2265"/>
        <w:gridCol w:w="635"/>
        <w:gridCol w:w="2164"/>
        <w:gridCol w:w="635"/>
      </w:tblGrid>
      <w:tr w:rsidR="003D0DD5" w:rsidRPr="009E1B38" w14:paraId="7D4A8B73" w14:textId="77777777" w:rsidTr="009767AF">
        <w:trPr>
          <w:trHeight w:val="397"/>
          <w:jc w:val="center"/>
        </w:trPr>
        <w:tc>
          <w:tcPr>
            <w:tcW w:w="1895" w:type="pct"/>
            <w:vMerge w:val="restart"/>
            <w:shd w:val="clear" w:color="auto" w:fill="6E9ECA"/>
            <w:vAlign w:val="center"/>
            <w:hideMark/>
          </w:tcPr>
          <w:p w14:paraId="7D4A8B70" w14:textId="6663110F" w:rsidR="003D0DD5" w:rsidRPr="009E1B38" w:rsidRDefault="004C48D0"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License Type</w:t>
            </w:r>
          </w:p>
        </w:tc>
        <w:tc>
          <w:tcPr>
            <w:tcW w:w="1577" w:type="pct"/>
            <w:gridSpan w:val="2"/>
            <w:shd w:val="clear" w:color="auto" w:fill="6E9ECA"/>
            <w:vAlign w:val="center"/>
            <w:hideMark/>
          </w:tcPr>
          <w:p w14:paraId="7D4A8B71" w14:textId="0DC706B6" w:rsidR="003D0DD5" w:rsidRPr="009E1B38" w:rsidRDefault="004C48D0"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 xml:space="preserve">Year </w:t>
            </w:r>
            <w:r w:rsidR="003030D3" w:rsidRPr="009E1B38">
              <w:rPr>
                <w:rFonts w:ascii="Times New Roman" w:eastAsia="Times New Roman" w:hAnsi="Times New Roman"/>
                <w:b/>
                <w:color w:val="FFFFFF" w:themeColor="background1"/>
                <w:lang w:eastAsia="tr-TR"/>
              </w:rPr>
              <w:t>20</w:t>
            </w:r>
            <w:r w:rsidR="000C2D59" w:rsidRPr="009E1B38">
              <w:rPr>
                <w:rFonts w:ascii="Times New Roman" w:eastAsia="Times New Roman" w:hAnsi="Times New Roman"/>
                <w:b/>
                <w:color w:val="FFFFFF" w:themeColor="background1"/>
                <w:lang w:eastAsia="tr-TR"/>
              </w:rPr>
              <w:t>20</w:t>
            </w:r>
          </w:p>
        </w:tc>
        <w:tc>
          <w:tcPr>
            <w:tcW w:w="1528" w:type="pct"/>
            <w:gridSpan w:val="2"/>
            <w:shd w:val="clear" w:color="auto" w:fill="6E9ECA"/>
            <w:vAlign w:val="center"/>
            <w:hideMark/>
          </w:tcPr>
          <w:p w14:paraId="7D4A8B72" w14:textId="32037A33" w:rsidR="003D0DD5" w:rsidRPr="009E1B38" w:rsidRDefault="004C48D0"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 xml:space="preserve">Year </w:t>
            </w:r>
            <w:r w:rsidR="003030D3" w:rsidRPr="009E1B38">
              <w:rPr>
                <w:rFonts w:ascii="Times New Roman" w:eastAsia="Times New Roman" w:hAnsi="Times New Roman"/>
                <w:b/>
                <w:color w:val="FFFFFF" w:themeColor="background1"/>
                <w:lang w:eastAsia="tr-TR"/>
              </w:rPr>
              <w:t>202</w:t>
            </w:r>
            <w:r w:rsidR="000C2D59" w:rsidRPr="009E1B38">
              <w:rPr>
                <w:rFonts w:ascii="Times New Roman" w:eastAsia="Times New Roman" w:hAnsi="Times New Roman"/>
                <w:b/>
                <w:color w:val="FFFFFF" w:themeColor="background1"/>
                <w:lang w:eastAsia="tr-TR"/>
              </w:rPr>
              <w:t>1</w:t>
            </w:r>
          </w:p>
        </w:tc>
      </w:tr>
      <w:tr w:rsidR="003D0DD5" w:rsidRPr="009E1B38" w14:paraId="7D4A8B79" w14:textId="77777777" w:rsidTr="009767AF">
        <w:trPr>
          <w:trHeight w:val="397"/>
          <w:jc w:val="center"/>
        </w:trPr>
        <w:tc>
          <w:tcPr>
            <w:tcW w:w="1895" w:type="pct"/>
            <w:vMerge/>
            <w:vAlign w:val="center"/>
            <w:hideMark/>
          </w:tcPr>
          <w:p w14:paraId="7D4A8B74" w14:textId="77777777" w:rsidR="003D0DD5" w:rsidRPr="009E1B38" w:rsidRDefault="003D0DD5" w:rsidP="00C079ED">
            <w:pPr>
              <w:spacing w:after="0" w:line="240" w:lineRule="auto"/>
              <w:rPr>
                <w:rFonts w:ascii="Times New Roman" w:eastAsia="Times New Roman" w:hAnsi="Times New Roman"/>
                <w:b/>
                <w:bCs/>
                <w:color w:val="FFFFFF"/>
                <w:lang w:eastAsia="tr-TR"/>
              </w:rPr>
            </w:pPr>
          </w:p>
        </w:tc>
        <w:tc>
          <w:tcPr>
            <w:tcW w:w="1196" w:type="pct"/>
            <w:shd w:val="clear" w:color="auto" w:fill="6E9ECA"/>
            <w:vAlign w:val="center"/>
            <w:hideMark/>
          </w:tcPr>
          <w:p w14:paraId="7D4A8B75" w14:textId="23EFF637" w:rsidR="003D0DD5" w:rsidRPr="009E1B38" w:rsidRDefault="004C48D0"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Administrative Fine Amount (TL)</w:t>
            </w:r>
          </w:p>
        </w:tc>
        <w:tc>
          <w:tcPr>
            <w:tcW w:w="381" w:type="pct"/>
            <w:shd w:val="clear" w:color="auto" w:fill="6E9ECA"/>
            <w:vAlign w:val="center"/>
            <w:hideMark/>
          </w:tcPr>
          <w:p w14:paraId="7D4A8B76" w14:textId="798B75E5" w:rsidR="003D0DD5" w:rsidRPr="009E1B38" w:rsidRDefault="004C48D0"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c>
          <w:tcPr>
            <w:tcW w:w="1148" w:type="pct"/>
            <w:shd w:val="clear" w:color="auto" w:fill="6E9ECA"/>
            <w:vAlign w:val="center"/>
            <w:hideMark/>
          </w:tcPr>
          <w:p w14:paraId="7D4A8B77" w14:textId="2E329576" w:rsidR="003D0DD5" w:rsidRPr="009E1B38" w:rsidRDefault="004C48D0"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Administrative Fine Amount (TL)</w:t>
            </w:r>
          </w:p>
        </w:tc>
        <w:tc>
          <w:tcPr>
            <w:tcW w:w="380" w:type="pct"/>
            <w:shd w:val="clear" w:color="auto" w:fill="6E9ECA"/>
            <w:vAlign w:val="center"/>
            <w:hideMark/>
          </w:tcPr>
          <w:p w14:paraId="7D4A8B78" w14:textId="4216C53E" w:rsidR="003D0DD5" w:rsidRPr="009E1B38" w:rsidRDefault="004C48D0"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r>
      <w:tr w:rsidR="000B0FFE" w:rsidRPr="009E1B38" w14:paraId="7D4A8B7F" w14:textId="77777777" w:rsidTr="00CE7981">
        <w:trPr>
          <w:trHeight w:val="397"/>
          <w:jc w:val="center"/>
        </w:trPr>
        <w:tc>
          <w:tcPr>
            <w:tcW w:w="1895" w:type="pct"/>
            <w:shd w:val="clear" w:color="auto" w:fill="auto"/>
            <w:noWrap/>
            <w:hideMark/>
          </w:tcPr>
          <w:p w14:paraId="7D4A8B7A" w14:textId="3EFC96A7" w:rsidR="000B0FFE" w:rsidRPr="009E1B38" w:rsidRDefault="004C48D0" w:rsidP="000B0FFE">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Distributor</w:t>
            </w:r>
          </w:p>
        </w:tc>
        <w:tc>
          <w:tcPr>
            <w:tcW w:w="1196" w:type="pct"/>
            <w:shd w:val="clear" w:color="auto" w:fill="auto"/>
            <w:noWrap/>
            <w:vAlign w:val="center"/>
            <w:hideMark/>
          </w:tcPr>
          <w:p w14:paraId="7D4A8B7B" w14:textId="77777777" w:rsidR="000B0FFE" w:rsidRPr="009E1B38" w:rsidRDefault="000B0FFE" w:rsidP="000B0FFE">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666.664.590   </w:t>
            </w:r>
          </w:p>
        </w:tc>
        <w:tc>
          <w:tcPr>
            <w:tcW w:w="381" w:type="pct"/>
            <w:shd w:val="clear" w:color="auto" w:fill="auto"/>
            <w:noWrap/>
            <w:vAlign w:val="center"/>
            <w:hideMark/>
          </w:tcPr>
          <w:p w14:paraId="7D4A8B7C" w14:textId="77777777" w:rsidR="000B0FFE" w:rsidRPr="009E1B38" w:rsidRDefault="003C5725"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84,65</w:t>
            </w:r>
          </w:p>
        </w:tc>
        <w:tc>
          <w:tcPr>
            <w:tcW w:w="1148" w:type="pct"/>
            <w:shd w:val="clear" w:color="auto" w:fill="auto"/>
            <w:vAlign w:val="center"/>
          </w:tcPr>
          <w:p w14:paraId="7D4A8B7D" w14:textId="77777777" w:rsidR="000B0FFE" w:rsidRPr="009E1B38" w:rsidRDefault="000B0FFE" w:rsidP="000B0FFE">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1.222.494.522   </w:t>
            </w:r>
          </w:p>
        </w:tc>
        <w:tc>
          <w:tcPr>
            <w:tcW w:w="380" w:type="pct"/>
            <w:shd w:val="clear" w:color="auto" w:fill="auto"/>
            <w:vAlign w:val="center"/>
          </w:tcPr>
          <w:p w14:paraId="7D4A8B7E" w14:textId="77777777" w:rsidR="000B0FFE" w:rsidRPr="009E1B38" w:rsidRDefault="003C5725"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91,16</w:t>
            </w:r>
          </w:p>
        </w:tc>
      </w:tr>
      <w:tr w:rsidR="000B0FFE" w:rsidRPr="009E1B38" w14:paraId="7D4A8B85" w14:textId="77777777" w:rsidTr="00CE7981">
        <w:trPr>
          <w:trHeight w:val="397"/>
          <w:jc w:val="center"/>
        </w:trPr>
        <w:tc>
          <w:tcPr>
            <w:tcW w:w="1895" w:type="pct"/>
            <w:shd w:val="clear" w:color="auto" w:fill="auto"/>
            <w:noWrap/>
          </w:tcPr>
          <w:p w14:paraId="7D4A8B80" w14:textId="6E9A4543" w:rsidR="000B0FFE" w:rsidRPr="009E1B38" w:rsidRDefault="004C48D0" w:rsidP="000B0FFE">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Dealership</w:t>
            </w:r>
          </w:p>
        </w:tc>
        <w:tc>
          <w:tcPr>
            <w:tcW w:w="1196" w:type="pct"/>
            <w:shd w:val="clear" w:color="auto" w:fill="auto"/>
            <w:noWrap/>
            <w:vAlign w:val="center"/>
          </w:tcPr>
          <w:p w14:paraId="7D4A8B81" w14:textId="77777777" w:rsidR="000B0FFE" w:rsidRPr="009E1B38" w:rsidRDefault="000B0FFE" w:rsidP="000B0FFE">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93.934.620   </w:t>
            </w:r>
          </w:p>
        </w:tc>
        <w:tc>
          <w:tcPr>
            <w:tcW w:w="381" w:type="pct"/>
            <w:shd w:val="clear" w:color="auto" w:fill="auto"/>
            <w:noWrap/>
            <w:vAlign w:val="center"/>
          </w:tcPr>
          <w:p w14:paraId="7D4A8B82" w14:textId="77777777" w:rsidR="000B0FFE" w:rsidRPr="009E1B38" w:rsidRDefault="003C5725"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11,93</w:t>
            </w:r>
          </w:p>
        </w:tc>
        <w:tc>
          <w:tcPr>
            <w:tcW w:w="1148" w:type="pct"/>
            <w:shd w:val="clear" w:color="auto" w:fill="auto"/>
            <w:vAlign w:val="center"/>
          </w:tcPr>
          <w:p w14:paraId="7D4A8B83" w14:textId="77777777" w:rsidR="000B0FFE" w:rsidRPr="009E1B38" w:rsidRDefault="000B0FFE" w:rsidP="000B0FFE">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91.176.754   </w:t>
            </w:r>
          </w:p>
        </w:tc>
        <w:tc>
          <w:tcPr>
            <w:tcW w:w="380" w:type="pct"/>
            <w:shd w:val="clear" w:color="auto" w:fill="auto"/>
            <w:vAlign w:val="center"/>
          </w:tcPr>
          <w:p w14:paraId="7D4A8B84" w14:textId="77777777" w:rsidR="000B0FFE" w:rsidRPr="009E1B38" w:rsidRDefault="003C5725" w:rsidP="000B0FF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6,80</w:t>
            </w:r>
          </w:p>
        </w:tc>
      </w:tr>
      <w:tr w:rsidR="00410A18" w:rsidRPr="009E1B38" w14:paraId="7D4A8B8B" w14:textId="77777777" w:rsidTr="00CE7981">
        <w:trPr>
          <w:trHeight w:val="397"/>
          <w:jc w:val="center"/>
        </w:trPr>
        <w:tc>
          <w:tcPr>
            <w:tcW w:w="1895" w:type="pct"/>
            <w:shd w:val="clear" w:color="auto" w:fill="auto"/>
            <w:noWrap/>
          </w:tcPr>
          <w:p w14:paraId="7D4A8B86" w14:textId="10B2276D" w:rsidR="00410A18" w:rsidRPr="009E1B38" w:rsidRDefault="004C48D0" w:rsidP="00410A18">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Mineral oil</w:t>
            </w:r>
          </w:p>
        </w:tc>
        <w:tc>
          <w:tcPr>
            <w:tcW w:w="1196" w:type="pct"/>
            <w:shd w:val="clear" w:color="auto" w:fill="auto"/>
            <w:noWrap/>
            <w:vAlign w:val="center"/>
          </w:tcPr>
          <w:p w14:paraId="7D4A8B87" w14:textId="77777777" w:rsidR="00410A18" w:rsidRPr="009E1B38" w:rsidRDefault="00410A18" w:rsidP="00410A1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5.751.600   </w:t>
            </w:r>
          </w:p>
        </w:tc>
        <w:tc>
          <w:tcPr>
            <w:tcW w:w="381" w:type="pct"/>
            <w:shd w:val="clear" w:color="auto" w:fill="auto"/>
            <w:noWrap/>
            <w:vAlign w:val="center"/>
          </w:tcPr>
          <w:p w14:paraId="7D4A8B88" w14:textId="77777777" w:rsidR="00410A18" w:rsidRPr="009E1B38" w:rsidRDefault="00410A18" w:rsidP="00410A18">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0,73</w:t>
            </w:r>
          </w:p>
        </w:tc>
        <w:tc>
          <w:tcPr>
            <w:tcW w:w="1148" w:type="pct"/>
            <w:shd w:val="clear" w:color="auto" w:fill="auto"/>
            <w:vAlign w:val="center"/>
          </w:tcPr>
          <w:p w14:paraId="7D4A8B89" w14:textId="77777777" w:rsidR="00410A18" w:rsidRPr="009E1B38" w:rsidRDefault="00410A18" w:rsidP="00410A1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17.788.520   </w:t>
            </w:r>
          </w:p>
        </w:tc>
        <w:tc>
          <w:tcPr>
            <w:tcW w:w="380" w:type="pct"/>
            <w:shd w:val="clear" w:color="auto" w:fill="auto"/>
            <w:vAlign w:val="center"/>
          </w:tcPr>
          <w:p w14:paraId="7D4A8B8A" w14:textId="77777777" w:rsidR="00410A18" w:rsidRPr="009E1B38" w:rsidRDefault="00410A18" w:rsidP="00410A18">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1,3</w:t>
            </w:r>
            <w:r w:rsidR="003C5725" w:rsidRPr="009E1B38">
              <w:rPr>
                <w:rFonts w:ascii="Times New Roman" w:eastAsia="Times New Roman" w:hAnsi="Times New Roman"/>
                <w:color w:val="000000" w:themeColor="text1"/>
                <w:lang w:eastAsia="tr-TR"/>
              </w:rPr>
              <w:t>3</w:t>
            </w:r>
          </w:p>
        </w:tc>
      </w:tr>
      <w:tr w:rsidR="00410A18" w:rsidRPr="009E1B38" w14:paraId="7D4A8B91" w14:textId="77777777" w:rsidTr="00CE7981">
        <w:trPr>
          <w:trHeight w:val="397"/>
          <w:jc w:val="center"/>
        </w:trPr>
        <w:tc>
          <w:tcPr>
            <w:tcW w:w="1895" w:type="pct"/>
            <w:shd w:val="clear" w:color="auto" w:fill="auto"/>
            <w:noWrap/>
          </w:tcPr>
          <w:p w14:paraId="7D4A8B8C" w14:textId="7EC03887" w:rsidR="00410A18" w:rsidRPr="009E1B38" w:rsidRDefault="004C48D0" w:rsidP="00410A18">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Storage</w:t>
            </w:r>
          </w:p>
        </w:tc>
        <w:tc>
          <w:tcPr>
            <w:tcW w:w="1196" w:type="pct"/>
            <w:shd w:val="clear" w:color="auto" w:fill="auto"/>
            <w:noWrap/>
            <w:vAlign w:val="center"/>
          </w:tcPr>
          <w:p w14:paraId="7D4A8B8D" w14:textId="77777777" w:rsidR="00410A18" w:rsidRPr="009E1B38" w:rsidRDefault="00410A18" w:rsidP="00410A1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17.784.463</w:t>
            </w:r>
          </w:p>
        </w:tc>
        <w:tc>
          <w:tcPr>
            <w:tcW w:w="381" w:type="pct"/>
            <w:shd w:val="clear" w:color="auto" w:fill="auto"/>
            <w:noWrap/>
            <w:vAlign w:val="center"/>
          </w:tcPr>
          <w:p w14:paraId="7D4A8B8E" w14:textId="77777777" w:rsidR="00410A18" w:rsidRPr="009E1B38" w:rsidRDefault="00410A18" w:rsidP="00410A18">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2,2</w:t>
            </w:r>
            <w:r w:rsidR="003C5725" w:rsidRPr="009E1B38">
              <w:rPr>
                <w:rFonts w:ascii="Times New Roman" w:eastAsia="Times New Roman" w:hAnsi="Times New Roman"/>
                <w:color w:val="000000" w:themeColor="text1"/>
                <w:lang w:eastAsia="tr-TR"/>
              </w:rPr>
              <w:t>6</w:t>
            </w:r>
          </w:p>
        </w:tc>
        <w:tc>
          <w:tcPr>
            <w:tcW w:w="1148" w:type="pct"/>
            <w:shd w:val="clear" w:color="auto" w:fill="auto"/>
            <w:vAlign w:val="center"/>
          </w:tcPr>
          <w:p w14:paraId="7D4A8B8F" w14:textId="77777777" w:rsidR="00410A18" w:rsidRPr="009E1B38" w:rsidRDefault="00410A18" w:rsidP="00410A1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8.676.361   </w:t>
            </w:r>
          </w:p>
        </w:tc>
        <w:tc>
          <w:tcPr>
            <w:tcW w:w="380" w:type="pct"/>
            <w:shd w:val="clear" w:color="auto" w:fill="auto"/>
            <w:vAlign w:val="center"/>
          </w:tcPr>
          <w:p w14:paraId="7D4A8B90" w14:textId="77777777" w:rsidR="00410A18" w:rsidRPr="009E1B38" w:rsidRDefault="00410A18" w:rsidP="003C5725">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0,6</w:t>
            </w:r>
            <w:r w:rsidR="003C5725" w:rsidRPr="009E1B38">
              <w:rPr>
                <w:rFonts w:ascii="Times New Roman" w:eastAsia="Times New Roman" w:hAnsi="Times New Roman"/>
                <w:color w:val="000000" w:themeColor="text1"/>
                <w:lang w:eastAsia="tr-TR"/>
              </w:rPr>
              <w:t>5</w:t>
            </w:r>
          </w:p>
        </w:tc>
      </w:tr>
      <w:tr w:rsidR="00410A18" w:rsidRPr="009E1B38" w14:paraId="7D4A8B97" w14:textId="77777777" w:rsidTr="00CE7981">
        <w:trPr>
          <w:trHeight w:val="397"/>
          <w:jc w:val="center"/>
        </w:trPr>
        <w:tc>
          <w:tcPr>
            <w:tcW w:w="1895" w:type="pct"/>
            <w:shd w:val="clear" w:color="auto" w:fill="auto"/>
            <w:noWrap/>
            <w:hideMark/>
          </w:tcPr>
          <w:p w14:paraId="7D4A8B92" w14:textId="1CACF85C" w:rsidR="00410A18" w:rsidRPr="009E1B38" w:rsidRDefault="004C48D0" w:rsidP="00410A18">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Bunker Delivery</w:t>
            </w:r>
          </w:p>
        </w:tc>
        <w:tc>
          <w:tcPr>
            <w:tcW w:w="1196" w:type="pct"/>
            <w:shd w:val="clear" w:color="auto" w:fill="auto"/>
            <w:noWrap/>
            <w:vAlign w:val="center"/>
            <w:hideMark/>
          </w:tcPr>
          <w:p w14:paraId="7D4A8B93" w14:textId="77777777" w:rsidR="00410A18" w:rsidRPr="009E1B38" w:rsidRDefault="00410A18" w:rsidP="00410A1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w:t>
            </w:r>
          </w:p>
        </w:tc>
        <w:tc>
          <w:tcPr>
            <w:tcW w:w="381" w:type="pct"/>
            <w:shd w:val="clear" w:color="auto" w:fill="auto"/>
            <w:noWrap/>
            <w:vAlign w:val="center"/>
            <w:hideMark/>
          </w:tcPr>
          <w:p w14:paraId="7D4A8B94" w14:textId="77777777" w:rsidR="00410A18" w:rsidRPr="009E1B38" w:rsidRDefault="00410A18" w:rsidP="00410A18">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w:t>
            </w:r>
          </w:p>
        </w:tc>
        <w:tc>
          <w:tcPr>
            <w:tcW w:w="1148" w:type="pct"/>
            <w:shd w:val="clear" w:color="auto" w:fill="auto"/>
            <w:vAlign w:val="center"/>
          </w:tcPr>
          <w:p w14:paraId="7D4A8B95" w14:textId="77777777" w:rsidR="00410A18" w:rsidRPr="009E1B38" w:rsidRDefault="00410A18" w:rsidP="00410A1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842.423</w:t>
            </w:r>
          </w:p>
        </w:tc>
        <w:tc>
          <w:tcPr>
            <w:tcW w:w="380" w:type="pct"/>
            <w:shd w:val="clear" w:color="auto" w:fill="auto"/>
            <w:vAlign w:val="center"/>
          </w:tcPr>
          <w:p w14:paraId="7D4A8B96" w14:textId="77777777" w:rsidR="00410A18" w:rsidRPr="009E1B38" w:rsidRDefault="00410A18" w:rsidP="00410A18">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0,06</w:t>
            </w:r>
          </w:p>
        </w:tc>
      </w:tr>
      <w:tr w:rsidR="00410A18" w:rsidRPr="009E1B38" w14:paraId="7D4A8B9D" w14:textId="77777777" w:rsidTr="00CE7981">
        <w:trPr>
          <w:trHeight w:val="397"/>
          <w:jc w:val="center"/>
        </w:trPr>
        <w:tc>
          <w:tcPr>
            <w:tcW w:w="1895" w:type="pct"/>
            <w:shd w:val="clear" w:color="auto" w:fill="auto"/>
            <w:noWrap/>
            <w:hideMark/>
          </w:tcPr>
          <w:p w14:paraId="7D4A8B98" w14:textId="2524FECD" w:rsidR="00410A18" w:rsidRPr="009E1B38" w:rsidRDefault="004C48D0" w:rsidP="00410A18">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Surveillance Firms Authorized by the Authority</w:t>
            </w:r>
          </w:p>
        </w:tc>
        <w:tc>
          <w:tcPr>
            <w:tcW w:w="1196" w:type="pct"/>
            <w:shd w:val="clear" w:color="auto" w:fill="auto"/>
            <w:noWrap/>
            <w:vAlign w:val="center"/>
            <w:hideMark/>
          </w:tcPr>
          <w:p w14:paraId="7D4A8B99" w14:textId="77777777" w:rsidR="00410A18" w:rsidRPr="009E1B38" w:rsidRDefault="00410A18" w:rsidP="00410A1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3.423.507   </w:t>
            </w:r>
          </w:p>
        </w:tc>
        <w:tc>
          <w:tcPr>
            <w:tcW w:w="381" w:type="pct"/>
            <w:shd w:val="clear" w:color="auto" w:fill="auto"/>
            <w:noWrap/>
            <w:vAlign w:val="center"/>
            <w:hideMark/>
          </w:tcPr>
          <w:p w14:paraId="7D4A8B9A" w14:textId="77777777" w:rsidR="00410A18" w:rsidRPr="009E1B38" w:rsidRDefault="00410A18" w:rsidP="00410A18">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0,43</w:t>
            </w:r>
          </w:p>
        </w:tc>
        <w:tc>
          <w:tcPr>
            <w:tcW w:w="1148" w:type="pct"/>
            <w:shd w:val="clear" w:color="auto" w:fill="auto"/>
            <w:vAlign w:val="center"/>
          </w:tcPr>
          <w:p w14:paraId="7D4A8B9B" w14:textId="77777777" w:rsidR="00410A18" w:rsidRPr="009E1B38" w:rsidRDefault="003C5725" w:rsidP="00410A1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w:t>
            </w:r>
          </w:p>
        </w:tc>
        <w:tc>
          <w:tcPr>
            <w:tcW w:w="380" w:type="pct"/>
            <w:shd w:val="clear" w:color="auto" w:fill="auto"/>
            <w:vAlign w:val="center"/>
          </w:tcPr>
          <w:p w14:paraId="7D4A8B9C" w14:textId="77777777" w:rsidR="00410A18" w:rsidRPr="009E1B38" w:rsidRDefault="003C5725" w:rsidP="003C5725">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w:t>
            </w:r>
          </w:p>
        </w:tc>
      </w:tr>
      <w:tr w:rsidR="00410A18" w:rsidRPr="009E1B38" w14:paraId="7D4A8BA3" w14:textId="77777777" w:rsidTr="00CE7981">
        <w:trPr>
          <w:trHeight w:val="397"/>
          <w:jc w:val="center"/>
        </w:trPr>
        <w:tc>
          <w:tcPr>
            <w:tcW w:w="1895" w:type="pct"/>
            <w:shd w:val="clear" w:color="auto" w:fill="auto"/>
            <w:noWrap/>
            <w:hideMark/>
          </w:tcPr>
          <w:p w14:paraId="7D4A8B9E" w14:textId="69DA4CE2" w:rsidR="00410A18" w:rsidRPr="009E1B38" w:rsidRDefault="004C48D0" w:rsidP="00410A18">
            <w:pPr>
              <w:spacing w:after="0" w:line="240" w:lineRule="auto"/>
              <w:rPr>
                <w:rFonts w:ascii="Times New Roman" w:eastAsia="Times New Roman" w:hAnsi="Times New Roman"/>
                <w:color w:val="000000"/>
                <w:lang w:eastAsia="tr-TR"/>
              </w:rPr>
            </w:pPr>
            <w:r w:rsidRPr="009E1B38">
              <w:rPr>
                <w:rFonts w:ascii="Times New Roman" w:eastAsia="Times New Roman" w:hAnsi="Times New Roman"/>
                <w:b/>
              </w:rPr>
              <w:t>Total</w:t>
            </w:r>
          </w:p>
        </w:tc>
        <w:tc>
          <w:tcPr>
            <w:tcW w:w="1196" w:type="pct"/>
            <w:shd w:val="clear" w:color="auto" w:fill="auto"/>
            <w:noWrap/>
            <w:vAlign w:val="center"/>
            <w:hideMark/>
          </w:tcPr>
          <w:p w14:paraId="7D4A8B9F" w14:textId="77777777" w:rsidR="00410A18" w:rsidRPr="009E1B38" w:rsidRDefault="00410A18" w:rsidP="00410A1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b/>
                <w:color w:val="000000" w:themeColor="text1"/>
                <w:lang w:eastAsia="tr-TR"/>
              </w:rPr>
              <w:t xml:space="preserve">787.558.780   </w:t>
            </w:r>
          </w:p>
        </w:tc>
        <w:tc>
          <w:tcPr>
            <w:tcW w:w="381" w:type="pct"/>
            <w:shd w:val="clear" w:color="auto" w:fill="auto"/>
            <w:noWrap/>
            <w:vAlign w:val="center"/>
            <w:hideMark/>
          </w:tcPr>
          <w:p w14:paraId="7D4A8BA0" w14:textId="77777777" w:rsidR="00410A18" w:rsidRPr="009E1B38" w:rsidRDefault="00410A18" w:rsidP="00410A18">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b/>
                <w:color w:val="000000" w:themeColor="text1"/>
                <w:lang w:eastAsia="tr-TR"/>
              </w:rPr>
              <w:t>100</w:t>
            </w:r>
          </w:p>
        </w:tc>
        <w:tc>
          <w:tcPr>
            <w:tcW w:w="1148" w:type="pct"/>
            <w:shd w:val="clear" w:color="auto" w:fill="auto"/>
            <w:vAlign w:val="center"/>
          </w:tcPr>
          <w:p w14:paraId="7D4A8BA1" w14:textId="77777777" w:rsidR="00410A18" w:rsidRPr="009E1B38" w:rsidRDefault="00410A18" w:rsidP="00410A1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b/>
                <w:color w:val="000000" w:themeColor="text1"/>
                <w:lang w:eastAsia="tr-TR"/>
              </w:rPr>
              <w:t>1.340.978.580</w:t>
            </w:r>
          </w:p>
        </w:tc>
        <w:tc>
          <w:tcPr>
            <w:tcW w:w="380" w:type="pct"/>
            <w:shd w:val="clear" w:color="auto" w:fill="auto"/>
            <w:vAlign w:val="center"/>
          </w:tcPr>
          <w:p w14:paraId="7D4A8BA2" w14:textId="77777777" w:rsidR="00410A18" w:rsidRPr="009E1B38" w:rsidRDefault="00410A18" w:rsidP="00410A18">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b/>
                <w:color w:val="000000" w:themeColor="text1"/>
                <w:lang w:eastAsia="tr-TR"/>
              </w:rPr>
              <w:t>100</w:t>
            </w:r>
          </w:p>
        </w:tc>
      </w:tr>
    </w:tbl>
    <w:p w14:paraId="7D4A8BA4" w14:textId="77777777" w:rsidR="003D0DD5" w:rsidRPr="009E1B38" w:rsidRDefault="003D0DD5" w:rsidP="003D0DD5">
      <w:pPr>
        <w:spacing w:after="0"/>
        <w:rPr>
          <w:rFonts w:ascii="Times New Roman" w:eastAsia="Times New Roman" w:hAnsi="Times New Roman"/>
        </w:rPr>
      </w:pPr>
    </w:p>
    <w:p w14:paraId="7D4A8BA5" w14:textId="77777777" w:rsidR="00CC52E4" w:rsidRPr="009E1B38" w:rsidRDefault="00CC52E4" w:rsidP="003D0DD5">
      <w:pPr>
        <w:spacing w:after="0"/>
        <w:rPr>
          <w:rFonts w:ascii="Times New Roman" w:eastAsia="Times New Roman" w:hAnsi="Times New Roman"/>
        </w:rPr>
      </w:pPr>
    </w:p>
    <w:p w14:paraId="5294D212" w14:textId="15A6C8F4" w:rsidR="004C48D0" w:rsidRPr="009E1B38" w:rsidRDefault="004C48D0" w:rsidP="004C48D0">
      <w:pPr>
        <w:rPr>
          <w:rFonts w:ascii="Times New Roman" w:eastAsia="Times New Roman" w:hAnsi="Times New Roman"/>
        </w:rPr>
      </w:pPr>
      <w:r w:rsidRPr="009E1B38">
        <w:rPr>
          <w:rFonts w:ascii="Times New Roman" w:eastAsia="Times New Roman" w:hAnsi="Times New Roman"/>
        </w:rPr>
        <w:t>The distribution of administrative fines applied in the oil market in 2021 according to their actions is shown in Table 6.5.</w:t>
      </w:r>
    </w:p>
    <w:p w14:paraId="52FB294A" w14:textId="1CE9CF49" w:rsidR="00BE758C" w:rsidRPr="009E1B38" w:rsidRDefault="00BE758C" w:rsidP="009C057D">
      <w:pPr>
        <w:pStyle w:val="Balk5"/>
        <w:jc w:val="center"/>
        <w:rPr>
          <w:rStyle w:val="Gl"/>
          <w:rFonts w:ascii="Times New Roman" w:hAnsi="Times New Roman" w:cs="Times New Roman"/>
          <w:b/>
          <w:bCs w:val="0"/>
        </w:rPr>
      </w:pPr>
      <w:bookmarkStart w:id="269" w:name="_Toc77092393"/>
      <w:bookmarkStart w:id="270" w:name="_Toc107499537"/>
      <w:bookmarkStart w:id="271" w:name="_Toc442431307"/>
      <w:bookmarkStart w:id="272" w:name="_Toc505346113"/>
      <w:r w:rsidRPr="009E1B38">
        <w:rPr>
          <w:rStyle w:val="Gl"/>
          <w:rFonts w:ascii="Times New Roman" w:hAnsi="Times New Roman" w:cs="Times New Roman"/>
          <w:b/>
          <w:bCs w:val="0"/>
        </w:rPr>
        <w:t>Table 6.5: Distribution of Administrative Fines İmplemented in the Petroleum Market in 2021 by Acts Subject to Administrative Fines</w:t>
      </w:r>
      <w:bookmarkEnd w:id="269"/>
      <w:bookmarkEnd w:id="270"/>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162"/>
        <w:gridCol w:w="2012"/>
        <w:gridCol w:w="1272"/>
        <w:gridCol w:w="2330"/>
        <w:gridCol w:w="1286"/>
      </w:tblGrid>
      <w:tr w:rsidR="003D0DD5" w:rsidRPr="009E1B38" w14:paraId="7D4A8BAD" w14:textId="77777777" w:rsidTr="00DA6562">
        <w:trPr>
          <w:trHeight w:val="397"/>
          <w:tblHeader/>
          <w:jc w:val="center"/>
        </w:trPr>
        <w:tc>
          <w:tcPr>
            <w:tcW w:w="1571" w:type="pct"/>
            <w:shd w:val="clear" w:color="auto" w:fill="6E9ECA"/>
            <w:vAlign w:val="center"/>
            <w:hideMark/>
          </w:tcPr>
          <w:p w14:paraId="7D4A8BA8" w14:textId="50639405" w:rsidR="003D0DD5" w:rsidRPr="009E1B38" w:rsidRDefault="00C50AB7" w:rsidP="00C079ED">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Act Subject to Administrative Fine</w:t>
            </w:r>
          </w:p>
        </w:tc>
        <w:tc>
          <w:tcPr>
            <w:tcW w:w="1000" w:type="pct"/>
            <w:shd w:val="clear" w:color="auto" w:fill="6E9ECA"/>
            <w:vAlign w:val="center"/>
            <w:hideMark/>
          </w:tcPr>
          <w:p w14:paraId="7D4A8BA9" w14:textId="04704E7D" w:rsidR="003D0DD5" w:rsidRPr="009E1B38" w:rsidRDefault="00C50AB7" w:rsidP="00C079ED">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Number of Administrative Fines Applied</w:t>
            </w:r>
          </w:p>
        </w:tc>
        <w:tc>
          <w:tcPr>
            <w:tcW w:w="632" w:type="pct"/>
            <w:shd w:val="clear" w:color="auto" w:fill="6E9ECA"/>
            <w:vAlign w:val="center"/>
            <w:hideMark/>
          </w:tcPr>
          <w:p w14:paraId="7D4A8BAA" w14:textId="37ED676C" w:rsidR="003D0DD5" w:rsidRPr="009E1B38" w:rsidRDefault="00C50AB7" w:rsidP="00C079ED">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c>
          <w:tcPr>
            <w:tcW w:w="1158" w:type="pct"/>
            <w:shd w:val="clear" w:color="auto" w:fill="6E9ECA"/>
            <w:vAlign w:val="center"/>
            <w:hideMark/>
          </w:tcPr>
          <w:p w14:paraId="7D4A8BAB" w14:textId="49D9004B" w:rsidR="003D0DD5" w:rsidRPr="009E1B38" w:rsidRDefault="00C50AB7" w:rsidP="00C079ED">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Administrative Fine Amount</w:t>
            </w:r>
            <w:r w:rsidR="003D0DD5" w:rsidRPr="009E1B38">
              <w:rPr>
                <w:rFonts w:ascii="Times New Roman" w:eastAsia="Times New Roman" w:hAnsi="Times New Roman"/>
                <w:b/>
                <w:color w:val="FFFFFF" w:themeColor="background1"/>
                <w:lang w:eastAsia="tr-TR"/>
              </w:rPr>
              <w:t xml:space="preserve"> (TL)</w:t>
            </w:r>
          </w:p>
        </w:tc>
        <w:tc>
          <w:tcPr>
            <w:tcW w:w="639" w:type="pct"/>
            <w:shd w:val="clear" w:color="auto" w:fill="6E9ECA"/>
            <w:vAlign w:val="center"/>
            <w:hideMark/>
          </w:tcPr>
          <w:p w14:paraId="7D4A8BAC" w14:textId="34E96C31" w:rsidR="003D0DD5" w:rsidRPr="009E1B38" w:rsidRDefault="00C50AB7" w:rsidP="00C079ED">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r>
      <w:tr w:rsidR="0092376C" w:rsidRPr="009E1B38" w14:paraId="7D4A8BB3" w14:textId="77777777" w:rsidTr="00BC07D2">
        <w:trPr>
          <w:trHeight w:val="397"/>
          <w:jc w:val="center"/>
        </w:trPr>
        <w:tc>
          <w:tcPr>
            <w:tcW w:w="1571" w:type="pct"/>
            <w:shd w:val="clear" w:color="auto" w:fill="auto"/>
            <w:hideMark/>
          </w:tcPr>
          <w:p w14:paraId="7D4A8BAE" w14:textId="1649E886" w:rsidR="0092376C" w:rsidRPr="009E1B38" w:rsidRDefault="009839B6" w:rsidP="0092376C">
            <w:pPr>
              <w:spacing w:after="0" w:line="240" w:lineRule="auto"/>
              <w:jc w:val="left"/>
              <w:rPr>
                <w:rFonts w:ascii="Times New Roman" w:eastAsia="Times New Roman" w:hAnsi="Times New Roman"/>
                <w:color w:val="000000"/>
                <w:lang w:eastAsia="tr-TR"/>
              </w:rPr>
            </w:pPr>
            <w:r w:rsidRPr="009E1B38">
              <w:rPr>
                <w:rFonts w:ascii="Times New Roman" w:eastAsia="Times New Roman" w:hAnsi="Times New Roman"/>
              </w:rPr>
              <w:t>Automation Obligation and Operations Outside the Scope of License</w:t>
            </w:r>
          </w:p>
        </w:tc>
        <w:tc>
          <w:tcPr>
            <w:tcW w:w="1000" w:type="pct"/>
            <w:shd w:val="clear" w:color="auto" w:fill="auto"/>
            <w:noWrap/>
            <w:vAlign w:val="center"/>
          </w:tcPr>
          <w:p w14:paraId="7D4A8BAF"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337</w:t>
            </w:r>
          </w:p>
        </w:tc>
        <w:tc>
          <w:tcPr>
            <w:tcW w:w="632" w:type="pct"/>
            <w:shd w:val="clear" w:color="auto" w:fill="auto"/>
            <w:noWrap/>
            <w:vAlign w:val="center"/>
          </w:tcPr>
          <w:p w14:paraId="7D4A8BB0"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49,85</w:t>
            </w:r>
          </w:p>
        </w:tc>
        <w:tc>
          <w:tcPr>
            <w:tcW w:w="1158" w:type="pct"/>
            <w:shd w:val="clear" w:color="auto" w:fill="auto"/>
            <w:noWrap/>
            <w:vAlign w:val="center"/>
          </w:tcPr>
          <w:p w14:paraId="7D4A8BB1" w14:textId="77777777" w:rsidR="0092376C" w:rsidRPr="009E1B38" w:rsidRDefault="0092376C" w:rsidP="0092376C">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563.972.385</w:t>
            </w:r>
          </w:p>
        </w:tc>
        <w:tc>
          <w:tcPr>
            <w:tcW w:w="639" w:type="pct"/>
            <w:shd w:val="clear" w:color="auto" w:fill="auto"/>
            <w:noWrap/>
            <w:vAlign w:val="center"/>
          </w:tcPr>
          <w:p w14:paraId="7D4A8BB2"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42,06</w:t>
            </w:r>
          </w:p>
        </w:tc>
      </w:tr>
      <w:tr w:rsidR="0092376C" w:rsidRPr="009E1B38" w14:paraId="7D4A8BB9" w14:textId="77777777" w:rsidTr="00BC07D2">
        <w:trPr>
          <w:trHeight w:val="397"/>
          <w:jc w:val="center"/>
        </w:trPr>
        <w:tc>
          <w:tcPr>
            <w:tcW w:w="1571" w:type="pct"/>
            <w:shd w:val="clear" w:color="auto" w:fill="auto"/>
          </w:tcPr>
          <w:p w14:paraId="7D4A8BB4" w14:textId="7E5EE4A7" w:rsidR="0092376C" w:rsidRPr="009E1B38" w:rsidRDefault="009839B6" w:rsidP="0092376C">
            <w:pPr>
              <w:spacing w:after="0" w:line="240" w:lineRule="auto"/>
              <w:jc w:val="left"/>
              <w:rPr>
                <w:rFonts w:ascii="Times New Roman" w:eastAsia="Times New Roman" w:hAnsi="Times New Roman"/>
                <w:color w:val="000000"/>
                <w:lang w:eastAsia="tr-TR"/>
              </w:rPr>
            </w:pPr>
            <w:r w:rsidRPr="009E1B38">
              <w:rPr>
                <w:rFonts w:ascii="Times New Roman" w:eastAsia="Times New Roman" w:hAnsi="Times New Roman"/>
              </w:rPr>
              <w:t>Noncompliance with National Oil Stock Liability</w:t>
            </w:r>
          </w:p>
        </w:tc>
        <w:tc>
          <w:tcPr>
            <w:tcW w:w="1000" w:type="pct"/>
            <w:shd w:val="clear" w:color="auto" w:fill="auto"/>
            <w:noWrap/>
            <w:vAlign w:val="center"/>
          </w:tcPr>
          <w:p w14:paraId="7D4A8BB5"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52</w:t>
            </w:r>
          </w:p>
        </w:tc>
        <w:tc>
          <w:tcPr>
            <w:tcW w:w="632" w:type="pct"/>
            <w:shd w:val="clear" w:color="auto" w:fill="auto"/>
            <w:noWrap/>
            <w:vAlign w:val="center"/>
          </w:tcPr>
          <w:p w14:paraId="7D4A8BB6"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7,69</w:t>
            </w:r>
          </w:p>
        </w:tc>
        <w:tc>
          <w:tcPr>
            <w:tcW w:w="1158" w:type="pct"/>
            <w:shd w:val="clear" w:color="auto" w:fill="auto"/>
            <w:noWrap/>
            <w:vAlign w:val="center"/>
          </w:tcPr>
          <w:p w14:paraId="7D4A8BB7" w14:textId="77777777" w:rsidR="0092376C" w:rsidRPr="009E1B38" w:rsidRDefault="0092376C" w:rsidP="0092376C">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546.935.600</w:t>
            </w:r>
          </w:p>
        </w:tc>
        <w:tc>
          <w:tcPr>
            <w:tcW w:w="639" w:type="pct"/>
            <w:shd w:val="clear" w:color="auto" w:fill="auto"/>
            <w:noWrap/>
            <w:vAlign w:val="center"/>
          </w:tcPr>
          <w:p w14:paraId="7D4A8BB8"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40,79</w:t>
            </w:r>
          </w:p>
        </w:tc>
      </w:tr>
      <w:tr w:rsidR="0092376C" w:rsidRPr="009E1B38" w14:paraId="7D4A8BBF" w14:textId="77777777" w:rsidTr="00BC07D2">
        <w:trPr>
          <w:trHeight w:val="397"/>
          <w:jc w:val="center"/>
        </w:trPr>
        <w:tc>
          <w:tcPr>
            <w:tcW w:w="1571" w:type="pct"/>
            <w:shd w:val="clear" w:color="auto" w:fill="auto"/>
            <w:hideMark/>
          </w:tcPr>
          <w:p w14:paraId="7D4A8BBA" w14:textId="005587BA" w:rsidR="0092376C" w:rsidRPr="009E1B38" w:rsidRDefault="009839B6" w:rsidP="0092376C">
            <w:pPr>
              <w:spacing w:after="0" w:line="240" w:lineRule="auto"/>
              <w:jc w:val="left"/>
              <w:rPr>
                <w:rFonts w:ascii="Times New Roman" w:eastAsia="Times New Roman" w:hAnsi="Times New Roman"/>
                <w:color w:val="000000"/>
                <w:lang w:eastAsia="tr-TR"/>
              </w:rPr>
            </w:pPr>
            <w:r w:rsidRPr="009E1B38">
              <w:rPr>
                <w:rFonts w:ascii="Times New Roman" w:eastAsia="Times New Roman" w:hAnsi="Times New Roman"/>
              </w:rPr>
              <w:t>Violation of the Procedures and Principles to which the License is Subject to</w:t>
            </w:r>
          </w:p>
        </w:tc>
        <w:tc>
          <w:tcPr>
            <w:tcW w:w="1000" w:type="pct"/>
            <w:shd w:val="clear" w:color="auto" w:fill="auto"/>
            <w:noWrap/>
            <w:vAlign w:val="center"/>
          </w:tcPr>
          <w:p w14:paraId="7D4A8BBB"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20</w:t>
            </w:r>
          </w:p>
        </w:tc>
        <w:tc>
          <w:tcPr>
            <w:tcW w:w="632" w:type="pct"/>
            <w:shd w:val="clear" w:color="auto" w:fill="auto"/>
            <w:noWrap/>
            <w:vAlign w:val="center"/>
          </w:tcPr>
          <w:p w14:paraId="7D4A8BBC"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2,96</w:t>
            </w:r>
          </w:p>
        </w:tc>
        <w:tc>
          <w:tcPr>
            <w:tcW w:w="1158" w:type="pct"/>
            <w:shd w:val="clear" w:color="auto" w:fill="auto"/>
            <w:noWrap/>
            <w:vAlign w:val="center"/>
          </w:tcPr>
          <w:p w14:paraId="7D4A8BBD" w14:textId="77777777" w:rsidR="0092376C" w:rsidRPr="009E1B38" w:rsidRDefault="0092376C" w:rsidP="0092376C">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21.372.468</w:t>
            </w:r>
          </w:p>
        </w:tc>
        <w:tc>
          <w:tcPr>
            <w:tcW w:w="639" w:type="pct"/>
            <w:shd w:val="clear" w:color="auto" w:fill="auto"/>
            <w:noWrap/>
            <w:vAlign w:val="center"/>
          </w:tcPr>
          <w:p w14:paraId="7D4A8BBE"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1,60</w:t>
            </w:r>
          </w:p>
        </w:tc>
      </w:tr>
      <w:tr w:rsidR="0092376C" w:rsidRPr="009E1B38" w14:paraId="7D4A8BC5" w14:textId="77777777" w:rsidTr="00BC07D2">
        <w:trPr>
          <w:trHeight w:val="397"/>
          <w:jc w:val="center"/>
        </w:trPr>
        <w:tc>
          <w:tcPr>
            <w:tcW w:w="1571" w:type="pct"/>
            <w:shd w:val="clear" w:color="auto" w:fill="auto"/>
            <w:hideMark/>
          </w:tcPr>
          <w:p w14:paraId="7D4A8BC0" w14:textId="1C3CC8E5" w:rsidR="0092376C" w:rsidRPr="009E1B38" w:rsidRDefault="009839B6" w:rsidP="0092376C">
            <w:pPr>
              <w:spacing w:after="0" w:line="240" w:lineRule="auto"/>
              <w:jc w:val="left"/>
              <w:rPr>
                <w:rFonts w:ascii="Times New Roman" w:eastAsia="Times New Roman" w:hAnsi="Times New Roman"/>
                <w:color w:val="000000"/>
                <w:lang w:eastAsia="tr-TR"/>
              </w:rPr>
            </w:pPr>
            <w:r w:rsidRPr="009E1B38">
              <w:rPr>
                <w:rFonts w:ascii="Times New Roman" w:eastAsia="Times New Roman" w:hAnsi="Times New Roman"/>
              </w:rPr>
              <w:t>İnsufficient Condition and Level of National Marker</w:t>
            </w:r>
          </w:p>
        </w:tc>
        <w:tc>
          <w:tcPr>
            <w:tcW w:w="1000" w:type="pct"/>
            <w:shd w:val="clear" w:color="auto" w:fill="auto"/>
            <w:noWrap/>
            <w:vAlign w:val="center"/>
          </w:tcPr>
          <w:p w14:paraId="7D4A8BC1"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81</w:t>
            </w:r>
          </w:p>
        </w:tc>
        <w:tc>
          <w:tcPr>
            <w:tcW w:w="632" w:type="pct"/>
            <w:shd w:val="clear" w:color="auto" w:fill="auto"/>
            <w:noWrap/>
            <w:vAlign w:val="center"/>
          </w:tcPr>
          <w:p w14:paraId="7D4A8BC2"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11,98</w:t>
            </w:r>
          </w:p>
        </w:tc>
        <w:tc>
          <w:tcPr>
            <w:tcW w:w="1158" w:type="pct"/>
            <w:shd w:val="clear" w:color="auto" w:fill="auto"/>
            <w:noWrap/>
            <w:vAlign w:val="center"/>
          </w:tcPr>
          <w:p w14:paraId="7D4A8BC3" w14:textId="77777777" w:rsidR="0092376C" w:rsidRPr="009E1B38" w:rsidRDefault="0092376C" w:rsidP="0092376C">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17.259.001</w:t>
            </w:r>
          </w:p>
        </w:tc>
        <w:tc>
          <w:tcPr>
            <w:tcW w:w="639" w:type="pct"/>
            <w:shd w:val="clear" w:color="auto" w:fill="auto"/>
            <w:noWrap/>
            <w:vAlign w:val="center"/>
          </w:tcPr>
          <w:p w14:paraId="7D4A8BC4"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1,28</w:t>
            </w:r>
          </w:p>
        </w:tc>
      </w:tr>
      <w:tr w:rsidR="0092376C" w:rsidRPr="009E1B38" w14:paraId="7D4A8BCB" w14:textId="77777777" w:rsidTr="00BC07D2">
        <w:trPr>
          <w:trHeight w:val="397"/>
          <w:jc w:val="center"/>
        </w:trPr>
        <w:tc>
          <w:tcPr>
            <w:tcW w:w="1571" w:type="pct"/>
            <w:shd w:val="clear" w:color="auto" w:fill="auto"/>
            <w:hideMark/>
          </w:tcPr>
          <w:p w14:paraId="7D4A8BC6" w14:textId="39172F16" w:rsidR="0092376C" w:rsidRPr="009E1B38" w:rsidRDefault="009839B6" w:rsidP="0092376C">
            <w:pPr>
              <w:spacing w:after="0" w:line="240" w:lineRule="auto"/>
              <w:jc w:val="left"/>
              <w:rPr>
                <w:rFonts w:ascii="Times New Roman" w:eastAsia="Times New Roman" w:hAnsi="Times New Roman"/>
                <w:color w:val="000000"/>
                <w:lang w:eastAsia="tr-TR"/>
              </w:rPr>
            </w:pPr>
            <w:r w:rsidRPr="009E1B38">
              <w:rPr>
                <w:rFonts w:ascii="Times New Roman" w:eastAsia="Times New Roman" w:hAnsi="Times New Roman"/>
              </w:rPr>
              <w:t>Fuel Supply Outside the Distributor</w:t>
            </w:r>
          </w:p>
        </w:tc>
        <w:tc>
          <w:tcPr>
            <w:tcW w:w="1000" w:type="pct"/>
            <w:shd w:val="clear" w:color="auto" w:fill="auto"/>
            <w:noWrap/>
            <w:vAlign w:val="center"/>
          </w:tcPr>
          <w:p w14:paraId="7D4A8BC7"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187</w:t>
            </w:r>
          </w:p>
        </w:tc>
        <w:tc>
          <w:tcPr>
            <w:tcW w:w="632" w:type="pct"/>
            <w:shd w:val="clear" w:color="auto" w:fill="auto"/>
            <w:noWrap/>
            <w:vAlign w:val="center"/>
          </w:tcPr>
          <w:p w14:paraId="7D4A8BC8"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27,52</w:t>
            </w:r>
          </w:p>
        </w:tc>
        <w:tc>
          <w:tcPr>
            <w:tcW w:w="1158" w:type="pct"/>
            <w:shd w:val="clear" w:color="auto" w:fill="auto"/>
            <w:noWrap/>
            <w:vAlign w:val="center"/>
          </w:tcPr>
          <w:p w14:paraId="7D4A8BC9" w14:textId="77777777" w:rsidR="0092376C" w:rsidRPr="009E1B38" w:rsidRDefault="0092376C" w:rsidP="0092376C">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191.439.126</w:t>
            </w:r>
          </w:p>
        </w:tc>
        <w:tc>
          <w:tcPr>
            <w:tcW w:w="639" w:type="pct"/>
            <w:shd w:val="clear" w:color="auto" w:fill="auto"/>
            <w:noWrap/>
            <w:vAlign w:val="center"/>
          </w:tcPr>
          <w:p w14:paraId="7D4A8BCA"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14,27</w:t>
            </w:r>
          </w:p>
        </w:tc>
      </w:tr>
      <w:tr w:rsidR="00C612B6" w:rsidRPr="009E1B38" w14:paraId="7D4A8BD1" w14:textId="77777777" w:rsidTr="00BC07D2">
        <w:trPr>
          <w:trHeight w:val="397"/>
          <w:jc w:val="center"/>
        </w:trPr>
        <w:tc>
          <w:tcPr>
            <w:tcW w:w="1571" w:type="pct"/>
            <w:shd w:val="clear" w:color="auto" w:fill="auto"/>
          </w:tcPr>
          <w:p w14:paraId="7D4A8BCC" w14:textId="57CB10E9" w:rsidR="00C612B6" w:rsidRPr="009E1B38" w:rsidRDefault="009839B6" w:rsidP="00C612B6">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Other*</w:t>
            </w:r>
          </w:p>
        </w:tc>
        <w:tc>
          <w:tcPr>
            <w:tcW w:w="1000" w:type="pct"/>
            <w:shd w:val="clear" w:color="auto" w:fill="auto"/>
            <w:noWrap/>
            <w:vAlign w:val="center"/>
          </w:tcPr>
          <w:p w14:paraId="7D4A8BCD" w14:textId="77777777" w:rsidR="00C612B6" w:rsidRPr="009E1B38" w:rsidRDefault="00C612B6" w:rsidP="00C612B6">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b/>
                <w:color w:val="000000" w:themeColor="text1"/>
                <w:lang w:eastAsia="tr-TR"/>
              </w:rPr>
              <w:t>677</w:t>
            </w:r>
          </w:p>
        </w:tc>
        <w:tc>
          <w:tcPr>
            <w:tcW w:w="632" w:type="pct"/>
            <w:shd w:val="clear" w:color="auto" w:fill="auto"/>
            <w:noWrap/>
            <w:vAlign w:val="center"/>
          </w:tcPr>
          <w:p w14:paraId="7D4A8BCE" w14:textId="77777777" w:rsidR="00C612B6" w:rsidRPr="009E1B38" w:rsidRDefault="00C612B6" w:rsidP="00C612B6">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b/>
                <w:color w:val="000000" w:themeColor="text1"/>
                <w:lang w:eastAsia="tr-TR"/>
              </w:rPr>
              <w:t>100</w:t>
            </w:r>
          </w:p>
        </w:tc>
        <w:tc>
          <w:tcPr>
            <w:tcW w:w="1158" w:type="pct"/>
            <w:shd w:val="clear" w:color="auto" w:fill="auto"/>
            <w:noWrap/>
            <w:vAlign w:val="center"/>
          </w:tcPr>
          <w:p w14:paraId="7D4A8BCF" w14:textId="77777777" w:rsidR="00C612B6" w:rsidRPr="009E1B38" w:rsidRDefault="00C612B6" w:rsidP="00C612B6">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b/>
                <w:color w:val="000000" w:themeColor="text1"/>
                <w:lang w:eastAsia="tr-TR"/>
              </w:rPr>
              <w:t>1.340.978.580</w:t>
            </w:r>
          </w:p>
        </w:tc>
        <w:tc>
          <w:tcPr>
            <w:tcW w:w="639" w:type="pct"/>
            <w:shd w:val="clear" w:color="auto" w:fill="auto"/>
            <w:noWrap/>
            <w:vAlign w:val="center"/>
          </w:tcPr>
          <w:p w14:paraId="7D4A8BD0" w14:textId="77777777" w:rsidR="00C612B6" w:rsidRPr="009E1B38" w:rsidRDefault="00C612B6" w:rsidP="00C612B6">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b/>
                <w:color w:val="000000" w:themeColor="text1"/>
                <w:lang w:eastAsia="tr-TR"/>
              </w:rPr>
              <w:t>100</w:t>
            </w:r>
          </w:p>
        </w:tc>
      </w:tr>
    </w:tbl>
    <w:p w14:paraId="1FAA3BA7" w14:textId="77777777" w:rsidR="00923F7D" w:rsidRPr="009E1B38" w:rsidRDefault="00923F7D" w:rsidP="00923F7D">
      <w:pPr>
        <w:pStyle w:val="AralkYok"/>
        <w:jc w:val="both"/>
        <w:rPr>
          <w:rFonts w:ascii="Times New Roman" w:eastAsia="Times New Roman" w:hAnsi="Times New Roman" w:cs="Times New Roman"/>
          <w:color w:val="000000"/>
          <w:lang w:val="en-US"/>
        </w:rPr>
      </w:pPr>
      <w:r w:rsidRPr="009E1B38">
        <w:rPr>
          <w:rFonts w:ascii="Times New Roman" w:eastAsia="Times New Roman" w:hAnsi="Times New Roman" w:cs="Times New Roman"/>
          <w:color w:val="000000" w:themeColor="text1"/>
          <w:lang w:val="en-US"/>
        </w:rPr>
        <w:t>* It covers the penalties imposed for violating the obligation to carefully avoid actions that will result in bad faith and dangerous acts of the petroleum market legislation, and for violating various articles such as irregularities in the process of adding a national marker.</w:t>
      </w:r>
    </w:p>
    <w:p w14:paraId="7D4A8BDC" w14:textId="77777777" w:rsidR="004F4A9F" w:rsidRPr="009E1B38" w:rsidRDefault="004F4A9F" w:rsidP="003D0DD5">
      <w:pPr>
        <w:pStyle w:val="AralkYok"/>
        <w:jc w:val="both"/>
        <w:rPr>
          <w:rFonts w:ascii="Times New Roman" w:eastAsia="Times New Roman" w:hAnsi="Times New Roman" w:cs="Times New Roman"/>
          <w:lang w:val="en-US"/>
        </w:rPr>
      </w:pPr>
    </w:p>
    <w:p w14:paraId="11E5555F" w14:textId="1E2AE735" w:rsidR="647BBD43" w:rsidRPr="009E1B38" w:rsidRDefault="647BBD43" w:rsidP="003C5E4D">
      <w:pPr>
        <w:pStyle w:val="Balk2"/>
        <w:numPr>
          <w:ilvl w:val="1"/>
          <w:numId w:val="63"/>
        </w:numPr>
        <w:rPr>
          <w:rFonts w:eastAsia="Times New Roman" w:cs="Times New Roman"/>
        </w:rPr>
      </w:pPr>
      <w:bookmarkStart w:id="273" w:name="_Toc113615389"/>
      <w:bookmarkEnd w:id="271"/>
      <w:bookmarkEnd w:id="272"/>
      <w:r w:rsidRPr="009E1B38">
        <w:rPr>
          <w:rFonts w:eastAsia="Times New Roman" w:cs="Times New Roman"/>
        </w:rPr>
        <w:t>Liquefied Petroleum Gas Market Audit Activities</w:t>
      </w:r>
      <w:bookmarkEnd w:id="273"/>
    </w:p>
    <w:p w14:paraId="3A651318" w14:textId="7DAD0FF7" w:rsidR="009D2F57" w:rsidRPr="009E1B38" w:rsidRDefault="009D2F57" w:rsidP="009D2F57">
      <w:pPr>
        <w:rPr>
          <w:rFonts w:ascii="Times New Roman" w:eastAsia="Times New Roman" w:hAnsi="Times New Roman"/>
        </w:rPr>
      </w:pPr>
      <w:r w:rsidRPr="009E1B38">
        <w:rPr>
          <w:rFonts w:ascii="Times New Roman" w:eastAsia="Times New Roman" w:hAnsi="Times New Roman"/>
        </w:rPr>
        <w:t xml:space="preserve">LPG market audits are carried out by examining and evaluating the compliance of market-related activities and accounts of real or </w:t>
      </w:r>
      <w:r w:rsidR="00135D72" w:rsidRPr="009E1B38">
        <w:rPr>
          <w:rFonts w:ascii="Times New Roman" w:eastAsia="Times New Roman" w:hAnsi="Times New Roman"/>
        </w:rPr>
        <w:t>legal entities</w:t>
      </w:r>
      <w:r w:rsidRPr="009E1B38">
        <w:rPr>
          <w:rFonts w:ascii="Times New Roman" w:eastAsia="Times New Roman" w:hAnsi="Times New Roman"/>
        </w:rPr>
        <w:t xml:space="preserve"> operating in the market with the relevant legislation. Inspection and inspection activities and sanctions and penalties to be applied as a result of the activities carried out in the LPG market are implemented within the framework of Article 16 of the Law No. 5307. Transactions are also carried out within the scope of the secondary legislation enacted based on the provisions of this Law. Within the scope of the Cooperation Protocols Regarding the Audits to be Made in the Petroleum Market and LPG Market, the entire market was audited and the activities of real or </w:t>
      </w:r>
      <w:r w:rsidR="00135D72" w:rsidRPr="009E1B38">
        <w:rPr>
          <w:rFonts w:ascii="Times New Roman" w:eastAsia="Times New Roman" w:hAnsi="Times New Roman"/>
        </w:rPr>
        <w:t>legal entities</w:t>
      </w:r>
      <w:r w:rsidRPr="009E1B38">
        <w:rPr>
          <w:rFonts w:ascii="Times New Roman" w:eastAsia="Times New Roman" w:hAnsi="Times New Roman"/>
        </w:rPr>
        <w:t xml:space="preserve"> operating without a license were stopped by sealing.</w:t>
      </w:r>
    </w:p>
    <w:p w14:paraId="57E36FF5" w14:textId="5D800899" w:rsidR="009D2F57" w:rsidRPr="009E1B38" w:rsidRDefault="009D2F57" w:rsidP="009D2F57">
      <w:pPr>
        <w:rPr>
          <w:rFonts w:ascii="Times New Roman" w:eastAsia="Times New Roman" w:hAnsi="Times New Roman"/>
        </w:rPr>
      </w:pPr>
      <w:r w:rsidRPr="009E1B38">
        <w:rPr>
          <w:rFonts w:ascii="Times New Roman" w:eastAsia="Times New Roman" w:hAnsi="Times New Roman"/>
        </w:rPr>
        <w:t xml:space="preserve">The Law No. 5307 on Liquefied Petroleum Gas (LPG) Market Law and the Law on Amending the Electricity Market Law, Regulation on the Procedures and Principles to be Followed in the Inspections to be Made in the Liquefied Petroleum Gases (LPG) Market and the Preliminary Research and Investigations, Cooperation on the Inspections to be Made in the Petroleum Market and LPG Market Audits have been made within the scope of protocols; Its nature is determined by the Board in accordance with Article 36 of the Mining Law No. 7164 of 14/02/2019 regarding the amendment of Article 17 of the Liquefied Petroleum Gases (LPG) Market Law No. 5307 (Law) In the audits carried out within the scope of actions that can be corrected as of today, </w:t>
      </w:r>
      <w:r w:rsidRPr="009E1B38">
        <w:rPr>
          <w:rFonts w:ascii="Times New Roman" w:eastAsia="Times New Roman" w:hAnsi="Times New Roman"/>
          <w:b/>
        </w:rPr>
        <w:t>309</w:t>
      </w:r>
      <w:r w:rsidRPr="009E1B38">
        <w:rPr>
          <w:rFonts w:ascii="Times New Roman" w:eastAsia="Times New Roman" w:hAnsi="Times New Roman"/>
        </w:rPr>
        <w:t xml:space="preserve"> Autogas stations have been warned.</w:t>
      </w:r>
    </w:p>
    <w:p w14:paraId="253F8660" w14:textId="5D800899" w:rsidR="2D00E278" w:rsidRPr="009E1B38" w:rsidRDefault="2D00E278" w:rsidP="2D00E278">
      <w:pPr>
        <w:rPr>
          <w:rFonts w:ascii="Times New Roman" w:eastAsia="Times New Roman" w:hAnsi="Times New Roman"/>
        </w:rPr>
      </w:pPr>
    </w:p>
    <w:p w14:paraId="05064FA1" w14:textId="5D800899" w:rsidR="2D00E278" w:rsidRPr="009E1B38" w:rsidRDefault="2D00E278" w:rsidP="2D00E278">
      <w:pPr>
        <w:rPr>
          <w:rFonts w:ascii="Times New Roman" w:eastAsia="Times New Roman" w:hAnsi="Times New Roman"/>
        </w:rPr>
      </w:pPr>
    </w:p>
    <w:p w14:paraId="7131F48C" w14:textId="77777777" w:rsidR="004B17E5" w:rsidRPr="009E1B38" w:rsidRDefault="004B17E5" w:rsidP="009C057D">
      <w:pPr>
        <w:pStyle w:val="Balk5"/>
        <w:jc w:val="center"/>
        <w:rPr>
          <w:rStyle w:val="Gl"/>
          <w:rFonts w:ascii="Times New Roman" w:hAnsi="Times New Roman" w:cs="Times New Roman"/>
          <w:b/>
          <w:bCs w:val="0"/>
        </w:rPr>
      </w:pPr>
      <w:bookmarkStart w:id="274" w:name="_Toc77092394"/>
      <w:bookmarkStart w:id="275" w:name="_Toc107499538"/>
      <w:r w:rsidRPr="009E1B38">
        <w:rPr>
          <w:rStyle w:val="Gl"/>
          <w:rFonts w:ascii="Times New Roman" w:hAnsi="Times New Roman" w:cs="Times New Roman"/>
          <w:b/>
          <w:bCs w:val="0"/>
        </w:rPr>
        <w:lastRenderedPageBreak/>
        <w:t>Table 6.6: Distribution of Administrative Fines İmplemented in the LPG Market in 2020 by License Type</w:t>
      </w:r>
      <w:bookmarkEnd w:id="274"/>
      <w:bookmarkEnd w:id="275"/>
    </w:p>
    <w:tbl>
      <w:tblPr>
        <w:tblW w:w="3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882"/>
        <w:gridCol w:w="1792"/>
        <w:gridCol w:w="1056"/>
        <w:gridCol w:w="2032"/>
        <w:gridCol w:w="1149"/>
      </w:tblGrid>
      <w:tr w:rsidR="003D0DD5" w:rsidRPr="009E1B38" w14:paraId="7D4A8BE6" w14:textId="77777777" w:rsidTr="0092376C">
        <w:trPr>
          <w:trHeight w:val="315"/>
          <w:jc w:val="center"/>
        </w:trPr>
        <w:tc>
          <w:tcPr>
            <w:tcW w:w="897" w:type="pct"/>
            <w:shd w:val="clear" w:color="auto" w:fill="6E9ECA"/>
            <w:vAlign w:val="center"/>
            <w:hideMark/>
          </w:tcPr>
          <w:p w14:paraId="7D4A8BE1" w14:textId="26274C2B" w:rsidR="003D0DD5" w:rsidRPr="009E1B38" w:rsidRDefault="004B17E5" w:rsidP="00C079ED">
            <w:pPr>
              <w:spacing w:after="0" w:line="240" w:lineRule="auto"/>
              <w:jc w:val="center"/>
              <w:rPr>
                <w:rFonts w:ascii="Times New Roman" w:eastAsia="Times New Roman" w:hAnsi="Times New Roman"/>
                <w:b/>
                <w:color w:val="FFFFFF" w:themeColor="background1"/>
                <w:lang w:eastAsia="tr-TR"/>
              </w:rPr>
            </w:pPr>
            <w:bookmarkStart w:id="276" w:name="_Toc442441768"/>
            <w:bookmarkStart w:id="277" w:name="_Toc505346209"/>
            <w:r w:rsidRPr="009E1B38">
              <w:rPr>
                <w:rFonts w:ascii="Times New Roman" w:eastAsia="Times New Roman" w:hAnsi="Times New Roman"/>
                <w:b/>
                <w:color w:val="FFFFFF" w:themeColor="background1"/>
                <w:lang w:eastAsia="tr-TR"/>
              </w:rPr>
              <w:t>License Type</w:t>
            </w:r>
          </w:p>
        </w:tc>
        <w:tc>
          <w:tcPr>
            <w:tcW w:w="1206" w:type="pct"/>
            <w:shd w:val="clear" w:color="auto" w:fill="6E9ECA"/>
            <w:vAlign w:val="center"/>
            <w:hideMark/>
          </w:tcPr>
          <w:p w14:paraId="7D4A8BE2" w14:textId="74C18A85" w:rsidR="003D0DD5" w:rsidRPr="009E1B38" w:rsidRDefault="004B17E5" w:rsidP="00C079ED">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Number of Administrative Fines Applied</w:t>
            </w:r>
          </w:p>
        </w:tc>
        <w:tc>
          <w:tcPr>
            <w:tcW w:w="741" w:type="pct"/>
            <w:shd w:val="clear" w:color="auto" w:fill="6E9ECA"/>
            <w:vAlign w:val="center"/>
            <w:hideMark/>
          </w:tcPr>
          <w:p w14:paraId="7D4A8BE3" w14:textId="5A405E4E" w:rsidR="003D0DD5" w:rsidRPr="009E1B38" w:rsidRDefault="004B17E5" w:rsidP="00C079ED">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c>
          <w:tcPr>
            <w:tcW w:w="1357" w:type="pct"/>
            <w:shd w:val="clear" w:color="auto" w:fill="6E9ECA"/>
            <w:vAlign w:val="center"/>
            <w:hideMark/>
          </w:tcPr>
          <w:p w14:paraId="7D4A8BE4" w14:textId="1F717198" w:rsidR="003D0DD5" w:rsidRPr="009E1B38" w:rsidRDefault="004B17E5" w:rsidP="00C079ED">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Administrative Fine Amount (TL)</w:t>
            </w:r>
          </w:p>
        </w:tc>
        <w:tc>
          <w:tcPr>
            <w:tcW w:w="799" w:type="pct"/>
            <w:shd w:val="clear" w:color="auto" w:fill="6E9ECA"/>
            <w:vAlign w:val="center"/>
            <w:hideMark/>
          </w:tcPr>
          <w:p w14:paraId="7D4A8BE5" w14:textId="7D182D24" w:rsidR="003D0DD5" w:rsidRPr="009E1B38" w:rsidRDefault="004B17E5" w:rsidP="00C079ED">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r>
      <w:tr w:rsidR="0092376C" w:rsidRPr="009E1B38" w14:paraId="7D4A8BEC" w14:textId="77777777" w:rsidTr="00C4345A">
        <w:trPr>
          <w:trHeight w:val="300"/>
          <w:jc w:val="center"/>
        </w:trPr>
        <w:tc>
          <w:tcPr>
            <w:tcW w:w="897" w:type="pct"/>
            <w:shd w:val="clear" w:color="auto" w:fill="auto"/>
            <w:noWrap/>
          </w:tcPr>
          <w:p w14:paraId="7D4A8BE7" w14:textId="39B5A930" w:rsidR="0092376C" w:rsidRPr="009E1B38" w:rsidRDefault="004B17E5" w:rsidP="0092376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Autogas Dealership</w:t>
            </w:r>
          </w:p>
        </w:tc>
        <w:tc>
          <w:tcPr>
            <w:tcW w:w="1206" w:type="pct"/>
            <w:shd w:val="clear" w:color="auto" w:fill="auto"/>
            <w:noWrap/>
            <w:vAlign w:val="center"/>
          </w:tcPr>
          <w:p w14:paraId="7D4A8BE8" w14:textId="77777777" w:rsidR="0092376C" w:rsidRPr="009E1B38" w:rsidRDefault="0092376C" w:rsidP="00263255">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rPr>
              <w:t>62</w:t>
            </w:r>
          </w:p>
        </w:tc>
        <w:tc>
          <w:tcPr>
            <w:tcW w:w="741" w:type="pct"/>
            <w:shd w:val="clear" w:color="auto" w:fill="auto"/>
            <w:noWrap/>
            <w:vAlign w:val="center"/>
          </w:tcPr>
          <w:p w14:paraId="7D4A8BE9"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rPr>
              <w:t xml:space="preserve">91,18 </w:t>
            </w:r>
          </w:p>
        </w:tc>
        <w:tc>
          <w:tcPr>
            <w:tcW w:w="1357" w:type="pct"/>
            <w:shd w:val="clear" w:color="auto" w:fill="auto"/>
            <w:noWrap/>
            <w:vAlign w:val="center"/>
          </w:tcPr>
          <w:p w14:paraId="7D4A8BEA" w14:textId="77777777" w:rsidR="0092376C" w:rsidRPr="009E1B38" w:rsidRDefault="0092376C" w:rsidP="0092376C">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rPr>
              <w:t xml:space="preserve">8.208.700 </w:t>
            </w:r>
          </w:p>
        </w:tc>
        <w:tc>
          <w:tcPr>
            <w:tcW w:w="799" w:type="pct"/>
            <w:shd w:val="clear" w:color="auto" w:fill="auto"/>
            <w:noWrap/>
            <w:vAlign w:val="center"/>
          </w:tcPr>
          <w:p w14:paraId="7D4A8BEB"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rPr>
              <w:t xml:space="preserve">83,02 </w:t>
            </w:r>
          </w:p>
        </w:tc>
      </w:tr>
      <w:tr w:rsidR="007A79AC" w:rsidRPr="009E1B38" w14:paraId="7D4A8BF2" w14:textId="77777777" w:rsidTr="00C4345A">
        <w:trPr>
          <w:trHeight w:val="300"/>
          <w:jc w:val="center"/>
        </w:trPr>
        <w:tc>
          <w:tcPr>
            <w:tcW w:w="897" w:type="pct"/>
            <w:shd w:val="clear" w:color="auto" w:fill="auto"/>
            <w:noWrap/>
          </w:tcPr>
          <w:p w14:paraId="7D4A8BED" w14:textId="6E45D286" w:rsidR="007A79AC" w:rsidRPr="009E1B38" w:rsidRDefault="004B17E5" w:rsidP="007A79A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Distributor</w:t>
            </w:r>
          </w:p>
        </w:tc>
        <w:tc>
          <w:tcPr>
            <w:tcW w:w="1206" w:type="pct"/>
            <w:shd w:val="clear" w:color="auto" w:fill="auto"/>
            <w:noWrap/>
            <w:vAlign w:val="center"/>
          </w:tcPr>
          <w:p w14:paraId="7D4A8BEE" w14:textId="77777777" w:rsidR="007A79AC" w:rsidRPr="009E1B38" w:rsidRDefault="007A79AC" w:rsidP="007A79AC">
            <w:pPr>
              <w:spacing w:after="0" w:line="240" w:lineRule="auto"/>
              <w:jc w:val="center"/>
              <w:rPr>
                <w:rFonts w:ascii="Times New Roman" w:eastAsia="Times New Roman" w:hAnsi="Times New Roman"/>
                <w:color w:val="000000"/>
              </w:rPr>
            </w:pPr>
            <w:r w:rsidRPr="009E1B38">
              <w:rPr>
                <w:rFonts w:ascii="Times New Roman" w:eastAsia="Times New Roman" w:hAnsi="Times New Roman"/>
                <w:color w:val="000000" w:themeColor="text1"/>
              </w:rPr>
              <w:t>4</w:t>
            </w:r>
          </w:p>
        </w:tc>
        <w:tc>
          <w:tcPr>
            <w:tcW w:w="741" w:type="pct"/>
            <w:shd w:val="clear" w:color="auto" w:fill="auto"/>
            <w:noWrap/>
            <w:vAlign w:val="center"/>
          </w:tcPr>
          <w:p w14:paraId="7D4A8BEF" w14:textId="77777777" w:rsidR="007A79AC" w:rsidRPr="009E1B38" w:rsidRDefault="007A79AC" w:rsidP="007A79AC">
            <w:pPr>
              <w:spacing w:after="0" w:line="240" w:lineRule="auto"/>
              <w:jc w:val="center"/>
              <w:rPr>
                <w:rFonts w:ascii="Times New Roman" w:eastAsia="Times New Roman" w:hAnsi="Times New Roman"/>
                <w:color w:val="000000"/>
              </w:rPr>
            </w:pPr>
            <w:r w:rsidRPr="009E1B38">
              <w:rPr>
                <w:rFonts w:ascii="Times New Roman" w:eastAsia="Times New Roman" w:hAnsi="Times New Roman"/>
                <w:color w:val="000000" w:themeColor="text1"/>
              </w:rPr>
              <w:t xml:space="preserve">5,88 </w:t>
            </w:r>
          </w:p>
        </w:tc>
        <w:tc>
          <w:tcPr>
            <w:tcW w:w="1357" w:type="pct"/>
            <w:shd w:val="clear" w:color="auto" w:fill="auto"/>
            <w:noWrap/>
            <w:vAlign w:val="center"/>
          </w:tcPr>
          <w:p w14:paraId="7D4A8BF0" w14:textId="77777777" w:rsidR="007A79AC" w:rsidRPr="009E1B38" w:rsidRDefault="007A79AC" w:rsidP="007A79AC">
            <w:pPr>
              <w:spacing w:after="0" w:line="240" w:lineRule="auto"/>
              <w:jc w:val="right"/>
              <w:rPr>
                <w:rFonts w:ascii="Times New Roman" w:eastAsia="Times New Roman" w:hAnsi="Times New Roman"/>
                <w:color w:val="000000"/>
              </w:rPr>
            </w:pPr>
            <w:r w:rsidRPr="009E1B38">
              <w:rPr>
                <w:rFonts w:ascii="Times New Roman" w:eastAsia="Times New Roman" w:hAnsi="Times New Roman"/>
                <w:color w:val="000000" w:themeColor="text1"/>
              </w:rPr>
              <w:t xml:space="preserve">1.000.000 </w:t>
            </w:r>
          </w:p>
        </w:tc>
        <w:tc>
          <w:tcPr>
            <w:tcW w:w="799" w:type="pct"/>
            <w:shd w:val="clear" w:color="auto" w:fill="auto"/>
            <w:noWrap/>
            <w:vAlign w:val="center"/>
          </w:tcPr>
          <w:p w14:paraId="7D4A8BF1" w14:textId="77777777" w:rsidR="007A79AC" w:rsidRPr="009E1B38" w:rsidRDefault="007A79AC" w:rsidP="007A79AC">
            <w:pPr>
              <w:spacing w:after="0" w:line="240" w:lineRule="auto"/>
              <w:jc w:val="center"/>
              <w:rPr>
                <w:rFonts w:ascii="Times New Roman" w:eastAsia="Times New Roman" w:hAnsi="Times New Roman"/>
                <w:color w:val="000000"/>
              </w:rPr>
            </w:pPr>
            <w:r w:rsidRPr="009E1B38">
              <w:rPr>
                <w:rFonts w:ascii="Times New Roman" w:eastAsia="Times New Roman" w:hAnsi="Times New Roman"/>
                <w:color w:val="000000" w:themeColor="text1"/>
              </w:rPr>
              <w:t xml:space="preserve">10,11 </w:t>
            </w:r>
          </w:p>
        </w:tc>
      </w:tr>
      <w:tr w:rsidR="007A79AC" w:rsidRPr="009E1B38" w14:paraId="7D4A8BF8" w14:textId="77777777" w:rsidTr="00C4345A">
        <w:trPr>
          <w:trHeight w:val="300"/>
          <w:jc w:val="center"/>
        </w:trPr>
        <w:tc>
          <w:tcPr>
            <w:tcW w:w="897" w:type="pct"/>
            <w:shd w:val="clear" w:color="auto" w:fill="auto"/>
            <w:noWrap/>
          </w:tcPr>
          <w:p w14:paraId="7D4A8BF3" w14:textId="2D184082" w:rsidR="007A79AC" w:rsidRPr="009E1B38" w:rsidRDefault="004B17E5" w:rsidP="007A79A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Storage</w:t>
            </w:r>
          </w:p>
        </w:tc>
        <w:tc>
          <w:tcPr>
            <w:tcW w:w="1206" w:type="pct"/>
            <w:shd w:val="clear" w:color="auto" w:fill="auto"/>
            <w:noWrap/>
            <w:vAlign w:val="center"/>
          </w:tcPr>
          <w:p w14:paraId="7D4A8BF4" w14:textId="77777777" w:rsidR="007A79AC" w:rsidRPr="009E1B38" w:rsidRDefault="007A79AC" w:rsidP="007A79A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rPr>
              <w:t>2</w:t>
            </w:r>
          </w:p>
        </w:tc>
        <w:tc>
          <w:tcPr>
            <w:tcW w:w="741" w:type="pct"/>
            <w:shd w:val="clear" w:color="auto" w:fill="auto"/>
            <w:noWrap/>
            <w:vAlign w:val="center"/>
          </w:tcPr>
          <w:p w14:paraId="7D4A8BF5" w14:textId="77777777" w:rsidR="007A79AC" w:rsidRPr="009E1B38" w:rsidRDefault="007A79AC" w:rsidP="007A79A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rPr>
              <w:t xml:space="preserve">2,94 </w:t>
            </w:r>
          </w:p>
        </w:tc>
        <w:tc>
          <w:tcPr>
            <w:tcW w:w="1357" w:type="pct"/>
            <w:shd w:val="clear" w:color="auto" w:fill="auto"/>
            <w:noWrap/>
            <w:vAlign w:val="center"/>
          </w:tcPr>
          <w:p w14:paraId="7D4A8BF6" w14:textId="77777777" w:rsidR="007A79AC" w:rsidRPr="009E1B38" w:rsidRDefault="007A79AC" w:rsidP="007A79AC">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rPr>
              <w:t xml:space="preserve">679.628     </w:t>
            </w:r>
          </w:p>
        </w:tc>
        <w:tc>
          <w:tcPr>
            <w:tcW w:w="799" w:type="pct"/>
            <w:shd w:val="clear" w:color="auto" w:fill="auto"/>
            <w:noWrap/>
            <w:vAlign w:val="center"/>
          </w:tcPr>
          <w:p w14:paraId="7D4A8BF7" w14:textId="77777777" w:rsidR="007A79AC" w:rsidRPr="009E1B38" w:rsidRDefault="007A79AC" w:rsidP="007A79A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rPr>
              <w:t xml:space="preserve">6,87 </w:t>
            </w:r>
          </w:p>
        </w:tc>
      </w:tr>
      <w:tr w:rsidR="007A79AC" w:rsidRPr="009E1B38" w14:paraId="7D4A8BFE" w14:textId="77777777" w:rsidTr="00C4345A">
        <w:trPr>
          <w:trHeight w:val="300"/>
          <w:jc w:val="center"/>
        </w:trPr>
        <w:tc>
          <w:tcPr>
            <w:tcW w:w="897" w:type="pct"/>
            <w:shd w:val="clear" w:color="auto" w:fill="auto"/>
            <w:noWrap/>
          </w:tcPr>
          <w:p w14:paraId="7D4A8BF9" w14:textId="5129A52F" w:rsidR="007A79AC" w:rsidRPr="009E1B38" w:rsidRDefault="004B17E5" w:rsidP="007A79AC">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rPr>
              <w:t>Total</w:t>
            </w:r>
          </w:p>
        </w:tc>
        <w:tc>
          <w:tcPr>
            <w:tcW w:w="1206" w:type="pct"/>
            <w:shd w:val="clear" w:color="auto" w:fill="auto"/>
            <w:noWrap/>
            <w:vAlign w:val="center"/>
          </w:tcPr>
          <w:p w14:paraId="7D4A8BFA" w14:textId="77777777" w:rsidR="007A79AC" w:rsidRPr="009E1B38" w:rsidRDefault="007A79AC" w:rsidP="007A79AC">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rPr>
              <w:t>68</w:t>
            </w:r>
          </w:p>
        </w:tc>
        <w:tc>
          <w:tcPr>
            <w:tcW w:w="741" w:type="pct"/>
            <w:shd w:val="clear" w:color="auto" w:fill="auto"/>
            <w:noWrap/>
            <w:vAlign w:val="center"/>
          </w:tcPr>
          <w:p w14:paraId="7D4A8BFB" w14:textId="77777777" w:rsidR="007A79AC" w:rsidRPr="009E1B38" w:rsidRDefault="007A79AC" w:rsidP="007A79AC">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rPr>
              <w:t>100</w:t>
            </w:r>
          </w:p>
        </w:tc>
        <w:tc>
          <w:tcPr>
            <w:tcW w:w="1357" w:type="pct"/>
            <w:shd w:val="clear" w:color="auto" w:fill="auto"/>
            <w:noWrap/>
            <w:vAlign w:val="center"/>
          </w:tcPr>
          <w:p w14:paraId="7D4A8BFC" w14:textId="77777777" w:rsidR="007A79AC" w:rsidRPr="009E1B38" w:rsidRDefault="007A79AC" w:rsidP="007A79AC">
            <w:pPr>
              <w:spacing w:after="0" w:line="240" w:lineRule="auto"/>
              <w:jc w:val="right"/>
              <w:rPr>
                <w:rFonts w:ascii="Times New Roman" w:eastAsia="Times New Roman" w:hAnsi="Times New Roman"/>
                <w:b/>
                <w:color w:val="000000"/>
                <w:lang w:eastAsia="tr-TR"/>
              </w:rPr>
            </w:pPr>
            <w:r w:rsidRPr="009E1B38">
              <w:rPr>
                <w:rFonts w:ascii="Times New Roman" w:eastAsia="Times New Roman" w:hAnsi="Times New Roman"/>
                <w:b/>
                <w:color w:val="000000" w:themeColor="text1"/>
              </w:rPr>
              <w:t xml:space="preserve">9.888.328     </w:t>
            </w:r>
          </w:p>
        </w:tc>
        <w:tc>
          <w:tcPr>
            <w:tcW w:w="799" w:type="pct"/>
            <w:shd w:val="clear" w:color="auto" w:fill="auto"/>
            <w:noWrap/>
            <w:vAlign w:val="center"/>
          </w:tcPr>
          <w:p w14:paraId="7D4A8BFD" w14:textId="77777777" w:rsidR="007A79AC" w:rsidRPr="009E1B38" w:rsidRDefault="007A79AC" w:rsidP="007A79AC">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rPr>
              <w:t>100</w:t>
            </w:r>
          </w:p>
        </w:tc>
      </w:tr>
    </w:tbl>
    <w:p w14:paraId="7D4A8BFF" w14:textId="77777777" w:rsidR="0078671F" w:rsidRPr="009E1B38" w:rsidRDefault="0078671F" w:rsidP="003D0DD5">
      <w:pPr>
        <w:rPr>
          <w:rFonts w:ascii="Times New Roman" w:eastAsia="Times New Roman" w:hAnsi="Times New Roman"/>
        </w:rPr>
      </w:pPr>
    </w:p>
    <w:p w14:paraId="248E1992" w14:textId="77777777" w:rsidR="004B17E5" w:rsidRPr="009E1B38" w:rsidRDefault="004B17E5" w:rsidP="009C057D">
      <w:pPr>
        <w:pStyle w:val="Balk5"/>
        <w:jc w:val="center"/>
        <w:rPr>
          <w:rStyle w:val="Gl"/>
          <w:rFonts w:ascii="Times New Roman" w:hAnsi="Times New Roman" w:cs="Times New Roman"/>
          <w:b/>
          <w:bCs w:val="0"/>
        </w:rPr>
      </w:pPr>
      <w:bookmarkStart w:id="278" w:name="_Toc77092395"/>
      <w:bookmarkStart w:id="279" w:name="_Toc107499539"/>
      <w:bookmarkEnd w:id="276"/>
      <w:bookmarkEnd w:id="277"/>
      <w:r w:rsidRPr="009E1B38">
        <w:rPr>
          <w:rStyle w:val="Gl"/>
          <w:rFonts w:ascii="Times New Roman" w:hAnsi="Times New Roman" w:cs="Times New Roman"/>
          <w:b/>
          <w:bCs w:val="0"/>
        </w:rPr>
        <w:t>Table 6.7: Distribution of Administrative Fines Implemented in the LPG Market in 2019-2020 by License Type</w:t>
      </w:r>
      <w:bookmarkEnd w:id="278"/>
      <w:bookmarkEnd w:id="279"/>
    </w:p>
    <w:tbl>
      <w:tblPr>
        <w:tblW w:w="0" w:type="auto"/>
        <w:tblLayout w:type="fixed"/>
        <w:tblLook w:val="04A0" w:firstRow="1" w:lastRow="0" w:firstColumn="1" w:lastColumn="0" w:noHBand="0" w:noVBand="1"/>
      </w:tblPr>
      <w:tblGrid>
        <w:gridCol w:w="1983"/>
        <w:gridCol w:w="1983"/>
        <w:gridCol w:w="1983"/>
        <w:gridCol w:w="1983"/>
        <w:gridCol w:w="1983"/>
      </w:tblGrid>
      <w:tr w:rsidR="0F8D627C" w:rsidRPr="009E1B38" w14:paraId="40A69625" w14:textId="77777777" w:rsidTr="1C0E5DB0">
        <w:trPr>
          <w:trHeight w:val="390"/>
        </w:trPr>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6E9ECA"/>
            <w:vAlign w:val="center"/>
          </w:tcPr>
          <w:p w14:paraId="4528B0D5" w14:textId="709B6926" w:rsidR="0F8D627C" w:rsidRPr="009E1B38" w:rsidRDefault="00704015" w:rsidP="0F8D627C">
            <w:pPr>
              <w:rPr>
                <w:rFonts w:ascii="Times New Roman" w:hAnsi="Times New Roman"/>
              </w:rPr>
            </w:pPr>
            <w:r w:rsidRPr="009E1B38">
              <w:rPr>
                <w:rFonts w:ascii="Times New Roman" w:hAnsi="Times New Roman"/>
                <w:b/>
                <w:bCs/>
                <w:color w:val="FFFFFF" w:themeColor="background1"/>
              </w:rPr>
              <w:t>License</w:t>
            </w:r>
            <w:r w:rsidR="46E26207" w:rsidRPr="009E1B38">
              <w:rPr>
                <w:rFonts w:ascii="Times New Roman" w:hAnsi="Times New Roman"/>
                <w:b/>
                <w:bCs/>
                <w:color w:val="FFFFFF" w:themeColor="background1"/>
              </w:rPr>
              <w:t xml:space="preserve"> Type</w:t>
            </w:r>
          </w:p>
        </w:tc>
        <w:tc>
          <w:tcPr>
            <w:tcW w:w="3966"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6E9ECA"/>
            <w:vAlign w:val="center"/>
          </w:tcPr>
          <w:p w14:paraId="757D1E24" w14:textId="0EDA4EF0" w:rsidR="0F8D627C" w:rsidRPr="009E1B38" w:rsidRDefault="47BE9034" w:rsidP="0F8D627C">
            <w:pPr>
              <w:jc w:val="center"/>
              <w:rPr>
                <w:rFonts w:ascii="Times New Roman" w:hAnsi="Times New Roman"/>
              </w:rPr>
            </w:pPr>
            <w:r w:rsidRPr="009E1B38">
              <w:rPr>
                <w:rFonts w:ascii="Times New Roman" w:hAnsi="Times New Roman"/>
                <w:b/>
                <w:bCs/>
                <w:color w:val="FFFFFF" w:themeColor="background1"/>
              </w:rPr>
              <w:t xml:space="preserve">Year </w:t>
            </w:r>
            <w:r w:rsidR="0F8D627C" w:rsidRPr="009E1B38">
              <w:rPr>
                <w:rFonts w:ascii="Times New Roman" w:hAnsi="Times New Roman"/>
                <w:b/>
                <w:bCs/>
                <w:color w:val="FFFFFF" w:themeColor="background1"/>
              </w:rPr>
              <w:t xml:space="preserve">2020 </w:t>
            </w:r>
          </w:p>
        </w:tc>
        <w:tc>
          <w:tcPr>
            <w:tcW w:w="3966" w:type="dxa"/>
            <w:gridSpan w:val="2"/>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tcPr>
          <w:p w14:paraId="2C4CE155" w14:textId="42CAC491" w:rsidR="0F8D627C" w:rsidRPr="009E1B38" w:rsidRDefault="47BE9034" w:rsidP="0F8D627C">
            <w:pPr>
              <w:jc w:val="center"/>
              <w:rPr>
                <w:rFonts w:ascii="Times New Roman" w:hAnsi="Times New Roman"/>
              </w:rPr>
            </w:pPr>
            <w:r w:rsidRPr="009E1B38">
              <w:rPr>
                <w:rFonts w:ascii="Times New Roman" w:hAnsi="Times New Roman"/>
                <w:b/>
                <w:bCs/>
                <w:color w:val="FFFFFF" w:themeColor="background1"/>
              </w:rPr>
              <w:t xml:space="preserve">Year </w:t>
            </w:r>
            <w:r w:rsidR="0F8D627C" w:rsidRPr="009E1B38">
              <w:rPr>
                <w:rFonts w:ascii="Times New Roman" w:hAnsi="Times New Roman"/>
                <w:b/>
                <w:bCs/>
                <w:color w:val="FFFFFF" w:themeColor="background1"/>
              </w:rPr>
              <w:t xml:space="preserve">2021 </w:t>
            </w:r>
          </w:p>
        </w:tc>
      </w:tr>
      <w:tr w:rsidR="0F8D627C" w:rsidRPr="009E1B38" w14:paraId="34195566" w14:textId="77777777" w:rsidTr="46E26207">
        <w:trPr>
          <w:trHeight w:val="390"/>
        </w:trPr>
        <w:tc>
          <w:tcPr>
            <w:tcW w:w="1983" w:type="dxa"/>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tcPr>
          <w:p w14:paraId="5213EF62" w14:textId="77777777" w:rsidR="00A572C3" w:rsidRPr="009E1B38" w:rsidRDefault="00A572C3">
            <w:pPr>
              <w:rPr>
                <w:rFonts w:ascii="Times New Roman" w:hAnsi="Times New Roman"/>
              </w:rPr>
            </w:pPr>
          </w:p>
        </w:tc>
        <w:tc>
          <w:tcPr>
            <w:tcW w:w="1983" w:type="dxa"/>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tcPr>
          <w:p w14:paraId="4C8FEEA4" w14:textId="2E763432" w:rsidR="0F8D627C" w:rsidRPr="009E1B38" w:rsidRDefault="47BE9034" w:rsidP="0F8D627C">
            <w:pPr>
              <w:jc w:val="center"/>
              <w:rPr>
                <w:rFonts w:ascii="Times New Roman" w:hAnsi="Times New Roman"/>
              </w:rPr>
            </w:pPr>
            <w:r w:rsidRPr="009E1B38">
              <w:rPr>
                <w:rFonts w:ascii="Times New Roman" w:eastAsia="Cambria" w:hAnsi="Times New Roman"/>
                <w:b/>
                <w:color w:val="FFFFFF" w:themeColor="background1"/>
              </w:rPr>
              <w:t>Administrative Fine Amount (TL)</w:t>
            </w:r>
          </w:p>
        </w:tc>
        <w:tc>
          <w:tcPr>
            <w:tcW w:w="1983" w:type="dxa"/>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6E9ECA"/>
            <w:vAlign w:val="center"/>
          </w:tcPr>
          <w:p w14:paraId="4E0A8986" w14:textId="2BD2786B" w:rsidR="0F8D627C" w:rsidRPr="009E1B38" w:rsidRDefault="0F8D627C" w:rsidP="0F8D627C">
            <w:pPr>
              <w:jc w:val="center"/>
              <w:rPr>
                <w:rFonts w:ascii="Times New Roman" w:hAnsi="Times New Roman"/>
              </w:rPr>
            </w:pPr>
            <w:r w:rsidRPr="009E1B38">
              <w:rPr>
                <w:rFonts w:ascii="Times New Roman" w:hAnsi="Times New Roman"/>
                <w:b/>
                <w:bCs/>
                <w:color w:val="FFFFFF" w:themeColor="background1"/>
              </w:rPr>
              <w:t>Rate (%)</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6E9ECA"/>
            <w:vAlign w:val="center"/>
          </w:tcPr>
          <w:p w14:paraId="15244582" w14:textId="6C6E7C4B" w:rsidR="0F8D627C" w:rsidRPr="009E1B38" w:rsidRDefault="47BE9034" w:rsidP="0F8D627C">
            <w:pPr>
              <w:jc w:val="center"/>
              <w:rPr>
                <w:rFonts w:ascii="Times New Roman" w:hAnsi="Times New Roman"/>
              </w:rPr>
            </w:pPr>
            <w:r w:rsidRPr="009E1B38">
              <w:rPr>
                <w:rFonts w:ascii="Times New Roman" w:eastAsia="Cambria" w:hAnsi="Times New Roman"/>
                <w:b/>
                <w:color w:val="FFFFFF" w:themeColor="background1"/>
              </w:rPr>
              <w:t>Administrative Fine Amount (TL)</w:t>
            </w:r>
          </w:p>
        </w:tc>
        <w:tc>
          <w:tcPr>
            <w:tcW w:w="1983" w:type="dxa"/>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6E9ECA"/>
            <w:vAlign w:val="center"/>
          </w:tcPr>
          <w:p w14:paraId="2A1C4169" w14:textId="057A5525" w:rsidR="0F8D627C" w:rsidRPr="009E1B38" w:rsidRDefault="0F8D627C" w:rsidP="0F8D627C">
            <w:pPr>
              <w:jc w:val="center"/>
              <w:rPr>
                <w:rFonts w:ascii="Times New Roman" w:hAnsi="Times New Roman"/>
              </w:rPr>
            </w:pPr>
            <w:r w:rsidRPr="009E1B38">
              <w:rPr>
                <w:rFonts w:ascii="Times New Roman" w:hAnsi="Times New Roman"/>
                <w:b/>
                <w:bCs/>
                <w:color w:val="FFFFFF" w:themeColor="background1"/>
              </w:rPr>
              <w:t>Rate (%)</w:t>
            </w:r>
          </w:p>
        </w:tc>
      </w:tr>
      <w:tr w:rsidR="0F8D627C" w:rsidRPr="009E1B38" w14:paraId="69FD763A" w14:textId="77777777" w:rsidTr="0F8D627C">
        <w:trPr>
          <w:trHeight w:val="390"/>
        </w:trPr>
        <w:tc>
          <w:tcPr>
            <w:tcW w:w="1983" w:type="dxa"/>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77B3385" w14:textId="057EE27E" w:rsidR="0F8D627C" w:rsidRPr="009E1B38" w:rsidRDefault="46E26207" w:rsidP="0F8D627C">
            <w:pPr>
              <w:rPr>
                <w:rFonts w:ascii="Times New Roman" w:hAnsi="Times New Roman"/>
                <w:color w:val="000000" w:themeColor="text1"/>
              </w:rPr>
            </w:pPr>
            <w:r w:rsidRPr="009E1B38">
              <w:rPr>
                <w:rFonts w:ascii="Times New Roman" w:hAnsi="Times New Roman"/>
                <w:color w:val="000000" w:themeColor="text1"/>
              </w:rPr>
              <w:t>Autogas Dealership</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4FAA505" w14:textId="4752755E" w:rsidR="0F8D627C" w:rsidRPr="009E1B38" w:rsidRDefault="0F8D627C" w:rsidP="0F8D627C">
            <w:pPr>
              <w:jc w:val="right"/>
              <w:rPr>
                <w:rFonts w:ascii="Times New Roman" w:hAnsi="Times New Roman"/>
              </w:rPr>
            </w:pPr>
            <w:r w:rsidRPr="009E1B38">
              <w:rPr>
                <w:rFonts w:ascii="Times New Roman" w:hAnsi="Times New Roman"/>
                <w:color w:val="000000" w:themeColor="text1"/>
              </w:rPr>
              <w:t>7.041.581</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7D276C4" w14:textId="53A46094" w:rsidR="0F8D627C" w:rsidRPr="009E1B38" w:rsidRDefault="0F8D627C" w:rsidP="0F8D627C">
            <w:pPr>
              <w:jc w:val="center"/>
              <w:rPr>
                <w:rFonts w:ascii="Times New Roman" w:hAnsi="Times New Roman"/>
              </w:rPr>
            </w:pPr>
            <w:r w:rsidRPr="009E1B38">
              <w:rPr>
                <w:rFonts w:ascii="Times New Roman" w:hAnsi="Times New Roman"/>
              </w:rPr>
              <w:t>52,71</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29B8572" w14:textId="00FA017B" w:rsidR="0F8D627C" w:rsidRPr="009E1B38" w:rsidRDefault="0F8D627C" w:rsidP="0F8D627C">
            <w:pPr>
              <w:jc w:val="right"/>
              <w:rPr>
                <w:rFonts w:ascii="Times New Roman" w:hAnsi="Times New Roman"/>
              </w:rPr>
            </w:pPr>
            <w:r w:rsidRPr="009E1B38">
              <w:rPr>
                <w:rFonts w:ascii="Times New Roman" w:hAnsi="Times New Roman"/>
                <w:color w:val="000000" w:themeColor="text1"/>
              </w:rPr>
              <w:t>8.208.700</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6911911" w14:textId="7062CF74" w:rsidR="0F8D627C" w:rsidRPr="009E1B38" w:rsidRDefault="0F8D627C" w:rsidP="0F8D627C">
            <w:pPr>
              <w:jc w:val="center"/>
              <w:rPr>
                <w:rFonts w:ascii="Times New Roman" w:hAnsi="Times New Roman"/>
              </w:rPr>
            </w:pPr>
            <w:r w:rsidRPr="009E1B38">
              <w:rPr>
                <w:rFonts w:ascii="Times New Roman" w:hAnsi="Times New Roman"/>
              </w:rPr>
              <w:t>83,02</w:t>
            </w:r>
          </w:p>
        </w:tc>
      </w:tr>
      <w:tr w:rsidR="0F8D627C" w:rsidRPr="009E1B38" w14:paraId="625B5B7F" w14:textId="77777777" w:rsidTr="0F8D627C">
        <w:trPr>
          <w:trHeight w:val="390"/>
        </w:trPr>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A74B41A" w14:textId="4B948DDA" w:rsidR="0F8D627C" w:rsidRPr="009E1B38" w:rsidRDefault="46E26207" w:rsidP="0F8D627C">
            <w:pPr>
              <w:rPr>
                <w:rFonts w:ascii="Times New Roman" w:hAnsi="Times New Roman"/>
              </w:rPr>
            </w:pPr>
            <w:r w:rsidRPr="009E1B38">
              <w:rPr>
                <w:rFonts w:ascii="Times New Roman" w:hAnsi="Times New Roman"/>
                <w:color w:val="000000" w:themeColor="text1"/>
              </w:rPr>
              <w:t xml:space="preserve">Storage </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8D79066" w14:textId="7962EC03" w:rsidR="0F8D627C" w:rsidRPr="009E1B38" w:rsidRDefault="0F8D627C" w:rsidP="0F8D627C">
            <w:pPr>
              <w:jc w:val="right"/>
              <w:rPr>
                <w:rFonts w:ascii="Times New Roman" w:hAnsi="Times New Roman"/>
              </w:rPr>
            </w:pPr>
            <w:r w:rsidRPr="009E1B38">
              <w:rPr>
                <w:rFonts w:ascii="Times New Roman" w:hAnsi="Times New Roman"/>
                <w:color w:val="000000" w:themeColor="text1"/>
              </w:rPr>
              <w:t xml:space="preserve">3.250.000    </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B159124" w14:textId="74ED319E" w:rsidR="0F8D627C" w:rsidRPr="009E1B38" w:rsidRDefault="0F8D627C" w:rsidP="0F8D627C">
            <w:pPr>
              <w:jc w:val="center"/>
              <w:rPr>
                <w:rFonts w:ascii="Times New Roman" w:hAnsi="Times New Roman"/>
              </w:rPr>
            </w:pPr>
            <w:r w:rsidRPr="009E1B38">
              <w:rPr>
                <w:rFonts w:ascii="Times New Roman" w:hAnsi="Times New Roman"/>
              </w:rPr>
              <w:t>24,33</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1ABBE11" w14:textId="1C516B57" w:rsidR="0F8D627C" w:rsidRPr="009E1B38" w:rsidRDefault="0F8D627C" w:rsidP="0F8D627C">
            <w:pPr>
              <w:jc w:val="right"/>
              <w:rPr>
                <w:rFonts w:ascii="Times New Roman" w:hAnsi="Times New Roman"/>
              </w:rPr>
            </w:pPr>
            <w:r w:rsidRPr="009E1B38">
              <w:rPr>
                <w:rFonts w:ascii="Times New Roman" w:hAnsi="Times New Roman"/>
                <w:color w:val="000000" w:themeColor="text1"/>
              </w:rPr>
              <w:t>1.000.000</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2539639" w14:textId="668EFCF6" w:rsidR="0F8D627C" w:rsidRPr="009E1B38" w:rsidRDefault="0F8D627C" w:rsidP="0F8D627C">
            <w:pPr>
              <w:jc w:val="center"/>
              <w:rPr>
                <w:rFonts w:ascii="Times New Roman" w:hAnsi="Times New Roman"/>
              </w:rPr>
            </w:pPr>
            <w:r w:rsidRPr="009E1B38">
              <w:rPr>
                <w:rFonts w:ascii="Times New Roman" w:hAnsi="Times New Roman"/>
              </w:rPr>
              <w:t>10,11</w:t>
            </w:r>
          </w:p>
        </w:tc>
      </w:tr>
      <w:tr w:rsidR="0F8D627C" w:rsidRPr="009E1B38" w14:paraId="4402399F" w14:textId="77777777" w:rsidTr="0F8D627C">
        <w:trPr>
          <w:trHeight w:val="390"/>
        </w:trPr>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DCA947C" w14:textId="09A7F47B" w:rsidR="0F8D627C" w:rsidRPr="009E1B38" w:rsidRDefault="46E26207" w:rsidP="0F8D627C">
            <w:pPr>
              <w:rPr>
                <w:rFonts w:ascii="Times New Roman" w:hAnsi="Times New Roman"/>
              </w:rPr>
            </w:pPr>
            <w:r w:rsidRPr="009E1B38">
              <w:rPr>
                <w:rFonts w:ascii="Times New Roman" w:hAnsi="Times New Roman"/>
                <w:color w:val="000000" w:themeColor="text1"/>
              </w:rPr>
              <w:t>Distributor</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57FE95F" w14:textId="36E26B23" w:rsidR="0F8D627C" w:rsidRPr="009E1B38" w:rsidRDefault="0F8D627C" w:rsidP="0F8D627C">
            <w:pPr>
              <w:jc w:val="right"/>
              <w:rPr>
                <w:rFonts w:ascii="Times New Roman" w:hAnsi="Times New Roman"/>
              </w:rPr>
            </w:pPr>
            <w:r w:rsidRPr="009E1B38">
              <w:rPr>
                <w:rFonts w:ascii="Times New Roman" w:hAnsi="Times New Roman"/>
                <w:color w:val="000000" w:themeColor="text1"/>
              </w:rPr>
              <w:t>3.066.495</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CD38927" w14:textId="4C146861" w:rsidR="0F8D627C" w:rsidRPr="009E1B38" w:rsidRDefault="0F8D627C" w:rsidP="0F8D627C">
            <w:pPr>
              <w:jc w:val="center"/>
              <w:rPr>
                <w:rFonts w:ascii="Times New Roman" w:hAnsi="Times New Roman"/>
              </w:rPr>
            </w:pPr>
            <w:r w:rsidRPr="009E1B38">
              <w:rPr>
                <w:rFonts w:ascii="Times New Roman" w:hAnsi="Times New Roman"/>
              </w:rPr>
              <w:t>22,96</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37639AE" w14:textId="3034A88E" w:rsidR="0F8D627C" w:rsidRPr="009E1B38" w:rsidRDefault="0F8D627C" w:rsidP="0F8D627C">
            <w:pPr>
              <w:jc w:val="right"/>
              <w:rPr>
                <w:rFonts w:ascii="Times New Roman" w:hAnsi="Times New Roman"/>
              </w:rPr>
            </w:pPr>
            <w:r w:rsidRPr="009E1B38">
              <w:rPr>
                <w:rFonts w:ascii="Times New Roman" w:hAnsi="Times New Roman"/>
                <w:color w:val="000000" w:themeColor="text1"/>
              </w:rPr>
              <w:t>679.628</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3C779B0" w14:textId="10B7D256" w:rsidR="0F8D627C" w:rsidRPr="009E1B38" w:rsidRDefault="0F8D627C" w:rsidP="0F8D627C">
            <w:pPr>
              <w:jc w:val="center"/>
              <w:rPr>
                <w:rFonts w:ascii="Times New Roman" w:hAnsi="Times New Roman"/>
              </w:rPr>
            </w:pPr>
            <w:r w:rsidRPr="009E1B38">
              <w:rPr>
                <w:rFonts w:ascii="Times New Roman" w:hAnsi="Times New Roman"/>
              </w:rPr>
              <w:t>6,87</w:t>
            </w:r>
          </w:p>
        </w:tc>
      </w:tr>
      <w:tr w:rsidR="0F8D627C" w:rsidRPr="009E1B38" w14:paraId="0C2BC655" w14:textId="77777777" w:rsidTr="0F8D627C">
        <w:trPr>
          <w:trHeight w:val="390"/>
        </w:trPr>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C23E763" w14:textId="4055397E" w:rsidR="0F8D627C" w:rsidRPr="009E1B38" w:rsidRDefault="46E26207" w:rsidP="0F8D627C">
            <w:pPr>
              <w:rPr>
                <w:rFonts w:ascii="Times New Roman" w:hAnsi="Times New Roman"/>
              </w:rPr>
            </w:pPr>
            <w:r w:rsidRPr="009E1B38">
              <w:rPr>
                <w:rFonts w:ascii="Times New Roman" w:hAnsi="Times New Roman"/>
                <w:b/>
                <w:bCs/>
                <w:color w:val="000000" w:themeColor="text1"/>
              </w:rPr>
              <w:t>Total</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7E2A1EF" w14:textId="6F74C6CA" w:rsidR="0F8D627C" w:rsidRPr="009E1B38" w:rsidRDefault="0F8D627C" w:rsidP="0F8D627C">
            <w:pPr>
              <w:jc w:val="right"/>
              <w:rPr>
                <w:rFonts w:ascii="Times New Roman" w:hAnsi="Times New Roman"/>
              </w:rPr>
            </w:pPr>
            <w:r w:rsidRPr="009E1B38">
              <w:rPr>
                <w:rFonts w:ascii="Times New Roman" w:hAnsi="Times New Roman"/>
                <w:b/>
                <w:bCs/>
                <w:color w:val="000000" w:themeColor="text1"/>
              </w:rPr>
              <w:t>13.358.076</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4619849" w14:textId="46B7B0C1" w:rsidR="0F8D627C" w:rsidRPr="009E1B38" w:rsidRDefault="0F8D627C" w:rsidP="0F8D627C">
            <w:pPr>
              <w:jc w:val="center"/>
              <w:rPr>
                <w:rFonts w:ascii="Times New Roman" w:hAnsi="Times New Roman"/>
              </w:rPr>
            </w:pPr>
            <w:r w:rsidRPr="009E1B38">
              <w:rPr>
                <w:rFonts w:ascii="Times New Roman" w:hAnsi="Times New Roman"/>
                <w:b/>
                <w:bCs/>
              </w:rPr>
              <w:t>100</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150F836" w14:textId="4A1932AE" w:rsidR="0F8D627C" w:rsidRPr="009E1B38" w:rsidRDefault="0F8D627C" w:rsidP="0F8D627C">
            <w:pPr>
              <w:jc w:val="right"/>
              <w:rPr>
                <w:rFonts w:ascii="Times New Roman" w:hAnsi="Times New Roman"/>
              </w:rPr>
            </w:pPr>
            <w:r w:rsidRPr="009E1B38">
              <w:rPr>
                <w:rFonts w:ascii="Times New Roman" w:hAnsi="Times New Roman"/>
                <w:b/>
                <w:bCs/>
                <w:color w:val="000000" w:themeColor="text1"/>
              </w:rPr>
              <w:t>9.888.328</w:t>
            </w:r>
          </w:p>
        </w:tc>
        <w:tc>
          <w:tcPr>
            <w:tcW w:w="1983"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3F8E758" w14:textId="2580A58E" w:rsidR="0F8D627C" w:rsidRPr="009E1B38" w:rsidRDefault="0F8D627C" w:rsidP="0F8D627C">
            <w:pPr>
              <w:jc w:val="center"/>
              <w:rPr>
                <w:rFonts w:ascii="Times New Roman" w:hAnsi="Times New Roman"/>
              </w:rPr>
            </w:pPr>
            <w:r w:rsidRPr="009E1B38">
              <w:rPr>
                <w:rFonts w:ascii="Times New Roman" w:hAnsi="Times New Roman"/>
                <w:b/>
                <w:bCs/>
                <w:color w:val="000000" w:themeColor="text1"/>
              </w:rPr>
              <w:t>100</w:t>
            </w:r>
          </w:p>
        </w:tc>
      </w:tr>
    </w:tbl>
    <w:p w14:paraId="7D4A8C23" w14:textId="305262E7" w:rsidR="003D0DD5" w:rsidRPr="009E1B38" w:rsidRDefault="003D0DD5" w:rsidP="003D0DD5">
      <w:pPr>
        <w:spacing w:after="0"/>
        <w:rPr>
          <w:rFonts w:ascii="Times New Roman" w:eastAsia="Times New Roman" w:hAnsi="Times New Roman"/>
        </w:rPr>
      </w:pPr>
    </w:p>
    <w:p w14:paraId="5B958919" w14:textId="7863348B" w:rsidR="0080430E" w:rsidRPr="009E1B38" w:rsidRDefault="004B17E5" w:rsidP="007B647D">
      <w:pPr>
        <w:spacing w:after="240"/>
        <w:rPr>
          <w:rFonts w:ascii="Times New Roman" w:eastAsia="Times New Roman" w:hAnsi="Times New Roman"/>
        </w:rPr>
      </w:pPr>
      <w:r w:rsidRPr="009E1B38">
        <w:rPr>
          <w:rFonts w:ascii="Times New Roman" w:eastAsia="Times New Roman" w:hAnsi="Times New Roman"/>
        </w:rPr>
        <w:t>Administrative sanctions and fines in the LPG market, operating without a license, supplying products contrary to technical regulations, violating the rights and obligations given by the license, not employing responsible manager and authorized personnel in the facility, having a cylinder belonging to another distributor, supplying LPG to a station that is not a distributor of the distributor. İt is applied due to the actions of having an apparatus for filling cylinders and/or filling cylinders at the auto gas station.</w:t>
      </w:r>
    </w:p>
    <w:p w14:paraId="10E907ED" w14:textId="4DCD326C" w:rsidR="292FDF69" w:rsidRPr="009E1B38" w:rsidRDefault="292FDF69" w:rsidP="009C057D">
      <w:pPr>
        <w:pStyle w:val="Balk5"/>
        <w:jc w:val="center"/>
        <w:rPr>
          <w:rFonts w:ascii="Times New Roman" w:eastAsia="Times New Roman" w:hAnsi="Times New Roman" w:cs="Times New Roman"/>
          <w:b w:val="0"/>
        </w:rPr>
      </w:pPr>
      <w:bookmarkStart w:id="280" w:name="_Toc107499540"/>
      <w:r w:rsidRPr="009E1B38">
        <w:rPr>
          <w:rFonts w:ascii="Times New Roman" w:eastAsia="Times New Roman" w:hAnsi="Times New Roman" w:cs="Times New Roman"/>
        </w:rPr>
        <w:t>Table 6.8: Distribution of Administrative Fines İmplemented in the LPG Market in 2020 by Acts Subject to Administrative Fines</w:t>
      </w:r>
      <w:bookmarkEnd w:id="280"/>
    </w:p>
    <w:tbl>
      <w:tblPr>
        <w:tblW w:w="9867"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563"/>
        <w:gridCol w:w="1827"/>
        <w:gridCol w:w="908"/>
        <w:gridCol w:w="1666"/>
        <w:gridCol w:w="903"/>
      </w:tblGrid>
      <w:tr w:rsidR="003D0DD5" w:rsidRPr="009E1B38" w14:paraId="7D4A8C2D" w14:textId="77777777" w:rsidTr="009767AF">
        <w:trPr>
          <w:trHeight w:val="20"/>
        </w:trPr>
        <w:tc>
          <w:tcPr>
            <w:tcW w:w="4563" w:type="dxa"/>
            <w:shd w:val="clear" w:color="auto" w:fill="6E9ECA"/>
            <w:vAlign w:val="center"/>
            <w:hideMark/>
          </w:tcPr>
          <w:p w14:paraId="7D4A8C28" w14:textId="1C55AB16" w:rsidR="003D0DD5" w:rsidRPr="009E1B38" w:rsidRDefault="004B17E5"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Act Subject to Administrative Fine</w:t>
            </w:r>
          </w:p>
        </w:tc>
        <w:tc>
          <w:tcPr>
            <w:tcW w:w="1827" w:type="dxa"/>
            <w:shd w:val="clear" w:color="auto" w:fill="6E9ECA"/>
            <w:vAlign w:val="center"/>
            <w:hideMark/>
          </w:tcPr>
          <w:p w14:paraId="7D4A8C29" w14:textId="64FCBFBC" w:rsidR="003D0DD5" w:rsidRPr="009E1B38" w:rsidRDefault="004B17E5"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Number of Administrative Fines Applied</w:t>
            </w:r>
          </w:p>
        </w:tc>
        <w:tc>
          <w:tcPr>
            <w:tcW w:w="908" w:type="dxa"/>
            <w:shd w:val="clear" w:color="auto" w:fill="6E9ECA"/>
            <w:vAlign w:val="center"/>
            <w:hideMark/>
          </w:tcPr>
          <w:p w14:paraId="7D4A8C2A" w14:textId="78BBE28F" w:rsidR="003D0DD5" w:rsidRPr="009E1B38" w:rsidRDefault="004B17E5"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c>
          <w:tcPr>
            <w:tcW w:w="1666" w:type="dxa"/>
            <w:shd w:val="clear" w:color="auto" w:fill="6E9ECA"/>
            <w:vAlign w:val="center"/>
            <w:hideMark/>
          </w:tcPr>
          <w:p w14:paraId="7D4A8C2B" w14:textId="30F6C11F" w:rsidR="003D0DD5" w:rsidRPr="009E1B38" w:rsidRDefault="004B17E5"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Administrative Fine Amount (TL)</w:t>
            </w:r>
          </w:p>
        </w:tc>
        <w:tc>
          <w:tcPr>
            <w:tcW w:w="903" w:type="dxa"/>
            <w:shd w:val="clear" w:color="auto" w:fill="6E9ECA"/>
            <w:vAlign w:val="center"/>
            <w:hideMark/>
          </w:tcPr>
          <w:p w14:paraId="7D4A8C2C" w14:textId="260A886C" w:rsidR="003D0DD5" w:rsidRPr="009E1B38" w:rsidRDefault="004B17E5" w:rsidP="00C079ED">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Rate</w:t>
            </w:r>
            <w:r w:rsidR="003D0DD5" w:rsidRPr="009E1B38">
              <w:rPr>
                <w:rFonts w:ascii="Times New Roman" w:eastAsia="Times New Roman" w:hAnsi="Times New Roman"/>
                <w:b/>
                <w:color w:val="FFFFFF" w:themeColor="background1"/>
                <w:lang w:eastAsia="tr-TR"/>
              </w:rPr>
              <w:t xml:space="preserve"> (%)</w:t>
            </w:r>
          </w:p>
        </w:tc>
      </w:tr>
      <w:tr w:rsidR="0092376C" w:rsidRPr="009E1B38" w14:paraId="7D4A8C33" w14:textId="77777777" w:rsidTr="00C4345A">
        <w:trPr>
          <w:trHeight w:val="397"/>
        </w:trPr>
        <w:tc>
          <w:tcPr>
            <w:tcW w:w="4563" w:type="dxa"/>
            <w:shd w:val="clear" w:color="auto" w:fill="auto"/>
            <w:noWrap/>
            <w:hideMark/>
          </w:tcPr>
          <w:p w14:paraId="7D4A8C2E" w14:textId="1FDBBAF7" w:rsidR="0092376C" w:rsidRPr="009E1B38" w:rsidRDefault="00E72D7C" w:rsidP="0092376C">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Filling and Selling LPG Cylinders at Autogas Stations</w:t>
            </w:r>
          </w:p>
        </w:tc>
        <w:tc>
          <w:tcPr>
            <w:tcW w:w="1827" w:type="dxa"/>
            <w:shd w:val="clear" w:color="auto" w:fill="auto"/>
            <w:noWrap/>
            <w:vAlign w:val="center"/>
            <w:hideMark/>
          </w:tcPr>
          <w:p w14:paraId="7D4A8C2F" w14:textId="77777777" w:rsidR="0092376C" w:rsidRPr="009E1B38" w:rsidRDefault="0092376C" w:rsidP="0007174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38</w:t>
            </w:r>
          </w:p>
        </w:tc>
        <w:tc>
          <w:tcPr>
            <w:tcW w:w="908" w:type="dxa"/>
            <w:shd w:val="clear" w:color="auto" w:fill="auto"/>
            <w:noWrap/>
            <w:vAlign w:val="center"/>
            <w:hideMark/>
          </w:tcPr>
          <w:p w14:paraId="7D4A8C30"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55,88 </w:t>
            </w:r>
          </w:p>
        </w:tc>
        <w:tc>
          <w:tcPr>
            <w:tcW w:w="1666" w:type="dxa"/>
            <w:shd w:val="clear" w:color="auto" w:fill="auto"/>
            <w:noWrap/>
            <w:vAlign w:val="center"/>
            <w:hideMark/>
          </w:tcPr>
          <w:p w14:paraId="7D4A8C31" w14:textId="77777777" w:rsidR="0092376C" w:rsidRPr="009E1B38" w:rsidRDefault="0092376C" w:rsidP="0092376C">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5.415.373 </w:t>
            </w:r>
          </w:p>
        </w:tc>
        <w:tc>
          <w:tcPr>
            <w:tcW w:w="903" w:type="dxa"/>
            <w:shd w:val="clear" w:color="auto" w:fill="auto"/>
            <w:noWrap/>
            <w:vAlign w:val="center"/>
            <w:hideMark/>
          </w:tcPr>
          <w:p w14:paraId="7D4A8C32" w14:textId="77777777" w:rsidR="0092376C" w:rsidRPr="009E1B38" w:rsidRDefault="0092376C" w:rsidP="0092376C">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54,77 </w:t>
            </w:r>
          </w:p>
        </w:tc>
      </w:tr>
      <w:tr w:rsidR="00272959" w:rsidRPr="009E1B38" w14:paraId="7D4A8C39" w14:textId="77777777" w:rsidTr="00C4345A">
        <w:trPr>
          <w:trHeight w:val="397"/>
        </w:trPr>
        <w:tc>
          <w:tcPr>
            <w:tcW w:w="4563" w:type="dxa"/>
            <w:shd w:val="clear" w:color="auto" w:fill="auto"/>
            <w:noWrap/>
          </w:tcPr>
          <w:p w14:paraId="7D4A8C34" w14:textId="654F1352" w:rsidR="00272959" w:rsidRPr="009E1B38" w:rsidRDefault="00E72D7C" w:rsidP="00272959">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Employing Uncertified Personnel</w:t>
            </w:r>
          </w:p>
        </w:tc>
        <w:tc>
          <w:tcPr>
            <w:tcW w:w="1827" w:type="dxa"/>
            <w:shd w:val="clear" w:color="auto" w:fill="auto"/>
            <w:noWrap/>
            <w:vAlign w:val="center"/>
          </w:tcPr>
          <w:p w14:paraId="7D4A8C35"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18</w:t>
            </w:r>
          </w:p>
        </w:tc>
        <w:tc>
          <w:tcPr>
            <w:tcW w:w="908" w:type="dxa"/>
            <w:shd w:val="clear" w:color="auto" w:fill="auto"/>
            <w:noWrap/>
            <w:vAlign w:val="center"/>
          </w:tcPr>
          <w:p w14:paraId="7D4A8C36"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26,47 </w:t>
            </w:r>
          </w:p>
        </w:tc>
        <w:tc>
          <w:tcPr>
            <w:tcW w:w="1666" w:type="dxa"/>
            <w:shd w:val="clear" w:color="auto" w:fill="auto"/>
            <w:noWrap/>
            <w:vAlign w:val="center"/>
          </w:tcPr>
          <w:p w14:paraId="7D4A8C37" w14:textId="77777777" w:rsidR="00272959" w:rsidRPr="009E1B38" w:rsidRDefault="00272959" w:rsidP="0027295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2.139.203 </w:t>
            </w:r>
          </w:p>
        </w:tc>
        <w:tc>
          <w:tcPr>
            <w:tcW w:w="903" w:type="dxa"/>
            <w:shd w:val="clear" w:color="auto" w:fill="auto"/>
            <w:noWrap/>
            <w:vAlign w:val="center"/>
          </w:tcPr>
          <w:p w14:paraId="7D4A8C38"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21,63 </w:t>
            </w:r>
          </w:p>
        </w:tc>
      </w:tr>
      <w:tr w:rsidR="00272959" w:rsidRPr="009E1B38" w14:paraId="7D4A8C3F" w14:textId="77777777" w:rsidTr="00C4345A">
        <w:trPr>
          <w:trHeight w:val="397"/>
        </w:trPr>
        <w:tc>
          <w:tcPr>
            <w:tcW w:w="4563" w:type="dxa"/>
            <w:shd w:val="clear" w:color="auto" w:fill="auto"/>
            <w:noWrap/>
          </w:tcPr>
          <w:p w14:paraId="7D4A8C3A" w14:textId="7FF94E79" w:rsidR="00272959" w:rsidRPr="009E1B38" w:rsidRDefault="00E72D7C" w:rsidP="00272959">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Offering Non-Technical LPG in Market Activities</w:t>
            </w:r>
          </w:p>
        </w:tc>
        <w:tc>
          <w:tcPr>
            <w:tcW w:w="1827" w:type="dxa"/>
            <w:shd w:val="clear" w:color="auto" w:fill="auto"/>
            <w:noWrap/>
            <w:vAlign w:val="center"/>
          </w:tcPr>
          <w:p w14:paraId="7D4A8C3B"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w:t>
            </w:r>
          </w:p>
        </w:tc>
        <w:tc>
          <w:tcPr>
            <w:tcW w:w="908" w:type="dxa"/>
            <w:shd w:val="clear" w:color="auto" w:fill="auto"/>
            <w:noWrap/>
            <w:vAlign w:val="center"/>
          </w:tcPr>
          <w:p w14:paraId="7D4A8C3C"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8,82 </w:t>
            </w:r>
          </w:p>
        </w:tc>
        <w:tc>
          <w:tcPr>
            <w:tcW w:w="1666" w:type="dxa"/>
            <w:shd w:val="clear" w:color="auto" w:fill="auto"/>
            <w:noWrap/>
            <w:vAlign w:val="center"/>
          </w:tcPr>
          <w:p w14:paraId="7D4A8C3D" w14:textId="77777777" w:rsidR="00272959" w:rsidRPr="009E1B38" w:rsidRDefault="00272959" w:rsidP="0027295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1.679.628 </w:t>
            </w:r>
          </w:p>
        </w:tc>
        <w:tc>
          <w:tcPr>
            <w:tcW w:w="903" w:type="dxa"/>
            <w:shd w:val="clear" w:color="auto" w:fill="auto"/>
            <w:noWrap/>
            <w:vAlign w:val="center"/>
          </w:tcPr>
          <w:p w14:paraId="7D4A8C3E"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16,98 </w:t>
            </w:r>
          </w:p>
        </w:tc>
      </w:tr>
      <w:tr w:rsidR="00272959" w:rsidRPr="009E1B38" w14:paraId="7D4A8C45" w14:textId="77777777" w:rsidTr="00E72D7C">
        <w:trPr>
          <w:trHeight w:val="397"/>
        </w:trPr>
        <w:tc>
          <w:tcPr>
            <w:tcW w:w="4563" w:type="dxa"/>
            <w:shd w:val="clear" w:color="auto" w:fill="auto"/>
            <w:noWrap/>
            <w:vAlign w:val="center"/>
          </w:tcPr>
          <w:p w14:paraId="7D4A8C40" w14:textId="63C99E48" w:rsidR="00272959" w:rsidRPr="009E1B38" w:rsidRDefault="007B0EE8" w:rsidP="00272959">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Dealing Without a License</w:t>
            </w:r>
          </w:p>
        </w:tc>
        <w:tc>
          <w:tcPr>
            <w:tcW w:w="1827" w:type="dxa"/>
            <w:shd w:val="clear" w:color="auto" w:fill="auto"/>
            <w:noWrap/>
            <w:vAlign w:val="center"/>
          </w:tcPr>
          <w:p w14:paraId="7D4A8C41"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w:t>
            </w:r>
          </w:p>
        </w:tc>
        <w:tc>
          <w:tcPr>
            <w:tcW w:w="908" w:type="dxa"/>
            <w:shd w:val="clear" w:color="auto" w:fill="auto"/>
            <w:noWrap/>
            <w:vAlign w:val="center"/>
          </w:tcPr>
          <w:p w14:paraId="7D4A8C42"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1,47</w:t>
            </w:r>
          </w:p>
        </w:tc>
        <w:tc>
          <w:tcPr>
            <w:tcW w:w="1666" w:type="dxa"/>
            <w:shd w:val="clear" w:color="auto" w:fill="auto"/>
            <w:noWrap/>
            <w:vAlign w:val="center"/>
          </w:tcPr>
          <w:p w14:paraId="7D4A8C43" w14:textId="77777777" w:rsidR="00272959" w:rsidRPr="009E1B38" w:rsidRDefault="00272959" w:rsidP="0027295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133.747</w:t>
            </w:r>
          </w:p>
        </w:tc>
        <w:tc>
          <w:tcPr>
            <w:tcW w:w="903" w:type="dxa"/>
            <w:shd w:val="clear" w:color="auto" w:fill="auto"/>
            <w:noWrap/>
            <w:vAlign w:val="center"/>
          </w:tcPr>
          <w:p w14:paraId="7D4A8C44"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1,35</w:t>
            </w:r>
          </w:p>
        </w:tc>
      </w:tr>
      <w:tr w:rsidR="00272959" w:rsidRPr="009E1B38" w14:paraId="7D4A8C4B" w14:textId="77777777" w:rsidTr="00E72D7C">
        <w:trPr>
          <w:trHeight w:val="397"/>
        </w:trPr>
        <w:tc>
          <w:tcPr>
            <w:tcW w:w="4563" w:type="dxa"/>
            <w:shd w:val="clear" w:color="auto" w:fill="auto"/>
            <w:noWrap/>
          </w:tcPr>
          <w:p w14:paraId="7D4A8C46" w14:textId="1880E96F" w:rsidR="00272959" w:rsidRPr="009E1B38" w:rsidRDefault="00E72D7C" w:rsidP="00272959">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Other</w:t>
            </w:r>
          </w:p>
        </w:tc>
        <w:tc>
          <w:tcPr>
            <w:tcW w:w="1827" w:type="dxa"/>
            <w:shd w:val="clear" w:color="auto" w:fill="auto"/>
            <w:noWrap/>
            <w:vAlign w:val="center"/>
          </w:tcPr>
          <w:p w14:paraId="7D4A8C47"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w:t>
            </w:r>
          </w:p>
        </w:tc>
        <w:tc>
          <w:tcPr>
            <w:tcW w:w="908" w:type="dxa"/>
            <w:shd w:val="clear" w:color="auto" w:fill="auto"/>
            <w:noWrap/>
            <w:vAlign w:val="center"/>
          </w:tcPr>
          <w:p w14:paraId="7D4A8C48"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7,36 </w:t>
            </w:r>
          </w:p>
        </w:tc>
        <w:tc>
          <w:tcPr>
            <w:tcW w:w="1666" w:type="dxa"/>
            <w:shd w:val="clear" w:color="auto" w:fill="auto"/>
            <w:noWrap/>
            <w:vAlign w:val="center"/>
          </w:tcPr>
          <w:p w14:paraId="7D4A8C49" w14:textId="77777777" w:rsidR="00272959" w:rsidRPr="009E1B38" w:rsidRDefault="00272959" w:rsidP="0027295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520.377 </w:t>
            </w:r>
          </w:p>
        </w:tc>
        <w:tc>
          <w:tcPr>
            <w:tcW w:w="903" w:type="dxa"/>
            <w:shd w:val="clear" w:color="auto" w:fill="auto"/>
            <w:noWrap/>
            <w:vAlign w:val="center"/>
          </w:tcPr>
          <w:p w14:paraId="7D4A8C4A"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5,27 </w:t>
            </w:r>
          </w:p>
        </w:tc>
      </w:tr>
      <w:tr w:rsidR="00272959" w:rsidRPr="009E1B38" w14:paraId="7D4A8C51" w14:textId="77777777" w:rsidTr="00E72D7C">
        <w:trPr>
          <w:trHeight w:val="397"/>
        </w:trPr>
        <w:tc>
          <w:tcPr>
            <w:tcW w:w="4563" w:type="dxa"/>
            <w:shd w:val="clear" w:color="auto" w:fill="auto"/>
            <w:noWrap/>
            <w:hideMark/>
          </w:tcPr>
          <w:p w14:paraId="7D4A8C4C" w14:textId="1405CA19" w:rsidR="00272959" w:rsidRPr="009E1B38" w:rsidRDefault="00E72D7C" w:rsidP="00272959">
            <w:pPr>
              <w:spacing w:after="0" w:line="240" w:lineRule="auto"/>
              <w:rPr>
                <w:rFonts w:ascii="Times New Roman" w:eastAsia="Times New Roman" w:hAnsi="Times New Roman"/>
                <w:color w:val="000000"/>
                <w:lang w:eastAsia="tr-TR"/>
              </w:rPr>
            </w:pPr>
            <w:r w:rsidRPr="009E1B38">
              <w:rPr>
                <w:rFonts w:ascii="Times New Roman" w:eastAsia="Times New Roman" w:hAnsi="Times New Roman"/>
                <w:b/>
              </w:rPr>
              <w:t>Total</w:t>
            </w:r>
          </w:p>
        </w:tc>
        <w:tc>
          <w:tcPr>
            <w:tcW w:w="1827" w:type="dxa"/>
            <w:shd w:val="clear" w:color="auto" w:fill="auto"/>
            <w:noWrap/>
            <w:vAlign w:val="center"/>
            <w:hideMark/>
          </w:tcPr>
          <w:p w14:paraId="7D4A8C4D"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b/>
                <w:color w:val="000000" w:themeColor="text1"/>
                <w:lang w:eastAsia="tr-TR"/>
              </w:rPr>
              <w:t>68</w:t>
            </w:r>
          </w:p>
        </w:tc>
        <w:tc>
          <w:tcPr>
            <w:tcW w:w="908" w:type="dxa"/>
            <w:shd w:val="clear" w:color="auto" w:fill="auto"/>
            <w:noWrap/>
            <w:vAlign w:val="center"/>
            <w:hideMark/>
          </w:tcPr>
          <w:p w14:paraId="7D4A8C4E" w14:textId="77777777" w:rsidR="00272959" w:rsidRPr="009E1B38" w:rsidRDefault="00272959" w:rsidP="0027295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b/>
                <w:color w:val="000000" w:themeColor="text1"/>
                <w:lang w:eastAsia="tr-TR"/>
              </w:rPr>
              <w:t>100</w:t>
            </w:r>
          </w:p>
        </w:tc>
        <w:tc>
          <w:tcPr>
            <w:tcW w:w="1666" w:type="dxa"/>
            <w:shd w:val="clear" w:color="auto" w:fill="auto"/>
            <w:noWrap/>
            <w:vAlign w:val="center"/>
            <w:hideMark/>
          </w:tcPr>
          <w:p w14:paraId="7D4A8C4F" w14:textId="77777777" w:rsidR="00272959" w:rsidRPr="009E1B38" w:rsidRDefault="00272959" w:rsidP="00272959">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b/>
                <w:color w:val="000000" w:themeColor="text1"/>
                <w:lang w:eastAsia="tr-TR"/>
              </w:rPr>
              <w:t xml:space="preserve">9.888.328 </w:t>
            </w:r>
          </w:p>
        </w:tc>
        <w:tc>
          <w:tcPr>
            <w:tcW w:w="903" w:type="dxa"/>
            <w:shd w:val="clear" w:color="auto" w:fill="auto"/>
            <w:noWrap/>
            <w:vAlign w:val="center"/>
            <w:hideMark/>
          </w:tcPr>
          <w:p w14:paraId="7D4A8C50" w14:textId="77777777" w:rsidR="00272959" w:rsidRPr="009E1B38" w:rsidRDefault="00272959" w:rsidP="00272959">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r>
    </w:tbl>
    <w:p w14:paraId="7E3263BF" w14:textId="413A3775" w:rsidR="003D0DD5" w:rsidRPr="009E1B38" w:rsidRDefault="003D0DD5" w:rsidP="009C057D">
      <w:pPr>
        <w:rPr>
          <w:rFonts w:ascii="Times New Roman" w:hAnsi="Times New Roman"/>
        </w:rPr>
      </w:pPr>
    </w:p>
    <w:p w14:paraId="499E21B8" w14:textId="6733DC6D" w:rsidR="28796EAE" w:rsidRPr="009E1B38" w:rsidRDefault="00704015" w:rsidP="28796EAE">
      <w:pPr>
        <w:pStyle w:val="Balk1"/>
        <w:rPr>
          <w:rFonts w:eastAsia="Times New Roman" w:cs="Times New Roman"/>
          <w:sz w:val="22"/>
          <w:szCs w:val="22"/>
        </w:rPr>
      </w:pPr>
      <w:bookmarkStart w:id="281" w:name="_Toc113615390"/>
      <w:r w:rsidRPr="009E1B38">
        <w:rPr>
          <w:rFonts w:eastAsia="Times New Roman" w:cs="Times New Roman"/>
          <w:sz w:val="22"/>
          <w:szCs w:val="22"/>
        </w:rPr>
        <w:lastRenderedPageBreak/>
        <w:t>7. REAL</w:t>
      </w:r>
      <w:r w:rsidR="28796EAE" w:rsidRPr="009E1B38">
        <w:rPr>
          <w:rFonts w:eastAsia="Times New Roman" w:cs="Times New Roman"/>
          <w:sz w:val="22"/>
          <w:szCs w:val="22"/>
        </w:rPr>
        <w:t xml:space="preserve"> ESTATE SUPPLY WORKS</w:t>
      </w:r>
      <w:bookmarkEnd w:id="281"/>
    </w:p>
    <w:p w14:paraId="268CA7E7" w14:textId="774AE51E" w:rsidR="00734202" w:rsidRPr="009E1B38" w:rsidRDefault="00734202" w:rsidP="00734202">
      <w:pPr>
        <w:rPr>
          <w:rFonts w:ascii="Times New Roman" w:eastAsia="Times New Roman" w:hAnsi="Times New Roman"/>
        </w:rPr>
      </w:pPr>
    </w:p>
    <w:p w14:paraId="52899330" w14:textId="3DB10A23" w:rsidR="2220F7A7" w:rsidRPr="009E1B38" w:rsidRDefault="2220F7A7" w:rsidP="2220F7A7">
      <w:pPr>
        <w:rPr>
          <w:rFonts w:ascii="Times New Roman" w:eastAsia="Times New Roman" w:hAnsi="Times New Roman"/>
        </w:rPr>
      </w:pPr>
      <w:r w:rsidRPr="009E1B38">
        <w:rPr>
          <w:rFonts w:ascii="Times New Roman" w:eastAsia="Times New Roman" w:hAnsi="Times New Roman"/>
        </w:rPr>
        <w:t>For electricity generation facilities according to Article 19 of the Electricity Market Law No. 6446, for natural gas transmission, distribution and storage facilities according to Article 12 of the Natural Gas Market Law No. 4646, and oil refineries and licensed storage facilities within the scope of Article 11 of the Petroleum Market Law No. 5015, Procurement of the immovables necessary for the establishment of transmission lines and processing facilities is carried out by the Authority (Expropriation Department).</w:t>
      </w:r>
    </w:p>
    <w:p w14:paraId="2348F47F" w14:textId="0F80CAB8" w:rsidR="2220F7A7" w:rsidRPr="009E1B38" w:rsidRDefault="2220F7A7" w:rsidP="2220F7A7">
      <w:pPr>
        <w:rPr>
          <w:rFonts w:ascii="Times New Roman" w:eastAsia="Times New Roman" w:hAnsi="Times New Roman"/>
        </w:rPr>
      </w:pPr>
      <w:r w:rsidRPr="009E1B38">
        <w:rPr>
          <w:rFonts w:ascii="Times New Roman" w:eastAsia="Times New Roman" w:hAnsi="Times New Roman"/>
        </w:rPr>
        <w:t>In this framework, "expropriation" for privately owned immovables, "easement establishment or leasing" for immovables owned by the Finance Treasury (MH) or under the rule and disposal of the State (DHTA), and for immovables owned by other public authorities and organizations, Article 30 of the Expropriation Law No. 2942. The activities carried out in 2021 regarding the “transfer” transactions through the implementation of the Article.</w:t>
      </w:r>
    </w:p>
    <w:p w14:paraId="350F54B1" w14:textId="270F4E88" w:rsidR="2220F7A7" w:rsidRPr="009E1B38" w:rsidRDefault="2220F7A7" w:rsidP="276CB62F">
      <w:pPr>
        <w:rPr>
          <w:rFonts w:ascii="Times New Roman" w:eastAsia="Times New Roman" w:hAnsi="Times New Roman"/>
        </w:rPr>
      </w:pPr>
      <w:r w:rsidRPr="009E1B38">
        <w:rPr>
          <w:rFonts w:ascii="Times New Roman" w:eastAsia="Times New Roman" w:hAnsi="Times New Roman"/>
        </w:rPr>
        <w:t>In 2021, a total of 5.442 Board Decisions were taken regarding the procurement of 284 immovables (excluding privately owned immovables within the scope of the energy transmission line route) required for the establishment of energy facilities:</w:t>
      </w:r>
    </w:p>
    <w:p w14:paraId="73AEEAC2" w14:textId="5511F454" w:rsidR="2220F7A7" w:rsidRPr="009E1B38" w:rsidRDefault="2220F7A7" w:rsidP="003C5E4D">
      <w:pPr>
        <w:pStyle w:val="ListeParagraf"/>
        <w:numPr>
          <w:ilvl w:val="0"/>
          <w:numId w:val="12"/>
        </w:numPr>
        <w:rPr>
          <w:rFonts w:ascii="Times New Roman" w:eastAsia="Times New Roman" w:hAnsi="Times New Roman"/>
          <w:color w:val="000000" w:themeColor="text1"/>
        </w:rPr>
      </w:pPr>
      <w:r w:rsidRPr="009E1B38">
        <w:rPr>
          <w:rFonts w:ascii="Times New Roman" w:eastAsia="Times New Roman" w:hAnsi="Times New Roman"/>
          <w:color w:val="000000" w:themeColor="text1"/>
        </w:rPr>
        <w:t>In order to expropriate privately owned immovables, 62 expropriation decisions were taken for a total of 1,000 immovables. Regarding the urgent expropriation application, 3 Board Decisions were taken for a total of 88 immovables.</w:t>
      </w:r>
    </w:p>
    <w:p w14:paraId="53C8D3DB" w14:textId="3EF52011" w:rsidR="2220F7A7" w:rsidRPr="009E1B38" w:rsidRDefault="2220F7A7" w:rsidP="003C5E4D">
      <w:pPr>
        <w:pStyle w:val="ListeParagraf"/>
        <w:numPr>
          <w:ilvl w:val="0"/>
          <w:numId w:val="12"/>
        </w:numPr>
        <w:rPr>
          <w:rFonts w:ascii="Times New Roman" w:eastAsia="Times New Roman" w:hAnsi="Times New Roman"/>
        </w:rPr>
      </w:pPr>
      <w:r w:rsidRPr="009E1B38">
        <w:rPr>
          <w:rFonts w:ascii="Times New Roman" w:eastAsia="Times New Roman" w:hAnsi="Times New Roman"/>
        </w:rPr>
        <w:t>60 Board Decisions were taken regarding the establishment of easement rights on 191 immovables owned by the Treasury or under the jurisdiction and disposal of the State.</w:t>
      </w:r>
    </w:p>
    <w:p w14:paraId="7CED7EF4" w14:textId="3EF52011" w:rsidR="2220F7A7" w:rsidRPr="009E1B38" w:rsidRDefault="2220F7A7" w:rsidP="003C5E4D">
      <w:pPr>
        <w:pStyle w:val="ListeParagraf"/>
        <w:numPr>
          <w:ilvl w:val="0"/>
          <w:numId w:val="12"/>
        </w:numPr>
        <w:rPr>
          <w:rFonts w:ascii="Times New Roman" w:eastAsia="Times New Roman" w:hAnsi="Times New Roman"/>
        </w:rPr>
      </w:pPr>
      <w:r w:rsidRPr="009E1B38">
        <w:rPr>
          <w:rFonts w:ascii="Times New Roman" w:eastAsia="Times New Roman" w:hAnsi="Times New Roman"/>
        </w:rPr>
        <w:t>24 Board Decisions were taken regarding the establishment of leasing transactions in 95 immovables owned by the Treasury or under the jurisdiction and disposal of the State.</w:t>
      </w:r>
    </w:p>
    <w:p w14:paraId="3B79FEC7" w14:textId="3EF52011" w:rsidR="276CB62F" w:rsidRPr="009E1B38" w:rsidRDefault="2220F7A7" w:rsidP="003C5E4D">
      <w:pPr>
        <w:pStyle w:val="ListeParagraf"/>
        <w:numPr>
          <w:ilvl w:val="0"/>
          <w:numId w:val="12"/>
        </w:numPr>
        <w:rPr>
          <w:rFonts w:ascii="Times New Roman" w:eastAsia="Times New Roman" w:hAnsi="Times New Roman"/>
        </w:rPr>
      </w:pPr>
      <w:r w:rsidRPr="009E1B38">
        <w:rPr>
          <w:rFonts w:ascii="Times New Roman" w:eastAsia="Times New Roman" w:hAnsi="Times New Roman"/>
        </w:rPr>
        <w:t>22 Board Decisions were taken for the implementation of Article 30 of the Expropriation Law No. 2942 on 198 immovable properties owned by other public authorities and organizations.</w:t>
      </w:r>
    </w:p>
    <w:p w14:paraId="72692191" w14:textId="3EF52011" w:rsidR="2220F7A7" w:rsidRPr="009E1B38" w:rsidRDefault="2220F7A7" w:rsidP="003C5E4D">
      <w:pPr>
        <w:pStyle w:val="ListeParagraf"/>
        <w:numPr>
          <w:ilvl w:val="0"/>
          <w:numId w:val="12"/>
        </w:numPr>
        <w:rPr>
          <w:rFonts w:ascii="Times New Roman" w:eastAsia="Times New Roman" w:hAnsi="Times New Roman"/>
          <w:color w:val="000000" w:themeColor="text1"/>
        </w:rPr>
      </w:pPr>
      <w:r w:rsidRPr="009E1B38">
        <w:rPr>
          <w:rFonts w:ascii="Times New Roman" w:eastAsia="Times New Roman" w:hAnsi="Times New Roman"/>
          <w:color w:val="000000" w:themeColor="text1"/>
        </w:rPr>
        <w:t xml:space="preserve">Within the scope of Article 12 of the Natural Gas Market Law No. 4646, a total of 16 Board Decisions were taken to replace the public interest decision. </w:t>
      </w:r>
    </w:p>
    <w:p w14:paraId="293F0360" w14:textId="3EF52011" w:rsidR="2220F7A7" w:rsidRPr="009E1B38" w:rsidRDefault="2220F7A7" w:rsidP="003C5E4D">
      <w:pPr>
        <w:pStyle w:val="ListeParagraf"/>
        <w:numPr>
          <w:ilvl w:val="0"/>
          <w:numId w:val="12"/>
        </w:numPr>
        <w:rPr>
          <w:rFonts w:ascii="Times New Roman" w:eastAsia="Times New Roman" w:hAnsi="Times New Roman"/>
        </w:rPr>
      </w:pPr>
      <w:r w:rsidRPr="009E1B38">
        <w:rPr>
          <w:rFonts w:ascii="Times New Roman" w:eastAsia="Times New Roman" w:hAnsi="Times New Roman"/>
        </w:rPr>
        <w:t>7 Board Decisions have been taken regarding the free use of 246 immovables, which are under the private ownership of the Treasury and/or under the jurisdiction and disposal of the State, located in the reservoir area of the hydroelectric generation facilities within the scope of the Law No. 5346 on the Use of Renewable Energy Resources for the Purpose of Electricity Generation.</w:t>
      </w:r>
    </w:p>
    <w:p w14:paraId="11B5EBC6" w14:textId="3EF52011" w:rsidR="276CB62F" w:rsidRPr="009E1B38" w:rsidRDefault="2220F7A7" w:rsidP="003C5E4D">
      <w:pPr>
        <w:pStyle w:val="ListeParagraf"/>
        <w:numPr>
          <w:ilvl w:val="0"/>
          <w:numId w:val="12"/>
        </w:numPr>
        <w:rPr>
          <w:rFonts w:ascii="Times New Roman" w:eastAsia="Times New Roman" w:hAnsi="Times New Roman"/>
        </w:rPr>
      </w:pPr>
      <w:r w:rsidRPr="009E1B38">
        <w:rPr>
          <w:rFonts w:ascii="Times New Roman" w:eastAsia="Times New Roman" w:hAnsi="Times New Roman"/>
        </w:rPr>
        <w:t>6 Board Decisions were taken for a total of 496 immovables within the scope of the implementation of making decisions for the misuse of agricultural lands and agricultural lands in large plains within the scope of Articles 14 of the Soil Conservation and Land Use Law No. 5403.</w:t>
      </w:r>
    </w:p>
    <w:p w14:paraId="1FDD231B" w14:textId="3EBEDCC2" w:rsidR="2220F7A7" w:rsidRPr="009E1B38" w:rsidRDefault="2220F7A7" w:rsidP="003C5E4D">
      <w:pPr>
        <w:pStyle w:val="ListeParagraf"/>
        <w:numPr>
          <w:ilvl w:val="0"/>
          <w:numId w:val="12"/>
        </w:numPr>
        <w:rPr>
          <w:rFonts w:ascii="Times New Roman" w:eastAsia="Times New Roman" w:hAnsi="Times New Roman"/>
          <w:color w:val="000000" w:themeColor="text1"/>
        </w:rPr>
      </w:pPr>
      <w:r w:rsidRPr="009E1B38">
        <w:rPr>
          <w:rFonts w:ascii="Times New Roman" w:eastAsia="Times New Roman" w:hAnsi="Times New Roman"/>
        </w:rPr>
        <w:t>Also, enforcement of the court decision, waiver, cancellation or amendment etc. Regarding the issues, 84 Board Decisions were taken regarding a total of 3.128immovables.</w:t>
      </w:r>
      <w:r w:rsidRPr="009E1B38">
        <w:rPr>
          <w:rFonts w:ascii="Times New Roman" w:eastAsia="Times New Roman" w:hAnsi="Times New Roman"/>
          <w:color w:val="000000" w:themeColor="text1"/>
        </w:rPr>
        <w:t xml:space="preserve"> </w:t>
      </w:r>
    </w:p>
    <w:p w14:paraId="57A5ADF9" w14:textId="3ADC3302" w:rsidR="2220F7A7" w:rsidRPr="009E1B38" w:rsidRDefault="2220F7A7" w:rsidP="276CB62F">
      <w:pPr>
        <w:rPr>
          <w:rFonts w:ascii="Times New Roman" w:eastAsia="Times New Roman" w:hAnsi="Times New Roman"/>
          <w:color w:val="000000" w:themeColor="text1"/>
        </w:rPr>
      </w:pPr>
    </w:p>
    <w:p w14:paraId="7D4A8C6B" w14:textId="243C5951" w:rsidR="003F67DB" w:rsidRPr="009E1B38" w:rsidRDefault="2220F7A7" w:rsidP="6153C3C1">
      <w:pPr>
        <w:pStyle w:val="Balk5"/>
        <w:autoSpaceDE w:val="0"/>
        <w:autoSpaceDN w:val="0"/>
        <w:adjustRightInd w:val="0"/>
        <w:spacing w:line="240" w:lineRule="auto"/>
        <w:ind w:firstLine="708"/>
        <w:contextualSpacing/>
        <w:jc w:val="center"/>
        <w:rPr>
          <w:rFonts w:ascii="Times New Roman" w:eastAsia="Times New Roman" w:hAnsi="Times New Roman" w:cs="Times New Roman"/>
          <w:b w:val="0"/>
          <w:color w:val="auto"/>
        </w:rPr>
      </w:pPr>
      <w:bookmarkStart w:id="282" w:name="_Toc107499541"/>
      <w:r w:rsidRPr="009E1B38">
        <w:rPr>
          <w:rFonts w:ascii="Times New Roman" w:eastAsia="Times New Roman" w:hAnsi="Times New Roman" w:cs="Times New Roman"/>
          <w:color w:val="auto"/>
        </w:rPr>
        <w:lastRenderedPageBreak/>
        <w:t>Figure 7.1: Distribution of Board Decisions Regarding the Procurement of Real Estate in 2020</w:t>
      </w:r>
      <w:bookmarkStart w:id="283" w:name="_Toc442431312"/>
      <w:bookmarkEnd w:id="252"/>
      <w:bookmarkEnd w:id="282"/>
    </w:p>
    <w:p w14:paraId="7D4A8C6C" w14:textId="4E491F89" w:rsidR="003F67DB" w:rsidRPr="009E1B38" w:rsidRDefault="00D4132F" w:rsidP="003F67DB">
      <w:pPr>
        <w:autoSpaceDE w:val="0"/>
        <w:autoSpaceDN w:val="0"/>
        <w:adjustRightInd w:val="0"/>
        <w:spacing w:after="0" w:line="240" w:lineRule="auto"/>
        <w:ind w:left="567"/>
        <w:contextualSpacing/>
        <w:jc w:val="center"/>
        <w:rPr>
          <w:rFonts w:ascii="Times New Roman" w:hAnsi="Times New Roman"/>
        </w:rPr>
      </w:pPr>
      <w:r w:rsidRPr="009E1B38">
        <w:rPr>
          <w:rFonts w:ascii="Times New Roman" w:hAnsi="Times New Roman"/>
          <w:noProof/>
          <w:lang w:val="tr-TR" w:eastAsia="tr-TR"/>
        </w:rPr>
        <w:drawing>
          <wp:inline distT="0" distB="0" distL="0" distR="0" wp14:anchorId="6F9B5B58" wp14:editId="49FD9CD6">
            <wp:extent cx="4572000" cy="2476500"/>
            <wp:effectExtent l="0" t="0" r="0" b="0"/>
            <wp:docPr id="1354763458" name="Picture 135476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4572000" cy="2476500"/>
                    </a:xfrm>
                    <a:prstGeom prst="rect">
                      <a:avLst/>
                    </a:prstGeom>
                  </pic:spPr>
                </pic:pic>
              </a:graphicData>
            </a:graphic>
          </wp:inline>
        </w:drawing>
      </w:r>
    </w:p>
    <w:p w14:paraId="7D4A8C6D" w14:textId="77777777" w:rsidR="00A3508B" w:rsidRPr="009E1B38" w:rsidRDefault="00A3508B" w:rsidP="009F0619">
      <w:pPr>
        <w:jc w:val="center"/>
        <w:rPr>
          <w:rFonts w:ascii="Times New Roman" w:eastAsia="Times New Roman" w:hAnsi="Times New Roman"/>
        </w:rPr>
      </w:pPr>
    </w:p>
    <w:p w14:paraId="4940AE6B" w14:textId="134D1955" w:rsidR="2220F7A7" w:rsidRPr="009E1B38" w:rsidRDefault="2220F7A7" w:rsidP="2220F7A7">
      <w:pPr>
        <w:rPr>
          <w:rFonts w:ascii="Times New Roman" w:eastAsia="Times New Roman" w:hAnsi="Times New Roman"/>
        </w:rPr>
      </w:pPr>
      <w:r w:rsidRPr="009E1B38">
        <w:rPr>
          <w:rFonts w:ascii="Times New Roman" w:eastAsia="Times New Roman" w:hAnsi="Times New Roman"/>
        </w:rPr>
        <w:t>The distribution of the Board Decisions taken on a sectoral basis is as follows:</w:t>
      </w:r>
    </w:p>
    <w:p w14:paraId="08684399" w14:textId="05FF7E54" w:rsidR="276CB62F" w:rsidRPr="009E1B38" w:rsidRDefault="2220F7A7" w:rsidP="276CB62F">
      <w:pPr>
        <w:rPr>
          <w:rFonts w:ascii="Times New Roman" w:eastAsia="Times New Roman" w:hAnsi="Times New Roman"/>
        </w:rPr>
      </w:pPr>
      <w:r w:rsidRPr="009E1B38">
        <w:rPr>
          <w:rFonts w:ascii="Times New Roman" w:eastAsia="Times New Roman" w:hAnsi="Times New Roman"/>
        </w:rPr>
        <w:t>• In accordance with Article 19 of the Electricity Market Law No. 6446, a total of 197 Board Decisions were taken regarding electricity generation facilities.</w:t>
      </w:r>
    </w:p>
    <w:p w14:paraId="4E723468" w14:textId="647FA434" w:rsidR="276CB62F" w:rsidRPr="009E1B38" w:rsidRDefault="2220F7A7" w:rsidP="276CB62F">
      <w:pPr>
        <w:rPr>
          <w:rFonts w:ascii="Times New Roman" w:eastAsia="Times New Roman" w:hAnsi="Times New Roman"/>
        </w:rPr>
      </w:pPr>
      <w:r w:rsidRPr="009E1B38">
        <w:rPr>
          <w:rFonts w:ascii="Times New Roman" w:eastAsia="Times New Roman" w:hAnsi="Times New Roman"/>
        </w:rPr>
        <w:t>• In accordance with Article 12 of the Natural Gas Market Law No. 4646, a total of 78 Board Decisions were taken regarding natural gas distribution, transmission and storage facilities.</w:t>
      </w:r>
    </w:p>
    <w:p w14:paraId="049A2AE4" w14:textId="347A0986" w:rsidR="276CB62F" w:rsidRPr="009E1B38" w:rsidRDefault="2220F7A7" w:rsidP="276CB62F">
      <w:pPr>
        <w:rPr>
          <w:rFonts w:ascii="Times New Roman" w:eastAsia="Times New Roman" w:hAnsi="Times New Roman"/>
        </w:rPr>
      </w:pPr>
      <w:r w:rsidRPr="009E1B38">
        <w:rPr>
          <w:rFonts w:ascii="Times New Roman" w:eastAsia="Times New Roman" w:hAnsi="Times New Roman"/>
        </w:rPr>
        <w:t>• In accordance with Article 11 of the Petroleum Market Law No. 5015, a total of 3 Board Decisions were taken regarding oil storage facilities.</w:t>
      </w:r>
    </w:p>
    <w:p w14:paraId="00A701EB" w14:textId="7BD37FFF" w:rsidR="2220F7A7" w:rsidRPr="009E1B38" w:rsidRDefault="2220F7A7" w:rsidP="2220F7A7">
      <w:pPr>
        <w:rPr>
          <w:rFonts w:ascii="Times New Roman" w:eastAsia="Times New Roman" w:hAnsi="Times New Roman"/>
        </w:rPr>
      </w:pPr>
      <w:r w:rsidRPr="009E1B38">
        <w:rPr>
          <w:rFonts w:ascii="Times New Roman" w:eastAsia="Times New Roman" w:hAnsi="Times New Roman"/>
        </w:rPr>
        <w:t>• Also, cancellation-revision etc. A total of 6 Board Decisions were taken on these issues.</w:t>
      </w:r>
    </w:p>
    <w:p w14:paraId="7D4A8C82" w14:textId="15C48DC6" w:rsidR="000940FF" w:rsidRPr="009E1B38" w:rsidRDefault="000940FF" w:rsidP="0080430E">
      <w:pPr>
        <w:autoSpaceDE w:val="0"/>
        <w:autoSpaceDN w:val="0"/>
        <w:adjustRightInd w:val="0"/>
        <w:spacing w:after="0" w:line="240" w:lineRule="auto"/>
        <w:rPr>
          <w:rFonts w:ascii="Times New Roman" w:eastAsia="Times New Roman" w:hAnsi="Times New Roman"/>
          <w:sz w:val="24"/>
          <w:szCs w:val="24"/>
        </w:rPr>
      </w:pPr>
    </w:p>
    <w:p w14:paraId="5B1BF0D0" w14:textId="3D90743B" w:rsidR="2220F7A7" w:rsidRPr="009E1B38" w:rsidRDefault="2220F7A7" w:rsidP="276CB62F">
      <w:pPr>
        <w:pStyle w:val="Balk5"/>
        <w:jc w:val="center"/>
        <w:rPr>
          <w:rFonts w:ascii="Times New Roman" w:eastAsia="Times New Roman" w:hAnsi="Times New Roman" w:cs="Times New Roman"/>
          <w:b w:val="0"/>
          <w:color w:val="auto"/>
        </w:rPr>
      </w:pPr>
      <w:bookmarkStart w:id="284" w:name="_Toc107499542"/>
      <w:r w:rsidRPr="009E1B38">
        <w:rPr>
          <w:rFonts w:ascii="Times New Roman" w:eastAsia="Times New Roman" w:hAnsi="Times New Roman" w:cs="Times New Roman"/>
          <w:color w:val="auto"/>
        </w:rPr>
        <w:t xml:space="preserve">Figure 7.2: Distribution of Board Decisions Regarding the Procurement of Real Estate in 2021 by </w:t>
      </w:r>
      <w:r w:rsidR="7DC53B4B" w:rsidRPr="009E1B38">
        <w:rPr>
          <w:rFonts w:ascii="Times New Roman" w:eastAsia="Times New Roman" w:hAnsi="Times New Roman" w:cs="Times New Roman"/>
          <w:color w:val="auto"/>
        </w:rPr>
        <w:t xml:space="preserve"> </w:t>
      </w:r>
      <w:r w:rsidRPr="009E1B38">
        <w:rPr>
          <w:rFonts w:ascii="Times New Roman" w:eastAsia="Times New Roman" w:hAnsi="Times New Roman" w:cs="Times New Roman"/>
          <w:color w:val="auto"/>
        </w:rPr>
        <w:t>Facility Types</w:t>
      </w:r>
      <w:bookmarkEnd w:id="284"/>
    </w:p>
    <w:p w14:paraId="7D4A8C84" w14:textId="6E5A00F0" w:rsidR="00EA266D" w:rsidRPr="009E1B38" w:rsidRDefault="00797BD2" w:rsidP="000940FF">
      <w:pPr>
        <w:jc w:val="center"/>
        <w:rPr>
          <w:rFonts w:ascii="Times New Roman" w:hAnsi="Times New Roman"/>
        </w:rPr>
      </w:pPr>
      <w:r w:rsidRPr="009E1B38">
        <w:rPr>
          <w:rFonts w:ascii="Times New Roman" w:hAnsi="Times New Roman"/>
          <w:noProof/>
          <w:lang w:val="tr-TR" w:eastAsia="tr-TR"/>
        </w:rPr>
        <w:drawing>
          <wp:inline distT="0" distB="0" distL="0" distR="0" wp14:anchorId="09A81FC3" wp14:editId="44529CAA">
            <wp:extent cx="4197010" cy="2771775"/>
            <wp:effectExtent l="0" t="0" r="0" b="0"/>
            <wp:docPr id="176718546" name="Picture 176718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18546"/>
                    <pic:cNvPicPr/>
                  </pic:nvPicPr>
                  <pic:blipFill>
                    <a:blip r:embed="rId42">
                      <a:extLst>
                        <a:ext uri="{28A0092B-C50C-407E-A947-70E740481C1C}">
                          <a14:useLocalDpi xmlns:a14="http://schemas.microsoft.com/office/drawing/2010/main" val="0"/>
                        </a:ext>
                      </a:extLst>
                    </a:blip>
                    <a:stretch>
                      <a:fillRect/>
                    </a:stretch>
                  </pic:blipFill>
                  <pic:spPr>
                    <a:xfrm>
                      <a:off x="0" y="0"/>
                      <a:ext cx="4197010" cy="2771775"/>
                    </a:xfrm>
                    <a:prstGeom prst="rect">
                      <a:avLst/>
                    </a:prstGeom>
                  </pic:spPr>
                </pic:pic>
              </a:graphicData>
            </a:graphic>
          </wp:inline>
        </w:drawing>
      </w:r>
    </w:p>
    <w:p w14:paraId="0AC280D7" w14:textId="7390DAB2" w:rsidR="7DC53B4B" w:rsidRPr="009E1B38" w:rsidRDefault="7DC53B4B" w:rsidP="7DC53B4B">
      <w:pPr>
        <w:jc w:val="center"/>
        <w:rPr>
          <w:rFonts w:ascii="Times New Roman" w:hAnsi="Times New Roman"/>
        </w:rPr>
      </w:pPr>
    </w:p>
    <w:p w14:paraId="36CF6700" w14:textId="44A7F7FA" w:rsidR="3A1E2316" w:rsidRPr="009E1B38" w:rsidRDefault="3A1E2316">
      <w:pPr>
        <w:rPr>
          <w:rFonts w:ascii="Times New Roman" w:eastAsia="Times New Roman" w:hAnsi="Times New Roman"/>
        </w:rPr>
      </w:pPr>
      <w:r w:rsidRPr="009E1B38">
        <w:rPr>
          <w:rFonts w:ascii="Times New Roman" w:eastAsia="Times New Roman" w:hAnsi="Times New Roman"/>
        </w:rPr>
        <w:lastRenderedPageBreak/>
        <w:t>In addition, within the scope of legislative studies; “Regulation on Real Estate Procurement Transactions Carried out by the Energy Market Regulatory Authority”, which was prepared with the aim of determining the procedures and principles regarding the real estate procurement practices to be carried out by the Authority in electricity, natural gas and petroleum markets, and the rights and obligations of associate or license holders arising from the acquisition of real estates. It was published in the Official Gazette No.31679. In addition, with the Board Decision dated 11.11.2021 and numbered 10554-2 published in the Official Gazette No. 31660 and dated 15.11.2021 The "Procedures and Principles Regarding the Procurement of Immovable Transactions Conducted by the Energy Market Regulatory Authority" published in the Official Gazette dated 02.02.2018 and numbered 30320 was repealed with the Board Decision dated 11.11.2021 and numbered 10554-2.</w:t>
      </w:r>
    </w:p>
    <w:p w14:paraId="7D4A8C86" w14:textId="27F736CC" w:rsidR="000940FF" w:rsidRPr="009E1B38" w:rsidRDefault="3A1E2316" w:rsidP="000940FF">
      <w:pPr>
        <w:rPr>
          <w:rFonts w:ascii="Times New Roman" w:eastAsia="Times New Roman" w:hAnsi="Times New Roman"/>
        </w:rPr>
      </w:pPr>
      <w:r w:rsidRPr="009E1B38">
        <w:rPr>
          <w:rFonts w:ascii="Times New Roman" w:eastAsia="Times New Roman" w:hAnsi="Times New Roman"/>
        </w:rPr>
        <w:t xml:space="preserve">On the other hand; Work continued under the coordination of the Department of Expropriation and the Department of Information Processing in order to develop the practice of receiving applications for real estate procurement electronically. </w:t>
      </w:r>
    </w:p>
    <w:p w14:paraId="4F7A33C2" w14:textId="000FE384" w:rsidR="62B59EB1" w:rsidRPr="009E1B38" w:rsidRDefault="62B59EB1" w:rsidP="62B59EB1">
      <w:pPr>
        <w:rPr>
          <w:rFonts w:ascii="Times New Roman" w:eastAsia="Times New Roman" w:hAnsi="Times New Roman"/>
        </w:rPr>
      </w:pPr>
      <w:r w:rsidRPr="009E1B38">
        <w:rPr>
          <w:rFonts w:ascii="Times New Roman" w:eastAsia="Times New Roman" w:hAnsi="Times New Roman"/>
        </w:rPr>
        <w:t>Data reporting, conversion to vector data, mapping and map visualization studies continued in order to evaluate the conformity of the coordinate data submitted to the Authority for the determination of power plant sites in accordance with the “Procedures and Principles Regarding the Determination of Power Plant Sites of Production Facilities Subject to Associate License or Licenses in the Electricity Market”.</w:t>
      </w:r>
    </w:p>
    <w:p w14:paraId="3959EEAD" w14:textId="3E53E7F2" w:rsidR="5EA828B6" w:rsidRPr="009E1B38" w:rsidRDefault="5EA828B6" w:rsidP="5EA828B6">
      <w:pPr>
        <w:rPr>
          <w:rFonts w:ascii="Times New Roman" w:eastAsia="Times New Roman" w:hAnsi="Times New Roman"/>
        </w:rPr>
      </w:pPr>
      <w:r w:rsidRPr="009E1B38">
        <w:rPr>
          <w:rFonts w:ascii="Times New Roman" w:eastAsia="Times New Roman" w:hAnsi="Times New Roman"/>
        </w:rPr>
        <w:t>Studies for the development of the Geographical Information Systems infrastructure have also continued, and in addition to the technical specification preparations, pilot applications, in-house trials and R&amp;D studies, and integration studies with external institutions and organizations have been carried out, and the preparations for the envisaged project have been brought to the final stage.</w:t>
      </w:r>
    </w:p>
    <w:p w14:paraId="1AAAA444" w14:textId="04443F06" w:rsidR="4D720EC0" w:rsidRPr="009E1B38" w:rsidRDefault="3299A510" w:rsidP="4D720EC0">
      <w:pPr>
        <w:rPr>
          <w:rFonts w:ascii="Times New Roman" w:eastAsia="Times New Roman" w:hAnsi="Times New Roman"/>
        </w:rPr>
      </w:pPr>
      <w:r w:rsidRPr="009E1B38">
        <w:rPr>
          <w:rFonts w:ascii="Times New Roman" w:eastAsia="Times New Roman" w:hAnsi="Times New Roman"/>
        </w:rPr>
        <w:t>In this context; As a result of the works carried out by the Authority to provide access to the network data of electricity distribution companies and natural gas distribution companies, geographic web services of all electricity distribution companies and almost all natural gas distribution companies have been accessed and network data has been made viewable. In addition, studies were carried out in cooperation with the General Directorate of Geographical Information Systems of the Ministry of Environment, Urbanization and Climate Change in order to adapt the web services shared by the distribution companies to the Data Description Documents on the Infrastructure Theme prepared within the scope of the Turkish National Geographic Information System (TUCBS). Studies on this subject are continuing, and eventually, it is planned to open the data layers of the distribution networks to the access of the relevant Authority personnel and to present them to the TUCBS Platform.</w:t>
      </w:r>
    </w:p>
    <w:p w14:paraId="0C02AA00" w14:textId="3ED1FC56" w:rsidR="3299A510" w:rsidRPr="009E1B38" w:rsidRDefault="3299A510" w:rsidP="3299A510">
      <w:pPr>
        <w:rPr>
          <w:rFonts w:ascii="Times New Roman" w:eastAsia="Times New Roman" w:hAnsi="Times New Roman"/>
        </w:rPr>
      </w:pPr>
      <w:r w:rsidRPr="009E1B38">
        <w:rPr>
          <w:rFonts w:ascii="Times New Roman" w:eastAsia="Times New Roman" w:hAnsi="Times New Roman"/>
        </w:rPr>
        <w:t>On the other hand, pilot studies were carried out to transform the coordinate data of the associate/licenses given by the Authority into digital vector data, and the data layers created were submitted to the TUCBS platform for testing purposes. Thus, the data layers in the TUCBS platform were opened to the Institution's access, thus providing access to the data in the TUCBS platform of other institutions and organizations that the Institution units needed. In addition, analysis, trial and pilot implementation studies have been carried out to make necessary inquiries over the web services of the General Directorate of Land Registry and Cadastre, which are made available to the Authority, in order to provide up-to-date information such as parcel boundaries and land registry records needed within the scope of expropriation processes.</w:t>
      </w:r>
    </w:p>
    <w:p w14:paraId="325FB8C3" w14:textId="0D370E45" w:rsidR="5B843FB2" w:rsidRPr="009E1B38" w:rsidRDefault="5B843FB2" w:rsidP="5B843FB2">
      <w:pPr>
        <w:rPr>
          <w:rFonts w:ascii="Times New Roman" w:eastAsia="Times New Roman" w:hAnsi="Times New Roman"/>
        </w:rPr>
      </w:pPr>
    </w:p>
    <w:p w14:paraId="5D4A24EB" w14:textId="175E39C3" w:rsidR="3299A510" w:rsidRPr="009E1B38" w:rsidRDefault="00704015" w:rsidP="3299A510">
      <w:pPr>
        <w:pStyle w:val="Balk1"/>
        <w:rPr>
          <w:rFonts w:eastAsia="Times New Roman" w:cs="Times New Roman"/>
          <w:szCs w:val="24"/>
        </w:rPr>
      </w:pPr>
      <w:bookmarkStart w:id="285" w:name="_Toc113615391"/>
      <w:r w:rsidRPr="009E1B38">
        <w:rPr>
          <w:rFonts w:eastAsia="Times New Roman" w:cs="Times New Roman"/>
          <w:szCs w:val="24"/>
        </w:rPr>
        <w:lastRenderedPageBreak/>
        <w:t>8. LEGAL</w:t>
      </w:r>
      <w:r w:rsidR="3299A510" w:rsidRPr="009E1B38">
        <w:rPr>
          <w:rFonts w:eastAsia="Times New Roman" w:cs="Times New Roman"/>
          <w:szCs w:val="24"/>
        </w:rPr>
        <w:t xml:space="preserve"> AFFAIRS</w:t>
      </w:r>
      <w:bookmarkEnd w:id="285"/>
    </w:p>
    <w:p w14:paraId="7D4A8C9C" w14:textId="41B590B0" w:rsidR="00FB6EAC" w:rsidRPr="009E1B38" w:rsidRDefault="3299A510" w:rsidP="00694BCF">
      <w:pPr>
        <w:pStyle w:val="Balk2"/>
        <w:rPr>
          <w:rFonts w:eastAsia="Times New Roman" w:cs="Times New Roman"/>
        </w:rPr>
      </w:pPr>
      <w:bookmarkStart w:id="286" w:name="_Toc113615392"/>
      <w:r w:rsidRPr="009E1B38">
        <w:rPr>
          <w:rFonts w:eastAsia="Times New Roman" w:cs="Times New Roman"/>
        </w:rPr>
        <w:t>8.1. Litigation Procedures</w:t>
      </w:r>
      <w:bookmarkEnd w:id="283"/>
      <w:bookmarkEnd w:id="286"/>
    </w:p>
    <w:p w14:paraId="7ABD9D95" w14:textId="210FF978" w:rsidR="3299A510" w:rsidRPr="009E1B38" w:rsidRDefault="3299A510" w:rsidP="3299A510">
      <w:pPr>
        <w:rPr>
          <w:rFonts w:ascii="Times New Roman" w:eastAsia="Times New Roman" w:hAnsi="Times New Roman"/>
        </w:rPr>
      </w:pPr>
      <w:r w:rsidRPr="009E1B38">
        <w:rPr>
          <w:rFonts w:ascii="Times New Roman" w:eastAsia="Times New Roman" w:hAnsi="Times New Roman"/>
        </w:rPr>
        <w:t>The works and transactions regarding the lawsuits and proceedings to which the Authority is a party are carried out within the framework of the provisions of the Regulation on the Procedures and Principles Regarding the Follow-up of the Lawsuits to which the Energy Market Regulatory Authority is a party, which was adopted and put into effect with the Board Decision dated 11.09.2003 and numbered 207-51.</w:t>
      </w:r>
    </w:p>
    <w:p w14:paraId="07C08940" w14:textId="40BFA465" w:rsidR="3299A510" w:rsidRPr="009E1B38" w:rsidRDefault="5B3E9DD7" w:rsidP="5B3E9DD7">
      <w:pPr>
        <w:pStyle w:val="Balk5"/>
        <w:jc w:val="center"/>
        <w:rPr>
          <w:rFonts w:ascii="Times New Roman" w:eastAsia="Times New Roman" w:hAnsi="Times New Roman" w:cs="Times New Roman"/>
          <w:b w:val="0"/>
        </w:rPr>
      </w:pPr>
      <w:bookmarkStart w:id="287" w:name="_Toc107499543"/>
      <w:r w:rsidRPr="009E1B38">
        <w:rPr>
          <w:rFonts w:ascii="Times New Roman" w:eastAsia="Times New Roman" w:hAnsi="Times New Roman" w:cs="Times New Roman"/>
        </w:rPr>
        <w:t>Table 8.1: As of the End of 2020, Total Number of Cases To which Our Authority is a Party</w:t>
      </w:r>
      <w:bookmarkEnd w:id="287"/>
    </w:p>
    <w:tbl>
      <w:tblPr>
        <w:tblW w:w="307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58"/>
        <w:gridCol w:w="1785"/>
        <w:gridCol w:w="2241"/>
      </w:tblGrid>
      <w:tr w:rsidR="00FB6EAC" w:rsidRPr="009E1B38" w14:paraId="7D4A8CA2" w14:textId="77777777" w:rsidTr="00704015">
        <w:trPr>
          <w:trHeight w:hRule="exact" w:val="315"/>
          <w:jc w:val="center"/>
        </w:trPr>
        <w:tc>
          <w:tcPr>
            <w:tcW w:w="1745" w:type="pct"/>
            <w:shd w:val="clear" w:color="auto" w:fill="6E9ECA"/>
            <w:vAlign w:val="center"/>
            <w:hideMark/>
          </w:tcPr>
          <w:p w14:paraId="7D4A8C9F" w14:textId="7A1A349D" w:rsidR="00FB6EAC" w:rsidRPr="009E1B38" w:rsidRDefault="3299A510" w:rsidP="00FB6EAC">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Case Type</w:t>
            </w:r>
          </w:p>
        </w:tc>
        <w:tc>
          <w:tcPr>
            <w:tcW w:w="1443" w:type="pct"/>
            <w:shd w:val="clear" w:color="auto" w:fill="6E9ECA"/>
            <w:vAlign w:val="center"/>
            <w:hideMark/>
          </w:tcPr>
          <w:p w14:paraId="7D4A8CA0" w14:textId="07112B05" w:rsidR="00FB6EAC" w:rsidRPr="009E1B38" w:rsidRDefault="3299A510" w:rsidP="00FB6EAC">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Numbe</w:t>
            </w:r>
            <w:r w:rsidR="00704015">
              <w:rPr>
                <w:rFonts w:ascii="Times New Roman" w:eastAsia="Times New Roman" w:hAnsi="Times New Roman"/>
                <w:b/>
                <w:color w:val="FFFFFF" w:themeColor="background1"/>
                <w:lang w:eastAsia="tr-TR"/>
              </w:rPr>
              <w:t>r</w:t>
            </w:r>
            <w:r w:rsidRPr="009E1B38">
              <w:rPr>
                <w:rFonts w:ascii="Times New Roman" w:eastAsia="Times New Roman" w:hAnsi="Times New Roman"/>
                <w:b/>
                <w:color w:val="FFFFFF" w:themeColor="background1"/>
                <w:lang w:eastAsia="tr-TR"/>
              </w:rPr>
              <w:t xml:space="preserve"> of Case</w:t>
            </w:r>
            <w:r w:rsidR="00704015">
              <w:rPr>
                <w:rFonts w:ascii="Times New Roman" w:eastAsia="Times New Roman" w:hAnsi="Times New Roman"/>
                <w:b/>
                <w:color w:val="FFFFFF" w:themeColor="background1"/>
                <w:lang w:eastAsia="tr-TR"/>
              </w:rPr>
              <w:t>s</w:t>
            </w:r>
          </w:p>
        </w:tc>
        <w:tc>
          <w:tcPr>
            <w:tcW w:w="1812" w:type="pct"/>
            <w:shd w:val="clear" w:color="auto" w:fill="6E9ECA"/>
            <w:vAlign w:val="center"/>
            <w:hideMark/>
          </w:tcPr>
          <w:p w14:paraId="7D4A8CA1" w14:textId="326A340F" w:rsidR="00FB6EAC" w:rsidRPr="009E1B38" w:rsidRDefault="3299A510" w:rsidP="00FB6EAC">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Rate</w:t>
            </w:r>
            <w:r w:rsidR="00704015">
              <w:rPr>
                <w:rFonts w:ascii="Times New Roman" w:eastAsia="Times New Roman" w:hAnsi="Times New Roman"/>
                <w:b/>
                <w:color w:val="FFFFFF" w:themeColor="background1"/>
                <w:lang w:eastAsia="tr-TR"/>
              </w:rPr>
              <w:t xml:space="preserve"> </w:t>
            </w:r>
            <w:r w:rsidR="006A2E5D" w:rsidRPr="009E1B38">
              <w:rPr>
                <w:rFonts w:ascii="Times New Roman" w:eastAsia="Times New Roman" w:hAnsi="Times New Roman"/>
                <w:b/>
                <w:color w:val="FFFFFF" w:themeColor="background1"/>
                <w:lang w:eastAsia="tr-TR"/>
              </w:rPr>
              <w:t>(</w:t>
            </w:r>
            <w:r w:rsidR="00FB6EAC" w:rsidRPr="009E1B38">
              <w:rPr>
                <w:rFonts w:ascii="Times New Roman" w:eastAsia="Times New Roman" w:hAnsi="Times New Roman"/>
                <w:b/>
                <w:color w:val="FFFFFF" w:themeColor="background1"/>
                <w:lang w:eastAsia="tr-TR"/>
              </w:rPr>
              <w:t>%)</w:t>
            </w:r>
          </w:p>
        </w:tc>
      </w:tr>
      <w:tr w:rsidR="00EC59D2" w:rsidRPr="009E1B38" w14:paraId="7D4A8CA6" w14:textId="77777777" w:rsidTr="00704015">
        <w:trPr>
          <w:trHeight w:hRule="exact" w:val="315"/>
          <w:jc w:val="center"/>
        </w:trPr>
        <w:tc>
          <w:tcPr>
            <w:tcW w:w="1745" w:type="pct"/>
            <w:shd w:val="clear" w:color="auto" w:fill="auto"/>
            <w:vAlign w:val="center"/>
            <w:hideMark/>
          </w:tcPr>
          <w:p w14:paraId="7D4A8CA3" w14:textId="1E3F0D2A" w:rsidR="00EC59D2" w:rsidRPr="009E1B38" w:rsidRDefault="3299A510" w:rsidP="00EC59D2">
            <w:pPr>
              <w:spacing w:after="0" w:line="240" w:lineRule="auto"/>
              <w:rPr>
                <w:rFonts w:ascii="Times New Roman" w:eastAsia="Times New Roman" w:hAnsi="Times New Roman"/>
                <w:color w:val="000000" w:themeColor="text1"/>
                <w:lang w:eastAsia="tr-TR"/>
              </w:rPr>
            </w:pPr>
            <w:r w:rsidRPr="009E1B38">
              <w:rPr>
                <w:rFonts w:ascii="Times New Roman" w:eastAsia="Times New Roman" w:hAnsi="Times New Roman"/>
                <w:color w:val="000000" w:themeColor="text1"/>
                <w:lang w:eastAsia="tr-TR"/>
              </w:rPr>
              <w:t>Criminal Cases</w:t>
            </w:r>
          </w:p>
        </w:tc>
        <w:tc>
          <w:tcPr>
            <w:tcW w:w="1443" w:type="pct"/>
            <w:shd w:val="clear" w:color="auto" w:fill="auto"/>
            <w:noWrap/>
            <w:vAlign w:val="center"/>
            <w:hideMark/>
          </w:tcPr>
          <w:p w14:paraId="7D4A8CA4"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34.489</w:t>
            </w:r>
          </w:p>
        </w:tc>
        <w:tc>
          <w:tcPr>
            <w:tcW w:w="1812" w:type="pct"/>
            <w:shd w:val="clear" w:color="auto" w:fill="auto"/>
            <w:noWrap/>
            <w:vAlign w:val="center"/>
            <w:hideMark/>
          </w:tcPr>
          <w:p w14:paraId="7D4A8CA5"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54,70 </w:t>
            </w:r>
          </w:p>
        </w:tc>
      </w:tr>
      <w:tr w:rsidR="00EC59D2" w:rsidRPr="009E1B38" w14:paraId="7D4A8CAA" w14:textId="77777777" w:rsidTr="00704015">
        <w:trPr>
          <w:trHeight w:hRule="exact" w:val="315"/>
          <w:jc w:val="center"/>
        </w:trPr>
        <w:tc>
          <w:tcPr>
            <w:tcW w:w="1745" w:type="pct"/>
            <w:shd w:val="clear" w:color="auto" w:fill="auto"/>
            <w:vAlign w:val="center"/>
            <w:hideMark/>
          </w:tcPr>
          <w:p w14:paraId="7D4A8CA7" w14:textId="0C4CFCA7" w:rsidR="00EC59D2" w:rsidRPr="009E1B38" w:rsidRDefault="3299A510" w:rsidP="00EC59D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Administrative Cases</w:t>
            </w:r>
          </w:p>
        </w:tc>
        <w:tc>
          <w:tcPr>
            <w:tcW w:w="1443" w:type="pct"/>
            <w:shd w:val="clear" w:color="auto" w:fill="auto"/>
            <w:noWrap/>
            <w:vAlign w:val="center"/>
            <w:hideMark/>
          </w:tcPr>
          <w:p w14:paraId="7D4A8CA8"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21.904</w:t>
            </w:r>
          </w:p>
        </w:tc>
        <w:tc>
          <w:tcPr>
            <w:tcW w:w="1812" w:type="pct"/>
            <w:shd w:val="clear" w:color="auto" w:fill="auto"/>
            <w:noWrap/>
            <w:vAlign w:val="center"/>
            <w:hideMark/>
          </w:tcPr>
          <w:p w14:paraId="7D4A8CA9"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34,74 </w:t>
            </w:r>
          </w:p>
        </w:tc>
      </w:tr>
      <w:tr w:rsidR="00EC59D2" w:rsidRPr="009E1B38" w14:paraId="7D4A8CAE" w14:textId="77777777" w:rsidTr="00704015">
        <w:trPr>
          <w:trHeight w:hRule="exact" w:val="315"/>
          <w:jc w:val="center"/>
        </w:trPr>
        <w:tc>
          <w:tcPr>
            <w:tcW w:w="1745" w:type="pct"/>
            <w:shd w:val="clear" w:color="auto" w:fill="auto"/>
            <w:vAlign w:val="center"/>
            <w:hideMark/>
          </w:tcPr>
          <w:p w14:paraId="7D4A8CAB" w14:textId="6A32D89D" w:rsidR="00EC59D2" w:rsidRPr="009E1B38" w:rsidRDefault="3299A510" w:rsidP="00EC59D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Legal</w:t>
            </w:r>
            <w:r w:rsidR="008D1E1F" w:rsidRPr="009E1B38">
              <w:rPr>
                <w:rFonts w:ascii="Times New Roman" w:eastAsia="Times New Roman" w:hAnsi="Times New Roman"/>
                <w:color w:val="000000" w:themeColor="text1"/>
                <w:lang w:eastAsia="tr-TR"/>
              </w:rPr>
              <w:t xml:space="preserve"> </w:t>
            </w:r>
            <w:r w:rsidRPr="009E1B38">
              <w:rPr>
                <w:rFonts w:ascii="Times New Roman" w:eastAsia="Times New Roman" w:hAnsi="Times New Roman"/>
                <w:color w:val="000000" w:themeColor="text1"/>
                <w:lang w:eastAsia="tr-TR"/>
              </w:rPr>
              <w:t>Cases</w:t>
            </w:r>
          </w:p>
        </w:tc>
        <w:tc>
          <w:tcPr>
            <w:tcW w:w="1443" w:type="pct"/>
            <w:shd w:val="clear" w:color="auto" w:fill="auto"/>
            <w:noWrap/>
            <w:vAlign w:val="center"/>
            <w:hideMark/>
          </w:tcPr>
          <w:p w14:paraId="7D4A8CAC"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6.659</w:t>
            </w:r>
          </w:p>
        </w:tc>
        <w:tc>
          <w:tcPr>
            <w:tcW w:w="1812" w:type="pct"/>
            <w:shd w:val="clear" w:color="auto" w:fill="auto"/>
            <w:noWrap/>
            <w:vAlign w:val="center"/>
            <w:hideMark/>
          </w:tcPr>
          <w:p w14:paraId="7D4A8CAD"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10,56</w:t>
            </w:r>
          </w:p>
        </w:tc>
      </w:tr>
      <w:tr w:rsidR="00EC59D2" w:rsidRPr="009E1B38" w14:paraId="7D4A8CB2" w14:textId="77777777" w:rsidTr="00704015">
        <w:trPr>
          <w:trHeight w:hRule="exact" w:val="315"/>
          <w:jc w:val="center"/>
        </w:trPr>
        <w:tc>
          <w:tcPr>
            <w:tcW w:w="1745" w:type="pct"/>
            <w:shd w:val="clear" w:color="auto" w:fill="auto"/>
            <w:vAlign w:val="center"/>
            <w:hideMark/>
          </w:tcPr>
          <w:p w14:paraId="7D4A8CAF" w14:textId="17FA0D0C" w:rsidR="00EC59D2" w:rsidRPr="009E1B38" w:rsidRDefault="3299A510" w:rsidP="00EC59D2">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TOTAL</w:t>
            </w:r>
          </w:p>
        </w:tc>
        <w:tc>
          <w:tcPr>
            <w:tcW w:w="1443" w:type="pct"/>
            <w:shd w:val="clear" w:color="auto" w:fill="auto"/>
            <w:noWrap/>
            <w:vAlign w:val="center"/>
            <w:hideMark/>
          </w:tcPr>
          <w:p w14:paraId="7D4A8CB0" w14:textId="77777777" w:rsidR="00EC59D2" w:rsidRPr="009E1B38" w:rsidRDefault="00EC59D2" w:rsidP="00EC59D2">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63.052</w:t>
            </w:r>
          </w:p>
        </w:tc>
        <w:tc>
          <w:tcPr>
            <w:tcW w:w="1812" w:type="pct"/>
            <w:shd w:val="clear" w:color="auto" w:fill="auto"/>
            <w:vAlign w:val="center"/>
            <w:hideMark/>
          </w:tcPr>
          <w:p w14:paraId="7D4A8CB1" w14:textId="77777777" w:rsidR="00EC59D2" w:rsidRPr="009E1B38" w:rsidRDefault="00EC59D2" w:rsidP="00EC59D2">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r>
    </w:tbl>
    <w:p w14:paraId="7D4A8CB3" w14:textId="64ECE06A" w:rsidR="00FB6EAC" w:rsidRPr="009E1B38" w:rsidRDefault="00FB6EAC" w:rsidP="00FB6EAC">
      <w:pPr>
        <w:pStyle w:val="AralkYok"/>
        <w:rPr>
          <w:rStyle w:val="Gl"/>
          <w:rFonts w:ascii="Times New Roman" w:eastAsia="Times New Roman" w:hAnsi="Times New Roman" w:cs="Times New Roman"/>
          <w:color w:val="000000" w:themeColor="text1"/>
          <w:lang w:val="en-US"/>
        </w:rPr>
      </w:pPr>
    </w:p>
    <w:p w14:paraId="316366DD" w14:textId="18D59378" w:rsidR="5B3E9DD7" w:rsidRPr="009E1B38" w:rsidRDefault="5B3E9DD7" w:rsidP="5B3E9DD7">
      <w:pPr>
        <w:pStyle w:val="Balk5"/>
        <w:rPr>
          <w:rFonts w:ascii="Times New Roman" w:eastAsia="Times New Roman" w:hAnsi="Times New Roman" w:cs="Times New Roman"/>
          <w:b w:val="0"/>
        </w:rPr>
      </w:pPr>
      <w:bookmarkStart w:id="288" w:name="_Toc107499544"/>
      <w:r w:rsidRPr="009E1B38">
        <w:rPr>
          <w:rFonts w:ascii="Times New Roman" w:eastAsia="Times New Roman" w:hAnsi="Times New Roman" w:cs="Times New Roman"/>
        </w:rPr>
        <w:t>Table 8.2: Distribution of Cases to which our Authority is a Party to the Markets as of the End of 2020</w:t>
      </w:r>
      <w:bookmarkEnd w:id="288"/>
    </w:p>
    <w:tbl>
      <w:tblPr>
        <w:tblW w:w="309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53"/>
        <w:gridCol w:w="1808"/>
        <w:gridCol w:w="2259"/>
      </w:tblGrid>
      <w:tr w:rsidR="00FB6EAC" w:rsidRPr="009E1B38" w14:paraId="7D4A8CB8" w14:textId="77777777" w:rsidTr="00704015">
        <w:trPr>
          <w:trHeight w:hRule="exact" w:val="315"/>
          <w:jc w:val="center"/>
        </w:trPr>
        <w:tc>
          <w:tcPr>
            <w:tcW w:w="1731" w:type="pct"/>
            <w:shd w:val="clear" w:color="auto" w:fill="6E9ECA"/>
            <w:vAlign w:val="center"/>
            <w:hideMark/>
          </w:tcPr>
          <w:p w14:paraId="7D4A8CB5" w14:textId="64ECE06A" w:rsidR="00FB6EAC" w:rsidRPr="009E1B38" w:rsidRDefault="5B3E9DD7" w:rsidP="00FB6EAC">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Market</w:t>
            </w:r>
          </w:p>
        </w:tc>
        <w:tc>
          <w:tcPr>
            <w:tcW w:w="1453" w:type="pct"/>
            <w:shd w:val="clear" w:color="auto" w:fill="6E9ECA"/>
            <w:vAlign w:val="center"/>
            <w:hideMark/>
          </w:tcPr>
          <w:p w14:paraId="7D4A8CB6" w14:textId="053970B5" w:rsidR="00FB6EAC" w:rsidRPr="009E1B38" w:rsidRDefault="5B3E9DD7" w:rsidP="00FB6EAC">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Number of Cases</w:t>
            </w:r>
          </w:p>
        </w:tc>
        <w:tc>
          <w:tcPr>
            <w:tcW w:w="1816" w:type="pct"/>
            <w:shd w:val="clear" w:color="auto" w:fill="6E9ECA"/>
            <w:vAlign w:val="center"/>
            <w:hideMark/>
          </w:tcPr>
          <w:p w14:paraId="7D4A8CB7" w14:textId="1C2B234A" w:rsidR="00FB6EAC" w:rsidRPr="009E1B38" w:rsidRDefault="5B3E9DD7" w:rsidP="00FB6EAC">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Rate</w:t>
            </w:r>
            <w:r w:rsidR="006A2E5D" w:rsidRPr="009E1B38">
              <w:rPr>
                <w:rFonts w:ascii="Times New Roman" w:eastAsia="Times New Roman" w:hAnsi="Times New Roman"/>
                <w:b/>
                <w:color w:val="FFFFFF" w:themeColor="background1"/>
                <w:lang w:eastAsia="tr-TR"/>
              </w:rPr>
              <w:t xml:space="preserve"> (</w:t>
            </w:r>
            <w:r w:rsidR="00FB6EAC" w:rsidRPr="009E1B38">
              <w:rPr>
                <w:rFonts w:ascii="Times New Roman" w:eastAsia="Times New Roman" w:hAnsi="Times New Roman"/>
                <w:b/>
                <w:color w:val="FFFFFF" w:themeColor="background1"/>
                <w:lang w:eastAsia="tr-TR"/>
              </w:rPr>
              <w:t>%)</w:t>
            </w:r>
          </w:p>
        </w:tc>
      </w:tr>
      <w:tr w:rsidR="00EC59D2" w:rsidRPr="009E1B38" w14:paraId="7D4A8CBC" w14:textId="77777777" w:rsidTr="00704015">
        <w:trPr>
          <w:trHeight w:hRule="exact" w:val="315"/>
          <w:jc w:val="center"/>
        </w:trPr>
        <w:tc>
          <w:tcPr>
            <w:tcW w:w="1731" w:type="pct"/>
            <w:shd w:val="clear" w:color="auto" w:fill="auto"/>
            <w:vAlign w:val="center"/>
            <w:hideMark/>
          </w:tcPr>
          <w:p w14:paraId="7D4A8CB9" w14:textId="1DDDBC10" w:rsidR="00EC59D2" w:rsidRPr="009E1B38" w:rsidRDefault="5B3E9DD7" w:rsidP="00EC59D2">
            <w:pPr>
              <w:spacing w:after="0" w:line="240" w:lineRule="auto"/>
              <w:rPr>
                <w:rFonts w:ascii="Times New Roman" w:eastAsia="Times New Roman" w:hAnsi="Times New Roman"/>
                <w:color w:val="000000" w:themeColor="text1"/>
                <w:lang w:eastAsia="tr-TR"/>
              </w:rPr>
            </w:pPr>
            <w:r w:rsidRPr="009E1B38">
              <w:rPr>
                <w:rFonts w:ascii="Times New Roman" w:eastAsia="Times New Roman" w:hAnsi="Times New Roman"/>
                <w:color w:val="000000" w:themeColor="text1"/>
                <w:lang w:eastAsia="tr-TR"/>
              </w:rPr>
              <w:t>Electricity</w:t>
            </w:r>
          </w:p>
        </w:tc>
        <w:tc>
          <w:tcPr>
            <w:tcW w:w="1453" w:type="pct"/>
            <w:shd w:val="clear" w:color="auto" w:fill="auto"/>
            <w:noWrap/>
            <w:vAlign w:val="center"/>
            <w:hideMark/>
          </w:tcPr>
          <w:p w14:paraId="7D4A8CBA"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8.417</w:t>
            </w:r>
          </w:p>
        </w:tc>
        <w:tc>
          <w:tcPr>
            <w:tcW w:w="1816" w:type="pct"/>
            <w:shd w:val="clear" w:color="auto" w:fill="auto"/>
            <w:noWrap/>
            <w:vAlign w:val="center"/>
            <w:hideMark/>
          </w:tcPr>
          <w:p w14:paraId="7D4A8CBB"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13</w:t>
            </w:r>
            <w:r w:rsidR="00633961" w:rsidRPr="009E1B38">
              <w:rPr>
                <w:rFonts w:ascii="Times New Roman" w:eastAsia="Times New Roman" w:hAnsi="Times New Roman"/>
                <w:color w:val="000000" w:themeColor="text1"/>
                <w:lang w:eastAsia="tr-TR"/>
              </w:rPr>
              <w:t>,</w:t>
            </w:r>
            <w:r w:rsidRPr="009E1B38">
              <w:rPr>
                <w:rFonts w:ascii="Times New Roman" w:eastAsia="Times New Roman" w:hAnsi="Times New Roman"/>
                <w:color w:val="000000" w:themeColor="text1"/>
                <w:lang w:eastAsia="tr-TR"/>
              </w:rPr>
              <w:t>35</w:t>
            </w:r>
          </w:p>
        </w:tc>
      </w:tr>
      <w:tr w:rsidR="00EC59D2" w:rsidRPr="009E1B38" w14:paraId="7D4A8CC0" w14:textId="77777777" w:rsidTr="00704015">
        <w:trPr>
          <w:trHeight w:hRule="exact" w:val="315"/>
          <w:jc w:val="center"/>
        </w:trPr>
        <w:tc>
          <w:tcPr>
            <w:tcW w:w="1731" w:type="pct"/>
            <w:shd w:val="clear" w:color="auto" w:fill="auto"/>
            <w:vAlign w:val="center"/>
            <w:hideMark/>
          </w:tcPr>
          <w:p w14:paraId="7D4A8CBD" w14:textId="6775F335" w:rsidR="00EC59D2" w:rsidRPr="009E1B38" w:rsidRDefault="5B3E9DD7" w:rsidP="00EC59D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Natural Gas</w:t>
            </w:r>
          </w:p>
        </w:tc>
        <w:tc>
          <w:tcPr>
            <w:tcW w:w="1453" w:type="pct"/>
            <w:shd w:val="clear" w:color="auto" w:fill="auto"/>
            <w:noWrap/>
            <w:vAlign w:val="center"/>
            <w:hideMark/>
          </w:tcPr>
          <w:p w14:paraId="7D4A8CBE"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532</w:t>
            </w:r>
          </w:p>
        </w:tc>
        <w:tc>
          <w:tcPr>
            <w:tcW w:w="1816" w:type="pct"/>
            <w:shd w:val="clear" w:color="auto" w:fill="auto"/>
            <w:noWrap/>
            <w:vAlign w:val="center"/>
            <w:hideMark/>
          </w:tcPr>
          <w:p w14:paraId="7D4A8CBF"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0,84</w:t>
            </w:r>
          </w:p>
        </w:tc>
      </w:tr>
      <w:tr w:rsidR="00EC59D2" w:rsidRPr="009E1B38" w14:paraId="7D4A8CC4" w14:textId="77777777" w:rsidTr="00704015">
        <w:trPr>
          <w:trHeight w:hRule="exact" w:val="315"/>
          <w:jc w:val="center"/>
        </w:trPr>
        <w:tc>
          <w:tcPr>
            <w:tcW w:w="1731" w:type="pct"/>
            <w:shd w:val="clear" w:color="auto" w:fill="auto"/>
            <w:vAlign w:val="center"/>
            <w:hideMark/>
          </w:tcPr>
          <w:p w14:paraId="7D4A8CC1" w14:textId="547A8FC8" w:rsidR="00EC59D2" w:rsidRPr="009E1B38" w:rsidRDefault="5B3E9DD7" w:rsidP="00EC59D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Oil</w:t>
            </w:r>
          </w:p>
        </w:tc>
        <w:tc>
          <w:tcPr>
            <w:tcW w:w="1453" w:type="pct"/>
            <w:shd w:val="clear" w:color="auto" w:fill="auto"/>
            <w:noWrap/>
            <w:vAlign w:val="center"/>
            <w:hideMark/>
          </w:tcPr>
          <w:p w14:paraId="7D4A8CC2"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49.477</w:t>
            </w:r>
          </w:p>
        </w:tc>
        <w:tc>
          <w:tcPr>
            <w:tcW w:w="1816" w:type="pct"/>
            <w:shd w:val="clear" w:color="auto" w:fill="auto"/>
            <w:noWrap/>
            <w:vAlign w:val="center"/>
            <w:hideMark/>
          </w:tcPr>
          <w:p w14:paraId="7D4A8CC3"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78,47 </w:t>
            </w:r>
          </w:p>
        </w:tc>
      </w:tr>
      <w:tr w:rsidR="00EC59D2" w:rsidRPr="009E1B38" w14:paraId="7D4A8CC8" w14:textId="77777777" w:rsidTr="00704015">
        <w:trPr>
          <w:trHeight w:hRule="exact" w:val="315"/>
          <w:jc w:val="center"/>
        </w:trPr>
        <w:tc>
          <w:tcPr>
            <w:tcW w:w="1731" w:type="pct"/>
            <w:shd w:val="clear" w:color="auto" w:fill="auto"/>
            <w:vAlign w:val="center"/>
            <w:hideMark/>
          </w:tcPr>
          <w:p w14:paraId="7D4A8CC5" w14:textId="77777777" w:rsidR="00EC59D2" w:rsidRPr="009E1B38" w:rsidRDefault="00EC59D2" w:rsidP="00EC59D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LPG</w:t>
            </w:r>
          </w:p>
        </w:tc>
        <w:tc>
          <w:tcPr>
            <w:tcW w:w="1453" w:type="pct"/>
            <w:shd w:val="clear" w:color="auto" w:fill="auto"/>
            <w:noWrap/>
            <w:vAlign w:val="center"/>
            <w:hideMark/>
          </w:tcPr>
          <w:p w14:paraId="7D4A8CC6"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2.310</w:t>
            </w:r>
          </w:p>
        </w:tc>
        <w:tc>
          <w:tcPr>
            <w:tcW w:w="1816" w:type="pct"/>
            <w:shd w:val="clear" w:color="auto" w:fill="auto"/>
            <w:noWrap/>
            <w:vAlign w:val="center"/>
            <w:hideMark/>
          </w:tcPr>
          <w:p w14:paraId="7D4A8CC7"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3,66</w:t>
            </w:r>
          </w:p>
        </w:tc>
      </w:tr>
      <w:tr w:rsidR="00EC59D2" w:rsidRPr="009E1B38" w14:paraId="7D4A8CCC" w14:textId="77777777" w:rsidTr="00704015">
        <w:trPr>
          <w:trHeight w:hRule="exact" w:val="315"/>
          <w:jc w:val="center"/>
        </w:trPr>
        <w:tc>
          <w:tcPr>
            <w:tcW w:w="1731" w:type="pct"/>
            <w:shd w:val="clear" w:color="auto" w:fill="auto"/>
            <w:vAlign w:val="center"/>
            <w:hideMark/>
          </w:tcPr>
          <w:p w14:paraId="7D4A8CC9" w14:textId="268C4B72" w:rsidR="00EC59D2" w:rsidRPr="009E1B38" w:rsidRDefault="5B3E9DD7" w:rsidP="00EC59D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Expropriation</w:t>
            </w:r>
          </w:p>
        </w:tc>
        <w:tc>
          <w:tcPr>
            <w:tcW w:w="1453" w:type="pct"/>
            <w:shd w:val="clear" w:color="auto" w:fill="auto"/>
            <w:noWrap/>
            <w:vAlign w:val="center"/>
            <w:hideMark/>
          </w:tcPr>
          <w:p w14:paraId="7D4A8CCA"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1.588</w:t>
            </w:r>
          </w:p>
        </w:tc>
        <w:tc>
          <w:tcPr>
            <w:tcW w:w="1816" w:type="pct"/>
            <w:shd w:val="clear" w:color="auto" w:fill="auto"/>
            <w:noWrap/>
            <w:vAlign w:val="center"/>
            <w:hideMark/>
          </w:tcPr>
          <w:p w14:paraId="7D4A8CCB"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2,52</w:t>
            </w:r>
          </w:p>
        </w:tc>
      </w:tr>
      <w:tr w:rsidR="00EC59D2" w:rsidRPr="009E1B38" w14:paraId="7D4A8CD0" w14:textId="77777777" w:rsidTr="00704015">
        <w:trPr>
          <w:trHeight w:hRule="exact" w:val="315"/>
          <w:jc w:val="center"/>
        </w:trPr>
        <w:tc>
          <w:tcPr>
            <w:tcW w:w="1731" w:type="pct"/>
            <w:shd w:val="clear" w:color="auto" w:fill="auto"/>
            <w:vAlign w:val="center"/>
            <w:hideMark/>
          </w:tcPr>
          <w:p w14:paraId="7D4A8CCD" w14:textId="5E72BEAF" w:rsidR="00EC59D2" w:rsidRPr="009E1B38" w:rsidRDefault="5B3E9DD7" w:rsidP="00EC59D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Others </w:t>
            </w:r>
          </w:p>
        </w:tc>
        <w:tc>
          <w:tcPr>
            <w:tcW w:w="1453" w:type="pct"/>
            <w:shd w:val="clear" w:color="auto" w:fill="auto"/>
            <w:noWrap/>
            <w:vAlign w:val="center"/>
            <w:hideMark/>
          </w:tcPr>
          <w:p w14:paraId="7D4A8CCE"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728</w:t>
            </w:r>
          </w:p>
        </w:tc>
        <w:tc>
          <w:tcPr>
            <w:tcW w:w="1816" w:type="pct"/>
            <w:shd w:val="clear" w:color="auto" w:fill="auto"/>
            <w:noWrap/>
            <w:vAlign w:val="center"/>
            <w:hideMark/>
          </w:tcPr>
          <w:p w14:paraId="7D4A8CCF"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1,16</w:t>
            </w:r>
          </w:p>
        </w:tc>
      </w:tr>
      <w:tr w:rsidR="00EC59D2" w:rsidRPr="009E1B38" w14:paraId="7D4A8CD4" w14:textId="77777777" w:rsidTr="00704015">
        <w:trPr>
          <w:trHeight w:hRule="exact" w:val="315"/>
          <w:jc w:val="center"/>
        </w:trPr>
        <w:tc>
          <w:tcPr>
            <w:tcW w:w="1731" w:type="pct"/>
            <w:shd w:val="clear" w:color="auto" w:fill="auto"/>
            <w:vAlign w:val="center"/>
            <w:hideMark/>
          </w:tcPr>
          <w:p w14:paraId="7D4A8CD1" w14:textId="0F332784" w:rsidR="00EC59D2" w:rsidRPr="009E1B38" w:rsidRDefault="5B3E9DD7" w:rsidP="00EC59D2">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TOTAL</w:t>
            </w:r>
          </w:p>
        </w:tc>
        <w:tc>
          <w:tcPr>
            <w:tcW w:w="1453" w:type="pct"/>
            <w:shd w:val="clear" w:color="auto" w:fill="auto"/>
            <w:noWrap/>
            <w:vAlign w:val="center"/>
            <w:hideMark/>
          </w:tcPr>
          <w:p w14:paraId="7D4A8CD2" w14:textId="77777777" w:rsidR="00EC59D2" w:rsidRPr="009E1B38" w:rsidRDefault="00EC59D2" w:rsidP="00EC59D2">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63.052</w:t>
            </w:r>
          </w:p>
        </w:tc>
        <w:tc>
          <w:tcPr>
            <w:tcW w:w="1816" w:type="pct"/>
            <w:shd w:val="clear" w:color="auto" w:fill="auto"/>
            <w:vAlign w:val="center"/>
            <w:hideMark/>
          </w:tcPr>
          <w:p w14:paraId="7D4A8CD3" w14:textId="77777777" w:rsidR="00EC59D2" w:rsidRPr="009E1B38" w:rsidRDefault="00EC59D2" w:rsidP="00EC59D2">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r>
    </w:tbl>
    <w:p w14:paraId="7D4A8CD5" w14:textId="77777777" w:rsidR="00FB6EAC" w:rsidRPr="009E1B38" w:rsidRDefault="00FB6EAC" w:rsidP="00FB6EAC">
      <w:pPr>
        <w:pStyle w:val="AralkYok"/>
        <w:rPr>
          <w:rStyle w:val="Gl"/>
          <w:rFonts w:ascii="Times New Roman" w:eastAsia="Times New Roman" w:hAnsi="Times New Roman" w:cs="Times New Roman"/>
          <w:color w:val="000000" w:themeColor="text1"/>
          <w:lang w:val="en-US"/>
        </w:rPr>
      </w:pPr>
      <w:bookmarkStart w:id="289" w:name="_Toc416447620"/>
      <w:bookmarkStart w:id="290" w:name="_Toc442441770"/>
      <w:bookmarkStart w:id="291" w:name="_Toc475364949"/>
    </w:p>
    <w:p w14:paraId="7D4A8CD7" w14:textId="592715CB" w:rsidR="00183D40" w:rsidRPr="009E1B38" w:rsidRDefault="00183D40" w:rsidP="00FB6EAC">
      <w:pPr>
        <w:pStyle w:val="AralkYok"/>
        <w:rPr>
          <w:rStyle w:val="Gl"/>
          <w:rFonts w:ascii="Times New Roman" w:eastAsia="Times New Roman" w:hAnsi="Times New Roman" w:cs="Times New Roman"/>
          <w:color w:val="000000" w:themeColor="text1"/>
          <w:lang w:val="en-US"/>
        </w:rPr>
      </w:pPr>
    </w:p>
    <w:p w14:paraId="39BFC7D0" w14:textId="56EA7F29" w:rsidR="5B3E9DD7" w:rsidRPr="009E1B38" w:rsidRDefault="5B3E9DD7" w:rsidP="5B3E9DD7">
      <w:pPr>
        <w:pStyle w:val="Balk5"/>
        <w:jc w:val="center"/>
        <w:rPr>
          <w:rFonts w:ascii="Times New Roman" w:eastAsia="Times New Roman" w:hAnsi="Times New Roman" w:cs="Times New Roman"/>
          <w:b w:val="0"/>
        </w:rPr>
      </w:pPr>
      <w:bookmarkStart w:id="292" w:name="_Toc107499545"/>
      <w:r w:rsidRPr="009E1B38">
        <w:rPr>
          <w:rFonts w:ascii="Times New Roman" w:eastAsia="Times New Roman" w:hAnsi="Times New Roman" w:cs="Times New Roman"/>
        </w:rPr>
        <w:t>Table 8.3: Distribution of Cases to which our Authority is a Party in 2020</w:t>
      </w:r>
      <w:bookmarkEnd w:id="292"/>
    </w:p>
    <w:tbl>
      <w:tblPr>
        <w:tblW w:w="316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297"/>
        <w:gridCol w:w="1885"/>
        <w:gridCol w:w="2195"/>
      </w:tblGrid>
      <w:tr w:rsidR="00FB6EAC" w:rsidRPr="009E1B38" w14:paraId="7D4A8CDC" w14:textId="77777777" w:rsidTr="00704015">
        <w:trPr>
          <w:trHeight w:hRule="exact" w:val="615"/>
          <w:jc w:val="center"/>
        </w:trPr>
        <w:tc>
          <w:tcPr>
            <w:tcW w:w="1801" w:type="pct"/>
            <w:shd w:val="clear" w:color="auto" w:fill="6E9ECA"/>
            <w:vAlign w:val="center"/>
            <w:hideMark/>
          </w:tcPr>
          <w:bookmarkEnd w:id="289"/>
          <w:bookmarkEnd w:id="290"/>
          <w:bookmarkEnd w:id="291"/>
          <w:p w14:paraId="2C20CA7D" w14:textId="64ECE06A" w:rsidR="5B3E9DD7" w:rsidRPr="009E1B38" w:rsidRDefault="5B3E9DD7" w:rsidP="5B3E9DD7">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Market</w:t>
            </w:r>
          </w:p>
        </w:tc>
        <w:tc>
          <w:tcPr>
            <w:tcW w:w="1478" w:type="pct"/>
            <w:shd w:val="clear" w:color="auto" w:fill="6E9ECA"/>
            <w:vAlign w:val="center"/>
            <w:hideMark/>
          </w:tcPr>
          <w:p w14:paraId="7150C9AF" w14:textId="64ECE06A" w:rsidR="5B3E9DD7" w:rsidRPr="009E1B38" w:rsidRDefault="5B3E9DD7" w:rsidP="5B3E9DD7">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Number of Cases</w:t>
            </w:r>
          </w:p>
        </w:tc>
        <w:tc>
          <w:tcPr>
            <w:tcW w:w="1721" w:type="pct"/>
            <w:shd w:val="clear" w:color="auto" w:fill="6E9ECA"/>
            <w:vAlign w:val="center"/>
            <w:hideMark/>
          </w:tcPr>
          <w:p w14:paraId="1A5C37B5" w14:textId="1C2B234A" w:rsidR="5B3E9DD7" w:rsidRPr="009E1B38" w:rsidRDefault="5B3E9DD7" w:rsidP="5B3E9DD7">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Rate (%)</w:t>
            </w:r>
          </w:p>
        </w:tc>
      </w:tr>
      <w:tr w:rsidR="00EC59D2" w:rsidRPr="009E1B38" w14:paraId="7D4A8CE0" w14:textId="77777777" w:rsidTr="00704015">
        <w:trPr>
          <w:trHeight w:hRule="exact" w:val="315"/>
          <w:jc w:val="center"/>
        </w:trPr>
        <w:tc>
          <w:tcPr>
            <w:tcW w:w="1801" w:type="pct"/>
            <w:shd w:val="clear" w:color="auto" w:fill="auto"/>
            <w:vAlign w:val="center"/>
            <w:hideMark/>
          </w:tcPr>
          <w:p w14:paraId="7D4A8CDD" w14:textId="14E8ABCB" w:rsidR="00EC59D2" w:rsidRPr="009E1B38" w:rsidRDefault="5B3E9DD7" w:rsidP="00EC59D2">
            <w:pPr>
              <w:spacing w:after="0" w:line="240" w:lineRule="auto"/>
              <w:rPr>
                <w:rFonts w:ascii="Times New Roman" w:eastAsia="Times New Roman" w:hAnsi="Times New Roman"/>
                <w:color w:val="000000" w:themeColor="text1"/>
                <w:lang w:eastAsia="tr-TR"/>
              </w:rPr>
            </w:pPr>
            <w:r w:rsidRPr="009E1B38">
              <w:rPr>
                <w:rFonts w:ascii="Times New Roman" w:eastAsia="Times New Roman" w:hAnsi="Times New Roman"/>
                <w:color w:val="000000" w:themeColor="text1"/>
                <w:lang w:eastAsia="tr-TR"/>
              </w:rPr>
              <w:t>Criminal Cases</w:t>
            </w:r>
          </w:p>
        </w:tc>
        <w:tc>
          <w:tcPr>
            <w:tcW w:w="1478" w:type="pct"/>
            <w:shd w:val="clear" w:color="auto" w:fill="auto"/>
            <w:noWrap/>
            <w:vAlign w:val="center"/>
            <w:hideMark/>
          </w:tcPr>
          <w:p w14:paraId="7D4A8CDE"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1.628</w:t>
            </w:r>
          </w:p>
        </w:tc>
        <w:tc>
          <w:tcPr>
            <w:tcW w:w="1721" w:type="pct"/>
            <w:shd w:val="clear" w:color="auto" w:fill="auto"/>
            <w:noWrap/>
            <w:vAlign w:val="center"/>
            <w:hideMark/>
          </w:tcPr>
          <w:p w14:paraId="7D4A8CDF"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50,99</w:t>
            </w:r>
          </w:p>
        </w:tc>
      </w:tr>
      <w:tr w:rsidR="00EC59D2" w:rsidRPr="009E1B38" w14:paraId="7D4A8CE4" w14:textId="77777777" w:rsidTr="00704015">
        <w:trPr>
          <w:trHeight w:hRule="exact" w:val="315"/>
          <w:jc w:val="center"/>
        </w:trPr>
        <w:tc>
          <w:tcPr>
            <w:tcW w:w="1801" w:type="pct"/>
            <w:shd w:val="clear" w:color="auto" w:fill="auto"/>
            <w:vAlign w:val="center"/>
            <w:hideMark/>
          </w:tcPr>
          <w:p w14:paraId="7D4A8CE1" w14:textId="7013A8BC" w:rsidR="00EC59D2" w:rsidRPr="009E1B38" w:rsidRDefault="5B3E9DD7" w:rsidP="00EC59D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Administrative Cases</w:t>
            </w:r>
          </w:p>
        </w:tc>
        <w:tc>
          <w:tcPr>
            <w:tcW w:w="1478" w:type="pct"/>
            <w:shd w:val="clear" w:color="auto" w:fill="auto"/>
            <w:noWrap/>
            <w:vAlign w:val="center"/>
            <w:hideMark/>
          </w:tcPr>
          <w:p w14:paraId="7D4A8CE2"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1.116</w:t>
            </w:r>
          </w:p>
        </w:tc>
        <w:tc>
          <w:tcPr>
            <w:tcW w:w="1721" w:type="pct"/>
            <w:shd w:val="clear" w:color="auto" w:fill="auto"/>
            <w:noWrap/>
            <w:vAlign w:val="center"/>
            <w:hideMark/>
          </w:tcPr>
          <w:p w14:paraId="7D4A8CE3"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34,95</w:t>
            </w:r>
          </w:p>
        </w:tc>
      </w:tr>
      <w:tr w:rsidR="00EC59D2" w:rsidRPr="009E1B38" w14:paraId="7D4A8CE8" w14:textId="77777777" w:rsidTr="00704015">
        <w:trPr>
          <w:trHeight w:hRule="exact" w:val="315"/>
          <w:jc w:val="center"/>
        </w:trPr>
        <w:tc>
          <w:tcPr>
            <w:tcW w:w="1801" w:type="pct"/>
            <w:shd w:val="clear" w:color="auto" w:fill="auto"/>
            <w:vAlign w:val="center"/>
            <w:hideMark/>
          </w:tcPr>
          <w:p w14:paraId="7D4A8CE5" w14:textId="1B6EEBE4" w:rsidR="00EC59D2" w:rsidRPr="009E1B38" w:rsidRDefault="5B3E9DD7" w:rsidP="00EC59D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Legal Cases</w:t>
            </w:r>
          </w:p>
        </w:tc>
        <w:tc>
          <w:tcPr>
            <w:tcW w:w="1478" w:type="pct"/>
            <w:shd w:val="clear" w:color="auto" w:fill="auto"/>
            <w:noWrap/>
            <w:vAlign w:val="center"/>
            <w:hideMark/>
          </w:tcPr>
          <w:p w14:paraId="7D4A8CE6"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449</w:t>
            </w:r>
          </w:p>
        </w:tc>
        <w:tc>
          <w:tcPr>
            <w:tcW w:w="1721" w:type="pct"/>
            <w:shd w:val="clear" w:color="auto" w:fill="auto"/>
            <w:noWrap/>
            <w:vAlign w:val="center"/>
            <w:hideMark/>
          </w:tcPr>
          <w:p w14:paraId="7D4A8CE7" w14:textId="77777777" w:rsidR="00EC59D2" w:rsidRPr="009E1B38" w:rsidRDefault="00EC59D2" w:rsidP="00EC59D2">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14,06</w:t>
            </w:r>
          </w:p>
        </w:tc>
      </w:tr>
      <w:tr w:rsidR="00EC59D2" w:rsidRPr="009E1B38" w14:paraId="7D4A8CEC" w14:textId="77777777" w:rsidTr="00704015">
        <w:trPr>
          <w:trHeight w:hRule="exact" w:val="315"/>
          <w:jc w:val="center"/>
        </w:trPr>
        <w:tc>
          <w:tcPr>
            <w:tcW w:w="1801" w:type="pct"/>
            <w:shd w:val="clear" w:color="auto" w:fill="auto"/>
            <w:vAlign w:val="center"/>
            <w:hideMark/>
          </w:tcPr>
          <w:p w14:paraId="7D4A8CE9" w14:textId="7066FFB0" w:rsidR="00EC59D2" w:rsidRPr="009E1B38" w:rsidRDefault="5B3E9DD7" w:rsidP="00EC59D2">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TOTAL</w:t>
            </w:r>
          </w:p>
        </w:tc>
        <w:tc>
          <w:tcPr>
            <w:tcW w:w="1478" w:type="pct"/>
            <w:shd w:val="clear" w:color="auto" w:fill="auto"/>
            <w:noWrap/>
            <w:vAlign w:val="center"/>
            <w:hideMark/>
          </w:tcPr>
          <w:p w14:paraId="7D4A8CEA" w14:textId="77777777" w:rsidR="00EC59D2" w:rsidRPr="009E1B38" w:rsidRDefault="00EC59D2" w:rsidP="00EC59D2">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3.193</w:t>
            </w:r>
          </w:p>
        </w:tc>
        <w:tc>
          <w:tcPr>
            <w:tcW w:w="1721" w:type="pct"/>
            <w:shd w:val="clear" w:color="auto" w:fill="auto"/>
            <w:vAlign w:val="center"/>
            <w:hideMark/>
          </w:tcPr>
          <w:p w14:paraId="7D4A8CEB" w14:textId="77777777" w:rsidR="00EC59D2" w:rsidRPr="009E1B38" w:rsidRDefault="00EC59D2" w:rsidP="00EC59D2">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r>
    </w:tbl>
    <w:p w14:paraId="7D4A8CED" w14:textId="77777777" w:rsidR="00FB6EAC" w:rsidRPr="009E1B38" w:rsidRDefault="00FB6EAC" w:rsidP="00FB6EAC">
      <w:pPr>
        <w:autoSpaceDE w:val="0"/>
        <w:autoSpaceDN w:val="0"/>
        <w:adjustRightInd w:val="0"/>
        <w:spacing w:after="0"/>
        <w:rPr>
          <w:rFonts w:ascii="Times New Roman" w:eastAsia="Times New Roman" w:hAnsi="Times New Roman"/>
          <w:b/>
          <w:color w:val="000000" w:themeColor="text1"/>
        </w:rPr>
      </w:pPr>
    </w:p>
    <w:p w14:paraId="0D567096" w14:textId="31D87FB8" w:rsidR="5B3E9DD7" w:rsidRPr="009E1B38" w:rsidRDefault="5B3E9DD7" w:rsidP="5B3E9DD7">
      <w:pPr>
        <w:spacing w:after="0"/>
        <w:rPr>
          <w:rFonts w:ascii="Times New Roman" w:eastAsia="Times New Roman" w:hAnsi="Times New Roman"/>
          <w:color w:val="000000" w:themeColor="text1"/>
        </w:rPr>
      </w:pPr>
    </w:p>
    <w:p w14:paraId="13E1A41A" w14:textId="021631BE" w:rsidR="5B3E9DD7" w:rsidRPr="009E1B38" w:rsidRDefault="5B3E9DD7" w:rsidP="5B3E9DD7">
      <w:pPr>
        <w:rPr>
          <w:rFonts w:ascii="Times New Roman" w:eastAsia="Times New Roman" w:hAnsi="Times New Roman"/>
          <w:color w:val="000000" w:themeColor="text1"/>
        </w:rPr>
      </w:pPr>
      <w:r w:rsidRPr="009E1B38">
        <w:rPr>
          <w:rFonts w:ascii="Times New Roman" w:eastAsia="Times New Roman" w:hAnsi="Times New Roman"/>
          <w:color w:val="000000" w:themeColor="text1"/>
        </w:rPr>
        <w:t>As can be seen from the tables, most of the lawsuits</w:t>
      </w:r>
      <w:r w:rsidR="00704015">
        <w:rPr>
          <w:rFonts w:ascii="Times New Roman" w:eastAsia="Times New Roman" w:hAnsi="Times New Roman"/>
          <w:color w:val="000000" w:themeColor="text1"/>
        </w:rPr>
        <w:t>, to which our Authority is a party,</w:t>
      </w:r>
      <w:r w:rsidRPr="009E1B38">
        <w:rPr>
          <w:rFonts w:ascii="Times New Roman" w:eastAsia="Times New Roman" w:hAnsi="Times New Roman"/>
          <w:color w:val="000000" w:themeColor="text1"/>
        </w:rPr>
        <w:t xml:space="preserve"> are related to the oil market. İt is considered that this situation arises from the high number of licensed actors in the oil market.</w:t>
      </w:r>
    </w:p>
    <w:p w14:paraId="2C5AA49E" w14:textId="1BBC5DCF" w:rsidR="5B3E9DD7" w:rsidRPr="009E1B38" w:rsidRDefault="5B3E9DD7" w:rsidP="5B3E9DD7">
      <w:pPr>
        <w:pStyle w:val="Balk5"/>
        <w:jc w:val="center"/>
        <w:rPr>
          <w:rFonts w:ascii="Times New Roman" w:eastAsia="Times New Roman" w:hAnsi="Times New Roman" w:cs="Times New Roman"/>
          <w:b w:val="0"/>
          <w:color w:val="auto"/>
        </w:rPr>
      </w:pPr>
      <w:bookmarkStart w:id="293" w:name="_Toc107499546"/>
      <w:r w:rsidRPr="009E1B38">
        <w:rPr>
          <w:rFonts w:ascii="Times New Roman" w:eastAsia="Times New Roman" w:hAnsi="Times New Roman" w:cs="Times New Roman"/>
          <w:color w:val="auto"/>
        </w:rPr>
        <w:lastRenderedPageBreak/>
        <w:t>Figure 8.1: Market Based Distribution of Lawsuits Opened to Our Authority by Years</w:t>
      </w:r>
      <w:bookmarkEnd w:id="293"/>
    </w:p>
    <w:p w14:paraId="7D4A8CF0" w14:textId="033AA905" w:rsidR="0063730C" w:rsidRPr="009E1B38" w:rsidRDefault="00824806" w:rsidP="3F80CB22">
      <w:pPr>
        <w:jc w:val="center"/>
        <w:rPr>
          <w:rFonts w:ascii="Times New Roman" w:hAnsi="Times New Roman"/>
        </w:rPr>
      </w:pPr>
      <w:r w:rsidRPr="009E1B38">
        <w:rPr>
          <w:rFonts w:ascii="Times New Roman" w:hAnsi="Times New Roman"/>
          <w:noProof/>
          <w:lang w:val="tr-TR" w:eastAsia="tr-TR"/>
        </w:rPr>
        <w:drawing>
          <wp:inline distT="0" distB="0" distL="0" distR="0" wp14:anchorId="28FAE9B8" wp14:editId="46C17F7B">
            <wp:extent cx="5419724" cy="2935684"/>
            <wp:effectExtent l="0" t="0" r="0" b="0"/>
            <wp:docPr id="169775383" name="Picture 16977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75383"/>
                    <pic:cNvPicPr/>
                  </pic:nvPicPr>
                  <pic:blipFill>
                    <a:blip r:embed="rId43">
                      <a:extLst>
                        <a:ext uri="{28A0092B-C50C-407E-A947-70E740481C1C}">
                          <a14:useLocalDpi xmlns:a14="http://schemas.microsoft.com/office/drawing/2010/main" val="0"/>
                        </a:ext>
                      </a:extLst>
                    </a:blip>
                    <a:stretch>
                      <a:fillRect/>
                    </a:stretch>
                  </pic:blipFill>
                  <pic:spPr>
                    <a:xfrm>
                      <a:off x="0" y="0"/>
                      <a:ext cx="5419724" cy="2935684"/>
                    </a:xfrm>
                    <a:prstGeom prst="rect">
                      <a:avLst/>
                    </a:prstGeom>
                  </pic:spPr>
                </pic:pic>
              </a:graphicData>
            </a:graphic>
          </wp:inline>
        </w:drawing>
      </w:r>
    </w:p>
    <w:p w14:paraId="7D4A8CF1" w14:textId="77777777" w:rsidR="00FB6EAC" w:rsidRPr="009E1B38" w:rsidRDefault="00FB6EAC" w:rsidP="00FB6EAC">
      <w:pPr>
        <w:spacing w:after="0" w:line="240" w:lineRule="auto"/>
        <w:rPr>
          <w:rFonts w:ascii="Times New Roman" w:eastAsia="Times New Roman" w:hAnsi="Times New Roman"/>
          <w:color w:val="000000" w:themeColor="text1"/>
          <w:highlight w:val="yellow"/>
        </w:rPr>
      </w:pPr>
    </w:p>
    <w:p w14:paraId="7D4A8CF2" w14:textId="0D154AD7" w:rsidR="00FB6EAC" w:rsidRPr="009E1B38" w:rsidRDefault="5B3E9DD7" w:rsidP="00FB6EAC">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 xml:space="preserve">In </w:t>
      </w:r>
      <w:r w:rsidR="000D26E4" w:rsidRPr="009E1B38">
        <w:rPr>
          <w:rFonts w:ascii="Times New Roman" w:eastAsia="Times New Roman" w:hAnsi="Times New Roman"/>
          <w:color w:val="000000" w:themeColor="text1"/>
        </w:rPr>
        <w:t>202</w:t>
      </w:r>
      <w:r w:rsidR="00566252" w:rsidRPr="009E1B38">
        <w:rPr>
          <w:rFonts w:ascii="Times New Roman" w:eastAsia="Times New Roman" w:hAnsi="Times New Roman"/>
          <w:color w:val="000000" w:themeColor="text1"/>
        </w:rPr>
        <w:t>1</w:t>
      </w:r>
      <w:r w:rsidR="00FB6EAC" w:rsidRPr="009E1B38">
        <w:rPr>
          <w:rFonts w:ascii="Times New Roman" w:eastAsia="Times New Roman" w:hAnsi="Times New Roman"/>
          <w:color w:val="000000" w:themeColor="text1"/>
        </w:rPr>
        <w:t>;</w:t>
      </w:r>
    </w:p>
    <w:p w14:paraId="3E7D139B" w14:textId="6116BF82" w:rsidR="000D26E4" w:rsidRPr="009E1B38" w:rsidRDefault="000D26E4" w:rsidP="00FB6EAC">
      <w:pPr>
        <w:spacing w:after="0" w:line="240" w:lineRule="auto"/>
        <w:rPr>
          <w:rFonts w:ascii="Times New Roman" w:eastAsia="Times New Roman" w:hAnsi="Times New Roman"/>
          <w:color w:val="000000" w:themeColor="text1"/>
        </w:rPr>
      </w:pPr>
    </w:p>
    <w:p w14:paraId="1AD388DA" w14:textId="14DD1091" w:rsidR="5B3E9DD7" w:rsidRPr="009E1B38" w:rsidRDefault="5B3E9DD7" w:rsidP="00E9030A">
      <w:pPr>
        <w:pStyle w:val="ListeParagraf"/>
        <w:numPr>
          <w:ilvl w:val="0"/>
          <w:numId w:val="2"/>
        </w:numPr>
        <w:rPr>
          <w:rFonts w:ascii="Times New Roman" w:eastAsia="Times New Roman" w:hAnsi="Times New Roman"/>
          <w:color w:val="000000" w:themeColor="text1"/>
        </w:rPr>
      </w:pPr>
      <w:r w:rsidRPr="009E1B38">
        <w:rPr>
          <w:rFonts w:ascii="Times New Roman" w:eastAsia="Times New Roman" w:hAnsi="Times New Roman"/>
          <w:color w:val="000000" w:themeColor="text1"/>
        </w:rPr>
        <w:t xml:space="preserve">Our authority has been a party to 3.193 lawsuits. </w:t>
      </w:r>
    </w:p>
    <w:p w14:paraId="6611B71C" w14:textId="07D45785" w:rsidR="5B3E9DD7" w:rsidRPr="009E1B38" w:rsidRDefault="5B3E9DD7" w:rsidP="00E9030A">
      <w:pPr>
        <w:pStyle w:val="ListeParagraf"/>
        <w:numPr>
          <w:ilvl w:val="0"/>
          <w:numId w:val="2"/>
        </w:numPr>
        <w:rPr>
          <w:rFonts w:ascii="Times New Roman" w:eastAsia="Times New Roman" w:hAnsi="Times New Roman"/>
          <w:color w:val="000000" w:themeColor="text1"/>
        </w:rPr>
      </w:pPr>
      <w:r w:rsidRPr="009E1B38">
        <w:rPr>
          <w:rFonts w:ascii="Times New Roman" w:eastAsia="Times New Roman" w:hAnsi="Times New Roman"/>
          <w:color w:val="000000" w:themeColor="text1"/>
        </w:rPr>
        <w:t>Out of 3.193 lawsuits to which our authority is a party; 1.628 are criminal cases, 1.116 are administrative cases and 449 are civil cases.</w:t>
      </w:r>
    </w:p>
    <w:p w14:paraId="78DD7B13" w14:textId="1506C526" w:rsidR="5B3E9DD7" w:rsidRPr="009E1B38" w:rsidRDefault="5B3E9DD7" w:rsidP="00E9030A">
      <w:pPr>
        <w:pStyle w:val="ListeParagraf"/>
        <w:numPr>
          <w:ilvl w:val="0"/>
          <w:numId w:val="2"/>
        </w:numPr>
        <w:rPr>
          <w:rFonts w:ascii="Times New Roman" w:eastAsia="Times New Roman" w:hAnsi="Times New Roman"/>
          <w:color w:val="000000" w:themeColor="text1"/>
        </w:rPr>
      </w:pPr>
      <w:r w:rsidRPr="009E1B38">
        <w:rPr>
          <w:rFonts w:ascii="Times New Roman" w:eastAsia="Times New Roman" w:hAnsi="Times New Roman"/>
          <w:color w:val="000000" w:themeColor="text1"/>
        </w:rPr>
        <w:t>2.284 non-litigation files (non-prosecution, attachment notice, lack of jurisdiction, etc.) were followed up.</w:t>
      </w:r>
    </w:p>
    <w:p w14:paraId="694244C4" w14:textId="1E7CD2E5" w:rsidR="7DC53B4B" w:rsidRPr="009E1B38" w:rsidRDefault="7DC53B4B" w:rsidP="7DC53B4B">
      <w:pPr>
        <w:rPr>
          <w:rFonts w:ascii="Times New Roman" w:eastAsia="Times New Roman" w:hAnsi="Times New Roman"/>
          <w:color w:val="000000" w:themeColor="text1"/>
        </w:rPr>
      </w:pPr>
    </w:p>
    <w:p w14:paraId="60D7514C" w14:textId="503F9BA1" w:rsidR="5B3E9DD7" w:rsidRPr="009E1B38" w:rsidRDefault="5B3E9DD7" w:rsidP="5B3E9DD7">
      <w:pPr>
        <w:pStyle w:val="Balk5"/>
        <w:jc w:val="center"/>
        <w:rPr>
          <w:rFonts w:ascii="Times New Roman" w:eastAsia="Times New Roman" w:hAnsi="Times New Roman" w:cs="Times New Roman"/>
          <w:b w:val="0"/>
          <w:color w:val="auto"/>
        </w:rPr>
      </w:pPr>
      <w:bookmarkStart w:id="294" w:name="_Toc107499547"/>
      <w:r w:rsidRPr="009E1B38">
        <w:rPr>
          <w:rFonts w:ascii="Times New Roman" w:eastAsia="Times New Roman" w:hAnsi="Times New Roman" w:cs="Times New Roman"/>
          <w:color w:val="auto"/>
        </w:rPr>
        <w:t>Table 8.4: Finalization Status of the Cases Followed by Our Authority as of the End of 2021</w:t>
      </w:r>
      <w:bookmarkEnd w:id="294"/>
    </w:p>
    <w:tbl>
      <w:tblPr>
        <w:tblW w:w="3165" w:type="pct"/>
        <w:jc w:val="center"/>
        <w:tblCellMar>
          <w:left w:w="70" w:type="dxa"/>
          <w:right w:w="70" w:type="dxa"/>
        </w:tblCellMar>
        <w:tblLook w:val="04A0" w:firstRow="1" w:lastRow="0" w:firstColumn="1" w:lastColumn="0" w:noHBand="0" w:noVBand="1"/>
      </w:tblPr>
      <w:tblGrid>
        <w:gridCol w:w="2125"/>
        <w:gridCol w:w="2123"/>
        <w:gridCol w:w="2121"/>
      </w:tblGrid>
      <w:tr w:rsidR="00633961" w:rsidRPr="009E1B38" w14:paraId="7D4A8CFE" w14:textId="77777777" w:rsidTr="5B3E9DD7">
        <w:trPr>
          <w:trHeight w:val="227"/>
          <w:jc w:val="center"/>
        </w:trPr>
        <w:tc>
          <w:tcPr>
            <w:tcW w:w="1668" w:type="pct"/>
            <w:tcBorders>
              <w:top w:val="single" w:sz="8" w:space="0" w:color="BFBFBF" w:themeColor="background1" w:themeShade="BF"/>
              <w:left w:val="single" w:sz="4" w:space="0" w:color="9BBB59" w:themeColor="accent3"/>
              <w:bottom w:val="single" w:sz="8" w:space="0" w:color="BFBFBF" w:themeColor="background1" w:themeShade="BF"/>
              <w:right w:val="single" w:sz="8" w:space="0" w:color="BFBFBF" w:themeColor="background1" w:themeShade="BF"/>
            </w:tcBorders>
            <w:shd w:val="clear" w:color="auto" w:fill="6E9ECA"/>
            <w:vAlign w:val="center"/>
            <w:hideMark/>
          </w:tcPr>
          <w:p w14:paraId="7D4A8CFB" w14:textId="125492B2" w:rsidR="00633961" w:rsidRPr="009E1B38" w:rsidRDefault="5B3E9DD7" w:rsidP="00633961">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Number of Cases</w:t>
            </w:r>
          </w:p>
        </w:tc>
        <w:tc>
          <w:tcPr>
            <w:tcW w:w="1667" w:type="pct"/>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vAlign w:val="center"/>
            <w:hideMark/>
          </w:tcPr>
          <w:p w14:paraId="7D4A8CFC" w14:textId="0045CED6" w:rsidR="00633961" w:rsidRPr="009E1B38" w:rsidRDefault="5B3E9DD7" w:rsidP="00633961">
            <w:pPr>
              <w:spacing w:after="0" w:line="240" w:lineRule="auto"/>
              <w:jc w:val="center"/>
              <w:rPr>
                <w:rFonts w:ascii="Times New Roman" w:eastAsia="Times New Roman" w:hAnsi="Times New Roman"/>
                <w:b/>
                <w:color w:val="FFFFFF" w:themeColor="background1"/>
                <w:lang w:eastAsia="tr-TR"/>
              </w:rPr>
            </w:pPr>
            <w:r w:rsidRPr="009E1B38">
              <w:rPr>
                <w:rFonts w:ascii="Times New Roman" w:eastAsia="Times New Roman" w:hAnsi="Times New Roman"/>
                <w:b/>
                <w:color w:val="FFFFFF" w:themeColor="background1"/>
                <w:lang w:eastAsia="tr-TR"/>
              </w:rPr>
              <w:t>Finalists</w:t>
            </w:r>
          </w:p>
        </w:tc>
        <w:tc>
          <w:tcPr>
            <w:tcW w:w="1665" w:type="pct"/>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vAlign w:val="center"/>
            <w:hideMark/>
          </w:tcPr>
          <w:p w14:paraId="7D4A8CFD" w14:textId="36BAED9D" w:rsidR="00633961" w:rsidRPr="009E1B38" w:rsidRDefault="5B3E9DD7" w:rsidP="00633961">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Pending</w:t>
            </w:r>
          </w:p>
        </w:tc>
      </w:tr>
      <w:tr w:rsidR="00633961" w:rsidRPr="009E1B38" w14:paraId="7D4A8D02" w14:textId="77777777" w:rsidTr="5B3E9DD7">
        <w:trPr>
          <w:trHeight w:val="227"/>
          <w:jc w:val="center"/>
        </w:trPr>
        <w:tc>
          <w:tcPr>
            <w:tcW w:w="1668" w:type="pct"/>
            <w:tcBorders>
              <w:top w:val="nil"/>
              <w:left w:val="single" w:sz="4" w:space="0" w:color="9BBB59" w:themeColor="accent3"/>
              <w:bottom w:val="single" w:sz="8" w:space="0" w:color="BFBFBF" w:themeColor="background1" w:themeShade="BF"/>
              <w:right w:val="single" w:sz="8" w:space="0" w:color="BFBFBF" w:themeColor="background1" w:themeShade="BF"/>
            </w:tcBorders>
            <w:shd w:val="clear" w:color="auto" w:fill="auto"/>
            <w:noWrap/>
            <w:vAlign w:val="center"/>
            <w:hideMark/>
          </w:tcPr>
          <w:p w14:paraId="7D4A8CFF" w14:textId="77777777" w:rsidR="00633961" w:rsidRPr="009E1B38" w:rsidRDefault="0070186E"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21.904</w:t>
            </w:r>
          </w:p>
        </w:tc>
        <w:tc>
          <w:tcPr>
            <w:tcW w:w="1667"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00" w14:textId="77777777" w:rsidR="00633961" w:rsidRPr="009E1B38" w:rsidRDefault="0070186E"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6.517</w:t>
            </w:r>
          </w:p>
        </w:tc>
        <w:tc>
          <w:tcPr>
            <w:tcW w:w="1665"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D01" w14:textId="77777777" w:rsidR="00633961" w:rsidRPr="009E1B38" w:rsidRDefault="0070186E"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15.387</w:t>
            </w:r>
          </w:p>
        </w:tc>
      </w:tr>
    </w:tbl>
    <w:p w14:paraId="7D4A8D03" w14:textId="77777777" w:rsidR="00FB6EAC" w:rsidRPr="009E1B38" w:rsidRDefault="00FB6EAC" w:rsidP="00FB6EAC">
      <w:pPr>
        <w:spacing w:after="0" w:line="240" w:lineRule="auto"/>
        <w:rPr>
          <w:rFonts w:ascii="Times New Roman" w:eastAsia="Times New Roman" w:hAnsi="Times New Roman"/>
          <w:color w:val="000000" w:themeColor="text1"/>
          <w:highlight w:val="yellow"/>
        </w:rPr>
      </w:pPr>
    </w:p>
    <w:p w14:paraId="1764D5C7" w14:textId="3B8730DC" w:rsidR="5B3E9DD7" w:rsidRPr="009E1B38" w:rsidRDefault="5B3E9DD7" w:rsidP="00E9030A">
      <w:pPr>
        <w:numPr>
          <w:ilvl w:val="0"/>
          <w:numId w:val="2"/>
        </w:numPr>
        <w:spacing w:after="0" w:line="240" w:lineRule="auto"/>
        <w:contextualSpacing/>
        <w:rPr>
          <w:rFonts w:ascii="Times New Roman" w:eastAsia="Times New Roman" w:hAnsi="Times New Roman"/>
          <w:color w:val="000000" w:themeColor="text1"/>
        </w:rPr>
      </w:pPr>
      <w:r w:rsidRPr="009E1B38">
        <w:rPr>
          <w:rFonts w:ascii="Times New Roman" w:eastAsia="Times New Roman" w:hAnsi="Times New Roman"/>
          <w:color w:val="000000" w:themeColor="text1"/>
        </w:rPr>
        <w:t xml:space="preserve">As of 31.12.2021; Our authority has been a party to 63.052 lawsuits and 56.284 of the mentioned lawsuits are still pending. </w:t>
      </w:r>
    </w:p>
    <w:p w14:paraId="20528065" w14:textId="2A49D79D" w:rsidR="5B3E9DD7" w:rsidRPr="009E1B38" w:rsidRDefault="5B3E9DD7" w:rsidP="5B3E9DD7">
      <w:pPr>
        <w:spacing w:after="0" w:line="240" w:lineRule="auto"/>
        <w:contextualSpacing/>
        <w:rPr>
          <w:rFonts w:ascii="Times New Roman" w:eastAsia="Times New Roman" w:hAnsi="Times New Roman"/>
          <w:color w:val="000000" w:themeColor="text1"/>
        </w:rPr>
      </w:pPr>
    </w:p>
    <w:p w14:paraId="7D4A8D06" w14:textId="2BFD5E81" w:rsidR="00633961" w:rsidRPr="009E1B38" w:rsidRDefault="5B3E9DD7" w:rsidP="00E9030A">
      <w:pPr>
        <w:numPr>
          <w:ilvl w:val="0"/>
          <w:numId w:val="2"/>
        </w:numPr>
        <w:spacing w:after="0" w:line="240" w:lineRule="auto"/>
        <w:contextualSpacing/>
        <w:rPr>
          <w:rFonts w:ascii="Times New Roman" w:eastAsia="Times New Roman" w:hAnsi="Times New Roman"/>
          <w:color w:val="000000"/>
        </w:rPr>
      </w:pPr>
      <w:r w:rsidRPr="009E1B38">
        <w:rPr>
          <w:rFonts w:ascii="Times New Roman" w:eastAsia="Times New Roman" w:hAnsi="Times New Roman"/>
          <w:color w:val="000000" w:themeColor="text1"/>
        </w:rPr>
        <w:t xml:space="preserve">Out of 63.052 lawsuits to which our authority is a party; 34.489 criminal cases, 21.904 administrative cases, 6.659 civil cases. </w:t>
      </w:r>
    </w:p>
    <w:p w14:paraId="7D4A8D07" w14:textId="77777777" w:rsidR="00633961" w:rsidRPr="009E1B38" w:rsidRDefault="00633961" w:rsidP="00633961">
      <w:pPr>
        <w:spacing w:after="0" w:line="240" w:lineRule="auto"/>
        <w:ind w:left="720"/>
        <w:contextualSpacing/>
        <w:rPr>
          <w:rFonts w:ascii="Times New Roman" w:eastAsia="Times New Roman" w:hAnsi="Times New Roman"/>
          <w:color w:val="000000"/>
        </w:rPr>
      </w:pPr>
    </w:p>
    <w:p w14:paraId="7D4A8D09" w14:textId="2583BA5F" w:rsidR="00633961" w:rsidRPr="009E1B38" w:rsidRDefault="5B3E9DD7" w:rsidP="00E9030A">
      <w:pPr>
        <w:numPr>
          <w:ilvl w:val="0"/>
          <w:numId w:val="2"/>
        </w:numPr>
        <w:spacing w:after="0" w:line="240" w:lineRule="auto"/>
        <w:contextualSpacing/>
        <w:rPr>
          <w:rFonts w:ascii="Times New Roman" w:eastAsia="Times New Roman" w:hAnsi="Times New Roman"/>
          <w:color w:val="000000"/>
        </w:rPr>
      </w:pPr>
      <w:r w:rsidRPr="009E1B38">
        <w:rPr>
          <w:rFonts w:ascii="Times New Roman" w:eastAsia="Times New Roman" w:hAnsi="Times New Roman"/>
          <w:color w:val="000000" w:themeColor="text1"/>
        </w:rPr>
        <w:t xml:space="preserve">20.151 non-litigation files (non-prosecution, attachment notice, lack of jurisdiction, etc.) were followed up. </w:t>
      </w:r>
    </w:p>
    <w:p w14:paraId="7D4A8D0A" w14:textId="77777777" w:rsidR="00A4545B" w:rsidRPr="009E1B38" w:rsidRDefault="00A4545B" w:rsidP="00FB6EAC">
      <w:pPr>
        <w:spacing w:after="0" w:line="240" w:lineRule="auto"/>
        <w:rPr>
          <w:rFonts w:ascii="Times New Roman" w:eastAsia="Times New Roman" w:hAnsi="Times New Roman"/>
          <w:color w:val="000000" w:themeColor="text1"/>
          <w:highlight w:val="yellow"/>
        </w:rPr>
      </w:pPr>
    </w:p>
    <w:p w14:paraId="7D4A8D0D" w14:textId="422E496D" w:rsidR="0078671F" w:rsidRPr="009E1B38" w:rsidRDefault="0078671F" w:rsidP="00454F95">
      <w:pPr>
        <w:pStyle w:val="AralkYok"/>
        <w:rPr>
          <w:rStyle w:val="Gl"/>
          <w:rFonts w:ascii="Times New Roman" w:eastAsia="Times New Roman" w:hAnsi="Times New Roman" w:cs="Times New Roman"/>
          <w:lang w:val="en-US"/>
        </w:rPr>
      </w:pPr>
      <w:bookmarkStart w:id="295" w:name="_Toc442431314"/>
      <w:bookmarkStart w:id="296" w:name="_Toc475364870"/>
    </w:p>
    <w:p w14:paraId="047A0344" w14:textId="440E84E8" w:rsidR="5B3E9DD7" w:rsidRPr="009E1B38" w:rsidRDefault="5B3E9DD7" w:rsidP="5B3E9DD7">
      <w:pPr>
        <w:pStyle w:val="Balk5"/>
        <w:jc w:val="center"/>
        <w:rPr>
          <w:rFonts w:ascii="Times New Roman" w:eastAsia="Times New Roman" w:hAnsi="Times New Roman" w:cs="Times New Roman"/>
          <w:b w:val="0"/>
          <w:color w:val="auto"/>
        </w:rPr>
      </w:pPr>
      <w:bookmarkStart w:id="297" w:name="_Toc107499548"/>
      <w:r w:rsidRPr="009E1B38">
        <w:rPr>
          <w:rFonts w:ascii="Times New Roman" w:eastAsia="Times New Roman" w:hAnsi="Times New Roman" w:cs="Times New Roman"/>
          <w:color w:val="auto"/>
        </w:rPr>
        <w:t xml:space="preserve">Table 8.5: As of the end of 2020, the Distribution of the Cases Determined to be Finalized among the Cases </w:t>
      </w:r>
      <w:r w:rsidR="00704015" w:rsidRPr="009E1B38">
        <w:rPr>
          <w:rFonts w:ascii="Times New Roman" w:eastAsia="Times New Roman" w:hAnsi="Times New Roman" w:cs="Times New Roman"/>
          <w:color w:val="auto"/>
        </w:rPr>
        <w:t>to</w:t>
      </w:r>
      <w:r w:rsidRPr="009E1B38">
        <w:rPr>
          <w:rFonts w:ascii="Times New Roman" w:eastAsia="Times New Roman" w:hAnsi="Times New Roman" w:cs="Times New Roman"/>
          <w:color w:val="auto"/>
        </w:rPr>
        <w:t xml:space="preserve"> which our Authority is a Party, in Terms of Results</w:t>
      </w:r>
      <w:bookmarkEnd w:id="297"/>
    </w:p>
    <w:tbl>
      <w:tblPr>
        <w:tblW w:w="4508"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409"/>
        <w:gridCol w:w="1705"/>
        <w:gridCol w:w="1706"/>
        <w:gridCol w:w="1626"/>
        <w:gridCol w:w="1626"/>
      </w:tblGrid>
      <w:tr w:rsidR="00FB6EAC" w:rsidRPr="009E1B38" w14:paraId="7D4A8D12" w14:textId="77777777" w:rsidTr="5B3E9DD7">
        <w:trPr>
          <w:trHeight w:val="397"/>
          <w:jc w:val="center"/>
        </w:trPr>
        <w:tc>
          <w:tcPr>
            <w:tcW w:w="1328" w:type="pct"/>
            <w:vMerge w:val="restart"/>
            <w:shd w:val="clear" w:color="auto" w:fill="6E9ECA"/>
            <w:hideMark/>
          </w:tcPr>
          <w:p w14:paraId="7D4A8D0F" w14:textId="5DF5748F" w:rsidR="00FB6EAC" w:rsidRPr="009E1B38" w:rsidRDefault="5B3E9DD7" w:rsidP="00FB6EAC">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Case Type</w:t>
            </w:r>
          </w:p>
        </w:tc>
        <w:tc>
          <w:tcPr>
            <w:tcW w:w="1880" w:type="pct"/>
            <w:gridSpan w:val="2"/>
            <w:shd w:val="clear" w:color="auto" w:fill="6E9ECA"/>
            <w:hideMark/>
          </w:tcPr>
          <w:p w14:paraId="7D4A8D10" w14:textId="03CF2A03" w:rsidR="00FB6EAC" w:rsidRPr="009E1B38" w:rsidRDefault="5B3E9DD7" w:rsidP="00FB6EAC">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In favor</w:t>
            </w:r>
          </w:p>
        </w:tc>
        <w:tc>
          <w:tcPr>
            <w:tcW w:w="1793" w:type="pct"/>
            <w:gridSpan w:val="2"/>
            <w:shd w:val="clear" w:color="auto" w:fill="6E9ECA"/>
            <w:hideMark/>
          </w:tcPr>
          <w:p w14:paraId="7D4A8D11" w14:textId="0EB6703A" w:rsidR="00FB6EAC" w:rsidRPr="009E1B38" w:rsidRDefault="5B3E9DD7" w:rsidP="00FB6EAC">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Against</w:t>
            </w:r>
          </w:p>
        </w:tc>
      </w:tr>
      <w:tr w:rsidR="00FB6EAC" w:rsidRPr="009E1B38" w14:paraId="7D4A8D18" w14:textId="77777777" w:rsidTr="5B3E9DD7">
        <w:trPr>
          <w:trHeight w:val="397"/>
          <w:jc w:val="center"/>
        </w:trPr>
        <w:tc>
          <w:tcPr>
            <w:tcW w:w="1328" w:type="pct"/>
            <w:vMerge/>
            <w:hideMark/>
          </w:tcPr>
          <w:p w14:paraId="7D4A8D13" w14:textId="77777777" w:rsidR="00FB6EAC" w:rsidRPr="009E1B38" w:rsidRDefault="00FB6EAC" w:rsidP="00FB6EAC">
            <w:pPr>
              <w:spacing w:after="0" w:line="240" w:lineRule="auto"/>
              <w:rPr>
                <w:rFonts w:ascii="Times New Roman" w:eastAsia="Times New Roman" w:hAnsi="Times New Roman"/>
                <w:b/>
                <w:bCs/>
                <w:color w:val="FFFFFF"/>
                <w:lang w:eastAsia="tr-TR"/>
              </w:rPr>
            </w:pPr>
          </w:p>
        </w:tc>
        <w:tc>
          <w:tcPr>
            <w:tcW w:w="940" w:type="pct"/>
            <w:shd w:val="clear" w:color="auto" w:fill="6E9ECA"/>
            <w:hideMark/>
          </w:tcPr>
          <w:p w14:paraId="7D4A8D14" w14:textId="33FCCCB8" w:rsidR="00FB6EAC" w:rsidRPr="009E1B38" w:rsidRDefault="5B3E9DD7" w:rsidP="00FB6EAC">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Number of Cases</w:t>
            </w:r>
          </w:p>
        </w:tc>
        <w:tc>
          <w:tcPr>
            <w:tcW w:w="940" w:type="pct"/>
            <w:shd w:val="clear" w:color="auto" w:fill="6E9ECA"/>
            <w:hideMark/>
          </w:tcPr>
          <w:p w14:paraId="7D4A8D15" w14:textId="3E82CA54" w:rsidR="00FB6EAC" w:rsidRPr="009E1B38" w:rsidRDefault="5B3E9DD7" w:rsidP="00FB6EAC">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rPr>
              <w:t>Rate</w:t>
            </w:r>
            <w:r w:rsidR="00FB6EAC" w:rsidRPr="009E1B38">
              <w:rPr>
                <w:rFonts w:ascii="Times New Roman" w:eastAsia="Times New Roman" w:hAnsi="Times New Roman"/>
                <w:b/>
                <w:color w:val="FFFFFF" w:themeColor="background1"/>
              </w:rPr>
              <w:t xml:space="preserve"> </w:t>
            </w:r>
            <w:r w:rsidR="00FB6EAC" w:rsidRPr="009E1B38">
              <w:rPr>
                <w:rFonts w:ascii="Times New Roman" w:eastAsia="Times New Roman" w:hAnsi="Times New Roman"/>
                <w:b/>
                <w:color w:val="FFFFFF" w:themeColor="background1"/>
                <w:lang w:eastAsia="tr-TR"/>
              </w:rPr>
              <w:t>(%)</w:t>
            </w:r>
          </w:p>
        </w:tc>
        <w:tc>
          <w:tcPr>
            <w:tcW w:w="896" w:type="pct"/>
            <w:shd w:val="clear" w:color="auto" w:fill="6E9ECA"/>
            <w:hideMark/>
          </w:tcPr>
          <w:p w14:paraId="7D4A8D16" w14:textId="0EB717A2" w:rsidR="00FB6EAC" w:rsidRPr="009E1B38" w:rsidRDefault="5B3E9DD7" w:rsidP="00FB6EAC">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Number of Cases</w:t>
            </w:r>
          </w:p>
        </w:tc>
        <w:tc>
          <w:tcPr>
            <w:tcW w:w="896" w:type="pct"/>
            <w:shd w:val="clear" w:color="auto" w:fill="6E9ECA"/>
            <w:hideMark/>
          </w:tcPr>
          <w:p w14:paraId="7D4A8D17" w14:textId="652633D3" w:rsidR="00FB6EAC" w:rsidRPr="009E1B38" w:rsidRDefault="5B3E9DD7" w:rsidP="00FB6EAC">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rPr>
              <w:t>Rate</w:t>
            </w:r>
            <w:r w:rsidR="00FB6EAC" w:rsidRPr="009E1B38">
              <w:rPr>
                <w:rFonts w:ascii="Times New Roman" w:eastAsia="Times New Roman" w:hAnsi="Times New Roman"/>
                <w:b/>
                <w:color w:val="FFFFFF" w:themeColor="background1"/>
              </w:rPr>
              <w:t xml:space="preserve"> </w:t>
            </w:r>
            <w:r w:rsidR="00FB6EAC" w:rsidRPr="009E1B38">
              <w:rPr>
                <w:rFonts w:ascii="Times New Roman" w:eastAsia="Times New Roman" w:hAnsi="Times New Roman"/>
                <w:b/>
                <w:color w:val="FFFFFF" w:themeColor="background1"/>
                <w:lang w:eastAsia="tr-TR"/>
              </w:rPr>
              <w:t>(%)</w:t>
            </w:r>
          </w:p>
        </w:tc>
      </w:tr>
      <w:tr w:rsidR="00633961" w:rsidRPr="009E1B38" w14:paraId="7D4A8D1E" w14:textId="77777777" w:rsidTr="004F7862">
        <w:trPr>
          <w:trHeight w:val="397"/>
          <w:jc w:val="center"/>
        </w:trPr>
        <w:tc>
          <w:tcPr>
            <w:tcW w:w="1328" w:type="pct"/>
            <w:shd w:val="clear" w:color="auto" w:fill="auto"/>
            <w:vAlign w:val="center"/>
            <w:hideMark/>
          </w:tcPr>
          <w:p w14:paraId="7D4A8D19" w14:textId="564AFC44" w:rsidR="00633961" w:rsidRPr="009E1B38" w:rsidRDefault="5B3E9DD7" w:rsidP="00633961">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Criminal Cases</w:t>
            </w:r>
            <w:r w:rsidRPr="009E1B38">
              <w:rPr>
                <w:rFonts w:ascii="Times New Roman" w:eastAsia="Times New Roman" w:hAnsi="Times New Roman"/>
                <w:color w:val="000000" w:themeColor="text1"/>
                <w:lang w:eastAsia="tr-TR"/>
              </w:rPr>
              <w:t xml:space="preserve"> </w:t>
            </w:r>
          </w:p>
        </w:tc>
        <w:tc>
          <w:tcPr>
            <w:tcW w:w="940" w:type="pct"/>
            <w:shd w:val="clear" w:color="auto" w:fill="auto"/>
            <w:noWrap/>
            <w:vAlign w:val="center"/>
            <w:hideMark/>
          </w:tcPr>
          <w:p w14:paraId="7D4A8D1A"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188</w:t>
            </w:r>
          </w:p>
        </w:tc>
        <w:tc>
          <w:tcPr>
            <w:tcW w:w="940" w:type="pct"/>
            <w:shd w:val="clear" w:color="auto" w:fill="auto"/>
            <w:noWrap/>
            <w:vAlign w:val="center"/>
            <w:hideMark/>
          </w:tcPr>
          <w:p w14:paraId="7D4A8D1B"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82,10</w:t>
            </w:r>
          </w:p>
        </w:tc>
        <w:tc>
          <w:tcPr>
            <w:tcW w:w="896" w:type="pct"/>
            <w:shd w:val="clear" w:color="auto" w:fill="auto"/>
            <w:vAlign w:val="center"/>
            <w:hideMark/>
          </w:tcPr>
          <w:p w14:paraId="7D4A8D1C"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41</w:t>
            </w:r>
          </w:p>
        </w:tc>
        <w:tc>
          <w:tcPr>
            <w:tcW w:w="896" w:type="pct"/>
            <w:shd w:val="clear" w:color="auto" w:fill="auto"/>
            <w:vAlign w:val="center"/>
            <w:hideMark/>
          </w:tcPr>
          <w:p w14:paraId="7D4A8D1D"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17,90</w:t>
            </w:r>
          </w:p>
        </w:tc>
      </w:tr>
      <w:tr w:rsidR="00633961" w:rsidRPr="009E1B38" w14:paraId="7D4A8D24" w14:textId="77777777" w:rsidTr="004F7862">
        <w:trPr>
          <w:trHeight w:val="397"/>
          <w:jc w:val="center"/>
        </w:trPr>
        <w:tc>
          <w:tcPr>
            <w:tcW w:w="1328" w:type="pct"/>
            <w:shd w:val="clear" w:color="auto" w:fill="auto"/>
            <w:vAlign w:val="center"/>
            <w:hideMark/>
          </w:tcPr>
          <w:p w14:paraId="7D4A8D1F" w14:textId="25806407" w:rsidR="00633961" w:rsidRPr="009E1B38" w:rsidRDefault="5B3E9DD7" w:rsidP="00633961">
            <w:pPr>
              <w:spacing w:after="0" w:line="240" w:lineRule="auto"/>
              <w:rPr>
                <w:rFonts w:ascii="Times New Roman" w:eastAsia="Times New Roman" w:hAnsi="Times New Roman"/>
              </w:rPr>
            </w:pPr>
            <w:r w:rsidRPr="009E1B38">
              <w:rPr>
                <w:rFonts w:ascii="Times New Roman" w:eastAsia="Times New Roman" w:hAnsi="Times New Roman"/>
              </w:rPr>
              <w:lastRenderedPageBreak/>
              <w:t>Administrative Cases</w:t>
            </w:r>
          </w:p>
        </w:tc>
        <w:tc>
          <w:tcPr>
            <w:tcW w:w="940" w:type="pct"/>
            <w:shd w:val="clear" w:color="auto" w:fill="auto"/>
            <w:noWrap/>
            <w:vAlign w:val="center"/>
            <w:hideMark/>
          </w:tcPr>
          <w:p w14:paraId="7D4A8D20"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4.940</w:t>
            </w:r>
          </w:p>
        </w:tc>
        <w:tc>
          <w:tcPr>
            <w:tcW w:w="940" w:type="pct"/>
            <w:shd w:val="clear" w:color="auto" w:fill="auto"/>
            <w:noWrap/>
            <w:vAlign w:val="center"/>
            <w:hideMark/>
          </w:tcPr>
          <w:p w14:paraId="7D4A8D21"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75,73 </w:t>
            </w:r>
          </w:p>
        </w:tc>
        <w:tc>
          <w:tcPr>
            <w:tcW w:w="896" w:type="pct"/>
            <w:shd w:val="clear" w:color="auto" w:fill="auto"/>
            <w:vAlign w:val="center"/>
            <w:hideMark/>
          </w:tcPr>
          <w:p w14:paraId="7D4A8D22"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1.583</w:t>
            </w:r>
          </w:p>
        </w:tc>
        <w:tc>
          <w:tcPr>
            <w:tcW w:w="896" w:type="pct"/>
            <w:shd w:val="clear" w:color="auto" w:fill="auto"/>
            <w:vAlign w:val="center"/>
            <w:hideMark/>
          </w:tcPr>
          <w:p w14:paraId="7D4A8D23"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24,27</w:t>
            </w:r>
          </w:p>
        </w:tc>
      </w:tr>
      <w:tr w:rsidR="00633961" w:rsidRPr="009E1B38" w14:paraId="7D4A8D2A" w14:textId="77777777" w:rsidTr="004F7862">
        <w:trPr>
          <w:trHeight w:val="397"/>
          <w:jc w:val="center"/>
        </w:trPr>
        <w:tc>
          <w:tcPr>
            <w:tcW w:w="1328" w:type="pct"/>
            <w:shd w:val="clear" w:color="auto" w:fill="auto"/>
            <w:vAlign w:val="center"/>
            <w:hideMark/>
          </w:tcPr>
          <w:p w14:paraId="7D4A8D25" w14:textId="32AF5263" w:rsidR="00633961" w:rsidRPr="009E1B38" w:rsidRDefault="5B3E9DD7" w:rsidP="00633961">
            <w:pPr>
              <w:spacing w:after="0" w:line="240" w:lineRule="auto"/>
              <w:rPr>
                <w:rFonts w:ascii="Times New Roman" w:eastAsia="Times New Roman" w:hAnsi="Times New Roman"/>
              </w:rPr>
            </w:pPr>
            <w:r w:rsidRPr="009E1B38">
              <w:rPr>
                <w:rFonts w:ascii="Times New Roman" w:eastAsia="Times New Roman" w:hAnsi="Times New Roman"/>
              </w:rPr>
              <w:t>Legal Cases</w:t>
            </w:r>
          </w:p>
        </w:tc>
        <w:tc>
          <w:tcPr>
            <w:tcW w:w="940" w:type="pct"/>
            <w:shd w:val="clear" w:color="auto" w:fill="auto"/>
            <w:noWrap/>
            <w:vAlign w:val="center"/>
            <w:hideMark/>
          </w:tcPr>
          <w:p w14:paraId="7D4A8D26"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20</w:t>
            </w:r>
          </w:p>
        </w:tc>
        <w:tc>
          <w:tcPr>
            <w:tcW w:w="940" w:type="pct"/>
            <w:shd w:val="clear" w:color="auto" w:fill="auto"/>
            <w:noWrap/>
            <w:vAlign w:val="center"/>
            <w:hideMark/>
          </w:tcPr>
          <w:p w14:paraId="7D4A8D27"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66,67 </w:t>
            </w:r>
          </w:p>
        </w:tc>
        <w:tc>
          <w:tcPr>
            <w:tcW w:w="896" w:type="pct"/>
            <w:shd w:val="clear" w:color="auto" w:fill="auto"/>
            <w:vAlign w:val="center"/>
            <w:hideMark/>
          </w:tcPr>
          <w:p w14:paraId="7D4A8D28"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10</w:t>
            </w:r>
          </w:p>
        </w:tc>
        <w:tc>
          <w:tcPr>
            <w:tcW w:w="896" w:type="pct"/>
            <w:shd w:val="clear" w:color="auto" w:fill="auto"/>
            <w:vAlign w:val="center"/>
            <w:hideMark/>
          </w:tcPr>
          <w:p w14:paraId="7D4A8D29"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33,33</w:t>
            </w:r>
          </w:p>
        </w:tc>
      </w:tr>
      <w:tr w:rsidR="00633961" w:rsidRPr="009E1B38" w14:paraId="7D4A8D30" w14:textId="77777777" w:rsidTr="004F7862">
        <w:trPr>
          <w:trHeight w:val="397"/>
          <w:jc w:val="center"/>
        </w:trPr>
        <w:tc>
          <w:tcPr>
            <w:tcW w:w="1328" w:type="pct"/>
            <w:shd w:val="clear" w:color="auto" w:fill="auto"/>
            <w:vAlign w:val="center"/>
            <w:hideMark/>
          </w:tcPr>
          <w:p w14:paraId="7D4A8D2B" w14:textId="0D5895B0" w:rsidR="00633961" w:rsidRPr="009E1B38" w:rsidRDefault="5B3E9DD7" w:rsidP="00633961">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Total</w:t>
            </w:r>
          </w:p>
        </w:tc>
        <w:tc>
          <w:tcPr>
            <w:tcW w:w="940" w:type="pct"/>
            <w:shd w:val="clear" w:color="auto" w:fill="auto"/>
            <w:noWrap/>
            <w:vAlign w:val="center"/>
            <w:hideMark/>
          </w:tcPr>
          <w:p w14:paraId="7D4A8D2C" w14:textId="77777777" w:rsidR="00633961" w:rsidRPr="009E1B38" w:rsidRDefault="00633961" w:rsidP="00633961">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5.148</w:t>
            </w:r>
          </w:p>
        </w:tc>
        <w:tc>
          <w:tcPr>
            <w:tcW w:w="940" w:type="pct"/>
            <w:shd w:val="clear" w:color="auto" w:fill="auto"/>
            <w:vAlign w:val="center"/>
            <w:hideMark/>
          </w:tcPr>
          <w:p w14:paraId="7D4A8D2D" w14:textId="77777777" w:rsidR="00633961" w:rsidRPr="009E1B38" w:rsidRDefault="00633961" w:rsidP="00633961">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75,91</w:t>
            </w:r>
          </w:p>
        </w:tc>
        <w:tc>
          <w:tcPr>
            <w:tcW w:w="896" w:type="pct"/>
            <w:shd w:val="clear" w:color="auto" w:fill="auto"/>
            <w:vAlign w:val="center"/>
            <w:hideMark/>
          </w:tcPr>
          <w:p w14:paraId="7D4A8D2E" w14:textId="77777777" w:rsidR="00633961" w:rsidRPr="009E1B38" w:rsidRDefault="00633961" w:rsidP="00633961">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1.634</w:t>
            </w:r>
          </w:p>
        </w:tc>
        <w:tc>
          <w:tcPr>
            <w:tcW w:w="896" w:type="pct"/>
            <w:shd w:val="clear" w:color="auto" w:fill="auto"/>
            <w:vAlign w:val="center"/>
            <w:hideMark/>
          </w:tcPr>
          <w:p w14:paraId="7D4A8D2F" w14:textId="77777777" w:rsidR="00633961" w:rsidRPr="009E1B38" w:rsidRDefault="00633961" w:rsidP="00633961">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 xml:space="preserve"> 24,09 </w:t>
            </w:r>
          </w:p>
        </w:tc>
      </w:tr>
    </w:tbl>
    <w:p w14:paraId="7D4A8D31" w14:textId="77777777" w:rsidR="00FB6EAC" w:rsidRPr="009E1B38" w:rsidRDefault="00FB6EAC" w:rsidP="00FB6EAC">
      <w:pPr>
        <w:pStyle w:val="AralkYok"/>
        <w:rPr>
          <w:rStyle w:val="Gl"/>
          <w:rFonts w:ascii="Times New Roman" w:eastAsia="Times New Roman" w:hAnsi="Times New Roman" w:cs="Times New Roman"/>
          <w:lang w:val="en-US"/>
        </w:rPr>
      </w:pPr>
    </w:p>
    <w:p w14:paraId="7D4A8D32" w14:textId="77777777" w:rsidR="0078671F" w:rsidRPr="009E1B38" w:rsidRDefault="0078671F" w:rsidP="00FB6EAC">
      <w:pPr>
        <w:pStyle w:val="AralkYok"/>
        <w:rPr>
          <w:rStyle w:val="Gl"/>
          <w:rFonts w:ascii="Times New Roman" w:eastAsia="Times New Roman" w:hAnsi="Times New Roman" w:cs="Times New Roman"/>
          <w:lang w:val="en-US"/>
        </w:rPr>
      </w:pPr>
    </w:p>
    <w:p w14:paraId="72C24576" w14:textId="4FD6302A" w:rsidR="5B3E9DD7" w:rsidRPr="009E1B38" w:rsidRDefault="5B3E9DD7" w:rsidP="5B3E9DD7">
      <w:pPr>
        <w:pStyle w:val="Balk5"/>
        <w:jc w:val="center"/>
        <w:rPr>
          <w:rFonts w:ascii="Times New Roman" w:eastAsia="Times New Roman" w:hAnsi="Times New Roman" w:cs="Times New Roman"/>
          <w:b w:val="0"/>
          <w:color w:val="auto"/>
        </w:rPr>
      </w:pPr>
      <w:bookmarkStart w:id="298" w:name="_Toc107499549"/>
      <w:r w:rsidRPr="009E1B38">
        <w:rPr>
          <w:rFonts w:ascii="Times New Roman" w:eastAsia="Times New Roman" w:hAnsi="Times New Roman" w:cs="Times New Roman"/>
          <w:color w:val="auto"/>
        </w:rPr>
        <w:t xml:space="preserve">Table 8.6: As of the End of 2020, Distribution of the Cases Concluded from the Cases </w:t>
      </w:r>
      <w:r w:rsidR="00704015" w:rsidRPr="009E1B38">
        <w:rPr>
          <w:rFonts w:ascii="Times New Roman" w:eastAsia="Times New Roman" w:hAnsi="Times New Roman" w:cs="Times New Roman"/>
          <w:color w:val="auto"/>
        </w:rPr>
        <w:t>to</w:t>
      </w:r>
      <w:r w:rsidRPr="009E1B38">
        <w:rPr>
          <w:rFonts w:ascii="Times New Roman" w:eastAsia="Times New Roman" w:hAnsi="Times New Roman" w:cs="Times New Roman"/>
          <w:color w:val="auto"/>
        </w:rPr>
        <w:t xml:space="preserve"> which our Authority is a Party</w:t>
      </w:r>
      <w:bookmarkEnd w:id="298"/>
    </w:p>
    <w:tbl>
      <w:tblPr>
        <w:tblW w:w="4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835"/>
        <w:gridCol w:w="1840"/>
        <w:gridCol w:w="1842"/>
        <w:gridCol w:w="1705"/>
        <w:gridCol w:w="1701"/>
      </w:tblGrid>
      <w:tr w:rsidR="00FB6EAC" w:rsidRPr="009E1B38" w14:paraId="7D4A8D37" w14:textId="77777777" w:rsidTr="5B3E9DD7">
        <w:trPr>
          <w:trHeight w:val="397"/>
          <w:jc w:val="center"/>
        </w:trPr>
        <w:tc>
          <w:tcPr>
            <w:tcW w:w="1429" w:type="pct"/>
            <w:vMerge w:val="restart"/>
            <w:shd w:val="clear" w:color="auto" w:fill="6E9ECA"/>
            <w:hideMark/>
          </w:tcPr>
          <w:p w14:paraId="5BC83B92" w14:textId="5DF5748F" w:rsidR="00FB6EAC" w:rsidRPr="009E1B38" w:rsidRDefault="5B3E9DD7" w:rsidP="5B3E9DD7">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Case Type</w:t>
            </w:r>
          </w:p>
          <w:p w14:paraId="7D4A8D34" w14:textId="23919033" w:rsidR="00FB6EAC" w:rsidRPr="009E1B38" w:rsidRDefault="00FB6EAC" w:rsidP="00FB6EAC">
            <w:pPr>
              <w:spacing w:after="0" w:line="240" w:lineRule="auto"/>
              <w:jc w:val="center"/>
              <w:rPr>
                <w:rFonts w:ascii="Times New Roman" w:eastAsia="Times New Roman" w:hAnsi="Times New Roman"/>
                <w:b/>
                <w:color w:val="FFFFFF"/>
                <w:lang w:eastAsia="tr-TR"/>
              </w:rPr>
            </w:pPr>
          </w:p>
        </w:tc>
        <w:tc>
          <w:tcPr>
            <w:tcW w:w="1855" w:type="pct"/>
            <w:gridSpan w:val="2"/>
            <w:shd w:val="clear" w:color="auto" w:fill="6E9ECA"/>
            <w:hideMark/>
          </w:tcPr>
          <w:p w14:paraId="115A6770" w14:textId="03CF2A03" w:rsidR="00FB6EAC" w:rsidRPr="009E1B38" w:rsidRDefault="5B3E9DD7" w:rsidP="5B3E9DD7">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In favor</w:t>
            </w:r>
          </w:p>
          <w:p w14:paraId="7D4A8D35" w14:textId="442ED533" w:rsidR="00FB6EAC" w:rsidRPr="009E1B38" w:rsidRDefault="00FB6EAC" w:rsidP="00FB6EAC">
            <w:pPr>
              <w:spacing w:after="0" w:line="240" w:lineRule="auto"/>
              <w:jc w:val="center"/>
              <w:rPr>
                <w:rFonts w:ascii="Times New Roman" w:eastAsia="Times New Roman" w:hAnsi="Times New Roman"/>
                <w:b/>
                <w:color w:val="FFFFFF"/>
                <w:lang w:eastAsia="tr-TR"/>
              </w:rPr>
            </w:pPr>
          </w:p>
        </w:tc>
        <w:tc>
          <w:tcPr>
            <w:tcW w:w="1717" w:type="pct"/>
            <w:gridSpan w:val="2"/>
            <w:shd w:val="clear" w:color="auto" w:fill="6E9ECA"/>
            <w:hideMark/>
          </w:tcPr>
          <w:p w14:paraId="7D4A8D36" w14:textId="18D2FC72" w:rsidR="00FB6EAC" w:rsidRPr="009E1B38" w:rsidRDefault="5B3E9DD7" w:rsidP="00FB6EAC">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Against</w:t>
            </w:r>
          </w:p>
        </w:tc>
      </w:tr>
      <w:tr w:rsidR="00FB6EAC" w:rsidRPr="009E1B38" w14:paraId="7D4A8D3D" w14:textId="77777777" w:rsidTr="5B3E9DD7">
        <w:trPr>
          <w:trHeight w:val="397"/>
          <w:jc w:val="center"/>
        </w:trPr>
        <w:tc>
          <w:tcPr>
            <w:tcW w:w="1429" w:type="pct"/>
            <w:vMerge/>
            <w:hideMark/>
          </w:tcPr>
          <w:p w14:paraId="7D4A8D38" w14:textId="77777777" w:rsidR="00FB6EAC" w:rsidRPr="009E1B38" w:rsidRDefault="00FB6EAC" w:rsidP="00FB6EAC">
            <w:pPr>
              <w:spacing w:after="0" w:line="240" w:lineRule="auto"/>
              <w:rPr>
                <w:rFonts w:ascii="Times New Roman" w:eastAsia="Times New Roman" w:hAnsi="Times New Roman"/>
                <w:b/>
                <w:bCs/>
                <w:color w:val="FFFFFF"/>
                <w:lang w:eastAsia="tr-TR"/>
              </w:rPr>
            </w:pPr>
          </w:p>
        </w:tc>
        <w:tc>
          <w:tcPr>
            <w:tcW w:w="927" w:type="pct"/>
            <w:shd w:val="clear" w:color="auto" w:fill="6E9ECA"/>
            <w:hideMark/>
          </w:tcPr>
          <w:p w14:paraId="7D4A8D39" w14:textId="160A20F7" w:rsidR="00FB6EAC" w:rsidRPr="009E1B38" w:rsidRDefault="5B3E9DD7" w:rsidP="00FB6EAC">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Number of Cases</w:t>
            </w:r>
          </w:p>
        </w:tc>
        <w:tc>
          <w:tcPr>
            <w:tcW w:w="928" w:type="pct"/>
            <w:shd w:val="clear" w:color="auto" w:fill="6E9ECA"/>
            <w:hideMark/>
          </w:tcPr>
          <w:p w14:paraId="7D4A8D3A" w14:textId="4FD17D7C" w:rsidR="00FB6EAC" w:rsidRPr="009E1B38" w:rsidRDefault="5B3E9DD7" w:rsidP="00FB6EAC">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rPr>
              <w:t>Rate</w:t>
            </w:r>
            <w:r w:rsidR="00FB6EAC" w:rsidRPr="009E1B38">
              <w:rPr>
                <w:rFonts w:ascii="Times New Roman" w:eastAsia="Times New Roman" w:hAnsi="Times New Roman"/>
                <w:b/>
                <w:color w:val="FFFFFF" w:themeColor="background1"/>
              </w:rPr>
              <w:t xml:space="preserve"> </w:t>
            </w:r>
            <w:r w:rsidR="00FB6EAC" w:rsidRPr="009E1B38">
              <w:rPr>
                <w:rFonts w:ascii="Times New Roman" w:eastAsia="Times New Roman" w:hAnsi="Times New Roman"/>
                <w:b/>
                <w:color w:val="FFFFFF" w:themeColor="background1"/>
                <w:lang w:eastAsia="tr-TR"/>
              </w:rPr>
              <w:t>(%)</w:t>
            </w:r>
          </w:p>
        </w:tc>
        <w:tc>
          <w:tcPr>
            <w:tcW w:w="859" w:type="pct"/>
            <w:shd w:val="clear" w:color="auto" w:fill="6E9ECA"/>
            <w:hideMark/>
          </w:tcPr>
          <w:p w14:paraId="7D4A8D3B" w14:textId="39BF408D" w:rsidR="00FB6EAC" w:rsidRPr="009E1B38" w:rsidRDefault="5B3E9DD7" w:rsidP="00FB6EAC">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Number of Cases</w:t>
            </w:r>
          </w:p>
        </w:tc>
        <w:tc>
          <w:tcPr>
            <w:tcW w:w="858" w:type="pct"/>
            <w:shd w:val="clear" w:color="auto" w:fill="6E9ECA"/>
            <w:hideMark/>
          </w:tcPr>
          <w:p w14:paraId="7D4A8D3C" w14:textId="5336D358" w:rsidR="00FB6EAC" w:rsidRPr="009E1B38" w:rsidRDefault="5B3E9DD7" w:rsidP="00FB6EAC">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rPr>
              <w:t>Rate</w:t>
            </w:r>
            <w:r w:rsidR="00FB6EAC" w:rsidRPr="009E1B38">
              <w:rPr>
                <w:rFonts w:ascii="Times New Roman" w:eastAsia="Times New Roman" w:hAnsi="Times New Roman"/>
                <w:b/>
                <w:color w:val="FFFFFF" w:themeColor="background1"/>
              </w:rPr>
              <w:t xml:space="preserve"> </w:t>
            </w:r>
            <w:r w:rsidR="00FB6EAC" w:rsidRPr="009E1B38">
              <w:rPr>
                <w:rFonts w:ascii="Times New Roman" w:eastAsia="Times New Roman" w:hAnsi="Times New Roman"/>
                <w:b/>
                <w:color w:val="FFFFFF" w:themeColor="background1"/>
                <w:lang w:eastAsia="tr-TR"/>
              </w:rPr>
              <w:t>(%)</w:t>
            </w:r>
          </w:p>
        </w:tc>
      </w:tr>
      <w:tr w:rsidR="00633961" w:rsidRPr="009E1B38" w14:paraId="7D4A8D43" w14:textId="77777777" w:rsidTr="004F7862">
        <w:trPr>
          <w:trHeight w:val="397"/>
          <w:jc w:val="center"/>
        </w:trPr>
        <w:tc>
          <w:tcPr>
            <w:tcW w:w="1429" w:type="pct"/>
            <w:shd w:val="clear" w:color="auto" w:fill="auto"/>
            <w:vAlign w:val="center"/>
            <w:hideMark/>
          </w:tcPr>
          <w:p w14:paraId="7D4A8D3E" w14:textId="57E0DBDD" w:rsidR="00633961" w:rsidRPr="009E1B38" w:rsidRDefault="5B3E9DD7" w:rsidP="00633961">
            <w:pPr>
              <w:spacing w:after="0" w:line="240" w:lineRule="auto"/>
              <w:rPr>
                <w:rFonts w:ascii="Times New Roman" w:eastAsia="Times New Roman" w:hAnsi="Times New Roman"/>
                <w:color w:val="000000"/>
                <w:lang w:eastAsia="tr-TR"/>
              </w:rPr>
            </w:pPr>
            <w:r w:rsidRPr="009E1B38">
              <w:rPr>
                <w:rFonts w:ascii="Times New Roman" w:eastAsia="Times New Roman" w:hAnsi="Times New Roman"/>
              </w:rPr>
              <w:t>Criminal Cases</w:t>
            </w:r>
          </w:p>
        </w:tc>
        <w:tc>
          <w:tcPr>
            <w:tcW w:w="927" w:type="pct"/>
            <w:shd w:val="clear" w:color="auto" w:fill="auto"/>
            <w:noWrap/>
            <w:vAlign w:val="center"/>
            <w:hideMark/>
          </w:tcPr>
          <w:p w14:paraId="7D4A8D3F" w14:textId="77777777" w:rsidR="00633961" w:rsidRPr="009E1B38" w:rsidRDefault="00633961" w:rsidP="0007174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8.675</w:t>
            </w:r>
          </w:p>
        </w:tc>
        <w:tc>
          <w:tcPr>
            <w:tcW w:w="928" w:type="pct"/>
            <w:shd w:val="clear" w:color="auto" w:fill="auto"/>
            <w:noWrap/>
            <w:vAlign w:val="center"/>
            <w:hideMark/>
          </w:tcPr>
          <w:p w14:paraId="7D4A8D40"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86,46 </w:t>
            </w:r>
          </w:p>
        </w:tc>
        <w:tc>
          <w:tcPr>
            <w:tcW w:w="859" w:type="pct"/>
            <w:shd w:val="clear" w:color="auto" w:fill="auto"/>
            <w:vAlign w:val="center"/>
            <w:hideMark/>
          </w:tcPr>
          <w:p w14:paraId="7D4A8D41" w14:textId="77777777" w:rsidR="00633961" w:rsidRPr="009E1B38" w:rsidRDefault="00633961" w:rsidP="0007174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1.359</w:t>
            </w:r>
          </w:p>
        </w:tc>
        <w:tc>
          <w:tcPr>
            <w:tcW w:w="858" w:type="pct"/>
            <w:shd w:val="clear" w:color="auto" w:fill="auto"/>
            <w:vAlign w:val="center"/>
            <w:hideMark/>
          </w:tcPr>
          <w:p w14:paraId="7D4A8D42"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13,54 </w:t>
            </w:r>
          </w:p>
        </w:tc>
      </w:tr>
      <w:tr w:rsidR="00633961" w:rsidRPr="009E1B38" w14:paraId="7D4A8D49" w14:textId="77777777" w:rsidTr="004F7862">
        <w:trPr>
          <w:trHeight w:val="397"/>
          <w:jc w:val="center"/>
        </w:trPr>
        <w:tc>
          <w:tcPr>
            <w:tcW w:w="1429" w:type="pct"/>
            <w:shd w:val="clear" w:color="auto" w:fill="auto"/>
            <w:vAlign w:val="center"/>
            <w:hideMark/>
          </w:tcPr>
          <w:p w14:paraId="7D4A8D44" w14:textId="60F2E2FB" w:rsidR="00633961" w:rsidRPr="009E1B38" w:rsidRDefault="5B3E9DD7" w:rsidP="00633961">
            <w:pPr>
              <w:spacing w:after="0" w:line="240" w:lineRule="auto"/>
              <w:rPr>
                <w:rFonts w:ascii="Times New Roman" w:eastAsia="Times New Roman" w:hAnsi="Times New Roman"/>
              </w:rPr>
            </w:pPr>
            <w:r w:rsidRPr="009E1B38">
              <w:rPr>
                <w:rFonts w:ascii="Times New Roman" w:eastAsia="Times New Roman" w:hAnsi="Times New Roman"/>
              </w:rPr>
              <w:t>Administrative Cases</w:t>
            </w:r>
          </w:p>
        </w:tc>
        <w:tc>
          <w:tcPr>
            <w:tcW w:w="927" w:type="pct"/>
            <w:shd w:val="clear" w:color="auto" w:fill="auto"/>
            <w:noWrap/>
            <w:vAlign w:val="center"/>
            <w:hideMark/>
          </w:tcPr>
          <w:p w14:paraId="7D4A8D45" w14:textId="77777777" w:rsidR="00633961" w:rsidRPr="009E1B38" w:rsidRDefault="00633961" w:rsidP="0007174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12.665</w:t>
            </w:r>
          </w:p>
        </w:tc>
        <w:tc>
          <w:tcPr>
            <w:tcW w:w="928" w:type="pct"/>
            <w:shd w:val="clear" w:color="auto" w:fill="auto"/>
            <w:noWrap/>
            <w:vAlign w:val="center"/>
            <w:hideMark/>
          </w:tcPr>
          <w:p w14:paraId="7D4A8D46"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73,17</w:t>
            </w:r>
          </w:p>
        </w:tc>
        <w:tc>
          <w:tcPr>
            <w:tcW w:w="859" w:type="pct"/>
            <w:shd w:val="clear" w:color="auto" w:fill="auto"/>
            <w:vAlign w:val="center"/>
            <w:hideMark/>
          </w:tcPr>
          <w:p w14:paraId="7D4A8D47" w14:textId="77777777" w:rsidR="00633961" w:rsidRPr="009E1B38" w:rsidRDefault="00633961" w:rsidP="0007174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4.645</w:t>
            </w:r>
          </w:p>
        </w:tc>
        <w:tc>
          <w:tcPr>
            <w:tcW w:w="858" w:type="pct"/>
            <w:shd w:val="clear" w:color="auto" w:fill="auto"/>
            <w:vAlign w:val="center"/>
            <w:hideMark/>
          </w:tcPr>
          <w:p w14:paraId="7D4A8D48"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26,83 </w:t>
            </w:r>
          </w:p>
        </w:tc>
      </w:tr>
      <w:tr w:rsidR="00633961" w:rsidRPr="009E1B38" w14:paraId="7D4A8D4F" w14:textId="77777777" w:rsidTr="004F7862">
        <w:trPr>
          <w:trHeight w:val="397"/>
          <w:jc w:val="center"/>
        </w:trPr>
        <w:tc>
          <w:tcPr>
            <w:tcW w:w="1429" w:type="pct"/>
            <w:shd w:val="clear" w:color="auto" w:fill="auto"/>
            <w:vAlign w:val="center"/>
            <w:hideMark/>
          </w:tcPr>
          <w:p w14:paraId="7D4A8D4A" w14:textId="16A70E8D" w:rsidR="00633961" w:rsidRPr="009E1B38" w:rsidRDefault="5B3E9DD7" w:rsidP="00633961">
            <w:pPr>
              <w:spacing w:after="0" w:line="240" w:lineRule="auto"/>
              <w:rPr>
                <w:rFonts w:ascii="Times New Roman" w:eastAsia="Times New Roman" w:hAnsi="Times New Roman"/>
              </w:rPr>
            </w:pPr>
            <w:r w:rsidRPr="009E1B38">
              <w:rPr>
                <w:rFonts w:ascii="Times New Roman" w:eastAsia="Times New Roman" w:hAnsi="Times New Roman"/>
              </w:rPr>
              <w:t>Legal Cases</w:t>
            </w:r>
          </w:p>
        </w:tc>
        <w:tc>
          <w:tcPr>
            <w:tcW w:w="927" w:type="pct"/>
            <w:shd w:val="clear" w:color="auto" w:fill="auto"/>
            <w:noWrap/>
            <w:vAlign w:val="center"/>
            <w:hideMark/>
          </w:tcPr>
          <w:p w14:paraId="7D4A8D4B" w14:textId="77777777" w:rsidR="00633961" w:rsidRPr="009E1B38" w:rsidRDefault="00633961" w:rsidP="0007174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172</w:t>
            </w:r>
          </w:p>
        </w:tc>
        <w:tc>
          <w:tcPr>
            <w:tcW w:w="928" w:type="pct"/>
            <w:shd w:val="clear" w:color="auto" w:fill="auto"/>
            <w:noWrap/>
            <w:vAlign w:val="center"/>
            <w:hideMark/>
          </w:tcPr>
          <w:p w14:paraId="7D4A8D4C"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83,09</w:t>
            </w:r>
          </w:p>
        </w:tc>
        <w:tc>
          <w:tcPr>
            <w:tcW w:w="859" w:type="pct"/>
            <w:shd w:val="clear" w:color="auto" w:fill="auto"/>
            <w:vAlign w:val="center"/>
            <w:hideMark/>
          </w:tcPr>
          <w:p w14:paraId="7D4A8D4D" w14:textId="77777777" w:rsidR="00633961" w:rsidRPr="009E1B38" w:rsidRDefault="00633961" w:rsidP="0007174E">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35</w:t>
            </w:r>
          </w:p>
        </w:tc>
        <w:tc>
          <w:tcPr>
            <w:tcW w:w="858" w:type="pct"/>
            <w:shd w:val="clear" w:color="auto" w:fill="auto"/>
            <w:vAlign w:val="center"/>
            <w:hideMark/>
          </w:tcPr>
          <w:p w14:paraId="7D4A8D4E" w14:textId="77777777" w:rsidR="00633961" w:rsidRPr="009E1B38" w:rsidRDefault="00633961" w:rsidP="00633961">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16,91 </w:t>
            </w:r>
          </w:p>
        </w:tc>
      </w:tr>
      <w:tr w:rsidR="00633961" w:rsidRPr="009E1B38" w14:paraId="7D4A8D55" w14:textId="77777777" w:rsidTr="004F7862">
        <w:trPr>
          <w:trHeight w:val="397"/>
          <w:jc w:val="center"/>
        </w:trPr>
        <w:tc>
          <w:tcPr>
            <w:tcW w:w="1429" w:type="pct"/>
            <w:shd w:val="clear" w:color="auto" w:fill="auto"/>
            <w:vAlign w:val="center"/>
            <w:hideMark/>
          </w:tcPr>
          <w:p w14:paraId="7D4A8D50" w14:textId="2E62C66F" w:rsidR="00633961" w:rsidRPr="009E1B38" w:rsidRDefault="5B3E9DD7" w:rsidP="00633961">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Total</w:t>
            </w:r>
          </w:p>
        </w:tc>
        <w:tc>
          <w:tcPr>
            <w:tcW w:w="927" w:type="pct"/>
            <w:shd w:val="clear" w:color="auto" w:fill="auto"/>
            <w:noWrap/>
            <w:vAlign w:val="center"/>
            <w:hideMark/>
          </w:tcPr>
          <w:p w14:paraId="7D4A8D51" w14:textId="77777777" w:rsidR="00633961" w:rsidRPr="009E1B38" w:rsidRDefault="00633961" w:rsidP="0007174E">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21.512</w:t>
            </w:r>
          </w:p>
        </w:tc>
        <w:tc>
          <w:tcPr>
            <w:tcW w:w="928" w:type="pct"/>
            <w:shd w:val="clear" w:color="auto" w:fill="auto"/>
            <w:vAlign w:val="center"/>
            <w:hideMark/>
          </w:tcPr>
          <w:p w14:paraId="7D4A8D52" w14:textId="77777777" w:rsidR="00633961" w:rsidRPr="009E1B38" w:rsidRDefault="00633961" w:rsidP="00633961">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78,08</w:t>
            </w:r>
          </w:p>
        </w:tc>
        <w:tc>
          <w:tcPr>
            <w:tcW w:w="859" w:type="pct"/>
            <w:shd w:val="clear" w:color="auto" w:fill="auto"/>
            <w:vAlign w:val="center"/>
            <w:hideMark/>
          </w:tcPr>
          <w:p w14:paraId="7D4A8D53" w14:textId="77777777" w:rsidR="00633961" w:rsidRPr="009E1B38" w:rsidRDefault="00633961" w:rsidP="0007174E">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6.039</w:t>
            </w:r>
          </w:p>
        </w:tc>
        <w:tc>
          <w:tcPr>
            <w:tcW w:w="858" w:type="pct"/>
            <w:shd w:val="clear" w:color="auto" w:fill="auto"/>
            <w:vAlign w:val="center"/>
            <w:hideMark/>
          </w:tcPr>
          <w:p w14:paraId="7D4A8D54" w14:textId="77777777" w:rsidR="00633961" w:rsidRPr="009E1B38" w:rsidRDefault="00633961" w:rsidP="00633961">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 xml:space="preserve"> 21,92 </w:t>
            </w:r>
          </w:p>
        </w:tc>
      </w:tr>
    </w:tbl>
    <w:p w14:paraId="447D4C64" w14:textId="5C400348" w:rsidR="004A0F57" w:rsidRPr="009E1B38" w:rsidRDefault="004A0F57" w:rsidP="00FB6EAC">
      <w:pPr>
        <w:pStyle w:val="AralkYok"/>
        <w:rPr>
          <w:rFonts w:ascii="Times New Roman" w:eastAsia="Times New Roman" w:hAnsi="Times New Roman" w:cs="Times New Roman"/>
          <w:lang w:val="en-US"/>
        </w:rPr>
      </w:pPr>
    </w:p>
    <w:p w14:paraId="593214F7" w14:textId="011B94D3" w:rsidR="5B3E9DD7" w:rsidRPr="009E1B38" w:rsidRDefault="5B3E9DD7" w:rsidP="5B3E9DD7">
      <w:pPr>
        <w:pStyle w:val="Balk5"/>
        <w:jc w:val="center"/>
        <w:rPr>
          <w:rFonts w:ascii="Times New Roman" w:eastAsia="Times New Roman" w:hAnsi="Times New Roman" w:cs="Times New Roman"/>
          <w:b w:val="0"/>
          <w:color w:val="auto"/>
        </w:rPr>
      </w:pPr>
      <w:bookmarkStart w:id="299" w:name="_Toc107499550"/>
      <w:r w:rsidRPr="009E1B38">
        <w:rPr>
          <w:rFonts w:ascii="Times New Roman" w:eastAsia="Times New Roman" w:hAnsi="Times New Roman" w:cs="Times New Roman"/>
          <w:color w:val="auto"/>
        </w:rPr>
        <w:t>Figure 8.2: As of the End of 2020, Distribution of the Cases To which our Authority is a Party in terms of Results</w:t>
      </w:r>
      <w:bookmarkEnd w:id="299"/>
    </w:p>
    <w:p w14:paraId="7D4A8D59" w14:textId="5409E592" w:rsidR="00D44B16" w:rsidRPr="009E1B38" w:rsidRDefault="00824806" w:rsidP="00702CE4">
      <w:pPr>
        <w:jc w:val="center"/>
        <w:rPr>
          <w:rFonts w:ascii="Times New Roman" w:hAnsi="Times New Roman"/>
        </w:rPr>
      </w:pPr>
      <w:r w:rsidRPr="009E1B38">
        <w:rPr>
          <w:rFonts w:ascii="Times New Roman" w:hAnsi="Times New Roman"/>
          <w:noProof/>
          <w:lang w:val="tr-TR" w:eastAsia="tr-TR"/>
        </w:rPr>
        <w:drawing>
          <wp:inline distT="0" distB="0" distL="0" distR="0" wp14:anchorId="59252E1F" wp14:editId="14B1D19E">
            <wp:extent cx="5067300" cy="2290842"/>
            <wp:effectExtent l="0" t="0" r="0" b="0"/>
            <wp:docPr id="589375043" name="Picture 58937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5067300" cy="2290842"/>
                    </a:xfrm>
                    <a:prstGeom prst="rect">
                      <a:avLst/>
                    </a:prstGeom>
                  </pic:spPr>
                </pic:pic>
              </a:graphicData>
            </a:graphic>
          </wp:inline>
        </w:drawing>
      </w:r>
    </w:p>
    <w:p w14:paraId="7D4A8D5A" w14:textId="77777777" w:rsidR="00FB6EAC" w:rsidRPr="009E1B38" w:rsidRDefault="00FB6EAC" w:rsidP="00FB6EAC">
      <w:pPr>
        <w:pStyle w:val="AralkYok"/>
        <w:rPr>
          <w:rFonts w:ascii="Times New Roman" w:eastAsia="Times New Roman" w:hAnsi="Times New Roman" w:cs="Times New Roman"/>
          <w:lang w:val="en-US"/>
        </w:rPr>
      </w:pPr>
    </w:p>
    <w:p w14:paraId="7AA92A14" w14:textId="2C2BBA7C" w:rsidR="00D44B16" w:rsidRPr="009E1B38" w:rsidRDefault="5B3E9DD7" w:rsidP="5B3E9DD7">
      <w:pPr>
        <w:pStyle w:val="Balk2"/>
        <w:rPr>
          <w:rFonts w:eastAsia="Times New Roman" w:cs="Times New Roman"/>
        </w:rPr>
      </w:pPr>
      <w:bookmarkStart w:id="300" w:name="_Toc113615393"/>
      <w:bookmarkEnd w:id="295"/>
      <w:bookmarkEnd w:id="296"/>
      <w:r w:rsidRPr="009E1B38">
        <w:rPr>
          <w:rFonts w:eastAsia="Times New Roman" w:cs="Times New Roman"/>
        </w:rPr>
        <w:t>8.2. Providing Opinion</w:t>
      </w:r>
      <w:bookmarkEnd w:id="300"/>
    </w:p>
    <w:p w14:paraId="02A3F2FA" w14:textId="37BF415F" w:rsidR="00D44B16" w:rsidRPr="009E1B38" w:rsidRDefault="5B3E9DD7" w:rsidP="5B3E9DD7">
      <w:pPr>
        <w:autoSpaceDE w:val="0"/>
        <w:autoSpaceDN w:val="0"/>
        <w:adjustRightInd w:val="0"/>
        <w:spacing w:after="0"/>
        <w:rPr>
          <w:rFonts w:ascii="Times New Roman" w:eastAsia="Times New Roman" w:hAnsi="Times New Roman"/>
        </w:rPr>
      </w:pPr>
      <w:r w:rsidRPr="009E1B38">
        <w:rPr>
          <w:rFonts w:ascii="Times New Roman" w:eastAsia="Times New Roman" w:hAnsi="Times New Roman"/>
        </w:rPr>
        <w:t>Our Authority's service units are given opinions before establishing procedures that may bind our Authority, impose obligations on our Authority, or cause conflicts to which our Authority or its members may be a party, or on a legal issue, through regulatory procedures such as the preparation of legislation in which they carry out their work. In addition, opinions are given to the Presidency, Ministries and other Public Authorities and Organizations, apart from the service units of our Authority.</w:t>
      </w:r>
    </w:p>
    <w:p w14:paraId="2F43398D" w14:textId="71C65E81" w:rsidR="00D44B16" w:rsidRPr="009E1B38" w:rsidRDefault="5B3E9DD7" w:rsidP="5B3E9DD7">
      <w:pPr>
        <w:autoSpaceDE w:val="0"/>
        <w:autoSpaceDN w:val="0"/>
        <w:adjustRightInd w:val="0"/>
        <w:spacing w:after="0"/>
        <w:ind w:firstLine="360"/>
        <w:rPr>
          <w:rFonts w:ascii="Times New Roman" w:eastAsia="Times New Roman" w:hAnsi="Times New Roman"/>
        </w:rPr>
      </w:pPr>
      <w:r w:rsidRPr="009E1B38">
        <w:rPr>
          <w:rFonts w:ascii="Times New Roman" w:eastAsia="Times New Roman" w:hAnsi="Times New Roman"/>
        </w:rPr>
        <w:t>In this context;</w:t>
      </w:r>
    </w:p>
    <w:p w14:paraId="6E0D7EC6" w14:textId="6B702AB0" w:rsidR="00D44B16" w:rsidRPr="009E1B38" w:rsidRDefault="5B3E9DD7" w:rsidP="5B3E9DD7">
      <w:pPr>
        <w:autoSpaceDE w:val="0"/>
        <w:autoSpaceDN w:val="0"/>
        <w:adjustRightInd w:val="0"/>
        <w:spacing w:after="0"/>
        <w:ind w:firstLine="360"/>
        <w:rPr>
          <w:rFonts w:ascii="Times New Roman" w:eastAsia="Times New Roman" w:hAnsi="Times New Roman"/>
        </w:rPr>
      </w:pPr>
      <w:r w:rsidRPr="009E1B38">
        <w:rPr>
          <w:rFonts w:ascii="Times New Roman" w:eastAsia="Times New Roman" w:hAnsi="Times New Roman"/>
        </w:rPr>
        <w:t>• In 2021, 183 legal opinions were given.</w:t>
      </w:r>
    </w:p>
    <w:p w14:paraId="7D4A8D60" w14:textId="5368461E" w:rsidR="00D44B16" w:rsidRPr="009E1B38" w:rsidRDefault="5B3E9DD7" w:rsidP="00FB6EAC">
      <w:pPr>
        <w:autoSpaceDE w:val="0"/>
        <w:autoSpaceDN w:val="0"/>
        <w:adjustRightInd w:val="0"/>
        <w:spacing w:after="0"/>
        <w:ind w:firstLine="360"/>
        <w:rPr>
          <w:rFonts w:ascii="Times New Roman" w:eastAsia="Times New Roman" w:hAnsi="Times New Roman"/>
        </w:rPr>
      </w:pPr>
      <w:r w:rsidRPr="009E1B38">
        <w:rPr>
          <w:rFonts w:ascii="Times New Roman" w:eastAsia="Times New Roman" w:hAnsi="Times New Roman"/>
        </w:rPr>
        <w:t>• As of 31.12.2020, a total of 3.083 legal opinions were given.</w:t>
      </w:r>
    </w:p>
    <w:p w14:paraId="4575B6C4" w14:textId="6FBCB278" w:rsidR="292F1520" w:rsidRPr="009E1B38" w:rsidRDefault="292F1520" w:rsidP="292F1520">
      <w:pPr>
        <w:spacing w:after="0"/>
        <w:rPr>
          <w:rFonts w:ascii="Times New Roman" w:eastAsia="Times New Roman" w:hAnsi="Times New Roman"/>
        </w:rPr>
      </w:pPr>
    </w:p>
    <w:p w14:paraId="59DD3A10" w14:textId="38CA7867" w:rsidR="5B3E9DD7" w:rsidRPr="009E1B38" w:rsidRDefault="5B3E9DD7" w:rsidP="5B3E9DD7">
      <w:pPr>
        <w:pStyle w:val="Balk5"/>
        <w:jc w:val="center"/>
        <w:rPr>
          <w:rFonts w:ascii="Times New Roman" w:eastAsia="Times New Roman" w:hAnsi="Times New Roman" w:cs="Times New Roman"/>
          <w:b w:val="0"/>
          <w:color w:val="auto"/>
        </w:rPr>
      </w:pPr>
      <w:bookmarkStart w:id="301" w:name="_Toc107499551"/>
      <w:r w:rsidRPr="009E1B38">
        <w:rPr>
          <w:rFonts w:ascii="Times New Roman" w:eastAsia="Times New Roman" w:hAnsi="Times New Roman" w:cs="Times New Roman"/>
          <w:color w:val="auto"/>
        </w:rPr>
        <w:lastRenderedPageBreak/>
        <w:t>Table 8.7: Distribution of Opinions Given by the Legal Department as of the End of 2020</w:t>
      </w:r>
      <w:bookmarkEnd w:id="301"/>
    </w:p>
    <w:tbl>
      <w:tblPr>
        <w:tblW w:w="4438" w:type="pct"/>
        <w:jc w:val="center"/>
        <w:tblCellMar>
          <w:left w:w="70" w:type="dxa"/>
          <w:right w:w="70" w:type="dxa"/>
        </w:tblCellMar>
        <w:tblLook w:val="04A0" w:firstRow="1" w:lastRow="0" w:firstColumn="1" w:lastColumn="0" w:noHBand="0" w:noVBand="1"/>
      </w:tblPr>
      <w:tblGrid>
        <w:gridCol w:w="6214"/>
        <w:gridCol w:w="1393"/>
        <w:gridCol w:w="1324"/>
      </w:tblGrid>
      <w:tr w:rsidR="00FB6EAC" w:rsidRPr="009E1B38" w14:paraId="7D4A8D66" w14:textId="77777777" w:rsidTr="5B3E9DD7">
        <w:trPr>
          <w:trHeight w:val="397"/>
          <w:jc w:val="center"/>
        </w:trPr>
        <w:tc>
          <w:tcPr>
            <w:tcW w:w="347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6E9ECA"/>
            <w:hideMark/>
          </w:tcPr>
          <w:p w14:paraId="7D4A8D63" w14:textId="539801C9" w:rsidR="00FB6EAC" w:rsidRPr="009E1B38" w:rsidRDefault="5B3E9DD7" w:rsidP="00FB6EAC">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Places of Opinion</w:t>
            </w:r>
          </w:p>
        </w:tc>
        <w:tc>
          <w:tcPr>
            <w:tcW w:w="780" w:type="pct"/>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hideMark/>
          </w:tcPr>
          <w:p w14:paraId="7D4A8D64" w14:textId="0E71DBE2" w:rsidR="00FB6EAC" w:rsidRPr="009E1B38" w:rsidRDefault="5B3E9DD7" w:rsidP="00FB6EAC">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Number of Opinion</w:t>
            </w:r>
          </w:p>
        </w:tc>
        <w:tc>
          <w:tcPr>
            <w:tcW w:w="741" w:type="pct"/>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hideMark/>
          </w:tcPr>
          <w:p w14:paraId="7D4A8D65" w14:textId="00E170B5" w:rsidR="00FB6EAC" w:rsidRPr="009E1B38" w:rsidRDefault="5B3E9DD7" w:rsidP="00FB6EAC">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rPr>
              <w:t>Rate</w:t>
            </w:r>
            <w:r w:rsidR="006A2E5D" w:rsidRPr="009E1B38">
              <w:rPr>
                <w:rFonts w:ascii="Times New Roman" w:eastAsia="Times New Roman" w:hAnsi="Times New Roman"/>
                <w:b/>
                <w:color w:val="FFFFFF" w:themeColor="background1"/>
              </w:rPr>
              <w:t xml:space="preserve"> </w:t>
            </w:r>
            <w:r w:rsidR="006A2E5D" w:rsidRPr="009E1B38">
              <w:rPr>
                <w:rFonts w:ascii="Times New Roman" w:eastAsia="Times New Roman" w:hAnsi="Times New Roman"/>
                <w:b/>
                <w:color w:val="FFFFFF" w:themeColor="background1"/>
                <w:lang w:eastAsia="tr-TR"/>
              </w:rPr>
              <w:t>(</w:t>
            </w:r>
            <w:r w:rsidR="00FB6EAC" w:rsidRPr="009E1B38">
              <w:rPr>
                <w:rFonts w:ascii="Times New Roman" w:eastAsia="Times New Roman" w:hAnsi="Times New Roman"/>
                <w:b/>
                <w:color w:val="FFFFFF" w:themeColor="background1"/>
                <w:lang w:eastAsia="tr-TR"/>
              </w:rPr>
              <w:t>%)</w:t>
            </w:r>
          </w:p>
        </w:tc>
      </w:tr>
      <w:tr w:rsidR="000454E9" w:rsidRPr="009E1B38" w14:paraId="7D4A8D6A"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67" w14:textId="76EFD570"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Electricity Market Department</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68"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854</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69"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27,70</w:t>
            </w:r>
          </w:p>
        </w:tc>
      </w:tr>
      <w:tr w:rsidR="000454E9" w:rsidRPr="009E1B38" w14:paraId="7D4A8D6E"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6B" w14:textId="655DC38B"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Natural Gas Market Department</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6C"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455</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6D"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14,76 </w:t>
            </w:r>
          </w:p>
        </w:tc>
      </w:tr>
      <w:tr w:rsidR="000454E9" w:rsidRPr="009E1B38" w14:paraId="7D4A8D72"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6F" w14:textId="598402DD"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Petroleum Market Department</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70"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625</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71"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20,27</w:t>
            </w:r>
          </w:p>
        </w:tc>
      </w:tr>
      <w:tr w:rsidR="000454E9" w:rsidRPr="009E1B38" w14:paraId="7D4A8D76"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73" w14:textId="6D73DE86"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Liquefied Petroleum Gases Market Department</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74"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211</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75"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6,84</w:t>
            </w:r>
          </w:p>
        </w:tc>
      </w:tr>
      <w:tr w:rsidR="000454E9" w:rsidRPr="009E1B38" w14:paraId="7D4A8D7A"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77" w14:textId="0A68AB6C"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Expropriation Department</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78"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37</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79"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1,20 </w:t>
            </w:r>
          </w:p>
        </w:tc>
      </w:tr>
      <w:tr w:rsidR="000454E9" w:rsidRPr="009E1B38" w14:paraId="7D4A8D7E"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7B" w14:textId="20000F78"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Audit Department</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7C"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228</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7D"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7,40</w:t>
            </w:r>
          </w:p>
        </w:tc>
      </w:tr>
      <w:tr w:rsidR="000454E9" w:rsidRPr="009E1B38" w14:paraId="7D4A8D82"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7F" w14:textId="164634FD"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Tariffs Department</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80"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100</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81"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3,24</w:t>
            </w:r>
          </w:p>
        </w:tc>
      </w:tr>
      <w:tr w:rsidR="000454E9" w:rsidRPr="009E1B38" w14:paraId="7D4A8D86"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83" w14:textId="2E0466D1"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Human Resources and Support Services Department</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84"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110</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85"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3,57 </w:t>
            </w:r>
          </w:p>
        </w:tc>
      </w:tr>
      <w:tr w:rsidR="000454E9" w:rsidRPr="009E1B38" w14:paraId="7D4A8D8A"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87" w14:textId="3E84C01A"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Strategy Development Department</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88"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130</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89"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4,22</w:t>
            </w:r>
          </w:p>
        </w:tc>
      </w:tr>
      <w:tr w:rsidR="000454E9" w:rsidRPr="009E1B38" w14:paraId="7D4A8D8E"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tcPr>
          <w:p w14:paraId="7D4A8D8B" w14:textId="3EE796C3"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Information Technology Department</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8C"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8D"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0,19 </w:t>
            </w:r>
          </w:p>
        </w:tc>
      </w:tr>
      <w:tr w:rsidR="000454E9" w:rsidRPr="009E1B38" w14:paraId="7D4A8D92"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8F" w14:textId="393A8019"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Special Bureau for the Board</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90"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91"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0,13</w:t>
            </w:r>
          </w:p>
        </w:tc>
      </w:tr>
      <w:tr w:rsidR="000454E9" w:rsidRPr="009E1B38" w14:paraId="7D4A8D96"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93" w14:textId="1D021692" w:rsidR="000454E9" w:rsidRPr="009E1B38" w:rsidRDefault="5B3E9DD7"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Presidency, Ministries and Other State Authorities</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94"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323</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95"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 10,48 </w:t>
            </w:r>
          </w:p>
        </w:tc>
      </w:tr>
      <w:tr w:rsidR="000454E9" w:rsidRPr="009E1B38" w14:paraId="7D4A8D9A" w14:textId="77777777" w:rsidTr="5B3E9DD7">
        <w:trPr>
          <w:trHeight w:val="397"/>
          <w:jc w:val="center"/>
        </w:trPr>
        <w:tc>
          <w:tcPr>
            <w:tcW w:w="3479"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97" w14:textId="72A7C92E" w:rsidR="000454E9" w:rsidRPr="009E1B38" w:rsidRDefault="5B3E9DD7" w:rsidP="000454E9">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TOTAL</w:t>
            </w:r>
          </w:p>
        </w:tc>
        <w:tc>
          <w:tcPr>
            <w:tcW w:w="780"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98" w14:textId="77777777" w:rsidR="000454E9" w:rsidRPr="009E1B38" w:rsidRDefault="000454E9" w:rsidP="000454E9">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3.083</w:t>
            </w:r>
          </w:p>
        </w:tc>
        <w:tc>
          <w:tcPr>
            <w:tcW w:w="741"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D99" w14:textId="77777777" w:rsidR="000454E9" w:rsidRPr="009E1B38" w:rsidRDefault="000454E9" w:rsidP="000454E9">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r>
    </w:tbl>
    <w:p w14:paraId="7D4A8DA4" w14:textId="23CC3C7A" w:rsidR="0078671F" w:rsidRPr="009E1B38" w:rsidRDefault="0078671F" w:rsidP="00FB6EAC">
      <w:pPr>
        <w:rPr>
          <w:rFonts w:ascii="Times New Roman" w:eastAsia="Times New Roman" w:hAnsi="Times New Roman"/>
          <w:b/>
        </w:rPr>
      </w:pPr>
    </w:p>
    <w:p w14:paraId="3B0EB21D" w14:textId="23CC3C7A" w:rsidR="29720196" w:rsidRPr="009E1B38" w:rsidRDefault="29720196" w:rsidP="29720196">
      <w:pPr>
        <w:pStyle w:val="Balk5"/>
        <w:jc w:val="center"/>
        <w:rPr>
          <w:rFonts w:ascii="Times New Roman" w:eastAsia="Times New Roman" w:hAnsi="Times New Roman" w:cs="Times New Roman"/>
          <w:b w:val="0"/>
          <w:color w:val="auto"/>
        </w:rPr>
      </w:pPr>
      <w:bookmarkStart w:id="302" w:name="_Toc107499552"/>
      <w:r w:rsidRPr="009E1B38">
        <w:rPr>
          <w:rFonts w:ascii="Times New Roman" w:eastAsia="Times New Roman" w:hAnsi="Times New Roman" w:cs="Times New Roman"/>
          <w:color w:val="auto"/>
        </w:rPr>
        <w:t>Table 8.8: Distribution of Opinions Given by the Legal Department by Years</w:t>
      </w:r>
      <w:bookmarkEnd w:id="302"/>
    </w:p>
    <w:tbl>
      <w:tblPr>
        <w:tblW w:w="5000" w:type="pct"/>
        <w:jc w:val="center"/>
        <w:tblCellMar>
          <w:left w:w="70" w:type="dxa"/>
          <w:right w:w="70" w:type="dxa"/>
        </w:tblCellMar>
        <w:tblLook w:val="04A0" w:firstRow="1" w:lastRow="0" w:firstColumn="1" w:lastColumn="0" w:noHBand="0" w:noVBand="1"/>
      </w:tblPr>
      <w:tblGrid>
        <w:gridCol w:w="3686"/>
        <w:gridCol w:w="1032"/>
        <w:gridCol w:w="1270"/>
        <w:gridCol w:w="1022"/>
        <w:gridCol w:w="1022"/>
        <w:gridCol w:w="1022"/>
        <w:gridCol w:w="1008"/>
      </w:tblGrid>
      <w:tr w:rsidR="00441B33" w:rsidRPr="009E1B38" w14:paraId="7D4A8DAA" w14:textId="77777777" w:rsidTr="5BA1BEEE">
        <w:trPr>
          <w:trHeight w:val="397"/>
          <w:jc w:val="center"/>
        </w:trPr>
        <w:tc>
          <w:tcPr>
            <w:tcW w:w="1831" w:type="pct"/>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6E9ECA"/>
            <w:hideMark/>
          </w:tcPr>
          <w:p w14:paraId="7D4A8DA6" w14:textId="5D60059F" w:rsidR="00441B33" w:rsidRPr="009E1B38" w:rsidRDefault="29720196" w:rsidP="005928F4">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Places of Opinion</w:t>
            </w:r>
          </w:p>
        </w:tc>
        <w:tc>
          <w:tcPr>
            <w:tcW w:w="1144" w:type="pct"/>
            <w:gridSpan w:val="2"/>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hideMark/>
          </w:tcPr>
          <w:p w14:paraId="7D4A8DA7" w14:textId="5B52AD09" w:rsidR="00441B33" w:rsidRPr="009E1B38" w:rsidRDefault="29720196" w:rsidP="005928F4">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 xml:space="preserve">Year </w:t>
            </w:r>
            <w:r w:rsidR="00441B33" w:rsidRPr="009E1B38">
              <w:rPr>
                <w:rFonts w:ascii="Times New Roman" w:eastAsia="Times New Roman" w:hAnsi="Times New Roman"/>
                <w:b/>
                <w:color w:val="FFFFFF" w:themeColor="background1"/>
                <w:lang w:eastAsia="tr-TR"/>
              </w:rPr>
              <w:t>201</w:t>
            </w:r>
            <w:r w:rsidR="000454E9" w:rsidRPr="009E1B38">
              <w:rPr>
                <w:rFonts w:ascii="Times New Roman" w:eastAsia="Times New Roman" w:hAnsi="Times New Roman"/>
                <w:b/>
                <w:color w:val="FFFFFF" w:themeColor="background1"/>
                <w:lang w:eastAsia="tr-TR"/>
              </w:rPr>
              <w:t>9</w:t>
            </w:r>
          </w:p>
        </w:tc>
        <w:tc>
          <w:tcPr>
            <w:tcW w:w="1016" w:type="pct"/>
            <w:gridSpan w:val="2"/>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hideMark/>
          </w:tcPr>
          <w:p w14:paraId="7D4A8DA8" w14:textId="28013620" w:rsidR="00441B33" w:rsidRPr="009E1B38" w:rsidRDefault="5BA1BEEE" w:rsidP="005928F4">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 xml:space="preserve">Year </w:t>
            </w:r>
            <w:r w:rsidR="00441B33" w:rsidRPr="009E1B38">
              <w:rPr>
                <w:rFonts w:ascii="Times New Roman" w:eastAsia="Times New Roman" w:hAnsi="Times New Roman"/>
                <w:b/>
                <w:color w:val="FFFFFF" w:themeColor="background1"/>
                <w:lang w:eastAsia="tr-TR"/>
              </w:rPr>
              <w:t>20</w:t>
            </w:r>
            <w:r w:rsidR="000454E9" w:rsidRPr="009E1B38">
              <w:rPr>
                <w:rFonts w:ascii="Times New Roman" w:eastAsia="Times New Roman" w:hAnsi="Times New Roman"/>
                <w:b/>
                <w:color w:val="FFFFFF" w:themeColor="background1"/>
                <w:lang w:eastAsia="tr-TR"/>
              </w:rPr>
              <w:t>20</w:t>
            </w:r>
            <w:r w:rsidR="00441B33" w:rsidRPr="009E1B38">
              <w:rPr>
                <w:rFonts w:ascii="Times New Roman" w:eastAsia="Times New Roman" w:hAnsi="Times New Roman"/>
                <w:b/>
                <w:color w:val="FFFFFF" w:themeColor="background1"/>
                <w:lang w:eastAsia="tr-TR"/>
              </w:rPr>
              <w:t xml:space="preserve"> </w:t>
            </w:r>
          </w:p>
        </w:tc>
        <w:tc>
          <w:tcPr>
            <w:tcW w:w="1009" w:type="pct"/>
            <w:gridSpan w:val="2"/>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6E9ECA"/>
            <w:hideMark/>
          </w:tcPr>
          <w:p w14:paraId="7D4A8DA9" w14:textId="28013620" w:rsidR="00441B33" w:rsidRPr="009E1B38" w:rsidRDefault="5BA1BEEE" w:rsidP="005928F4">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 xml:space="preserve">Year </w:t>
            </w:r>
            <w:r w:rsidR="00441B33" w:rsidRPr="009E1B38">
              <w:rPr>
                <w:rFonts w:ascii="Times New Roman" w:eastAsia="Times New Roman" w:hAnsi="Times New Roman"/>
                <w:b/>
                <w:color w:val="FFFFFF" w:themeColor="background1"/>
                <w:lang w:eastAsia="tr-TR"/>
              </w:rPr>
              <w:t>202</w:t>
            </w:r>
            <w:r w:rsidR="000454E9" w:rsidRPr="009E1B38">
              <w:rPr>
                <w:rFonts w:ascii="Times New Roman" w:eastAsia="Times New Roman" w:hAnsi="Times New Roman"/>
                <w:b/>
                <w:color w:val="FFFFFF" w:themeColor="background1"/>
                <w:lang w:eastAsia="tr-TR"/>
              </w:rPr>
              <w:t>1</w:t>
            </w:r>
            <w:r w:rsidR="00441B33" w:rsidRPr="009E1B38">
              <w:rPr>
                <w:rFonts w:ascii="Times New Roman" w:eastAsia="Times New Roman" w:hAnsi="Times New Roman"/>
                <w:b/>
                <w:color w:val="FFFFFF" w:themeColor="background1"/>
                <w:lang w:eastAsia="tr-TR"/>
              </w:rPr>
              <w:t xml:space="preserve"> </w:t>
            </w:r>
          </w:p>
        </w:tc>
      </w:tr>
      <w:tr w:rsidR="00441B33" w:rsidRPr="009E1B38" w14:paraId="7D4A8DB2" w14:textId="77777777" w:rsidTr="5BA1BEEE">
        <w:trPr>
          <w:trHeight w:val="397"/>
          <w:jc w:val="center"/>
        </w:trPr>
        <w:tc>
          <w:tcPr>
            <w:tcW w:w="1831" w:type="pct"/>
            <w:vMerge/>
            <w:hideMark/>
          </w:tcPr>
          <w:p w14:paraId="7D4A8DAB" w14:textId="77777777" w:rsidR="00441B33" w:rsidRPr="009E1B38" w:rsidRDefault="00441B33" w:rsidP="005928F4">
            <w:pPr>
              <w:spacing w:after="0" w:line="240" w:lineRule="auto"/>
              <w:rPr>
                <w:rFonts w:ascii="Times New Roman" w:eastAsia="Times New Roman" w:hAnsi="Times New Roman"/>
                <w:b/>
                <w:bCs/>
                <w:color w:val="FFFFFF"/>
                <w:lang w:eastAsia="tr-TR"/>
              </w:rPr>
            </w:pP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6E9ECA"/>
            <w:hideMark/>
          </w:tcPr>
          <w:p w14:paraId="7D4A8DAC" w14:textId="28013620" w:rsidR="00441B33" w:rsidRPr="009E1B38" w:rsidRDefault="5BA1BEEE" w:rsidP="005928F4">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Number of Opinion</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6E9ECA"/>
            <w:hideMark/>
          </w:tcPr>
          <w:p w14:paraId="7D4A8DAD" w14:textId="393F567D" w:rsidR="00441B33" w:rsidRPr="009E1B38" w:rsidRDefault="00704015" w:rsidP="005928F4">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Rate (</w:t>
            </w:r>
            <w:r w:rsidR="00441B33" w:rsidRPr="009E1B38">
              <w:rPr>
                <w:rFonts w:ascii="Times New Roman" w:eastAsia="Times New Roman" w:hAnsi="Times New Roman"/>
                <w:b/>
                <w:color w:val="FFFFFF" w:themeColor="background1"/>
                <w:lang w:eastAsia="tr-TR"/>
              </w:rPr>
              <w:t>%)</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6E9ECA"/>
            <w:hideMark/>
          </w:tcPr>
          <w:p w14:paraId="7D4A8DAE" w14:textId="28013620" w:rsidR="00441B33" w:rsidRPr="009E1B38" w:rsidRDefault="5BA1BEEE" w:rsidP="005928F4">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Number of Opinion</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6E9ECA"/>
            <w:hideMark/>
          </w:tcPr>
          <w:p w14:paraId="7D4A8DAF" w14:textId="5B92F4CE" w:rsidR="00441B33" w:rsidRPr="009E1B38" w:rsidRDefault="5BA1BEEE" w:rsidP="005928F4">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Rate</w:t>
            </w:r>
            <w:r w:rsidR="006A2E5D" w:rsidRPr="009E1B38">
              <w:rPr>
                <w:rFonts w:ascii="Times New Roman" w:eastAsia="Times New Roman" w:hAnsi="Times New Roman"/>
                <w:b/>
                <w:color w:val="FFFFFF" w:themeColor="background1"/>
                <w:lang w:eastAsia="tr-TR"/>
              </w:rPr>
              <w:t xml:space="preserve"> (</w:t>
            </w:r>
            <w:r w:rsidR="00441B33" w:rsidRPr="009E1B38">
              <w:rPr>
                <w:rFonts w:ascii="Times New Roman" w:eastAsia="Times New Roman" w:hAnsi="Times New Roman"/>
                <w:b/>
                <w:color w:val="FFFFFF" w:themeColor="background1"/>
                <w:lang w:eastAsia="tr-TR"/>
              </w:rPr>
              <w:t>%)</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6E9ECA"/>
            <w:hideMark/>
          </w:tcPr>
          <w:p w14:paraId="7D4A8DB0" w14:textId="28013620" w:rsidR="00441B33" w:rsidRPr="009E1B38" w:rsidRDefault="5BA1BEEE" w:rsidP="005928F4">
            <w:pPr>
              <w:spacing w:after="0" w:line="240" w:lineRule="auto"/>
              <w:jc w:val="center"/>
              <w:rPr>
                <w:rFonts w:ascii="Times New Roman" w:eastAsia="Times New Roman" w:hAnsi="Times New Roman"/>
                <w:b/>
                <w:color w:val="FFFFFF" w:themeColor="background1"/>
              </w:rPr>
            </w:pPr>
            <w:r w:rsidRPr="009E1B38">
              <w:rPr>
                <w:rFonts w:ascii="Times New Roman" w:eastAsia="Times New Roman" w:hAnsi="Times New Roman"/>
                <w:b/>
                <w:color w:val="FFFFFF" w:themeColor="background1"/>
              </w:rPr>
              <w:t>Number of Opinion</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6E9ECA"/>
            <w:hideMark/>
          </w:tcPr>
          <w:p w14:paraId="7D4A8DB1" w14:textId="5A6E6D7C" w:rsidR="00441B33" w:rsidRPr="009E1B38" w:rsidRDefault="5BA1BEEE" w:rsidP="005928F4">
            <w:pPr>
              <w:spacing w:after="0" w:line="240" w:lineRule="auto"/>
              <w:jc w:val="center"/>
              <w:rPr>
                <w:rFonts w:ascii="Times New Roman" w:eastAsia="Times New Roman" w:hAnsi="Times New Roman"/>
                <w:b/>
                <w:color w:val="FFFFFF"/>
                <w:lang w:eastAsia="tr-TR"/>
              </w:rPr>
            </w:pPr>
            <w:r w:rsidRPr="009E1B38">
              <w:rPr>
                <w:rFonts w:ascii="Times New Roman" w:eastAsia="Times New Roman" w:hAnsi="Times New Roman"/>
                <w:b/>
                <w:color w:val="FFFFFF" w:themeColor="background1"/>
                <w:lang w:eastAsia="tr-TR"/>
              </w:rPr>
              <w:t>Rate</w:t>
            </w:r>
            <w:r w:rsidR="006A2E5D" w:rsidRPr="009E1B38">
              <w:rPr>
                <w:rFonts w:ascii="Times New Roman" w:eastAsia="Times New Roman" w:hAnsi="Times New Roman"/>
                <w:b/>
                <w:color w:val="FFFFFF" w:themeColor="background1"/>
                <w:lang w:eastAsia="tr-TR"/>
              </w:rPr>
              <w:t xml:space="preserve"> (</w:t>
            </w:r>
            <w:r w:rsidR="00441B33" w:rsidRPr="009E1B38">
              <w:rPr>
                <w:rFonts w:ascii="Times New Roman" w:eastAsia="Times New Roman" w:hAnsi="Times New Roman"/>
                <w:b/>
                <w:color w:val="FFFFFF" w:themeColor="background1"/>
                <w:lang w:eastAsia="tr-TR"/>
              </w:rPr>
              <w:t>%)</w:t>
            </w:r>
          </w:p>
        </w:tc>
      </w:tr>
      <w:tr w:rsidR="000454E9" w:rsidRPr="009E1B38" w14:paraId="7D4A8DBA"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B3" w14:textId="1A8030B3" w:rsidR="000454E9" w:rsidRPr="009E1B38" w:rsidRDefault="69ED813E"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Electricity Market Department</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B4"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24</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B5"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17,14</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DB6"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14</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B7"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8,81</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B8"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22</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DB9"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12,02 </w:t>
            </w:r>
          </w:p>
        </w:tc>
      </w:tr>
      <w:tr w:rsidR="000454E9" w:rsidRPr="009E1B38" w14:paraId="7D4A8DC2"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BB" w14:textId="107DF54E" w:rsidR="000454E9" w:rsidRPr="009E1B38" w:rsidRDefault="27D240B9"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Natural Gas Market Department</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BC"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13</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BD"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9,29</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DBE"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14</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BF"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8,81</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C0"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DC1"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2,73 </w:t>
            </w:r>
          </w:p>
        </w:tc>
      </w:tr>
      <w:tr w:rsidR="000454E9" w:rsidRPr="009E1B38" w14:paraId="7D4A8DCA"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C3" w14:textId="0BCB36E9" w:rsidR="000454E9" w:rsidRPr="009E1B38" w:rsidRDefault="27D240B9"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Petroleum Market Department</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C4"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43</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C5"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30,71</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DC6"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30</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C7"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18,87</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C8"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36</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DC9"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19,67</w:t>
            </w:r>
          </w:p>
        </w:tc>
      </w:tr>
      <w:tr w:rsidR="000454E9" w:rsidRPr="009E1B38" w14:paraId="7D4A8DD2"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CB" w14:textId="7401A190" w:rsidR="000454E9" w:rsidRPr="009E1B38" w:rsidRDefault="27D240B9" w:rsidP="1A05F5B3">
            <w:pPr>
              <w:spacing w:after="0" w:line="240" w:lineRule="auto"/>
              <w:jc w:val="left"/>
              <w:rPr>
                <w:rFonts w:ascii="Times New Roman" w:eastAsia="Times New Roman" w:hAnsi="Times New Roman"/>
                <w:color w:val="000000" w:themeColor="text1"/>
              </w:rPr>
            </w:pPr>
            <w:r w:rsidRPr="009E1B38">
              <w:rPr>
                <w:rFonts w:ascii="Times New Roman" w:eastAsia="Times New Roman" w:hAnsi="Times New Roman"/>
                <w:color w:val="000000" w:themeColor="text1"/>
              </w:rPr>
              <w:t>Liquefied Petroleum Gases Department</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CC"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CD"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3,57</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DCE"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CF"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0,63</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D0"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DD1"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2,73 </w:t>
            </w:r>
          </w:p>
        </w:tc>
      </w:tr>
      <w:tr w:rsidR="000454E9" w:rsidRPr="009E1B38" w14:paraId="7D4A8DDA"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D3" w14:textId="0838D45E" w:rsidR="000454E9" w:rsidRPr="009E1B38" w:rsidRDefault="27D240B9"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Expropriation Department</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D4"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D5"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0,71</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DD6"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D7"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3,77</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D8"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DD9"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3,83 </w:t>
            </w:r>
          </w:p>
        </w:tc>
      </w:tr>
      <w:tr w:rsidR="000454E9" w:rsidRPr="009E1B38" w14:paraId="7D4A8DE2"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DB" w14:textId="5B0C426E" w:rsidR="000454E9" w:rsidRPr="009E1B38" w:rsidRDefault="27D240B9"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Audit Department</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DC"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12</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DD"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8,57</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DDE"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DF"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5,66</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E0"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DE1"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4,92 </w:t>
            </w:r>
          </w:p>
        </w:tc>
      </w:tr>
      <w:tr w:rsidR="000454E9" w:rsidRPr="009E1B38" w14:paraId="7D4A8DEA"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E3" w14:textId="18261679" w:rsidR="000454E9" w:rsidRPr="009E1B38" w:rsidRDefault="27D240B9"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Tariffs Department</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E4"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E5"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1,43</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DE6"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E7"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4,40</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E8"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DE9"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0,55 </w:t>
            </w:r>
          </w:p>
        </w:tc>
      </w:tr>
      <w:tr w:rsidR="000454E9" w:rsidRPr="009E1B38" w14:paraId="7D4A8DF2"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EB" w14:textId="7A79F617" w:rsidR="000454E9" w:rsidRPr="009E1B38" w:rsidRDefault="097027CE" w:rsidP="000454E9">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themeColor="text1"/>
              </w:rPr>
              <w:t>Human Resources and Support Services Department</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EC"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ED"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1,43</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DEE"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EF"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0,63</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F0"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DF1"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1,09 </w:t>
            </w:r>
          </w:p>
        </w:tc>
      </w:tr>
      <w:tr w:rsidR="000454E9" w:rsidRPr="009E1B38" w14:paraId="7D4A8DFA"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DF3" w14:textId="1D2B32A7" w:rsidR="000454E9" w:rsidRPr="009E1B38" w:rsidRDefault="097027CE"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Strategy Development Department</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DF4"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7</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F5"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5,00</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DF6"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F7"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5,66</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F8"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DF9"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1,09 </w:t>
            </w:r>
          </w:p>
        </w:tc>
      </w:tr>
      <w:tr w:rsidR="000454E9" w:rsidRPr="009E1B38" w14:paraId="7D4A8E02"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tcPr>
          <w:p w14:paraId="7D4A8DFB" w14:textId="6EABB16E" w:rsidR="000454E9" w:rsidRPr="009E1B38" w:rsidRDefault="097027CE" w:rsidP="097027CE">
            <w:pPr>
              <w:spacing w:after="0" w:line="240" w:lineRule="auto"/>
              <w:jc w:val="left"/>
              <w:rPr>
                <w:rFonts w:ascii="Times New Roman" w:eastAsia="Times New Roman" w:hAnsi="Times New Roman"/>
                <w:color w:val="000000" w:themeColor="text1"/>
              </w:rPr>
            </w:pPr>
            <w:r w:rsidRPr="009E1B38">
              <w:rPr>
                <w:rFonts w:ascii="Times New Roman" w:eastAsia="Times New Roman" w:hAnsi="Times New Roman"/>
                <w:color w:val="000000" w:themeColor="text1"/>
              </w:rPr>
              <w:t>Information Technology Department*</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FC" w14:textId="77777777" w:rsidR="000454E9" w:rsidRPr="009E1B38" w:rsidRDefault="000B24A1" w:rsidP="000B24A1">
            <w:pPr>
              <w:pStyle w:val="ListeParagraf"/>
              <w:spacing w:after="0" w:line="240" w:lineRule="auto"/>
              <w:ind w:left="-23"/>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FD"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1,43</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DFE"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DFF"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1,89</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E00" w14:textId="77777777" w:rsidR="000454E9" w:rsidRPr="009E1B38" w:rsidDel="00D25A22"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E01"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 xml:space="preserve">0,55 </w:t>
            </w:r>
          </w:p>
        </w:tc>
      </w:tr>
      <w:tr w:rsidR="000454E9" w:rsidRPr="009E1B38" w14:paraId="7D4A8E0A"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E03" w14:textId="58642913" w:rsidR="000454E9" w:rsidRPr="009E1B38" w:rsidRDefault="097027CE" w:rsidP="000454E9">
            <w:pPr>
              <w:spacing w:after="0" w:line="240" w:lineRule="auto"/>
              <w:rPr>
                <w:rFonts w:ascii="Times New Roman" w:eastAsia="Times New Roman" w:hAnsi="Times New Roman"/>
                <w:color w:val="000000" w:themeColor="text1"/>
              </w:rPr>
            </w:pPr>
            <w:r w:rsidRPr="009E1B38">
              <w:rPr>
                <w:rFonts w:ascii="Times New Roman" w:eastAsia="Times New Roman" w:hAnsi="Times New Roman"/>
                <w:color w:val="000000" w:themeColor="text1"/>
              </w:rPr>
              <w:t>Presidency, Ministries and Other State Authorities</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E04"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29</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E05"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20,72</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E06"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65</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E07"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40,87</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tcPr>
          <w:p w14:paraId="7D4A8E08"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93</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E09" w14:textId="77777777" w:rsidR="000454E9" w:rsidRPr="009E1B38" w:rsidRDefault="000454E9" w:rsidP="000454E9">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55,82</w:t>
            </w:r>
          </w:p>
        </w:tc>
      </w:tr>
      <w:tr w:rsidR="000454E9" w:rsidRPr="009E1B38" w14:paraId="7D4A8E12" w14:textId="77777777" w:rsidTr="5BA1BEEE">
        <w:trPr>
          <w:trHeight w:val="397"/>
          <w:jc w:val="center"/>
        </w:trPr>
        <w:tc>
          <w:tcPr>
            <w:tcW w:w="1831" w:type="pct"/>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vAlign w:val="center"/>
            <w:hideMark/>
          </w:tcPr>
          <w:p w14:paraId="7D4A8E0B" w14:textId="325CFB55" w:rsidR="000454E9" w:rsidRPr="009E1B38" w:rsidRDefault="44506A2B" w:rsidP="000454E9">
            <w:pPr>
              <w:spacing w:after="0" w:line="240" w:lineRule="auto"/>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TOTAL</w:t>
            </w:r>
          </w:p>
        </w:tc>
        <w:tc>
          <w:tcPr>
            <w:tcW w:w="513"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E0C" w14:textId="77777777" w:rsidR="000454E9" w:rsidRPr="009E1B38" w:rsidRDefault="000454E9" w:rsidP="000454E9">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140</w:t>
            </w:r>
          </w:p>
        </w:tc>
        <w:tc>
          <w:tcPr>
            <w:tcW w:w="631"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E0D" w14:textId="77777777" w:rsidR="000454E9" w:rsidRPr="009E1B38" w:rsidRDefault="000454E9" w:rsidP="000454E9">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E0E" w14:textId="77777777" w:rsidR="000454E9" w:rsidRPr="009E1B38" w:rsidRDefault="000454E9" w:rsidP="000454E9">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159</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noWrap/>
            <w:vAlign w:val="center"/>
            <w:hideMark/>
          </w:tcPr>
          <w:p w14:paraId="7D4A8E0F" w14:textId="77777777" w:rsidR="000454E9" w:rsidRPr="009E1B38" w:rsidRDefault="000454E9" w:rsidP="000454E9">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c>
          <w:tcPr>
            <w:tcW w:w="508" w:type="pct"/>
            <w:tcBorders>
              <w:top w:val="nil"/>
              <w:left w:val="nil"/>
              <w:bottom w:val="single" w:sz="8" w:space="0" w:color="BFBFBF" w:themeColor="background1" w:themeShade="BF"/>
              <w:right w:val="single" w:sz="8" w:space="0" w:color="BFBFBF" w:themeColor="background1" w:themeShade="BF"/>
            </w:tcBorders>
            <w:shd w:val="clear" w:color="auto" w:fill="auto"/>
            <w:vAlign w:val="center"/>
          </w:tcPr>
          <w:p w14:paraId="7D4A8E10" w14:textId="77777777" w:rsidR="000454E9" w:rsidRPr="009E1B38" w:rsidRDefault="000454E9" w:rsidP="000454E9">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183</w:t>
            </w:r>
          </w:p>
        </w:tc>
        <w:tc>
          <w:tcPr>
            <w:tcW w:w="501" w:type="pct"/>
            <w:tcBorders>
              <w:top w:val="nil"/>
              <w:left w:val="nil"/>
              <w:bottom w:val="single" w:sz="8" w:space="0" w:color="BFBFBF" w:themeColor="background1" w:themeShade="BF"/>
              <w:right w:val="single" w:sz="8" w:space="0" w:color="BFBFBF" w:themeColor="background1" w:themeShade="BF"/>
            </w:tcBorders>
            <w:shd w:val="clear" w:color="auto" w:fill="auto"/>
            <w:vAlign w:val="center"/>
            <w:hideMark/>
          </w:tcPr>
          <w:p w14:paraId="7D4A8E11" w14:textId="77777777" w:rsidR="000454E9" w:rsidRPr="009E1B38" w:rsidRDefault="000454E9" w:rsidP="000454E9">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100</w:t>
            </w:r>
          </w:p>
        </w:tc>
      </w:tr>
    </w:tbl>
    <w:p w14:paraId="7D4A8E13" w14:textId="77777777" w:rsidR="004A0F57" w:rsidRPr="009E1B38" w:rsidRDefault="004A0F57" w:rsidP="008F5245">
      <w:pPr>
        <w:rPr>
          <w:rStyle w:val="Gl"/>
          <w:rFonts w:ascii="Times New Roman" w:eastAsia="Times New Roman" w:hAnsi="Times New Roman"/>
        </w:rPr>
      </w:pPr>
    </w:p>
    <w:p w14:paraId="45986A22" w14:textId="282A0BF2" w:rsidR="5BA1BEEE" w:rsidRPr="009E1B38" w:rsidRDefault="5BA1BEEE" w:rsidP="69ED813E">
      <w:pPr>
        <w:pStyle w:val="Balk5"/>
        <w:jc w:val="center"/>
        <w:rPr>
          <w:rFonts w:ascii="Times New Roman" w:eastAsia="Times New Roman" w:hAnsi="Times New Roman" w:cs="Times New Roman"/>
          <w:b w:val="0"/>
          <w:color w:val="auto"/>
        </w:rPr>
      </w:pPr>
      <w:bookmarkStart w:id="303" w:name="_Toc107499553"/>
      <w:r w:rsidRPr="009E1B38">
        <w:rPr>
          <w:rFonts w:ascii="Times New Roman" w:eastAsia="Times New Roman" w:hAnsi="Times New Roman" w:cs="Times New Roman"/>
          <w:color w:val="auto"/>
        </w:rPr>
        <w:lastRenderedPageBreak/>
        <w:t>Figure 8.3: Distribution of Opinions Given by the Legal Department by Years</w:t>
      </w:r>
      <w:bookmarkEnd w:id="303"/>
    </w:p>
    <w:p w14:paraId="7D4A8E15" w14:textId="190DF2B1" w:rsidR="000454E9" w:rsidRPr="009E1B38" w:rsidRDefault="00824806" w:rsidP="5B843FB2">
      <w:pPr>
        <w:jc w:val="left"/>
        <w:rPr>
          <w:rFonts w:ascii="Times New Roman" w:hAnsi="Times New Roman"/>
        </w:rPr>
        <w:sectPr w:rsidR="000454E9" w:rsidRPr="009E1B38" w:rsidSect="007650B8">
          <w:pgSz w:w="11906" w:h="16838"/>
          <w:pgMar w:top="1418" w:right="566" w:bottom="1418" w:left="1418" w:header="709" w:footer="709" w:gutter="0"/>
          <w:cols w:space="708"/>
          <w:docGrid w:linePitch="360"/>
        </w:sectPr>
      </w:pPr>
      <w:r w:rsidRPr="009E1B38">
        <w:rPr>
          <w:rFonts w:ascii="Times New Roman" w:hAnsi="Times New Roman"/>
          <w:noProof/>
          <w:lang w:val="tr-TR" w:eastAsia="tr-TR"/>
        </w:rPr>
        <w:drawing>
          <wp:inline distT="0" distB="0" distL="0" distR="0" wp14:anchorId="4D709F2A" wp14:editId="351AC4F8">
            <wp:extent cx="6315075" cy="3926920"/>
            <wp:effectExtent l="0" t="0" r="0" b="0"/>
            <wp:docPr id="219446974" name="Picture 219446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6315075" cy="3926920"/>
                    </a:xfrm>
                    <a:prstGeom prst="rect">
                      <a:avLst/>
                    </a:prstGeom>
                  </pic:spPr>
                </pic:pic>
              </a:graphicData>
            </a:graphic>
          </wp:inline>
        </w:drawing>
      </w:r>
    </w:p>
    <w:p w14:paraId="7D4A8E17" w14:textId="06134BF8" w:rsidR="00D730CF" w:rsidRPr="009E1B38" w:rsidRDefault="009412D1" w:rsidP="00D10B5F">
      <w:pPr>
        <w:pStyle w:val="Balk1"/>
        <w:spacing w:before="0"/>
        <w:rPr>
          <w:rFonts w:eastAsia="Times New Roman" w:cs="Times New Roman"/>
          <w:color w:val="000000"/>
          <w:sz w:val="22"/>
          <w:szCs w:val="22"/>
        </w:rPr>
      </w:pPr>
      <w:bookmarkStart w:id="304" w:name="_Toc113615394"/>
      <w:r w:rsidRPr="009E1B38">
        <w:rPr>
          <w:rFonts w:eastAsia="Times New Roman" w:cs="Times New Roman"/>
          <w:color w:val="000000"/>
          <w:sz w:val="22"/>
          <w:szCs w:val="22"/>
        </w:rPr>
        <w:lastRenderedPageBreak/>
        <w:t xml:space="preserve">9. </w:t>
      </w:r>
      <w:r w:rsidR="00B93C5D" w:rsidRPr="009E1B38">
        <w:rPr>
          <w:rFonts w:eastAsia="Times New Roman" w:cs="Times New Roman"/>
          <w:color w:val="000000"/>
          <w:sz w:val="22"/>
          <w:szCs w:val="22"/>
        </w:rPr>
        <w:t>PROTECTING CONSUMER RIGHTS</w:t>
      </w:r>
      <w:bookmarkEnd w:id="304"/>
    </w:p>
    <w:p w14:paraId="5A650C4A" w14:textId="77777777" w:rsidR="00D10B5F" w:rsidRPr="009E1B38" w:rsidRDefault="00D10B5F" w:rsidP="00D10B5F">
      <w:pPr>
        <w:rPr>
          <w:rFonts w:ascii="Times New Roman" w:hAnsi="Times New Roman"/>
        </w:rPr>
      </w:pPr>
    </w:p>
    <w:p w14:paraId="3FCD5C6C" w14:textId="5ED780D9" w:rsidR="00011A23" w:rsidRPr="009E1B38" w:rsidRDefault="00011A23" w:rsidP="00011A23">
      <w:pPr>
        <w:spacing w:after="0"/>
        <w:rPr>
          <w:rFonts w:ascii="Times New Roman" w:hAnsi="Times New Roman"/>
        </w:rPr>
      </w:pPr>
      <w:r w:rsidRPr="009E1B38">
        <w:rPr>
          <w:rFonts w:ascii="Times New Roman" w:hAnsi="Times New Roman"/>
        </w:rPr>
        <w:t xml:space="preserve">Works are conducted to ensure the protection of consumer rights; to determine the standards, principles and procedures for the services to be provided by the </w:t>
      </w:r>
      <w:r w:rsidR="00135D72" w:rsidRPr="009E1B38">
        <w:rPr>
          <w:rFonts w:ascii="Times New Roman" w:hAnsi="Times New Roman"/>
        </w:rPr>
        <w:t>legal entities</w:t>
      </w:r>
      <w:r w:rsidRPr="009E1B38">
        <w:rPr>
          <w:rFonts w:ascii="Times New Roman" w:hAnsi="Times New Roman"/>
        </w:rPr>
        <w:t xml:space="preserve"> operating in the market, informing the public about the regulations and implementations on energy market and creating awareness.</w:t>
      </w:r>
    </w:p>
    <w:p w14:paraId="5047402A" w14:textId="77777777" w:rsidR="00A80D48" w:rsidRPr="009E1B38" w:rsidRDefault="00A80D48" w:rsidP="00011A23">
      <w:pPr>
        <w:spacing w:after="0"/>
        <w:rPr>
          <w:rFonts w:ascii="Times New Roman" w:hAnsi="Times New Roman"/>
        </w:rPr>
      </w:pPr>
    </w:p>
    <w:p w14:paraId="05181233" w14:textId="0B1694FC" w:rsidR="0014080F" w:rsidRPr="009E1B38" w:rsidRDefault="0014080F" w:rsidP="0014080F">
      <w:pPr>
        <w:rPr>
          <w:rFonts w:ascii="Times New Roman" w:eastAsiaTheme="minorHAnsi" w:hAnsi="Times New Roman"/>
        </w:rPr>
      </w:pPr>
      <w:r w:rsidRPr="009E1B38">
        <w:rPr>
          <w:rFonts w:ascii="Times New Roman" w:hAnsi="Times New Roman"/>
        </w:rPr>
        <w:t>In order</w:t>
      </w:r>
      <w:r w:rsidR="00B93C5D" w:rsidRPr="009E1B38">
        <w:rPr>
          <w:rFonts w:ascii="Times New Roman" w:hAnsi="Times New Roman"/>
        </w:rPr>
        <w:t xml:space="preserve"> </w:t>
      </w:r>
      <w:r w:rsidRPr="009E1B38">
        <w:rPr>
          <w:rFonts w:ascii="Times New Roman" w:hAnsi="Times New Roman"/>
        </w:rPr>
        <w:t>to make the statistics of the complaints received to the authority more accurately, some improvements have been made in the IMS. Thus, various statistical data regarding the complaints received to the Authority are reported instantly.</w:t>
      </w:r>
    </w:p>
    <w:p w14:paraId="52550F67" w14:textId="77777777" w:rsidR="009A74F5" w:rsidRPr="009E1B38" w:rsidRDefault="009A74F5" w:rsidP="009A74F5">
      <w:pPr>
        <w:rPr>
          <w:rFonts w:ascii="Times New Roman" w:eastAsiaTheme="minorHAnsi" w:hAnsi="Times New Roman"/>
        </w:rPr>
      </w:pPr>
      <w:r w:rsidRPr="009E1B38">
        <w:rPr>
          <w:rFonts w:ascii="Times New Roman" w:hAnsi="Times New Roman"/>
        </w:rPr>
        <w:t>The Authority has made updates on the internet page and provided more convenient access to the Consumer Section. The Consumer Section also includes information such as Internet addresses, call center phones, etc., owned by Electricity Distribution and Assigned Supply Companies and Natural Gas Distribution Companies.</w:t>
      </w:r>
      <w:r w:rsidRPr="009E1B38">
        <w:rPr>
          <w:rFonts w:ascii="Times New Roman" w:hAnsi="Times New Roman"/>
          <w:color w:val="000000" w:themeColor="text1"/>
        </w:rPr>
        <w:t xml:space="preserve"> </w:t>
      </w:r>
    </w:p>
    <w:p w14:paraId="49D82934" w14:textId="42E069B8" w:rsidR="004511B5" w:rsidRPr="009E1B38" w:rsidRDefault="004511B5" w:rsidP="004511B5">
      <w:pPr>
        <w:rPr>
          <w:rFonts w:ascii="Times New Roman" w:hAnsi="Times New Roman"/>
          <w:color w:val="000000" w:themeColor="text1"/>
        </w:rPr>
      </w:pPr>
      <w:r w:rsidRPr="009E1B38">
        <w:rPr>
          <w:rFonts w:ascii="Times New Roman" w:hAnsi="Times New Roman"/>
        </w:rPr>
        <w:t>Due to the gradually increasing number of complaints coming to the Authority and in order to make it easier and faster to direct the complaints to the related parties, the address of the KEP has been imposed on the addressees and complaints have been submitted as an Electronic Correspondence Package (E</w:t>
      </w:r>
      <w:r w:rsidR="00EB1DF3" w:rsidRPr="009E1B38">
        <w:rPr>
          <w:rFonts w:ascii="Times New Roman" w:hAnsi="Times New Roman"/>
        </w:rPr>
        <w:t>C</w:t>
      </w:r>
      <w:r w:rsidRPr="009E1B38">
        <w:rPr>
          <w:rFonts w:ascii="Times New Roman" w:hAnsi="Times New Roman"/>
        </w:rPr>
        <w:t xml:space="preserve">P) to their owners. </w:t>
      </w:r>
      <w:r w:rsidRPr="009E1B38">
        <w:rPr>
          <w:rFonts w:ascii="Times New Roman" w:hAnsi="Times New Roman"/>
          <w:color w:val="000000" w:themeColor="text1"/>
        </w:rPr>
        <w:t xml:space="preserve">Thus, consumer complaints were directed to the solution address in a faster way and the applicant was informed by sending an SMS at every stage, and it was possible to follow up with the TR identity number on the internet page. </w:t>
      </w:r>
      <w:r w:rsidR="004B6575" w:rsidRPr="009E1B38">
        <w:rPr>
          <w:rFonts w:ascii="Times New Roman" w:hAnsi="Times New Roman"/>
        </w:rPr>
        <w:t>I</w:t>
      </w:r>
      <w:r w:rsidRPr="009E1B38">
        <w:rPr>
          <w:rFonts w:ascii="Times New Roman" w:hAnsi="Times New Roman"/>
        </w:rPr>
        <w:t>t is ensured that the answers from the distribution companies are seen by the applicant on the website</w:t>
      </w:r>
      <w:r w:rsidRPr="009E1B38">
        <w:rPr>
          <w:rFonts w:ascii="Times New Roman" w:hAnsi="Times New Roman"/>
          <w:color w:val="000000" w:themeColor="text1"/>
        </w:rPr>
        <w:t>.</w:t>
      </w:r>
      <w:r w:rsidRPr="009E1B38">
        <w:rPr>
          <w:rFonts w:ascii="Times New Roman" w:hAnsi="Times New Roman"/>
        </w:rPr>
        <w:t xml:space="preserve"> For the applications that are not answered on time by the distribution companies, warning messages are sent to the companies over the system.</w:t>
      </w:r>
    </w:p>
    <w:p w14:paraId="7D4A8E1C" w14:textId="0DCFE76C" w:rsidR="00AC30FD" w:rsidRPr="009E1B38" w:rsidRDefault="003100A3" w:rsidP="00694BCF">
      <w:pPr>
        <w:pStyle w:val="Balk2"/>
        <w:rPr>
          <w:rFonts w:cs="Times New Roman"/>
        </w:rPr>
      </w:pPr>
      <w:bookmarkStart w:id="305" w:name="_Toc447286883"/>
      <w:bookmarkStart w:id="306" w:name="_Toc113615395"/>
      <w:r w:rsidRPr="009E1B38">
        <w:rPr>
          <w:rFonts w:cs="Times New Roman"/>
        </w:rPr>
        <w:t>9.1</w:t>
      </w:r>
      <w:bookmarkEnd w:id="305"/>
      <w:r w:rsidR="00704015" w:rsidRPr="009E1B38">
        <w:rPr>
          <w:rFonts w:cs="Times New Roman"/>
        </w:rPr>
        <w:t>. Creating</w:t>
      </w:r>
      <w:r w:rsidR="004E4EBE" w:rsidRPr="009E1B38">
        <w:rPr>
          <w:rFonts w:cs="Times New Roman"/>
        </w:rPr>
        <w:t xml:space="preserve"> and </w:t>
      </w:r>
      <w:r w:rsidR="003648FF" w:rsidRPr="009E1B38">
        <w:rPr>
          <w:rFonts w:cs="Times New Roman"/>
        </w:rPr>
        <w:t>Developing Consumer</w:t>
      </w:r>
      <w:r w:rsidR="004838ED" w:rsidRPr="009E1B38">
        <w:rPr>
          <w:rFonts w:cs="Times New Roman"/>
        </w:rPr>
        <w:t xml:space="preserve"> </w:t>
      </w:r>
      <w:r w:rsidR="006915A3" w:rsidRPr="009E1B38">
        <w:rPr>
          <w:rFonts w:cs="Times New Roman"/>
        </w:rPr>
        <w:t>Awareness</w:t>
      </w:r>
      <w:bookmarkEnd w:id="306"/>
    </w:p>
    <w:p w14:paraId="7D4A8E1E" w14:textId="7CC67812" w:rsidR="00185636" w:rsidRPr="009E1B38" w:rsidRDefault="003648FF" w:rsidP="003648FF">
      <w:pPr>
        <w:rPr>
          <w:rFonts w:ascii="Times New Roman" w:eastAsiaTheme="minorHAnsi" w:hAnsi="Times New Roman"/>
        </w:rPr>
      </w:pPr>
      <w:bookmarkStart w:id="307" w:name="_Toc447286884"/>
      <w:r w:rsidRPr="009E1B38">
        <w:rPr>
          <w:rFonts w:ascii="Times New Roman" w:hAnsi="Times New Roman"/>
        </w:rPr>
        <w:t>Within the context of studies on creating consumer awareness about regulations and applications related to energy market and rights and responsibilities of consumers; Consumer section is included on the authority website.</w:t>
      </w:r>
    </w:p>
    <w:p w14:paraId="7D4A8E1F" w14:textId="30193D57" w:rsidR="00185636" w:rsidRPr="009E1B38" w:rsidRDefault="00C60C40" w:rsidP="00185636">
      <w:pPr>
        <w:spacing w:after="0"/>
        <w:rPr>
          <w:rFonts w:ascii="Times New Roman" w:hAnsi="Times New Roman"/>
        </w:rPr>
      </w:pPr>
      <w:r w:rsidRPr="009E1B38">
        <w:rPr>
          <w:rFonts w:ascii="Times New Roman" w:hAnsi="Times New Roman"/>
        </w:rPr>
        <w:t>The Consumer Section has been created to include some or all of the following headings on sector basis:</w:t>
      </w:r>
    </w:p>
    <w:p w14:paraId="7D4A8E20" w14:textId="77777777" w:rsidR="00185636" w:rsidRPr="009E1B38" w:rsidRDefault="00185636" w:rsidP="00185636">
      <w:pPr>
        <w:spacing w:after="0"/>
        <w:rPr>
          <w:rFonts w:ascii="Times New Roman" w:hAnsi="Times New Roman"/>
        </w:rPr>
      </w:pPr>
    </w:p>
    <w:p w14:paraId="645D8908" w14:textId="77777777" w:rsidR="00595397" w:rsidRPr="009E1B38" w:rsidRDefault="00595397" w:rsidP="00E9030A">
      <w:pPr>
        <w:pStyle w:val="ListeParagraf"/>
        <w:numPr>
          <w:ilvl w:val="0"/>
          <w:numId w:val="4"/>
        </w:numPr>
        <w:spacing w:after="0"/>
        <w:ind w:left="993"/>
        <w:rPr>
          <w:rFonts w:ascii="Times New Roman" w:hAnsi="Times New Roman"/>
        </w:rPr>
      </w:pPr>
      <w:r w:rsidRPr="009E1B38">
        <w:rPr>
          <w:rFonts w:ascii="Times New Roman" w:hAnsi="Times New Roman"/>
        </w:rPr>
        <w:t>Legislation (Legislation directly related to the consumers of the relevant market is included)</w:t>
      </w:r>
    </w:p>
    <w:p w14:paraId="51DEB9B0" w14:textId="77777777" w:rsidR="00E421BB" w:rsidRPr="009E1B38" w:rsidRDefault="00E421BB" w:rsidP="00E9030A">
      <w:pPr>
        <w:pStyle w:val="ListeParagraf"/>
        <w:numPr>
          <w:ilvl w:val="0"/>
          <w:numId w:val="4"/>
        </w:numPr>
        <w:ind w:left="993"/>
        <w:rPr>
          <w:rFonts w:ascii="Times New Roman" w:hAnsi="Times New Roman"/>
        </w:rPr>
      </w:pPr>
      <w:r w:rsidRPr="009E1B38">
        <w:rPr>
          <w:rFonts w:ascii="Times New Roman" w:hAnsi="Times New Roman"/>
        </w:rPr>
        <w:t>Market and Consumer Rights (Market structure and presentation of what basic consumer rights are in this market)</w:t>
      </w:r>
    </w:p>
    <w:p w14:paraId="07F300AF" w14:textId="647C742A" w:rsidR="00D12AAF" w:rsidRPr="009E1B38" w:rsidRDefault="00D12AAF" w:rsidP="00E9030A">
      <w:pPr>
        <w:pStyle w:val="ListeParagraf"/>
        <w:numPr>
          <w:ilvl w:val="0"/>
          <w:numId w:val="4"/>
        </w:numPr>
        <w:ind w:left="993"/>
        <w:rPr>
          <w:rFonts w:ascii="Times New Roman" w:hAnsi="Times New Roman"/>
        </w:rPr>
      </w:pPr>
      <w:r w:rsidRPr="009E1B38">
        <w:rPr>
          <w:rFonts w:ascii="Times New Roman" w:hAnsi="Times New Roman"/>
        </w:rPr>
        <w:t>Market and Consumer Rights (Market structure and presentation of what basic consumer rights are in this market)</w:t>
      </w:r>
    </w:p>
    <w:p w14:paraId="4B403548" w14:textId="77777777" w:rsidR="006A3031" w:rsidRPr="009E1B38" w:rsidRDefault="006A3031" w:rsidP="00E9030A">
      <w:pPr>
        <w:pStyle w:val="ListeParagraf"/>
        <w:numPr>
          <w:ilvl w:val="0"/>
          <w:numId w:val="4"/>
        </w:numPr>
        <w:spacing w:after="120" w:line="240" w:lineRule="auto"/>
        <w:ind w:left="993"/>
        <w:rPr>
          <w:rFonts w:ascii="Times New Roman" w:hAnsi="Times New Roman"/>
        </w:rPr>
      </w:pPr>
      <w:r w:rsidRPr="009E1B38">
        <w:rPr>
          <w:rFonts w:ascii="Times New Roman" w:hAnsi="Times New Roman"/>
        </w:rPr>
        <w:t>National tariffs of past periods and other country implementations (prices applied to non-eligible consumers in Electricity Market and prices applied in other countries, direct access was given to prices applied by Natural Gas Distribution Companies)</w:t>
      </w:r>
    </w:p>
    <w:p w14:paraId="359FBE6A" w14:textId="77777777" w:rsidR="00680A0A" w:rsidRPr="009E1B38" w:rsidRDefault="00680A0A" w:rsidP="00E9030A">
      <w:pPr>
        <w:pStyle w:val="ListeParagraf"/>
        <w:numPr>
          <w:ilvl w:val="0"/>
          <w:numId w:val="4"/>
        </w:numPr>
        <w:spacing w:after="120" w:line="240" w:lineRule="auto"/>
        <w:ind w:left="993"/>
        <w:rPr>
          <w:rFonts w:ascii="Times New Roman" w:hAnsi="Times New Roman"/>
        </w:rPr>
      </w:pPr>
      <w:r w:rsidRPr="009E1B38">
        <w:rPr>
          <w:rFonts w:ascii="Times New Roman" w:hAnsi="Times New Roman"/>
        </w:rPr>
        <w:t>National tariffs of past periods and other country implementations (prices applied to non-eligible consumers in Electricity Market and prices applied in other countries, direct access was given to prices applied by Natural Gas Distribution Companies)</w:t>
      </w:r>
    </w:p>
    <w:p w14:paraId="1AB53185" w14:textId="77777777" w:rsidR="00E201C6" w:rsidRPr="009E1B38" w:rsidRDefault="00E201C6" w:rsidP="00E9030A">
      <w:pPr>
        <w:pStyle w:val="ListeParagraf"/>
        <w:numPr>
          <w:ilvl w:val="0"/>
          <w:numId w:val="4"/>
        </w:numPr>
        <w:spacing w:after="120" w:line="240" w:lineRule="auto"/>
        <w:ind w:left="993"/>
        <w:rPr>
          <w:rFonts w:ascii="Times New Roman" w:hAnsi="Times New Roman"/>
        </w:rPr>
      </w:pPr>
      <w:r w:rsidRPr="009E1B38">
        <w:rPr>
          <w:rFonts w:ascii="Times New Roman" w:hAnsi="Times New Roman"/>
        </w:rPr>
        <w:t>Communication Addresses of Distribution Companies (including Electricity and Natural Gas Distribution Companies' Web Address, Call Center, Request / Complaint and e-mail addresses)</w:t>
      </w:r>
    </w:p>
    <w:p w14:paraId="53D83A77" w14:textId="77777777" w:rsidR="008952E4" w:rsidRPr="009E1B38" w:rsidRDefault="008952E4" w:rsidP="00E9030A">
      <w:pPr>
        <w:pStyle w:val="ListeParagraf"/>
        <w:numPr>
          <w:ilvl w:val="0"/>
          <w:numId w:val="4"/>
        </w:numPr>
        <w:spacing w:after="120" w:line="240" w:lineRule="auto"/>
        <w:ind w:left="993"/>
        <w:rPr>
          <w:rFonts w:ascii="Times New Roman" w:hAnsi="Times New Roman"/>
        </w:rPr>
      </w:pPr>
      <w:r w:rsidRPr="009E1B38">
        <w:rPr>
          <w:rFonts w:ascii="Times New Roman" w:hAnsi="Times New Roman"/>
        </w:rPr>
        <w:t>Contact Addresses of the Assigned Supply Companies (includes the Web address, Call Center, Request / Complaint and e-mail addresses of the Companies)</w:t>
      </w:r>
    </w:p>
    <w:p w14:paraId="42F11A90" w14:textId="77777777" w:rsidR="00D461BF" w:rsidRPr="009E1B38" w:rsidRDefault="00D461BF" w:rsidP="00E9030A">
      <w:pPr>
        <w:pStyle w:val="ListeParagraf"/>
        <w:numPr>
          <w:ilvl w:val="0"/>
          <w:numId w:val="4"/>
        </w:numPr>
        <w:spacing w:after="120" w:line="240" w:lineRule="auto"/>
        <w:ind w:left="993"/>
        <w:rPr>
          <w:rFonts w:ascii="Times New Roman" w:hAnsi="Times New Roman"/>
        </w:rPr>
      </w:pPr>
      <w:r w:rsidRPr="009E1B38">
        <w:rPr>
          <w:rFonts w:ascii="Times New Roman" w:hAnsi="Times New Roman"/>
        </w:rPr>
        <w:t>Complaints and İnformation Acquisition (The consumer has been given an active module to respond to complaints and information requests)</w:t>
      </w:r>
    </w:p>
    <w:p w14:paraId="7D4A8E29" w14:textId="77777777" w:rsidR="00185636" w:rsidRPr="009E1B38" w:rsidRDefault="00185636" w:rsidP="00185636">
      <w:pPr>
        <w:spacing w:after="240"/>
        <w:ind w:left="1423"/>
        <w:contextualSpacing/>
        <w:jc w:val="left"/>
        <w:rPr>
          <w:rFonts w:ascii="Times New Roman" w:hAnsi="Times New Roman"/>
        </w:rPr>
      </w:pPr>
    </w:p>
    <w:p w14:paraId="77FBF0A0" w14:textId="77777777" w:rsidR="00442E94" w:rsidRPr="009E1B38" w:rsidRDefault="00442E94" w:rsidP="00442E94">
      <w:pPr>
        <w:rPr>
          <w:rFonts w:ascii="Times New Roman" w:eastAsiaTheme="minorHAnsi" w:hAnsi="Times New Roman"/>
        </w:rPr>
      </w:pPr>
      <w:r w:rsidRPr="009E1B38">
        <w:rPr>
          <w:rFonts w:ascii="Times New Roman" w:hAnsi="Times New Roman"/>
        </w:rPr>
        <w:lastRenderedPageBreak/>
        <w:t>The application module has been renewed via the website about consumer complaints and in the applications made through T.C identity, the application is sent to the client by sending SMS and the applicant is able to follow the website.</w:t>
      </w:r>
    </w:p>
    <w:p w14:paraId="00896E9B" w14:textId="47F09538" w:rsidR="00D10B5F" w:rsidRPr="009E1B38" w:rsidRDefault="003100A3" w:rsidP="00C30675">
      <w:pPr>
        <w:pStyle w:val="Balk2"/>
        <w:rPr>
          <w:rFonts w:cs="Times New Roman"/>
        </w:rPr>
      </w:pPr>
      <w:bookmarkStart w:id="308" w:name="_Toc113615396"/>
      <w:r w:rsidRPr="009E1B38">
        <w:rPr>
          <w:rFonts w:cs="Times New Roman"/>
        </w:rPr>
        <w:t>9.2</w:t>
      </w:r>
      <w:bookmarkEnd w:id="307"/>
      <w:r w:rsidR="00704015" w:rsidRPr="009E1B38">
        <w:rPr>
          <w:rFonts w:cs="Times New Roman"/>
        </w:rPr>
        <w:t>. Evaluation</w:t>
      </w:r>
      <w:r w:rsidR="00A20E99" w:rsidRPr="009E1B38">
        <w:rPr>
          <w:rFonts w:cs="Times New Roman"/>
        </w:rPr>
        <w:t xml:space="preserve"> of Consumer Complaints</w:t>
      </w:r>
      <w:bookmarkEnd w:id="308"/>
    </w:p>
    <w:p w14:paraId="0F617D53" w14:textId="77777777" w:rsidR="00FC0607" w:rsidRPr="009E1B38" w:rsidRDefault="00FC0607" w:rsidP="00FC0607">
      <w:pPr>
        <w:rPr>
          <w:rFonts w:ascii="Times New Roman" w:eastAsiaTheme="minorHAnsi" w:hAnsi="Times New Roman"/>
        </w:rPr>
      </w:pPr>
      <w:r w:rsidRPr="009E1B38">
        <w:rPr>
          <w:rFonts w:ascii="Times New Roman" w:hAnsi="Times New Roman"/>
        </w:rPr>
        <w:t xml:space="preserve">The licensees are obliged to quickly resolve and / or to make arrangements for resolution of the complaints and denunciations related to the subjects of activity while ensuring compliance with the obligations set forth in the legislation in relation to consumers and users. </w:t>
      </w:r>
    </w:p>
    <w:p w14:paraId="6F56DEB7" w14:textId="77777777" w:rsidR="006E4D79" w:rsidRPr="009E1B38" w:rsidRDefault="006E4D79" w:rsidP="006E4D79">
      <w:pPr>
        <w:rPr>
          <w:rFonts w:ascii="Times New Roman" w:eastAsiaTheme="minorHAnsi" w:hAnsi="Times New Roman"/>
        </w:rPr>
      </w:pPr>
      <w:r w:rsidRPr="009E1B38">
        <w:rPr>
          <w:rFonts w:ascii="Times New Roman" w:hAnsi="Times New Roman"/>
        </w:rPr>
        <w:t>Consumers are entitled to apply to the authority if they do not receive a satisfactory or sufficient answer to the application made by the service companies. The applications reaching the authority in this way are taken into consideration with the correspondence with the related legal entity and evaluated and concluded within the scope of the legislation.</w:t>
      </w:r>
    </w:p>
    <w:p w14:paraId="472D2F68" w14:textId="7835D73C" w:rsidR="00B44CB3" w:rsidRPr="009E1B38" w:rsidRDefault="00B44CB3" w:rsidP="00B44CB3">
      <w:pPr>
        <w:rPr>
          <w:rFonts w:ascii="Times New Roman" w:hAnsi="Times New Roman"/>
        </w:rPr>
      </w:pPr>
      <w:r w:rsidRPr="009E1B38">
        <w:rPr>
          <w:rFonts w:ascii="Times New Roman" w:hAnsi="Times New Roman"/>
        </w:rPr>
        <w:t>It is important that the means of finding consumers and their claims in complaints and complaints are clear, simple and easy, in the context of monitoring the obligations of licensees operating on the market within the framework of the relevant legislation and ensuring that the necessary arrangements are made quickly.</w:t>
      </w:r>
      <w:r w:rsidRPr="009E1B38">
        <w:rPr>
          <w:rFonts w:ascii="Times New Roman" w:eastAsiaTheme="minorHAnsi" w:hAnsi="Times New Roman"/>
        </w:rPr>
        <w:t xml:space="preserve">  </w:t>
      </w:r>
    </w:p>
    <w:p w14:paraId="7D4A8E33" w14:textId="6C990AA4" w:rsidR="00C15DF8" w:rsidRPr="009E1B38" w:rsidRDefault="00C15DF8" w:rsidP="00324B57">
      <w:pPr>
        <w:rPr>
          <w:rFonts w:ascii="Times New Roman" w:eastAsiaTheme="minorHAnsi" w:hAnsi="Times New Roman"/>
        </w:rPr>
      </w:pPr>
      <w:r w:rsidRPr="009E1B38">
        <w:rPr>
          <w:rFonts w:ascii="Times New Roman" w:hAnsi="Times New Roman"/>
        </w:rPr>
        <w:t>In this frame, studies are continuing to communicate the complaints, which are transmitted from different channels by our authority, to the related party quickly, to monitor the resolution of the complaints and to carry out audits if it is necessary.</w:t>
      </w:r>
    </w:p>
    <w:p w14:paraId="7D4A8E34" w14:textId="499BE93F" w:rsidR="000803DF" w:rsidRPr="009E1B38" w:rsidRDefault="003100A3" w:rsidP="00D730CF">
      <w:pPr>
        <w:pStyle w:val="Balk3"/>
        <w:spacing w:after="240"/>
        <w:rPr>
          <w:rFonts w:ascii="Times New Roman" w:hAnsi="Times New Roman" w:cs="Times New Roman"/>
          <w:color w:val="auto"/>
        </w:rPr>
      </w:pPr>
      <w:bookmarkStart w:id="309" w:name="_Toc113615397"/>
      <w:r w:rsidRPr="009E1B38">
        <w:rPr>
          <w:rFonts w:ascii="Times New Roman" w:hAnsi="Times New Roman" w:cs="Times New Roman"/>
          <w:color w:val="auto"/>
        </w:rPr>
        <w:t>9.2.1.</w:t>
      </w:r>
      <w:r w:rsidR="000A2924" w:rsidRPr="009E1B38">
        <w:rPr>
          <w:rFonts w:ascii="Times New Roman" w:hAnsi="Times New Roman" w:cs="Times New Roman"/>
          <w:color w:val="auto"/>
        </w:rPr>
        <w:t xml:space="preserve"> </w:t>
      </w:r>
      <w:r w:rsidR="00BC5928" w:rsidRPr="009E1B38">
        <w:rPr>
          <w:rFonts w:ascii="Times New Roman" w:hAnsi="Times New Roman" w:cs="Times New Roman"/>
          <w:color w:val="auto"/>
        </w:rPr>
        <w:t>Information</w:t>
      </w:r>
      <w:r w:rsidR="00F30224" w:rsidRPr="009E1B38">
        <w:rPr>
          <w:rFonts w:ascii="Times New Roman" w:hAnsi="Times New Roman" w:cs="Times New Roman"/>
          <w:color w:val="auto"/>
        </w:rPr>
        <w:t xml:space="preserve"> Ac</w:t>
      </w:r>
      <w:r w:rsidR="00B3117A" w:rsidRPr="009E1B38">
        <w:rPr>
          <w:rFonts w:ascii="Times New Roman" w:hAnsi="Times New Roman" w:cs="Times New Roman"/>
          <w:color w:val="auto"/>
        </w:rPr>
        <w:t>quisition</w:t>
      </w:r>
      <w:r w:rsidR="000A2924" w:rsidRPr="009E1B38">
        <w:rPr>
          <w:rFonts w:ascii="Times New Roman" w:hAnsi="Times New Roman" w:cs="Times New Roman"/>
          <w:color w:val="auto"/>
        </w:rPr>
        <w:t>/ Complaint and Channels</w:t>
      </w:r>
      <w:bookmarkEnd w:id="309"/>
    </w:p>
    <w:p w14:paraId="4341BAC3" w14:textId="5B14F594" w:rsidR="00ED2368" w:rsidRPr="009E1B38" w:rsidRDefault="00ED2368" w:rsidP="00ED2368">
      <w:pPr>
        <w:spacing w:after="0"/>
        <w:rPr>
          <w:rFonts w:ascii="Times New Roman" w:hAnsi="Times New Roman"/>
        </w:rPr>
      </w:pPr>
      <w:r w:rsidRPr="009E1B38">
        <w:rPr>
          <w:rFonts w:ascii="Times New Roman" w:hAnsi="Times New Roman"/>
        </w:rPr>
        <w:t>A total of 1</w:t>
      </w:r>
      <w:r w:rsidR="00EA3C98" w:rsidRPr="009E1B38">
        <w:rPr>
          <w:rFonts w:ascii="Times New Roman" w:hAnsi="Times New Roman"/>
        </w:rPr>
        <w:t>30.333</w:t>
      </w:r>
      <w:r w:rsidRPr="009E1B38">
        <w:rPr>
          <w:rFonts w:ascii="Times New Roman" w:hAnsi="Times New Roman"/>
        </w:rPr>
        <w:t xml:space="preserve"> notifications, 1</w:t>
      </w:r>
      <w:r w:rsidR="00EA3C98" w:rsidRPr="009E1B38">
        <w:rPr>
          <w:rFonts w:ascii="Times New Roman" w:hAnsi="Times New Roman"/>
        </w:rPr>
        <w:t>28.951</w:t>
      </w:r>
      <w:r w:rsidRPr="009E1B38">
        <w:rPr>
          <w:rFonts w:ascii="Times New Roman" w:hAnsi="Times New Roman"/>
        </w:rPr>
        <w:t xml:space="preserve"> under the title of Complaint and 1</w:t>
      </w:r>
      <w:r w:rsidR="00EA3C98" w:rsidRPr="009E1B38">
        <w:rPr>
          <w:rFonts w:ascii="Times New Roman" w:hAnsi="Times New Roman"/>
        </w:rPr>
        <w:t>.382</w:t>
      </w:r>
      <w:r w:rsidR="00704015">
        <w:rPr>
          <w:rFonts w:ascii="Times New Roman" w:hAnsi="Times New Roman"/>
        </w:rPr>
        <w:t xml:space="preserve"> under the title of Obtaining I</w:t>
      </w:r>
      <w:r w:rsidRPr="009E1B38">
        <w:rPr>
          <w:rFonts w:ascii="Times New Roman" w:hAnsi="Times New Roman"/>
        </w:rPr>
        <w:t>nformation, were processed by the relevant Departments of our authority in 2021.</w:t>
      </w:r>
    </w:p>
    <w:p w14:paraId="7D4A8E36" w14:textId="77777777" w:rsidR="00185636" w:rsidRPr="009E1B38" w:rsidRDefault="00185636" w:rsidP="00185636">
      <w:pPr>
        <w:spacing w:after="0"/>
        <w:rPr>
          <w:rFonts w:ascii="Times New Roman" w:hAnsi="Times New Roman"/>
        </w:rPr>
      </w:pPr>
    </w:p>
    <w:p w14:paraId="7D4A8E43" w14:textId="22A3C915" w:rsidR="00900A12" w:rsidRPr="009E1B38" w:rsidRDefault="00C7200A" w:rsidP="00127185">
      <w:pPr>
        <w:rPr>
          <w:rFonts w:ascii="Times New Roman" w:eastAsiaTheme="minorHAnsi" w:hAnsi="Times New Roman"/>
        </w:rPr>
      </w:pPr>
      <w:r w:rsidRPr="009E1B38">
        <w:rPr>
          <w:rFonts w:ascii="Times New Roman" w:hAnsi="Times New Roman"/>
        </w:rPr>
        <w:t>The percentage distribution of the notifications processed under the complaint heading by months are given below.</w:t>
      </w:r>
    </w:p>
    <w:p w14:paraId="2D0B314A" w14:textId="69DFC110" w:rsidR="005324AF" w:rsidRPr="009E1B38" w:rsidRDefault="000B704C" w:rsidP="003F0CCE">
      <w:pPr>
        <w:pStyle w:val="Balk5"/>
        <w:jc w:val="center"/>
        <w:rPr>
          <w:rStyle w:val="Gl"/>
          <w:rFonts w:ascii="Times New Roman" w:hAnsi="Times New Roman" w:cs="Times New Roman"/>
          <w:b/>
          <w:bCs w:val="0"/>
        </w:rPr>
      </w:pPr>
      <w:bookmarkStart w:id="310" w:name="_Toc107499554"/>
      <w:r w:rsidRPr="009E1B38">
        <w:rPr>
          <w:rStyle w:val="Gl"/>
          <w:rFonts w:ascii="Times New Roman" w:hAnsi="Times New Roman" w:cs="Times New Roman"/>
          <w:b/>
          <w:bCs w:val="0"/>
        </w:rPr>
        <w:t>Figur</w:t>
      </w:r>
      <w:r w:rsidR="007A1EDE" w:rsidRPr="009E1B38">
        <w:rPr>
          <w:rStyle w:val="Gl"/>
          <w:rFonts w:ascii="Times New Roman" w:hAnsi="Times New Roman" w:cs="Times New Roman"/>
          <w:b/>
          <w:bCs w:val="0"/>
        </w:rPr>
        <w:t>e</w:t>
      </w:r>
      <w:r w:rsidR="002A47F1" w:rsidRPr="009E1B38">
        <w:rPr>
          <w:rStyle w:val="Gl"/>
          <w:rFonts w:ascii="Times New Roman" w:hAnsi="Times New Roman" w:cs="Times New Roman"/>
          <w:b/>
          <w:bCs w:val="0"/>
        </w:rPr>
        <w:t xml:space="preserve"> 9.1:</w:t>
      </w:r>
      <w:r w:rsidR="006A7FB7" w:rsidRPr="009E1B38">
        <w:rPr>
          <w:rStyle w:val="Balk1Char"/>
          <w:rFonts w:cs="Times New Roman"/>
          <w:b/>
          <w:bCs w:val="0"/>
          <w:sz w:val="22"/>
          <w:szCs w:val="22"/>
        </w:rPr>
        <w:t xml:space="preserve"> </w:t>
      </w:r>
      <w:r w:rsidR="006A7FB7" w:rsidRPr="009E1B38">
        <w:rPr>
          <w:rStyle w:val="Gl"/>
          <w:rFonts w:ascii="Times New Roman" w:hAnsi="Times New Roman" w:cs="Times New Roman"/>
          <w:b/>
          <w:bCs w:val="0"/>
        </w:rPr>
        <w:t>Percentage Distribution of Notifications Processed Under the Complaint Heading by Months</w:t>
      </w:r>
      <w:bookmarkEnd w:id="310"/>
    </w:p>
    <w:p w14:paraId="44D173FB" w14:textId="77777777" w:rsidR="00127185" w:rsidRPr="009E1B38" w:rsidRDefault="00127185" w:rsidP="00127185">
      <w:pPr>
        <w:rPr>
          <w:rFonts w:ascii="Times New Roman" w:hAnsi="Times New Roman"/>
        </w:rPr>
      </w:pPr>
    </w:p>
    <w:p w14:paraId="7D4A8E44" w14:textId="5B2ECA13" w:rsidR="00691065" w:rsidRPr="009E1B38" w:rsidRDefault="00B94E5C" w:rsidP="00127185">
      <w:pPr>
        <w:jc w:val="center"/>
        <w:rPr>
          <w:rStyle w:val="Gl"/>
          <w:rFonts w:ascii="Times New Roman" w:hAnsi="Times New Roman"/>
        </w:rPr>
      </w:pPr>
      <w:r w:rsidRPr="009E1B38">
        <w:rPr>
          <w:rFonts w:ascii="Times New Roman" w:hAnsi="Times New Roman"/>
          <w:noProof/>
          <w:lang w:val="tr-TR" w:eastAsia="tr-TR"/>
        </w:rPr>
        <w:drawing>
          <wp:inline distT="0" distB="0" distL="0" distR="0" wp14:anchorId="0188DC17" wp14:editId="3F25201F">
            <wp:extent cx="5416550" cy="2273300"/>
            <wp:effectExtent l="0" t="0" r="12700" b="1270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6096044" w14:textId="77777777" w:rsidR="00211D78" w:rsidRPr="009E1B38" w:rsidRDefault="00211D78" w:rsidP="007E2C4D">
      <w:pPr>
        <w:spacing w:after="0"/>
        <w:rPr>
          <w:rFonts w:ascii="Times New Roman" w:hAnsi="Times New Roman"/>
        </w:rPr>
      </w:pPr>
    </w:p>
    <w:p w14:paraId="177BC350" w14:textId="40F9B108" w:rsidR="007E2C4D" w:rsidRPr="009E1B38" w:rsidRDefault="007E2C4D" w:rsidP="007E2C4D">
      <w:pPr>
        <w:spacing w:after="0"/>
        <w:rPr>
          <w:rFonts w:ascii="Times New Roman" w:hAnsi="Times New Roman"/>
        </w:rPr>
      </w:pPr>
      <w:r w:rsidRPr="009E1B38">
        <w:rPr>
          <w:rFonts w:ascii="Times New Roman" w:hAnsi="Times New Roman"/>
        </w:rPr>
        <w:t xml:space="preserve">Considering the notifications processed under the complaint heading, may has the highest share with 10,6% and it is followed by December and April, respectively. </w:t>
      </w:r>
    </w:p>
    <w:p w14:paraId="7D4A8E48" w14:textId="77777777" w:rsidR="007E1FA4" w:rsidRPr="009E1B38" w:rsidRDefault="007E1FA4" w:rsidP="007E1FA4">
      <w:pPr>
        <w:spacing w:after="0"/>
        <w:rPr>
          <w:rFonts w:ascii="Times New Roman" w:hAnsi="Times New Roman"/>
        </w:rPr>
      </w:pPr>
    </w:p>
    <w:p w14:paraId="1C78F00E" w14:textId="6FDAA1E3" w:rsidR="00775391" w:rsidRPr="009E1B38" w:rsidRDefault="00704015" w:rsidP="00775391">
      <w:pPr>
        <w:rPr>
          <w:rFonts w:ascii="Times New Roman" w:eastAsiaTheme="minorHAnsi" w:hAnsi="Times New Roman"/>
        </w:rPr>
      </w:pPr>
      <w:r>
        <w:rPr>
          <w:rFonts w:ascii="Times New Roman" w:hAnsi="Times New Roman"/>
        </w:rPr>
        <w:lastRenderedPageBreak/>
        <w:t>Presidency of Communication of the Presidency of the Republic of Türkiye (</w:t>
      </w:r>
      <w:r w:rsidR="00775391" w:rsidRPr="009E1B38">
        <w:rPr>
          <w:rFonts w:ascii="Times New Roman" w:hAnsi="Times New Roman"/>
        </w:rPr>
        <w:t>CİMER</w:t>
      </w:r>
      <w:r>
        <w:rPr>
          <w:rFonts w:ascii="Times New Roman" w:hAnsi="Times New Roman"/>
        </w:rPr>
        <w:t>)</w:t>
      </w:r>
      <w:r w:rsidR="00775391" w:rsidRPr="009E1B38">
        <w:rPr>
          <w:rFonts w:ascii="Times New Roman" w:hAnsi="Times New Roman"/>
        </w:rPr>
        <w:t xml:space="preserve">, Ministry, EMRA’s web page (Form) and EMRA’s general document channels are used when notifications are delivered to our Authority. </w:t>
      </w:r>
    </w:p>
    <w:p w14:paraId="7D4A8E4B" w14:textId="7060301D" w:rsidR="007E1FA4" w:rsidRPr="009E1B38" w:rsidRDefault="00F251B1" w:rsidP="007E1FA4">
      <w:pPr>
        <w:spacing w:after="0"/>
        <w:rPr>
          <w:rFonts w:ascii="Times New Roman" w:hAnsi="Times New Roman"/>
        </w:rPr>
      </w:pPr>
      <w:r w:rsidRPr="009E1B38">
        <w:rPr>
          <w:rFonts w:ascii="Times New Roman" w:hAnsi="Times New Roman"/>
        </w:rPr>
        <w:t xml:space="preserve">In 2021, 128.951 applications were submitted to our Authority, using all channels. CİMER applications were </w:t>
      </w:r>
      <w:r w:rsidR="00693E17" w:rsidRPr="009E1B38">
        <w:rPr>
          <w:rFonts w:ascii="Times New Roman" w:hAnsi="Times New Roman"/>
        </w:rPr>
        <w:t>116.195</w:t>
      </w:r>
      <w:r w:rsidRPr="009E1B38">
        <w:rPr>
          <w:rFonts w:ascii="Times New Roman" w:hAnsi="Times New Roman"/>
        </w:rPr>
        <w:t xml:space="preserve"> (</w:t>
      </w:r>
      <w:r w:rsidR="00693E17" w:rsidRPr="009E1B38">
        <w:rPr>
          <w:rFonts w:ascii="Times New Roman" w:hAnsi="Times New Roman"/>
        </w:rPr>
        <w:t>90,1</w:t>
      </w:r>
      <w:r w:rsidRPr="009E1B38">
        <w:rPr>
          <w:rFonts w:ascii="Times New Roman" w:hAnsi="Times New Roman"/>
        </w:rPr>
        <w:t xml:space="preserve">% of total), web page applications were </w:t>
      </w:r>
      <w:r w:rsidR="00693E17" w:rsidRPr="009E1B38">
        <w:rPr>
          <w:rFonts w:ascii="Times New Roman" w:hAnsi="Times New Roman"/>
        </w:rPr>
        <w:t>12.264</w:t>
      </w:r>
      <w:r w:rsidRPr="009E1B38">
        <w:rPr>
          <w:rFonts w:ascii="Times New Roman" w:hAnsi="Times New Roman"/>
        </w:rPr>
        <w:t xml:space="preserve"> (</w:t>
      </w:r>
      <w:r w:rsidR="00D75C7C" w:rsidRPr="009E1B38">
        <w:rPr>
          <w:rFonts w:ascii="Times New Roman" w:hAnsi="Times New Roman"/>
        </w:rPr>
        <w:t>9,5</w:t>
      </w:r>
      <w:r w:rsidRPr="009E1B38">
        <w:rPr>
          <w:rFonts w:ascii="Times New Roman" w:hAnsi="Times New Roman"/>
        </w:rPr>
        <w:t xml:space="preserve">% of total), applications with MENR channel were </w:t>
      </w:r>
      <w:r w:rsidR="00D75C7C" w:rsidRPr="009E1B38">
        <w:rPr>
          <w:rFonts w:ascii="Times New Roman" w:hAnsi="Times New Roman"/>
        </w:rPr>
        <w:t>261</w:t>
      </w:r>
      <w:r w:rsidRPr="009E1B38">
        <w:rPr>
          <w:rFonts w:ascii="Times New Roman" w:hAnsi="Times New Roman"/>
        </w:rPr>
        <w:t xml:space="preserve">, applications with general document were </w:t>
      </w:r>
      <w:r w:rsidR="00D75C7C" w:rsidRPr="009E1B38">
        <w:rPr>
          <w:rFonts w:ascii="Times New Roman" w:hAnsi="Times New Roman"/>
        </w:rPr>
        <w:t>2</w:t>
      </w:r>
      <w:r w:rsidRPr="009E1B38">
        <w:rPr>
          <w:rFonts w:ascii="Times New Roman" w:hAnsi="Times New Roman"/>
        </w:rPr>
        <w:t>1</w:t>
      </w:r>
      <w:r w:rsidR="00D75C7C" w:rsidRPr="009E1B38">
        <w:rPr>
          <w:rFonts w:ascii="Times New Roman" w:hAnsi="Times New Roman"/>
        </w:rPr>
        <w:t>3</w:t>
      </w:r>
      <w:r w:rsidRPr="009E1B38">
        <w:rPr>
          <w:rFonts w:ascii="Times New Roman" w:hAnsi="Times New Roman"/>
        </w:rPr>
        <w:t xml:space="preserve"> and applications with other channels were </w:t>
      </w:r>
      <w:r w:rsidR="00D75C7C" w:rsidRPr="009E1B38">
        <w:rPr>
          <w:rFonts w:ascii="Times New Roman" w:hAnsi="Times New Roman"/>
        </w:rPr>
        <w:t>21</w:t>
      </w:r>
      <w:r w:rsidRPr="009E1B38">
        <w:rPr>
          <w:rFonts w:ascii="Times New Roman" w:hAnsi="Times New Roman"/>
        </w:rPr>
        <w:t>.</w:t>
      </w:r>
      <w:r w:rsidR="007E1FA4" w:rsidRPr="009E1B38">
        <w:rPr>
          <w:rFonts w:ascii="Times New Roman" w:hAnsi="Times New Roman"/>
        </w:rPr>
        <w:t xml:space="preserve"> </w:t>
      </w:r>
    </w:p>
    <w:p w14:paraId="7D4A8E4C" w14:textId="77777777" w:rsidR="007E1FA4" w:rsidRPr="009E1B38" w:rsidRDefault="007E1FA4" w:rsidP="007E1FA4">
      <w:pPr>
        <w:spacing w:after="0"/>
        <w:rPr>
          <w:rFonts w:ascii="Times New Roman" w:hAnsi="Times New Roman"/>
        </w:rPr>
      </w:pPr>
    </w:p>
    <w:p w14:paraId="7AC932DD" w14:textId="23303735" w:rsidR="00C85CDC" w:rsidRPr="009E1B38" w:rsidRDefault="00C85CDC" w:rsidP="00C85CDC">
      <w:pPr>
        <w:spacing w:after="0"/>
        <w:rPr>
          <w:rFonts w:ascii="Times New Roman" w:hAnsi="Times New Roman"/>
        </w:rPr>
      </w:pPr>
      <w:r w:rsidRPr="009E1B38">
        <w:rPr>
          <w:rFonts w:ascii="Times New Roman" w:hAnsi="Times New Roman"/>
        </w:rPr>
        <w:t>In 2021, 1</w:t>
      </w:r>
      <w:r w:rsidR="00852BA5" w:rsidRPr="009E1B38">
        <w:rPr>
          <w:rFonts w:ascii="Times New Roman" w:hAnsi="Times New Roman"/>
        </w:rPr>
        <w:t>.</w:t>
      </w:r>
      <w:r w:rsidRPr="009E1B38">
        <w:rPr>
          <w:rFonts w:ascii="Times New Roman" w:hAnsi="Times New Roman"/>
        </w:rPr>
        <w:t xml:space="preserve">382 applications for Knowledge </w:t>
      </w:r>
      <w:r w:rsidR="00F66D9D" w:rsidRPr="009E1B38">
        <w:rPr>
          <w:rFonts w:ascii="Times New Roman" w:hAnsi="Times New Roman"/>
        </w:rPr>
        <w:t>Acquisition</w:t>
      </w:r>
      <w:r w:rsidRPr="009E1B38">
        <w:rPr>
          <w:rFonts w:ascii="Times New Roman" w:hAnsi="Times New Roman"/>
        </w:rPr>
        <w:t xml:space="preserve"> were made to the Agency. As of the end of 2021, the total number of complaints and applications for obtaining information is 130</w:t>
      </w:r>
      <w:r w:rsidR="00852BA5" w:rsidRPr="009E1B38">
        <w:rPr>
          <w:rFonts w:ascii="Times New Roman" w:hAnsi="Times New Roman"/>
        </w:rPr>
        <w:t>.</w:t>
      </w:r>
      <w:r w:rsidRPr="009E1B38">
        <w:rPr>
          <w:rFonts w:ascii="Times New Roman" w:hAnsi="Times New Roman"/>
        </w:rPr>
        <w:t>333.</w:t>
      </w:r>
    </w:p>
    <w:p w14:paraId="13B141AC" w14:textId="77777777" w:rsidR="00C85CDC" w:rsidRPr="009E1B38" w:rsidRDefault="00C85CDC" w:rsidP="00C85CDC">
      <w:pPr>
        <w:spacing w:after="0"/>
        <w:rPr>
          <w:rFonts w:ascii="Times New Roman" w:hAnsi="Times New Roman"/>
        </w:rPr>
      </w:pPr>
    </w:p>
    <w:p w14:paraId="6CB58DCB" w14:textId="77777777" w:rsidR="0003392C" w:rsidRPr="009E1B38" w:rsidRDefault="00C85CDC" w:rsidP="0003392C">
      <w:pPr>
        <w:rPr>
          <w:rFonts w:ascii="Times New Roman" w:hAnsi="Times New Roman"/>
        </w:rPr>
      </w:pPr>
      <w:r w:rsidRPr="009E1B38">
        <w:rPr>
          <w:rFonts w:ascii="Times New Roman" w:hAnsi="Times New Roman"/>
        </w:rPr>
        <w:t>In 2021, 111</w:t>
      </w:r>
      <w:r w:rsidR="00852BA5" w:rsidRPr="009E1B38">
        <w:rPr>
          <w:rFonts w:ascii="Times New Roman" w:hAnsi="Times New Roman"/>
        </w:rPr>
        <w:t>.</w:t>
      </w:r>
      <w:r w:rsidRPr="009E1B38">
        <w:rPr>
          <w:rFonts w:ascii="Times New Roman" w:hAnsi="Times New Roman"/>
        </w:rPr>
        <w:t>204 applications were sent to the relevant companies for evaluation and necessary.</w:t>
      </w:r>
      <w:r w:rsidR="0003392C" w:rsidRPr="009E1B38">
        <w:rPr>
          <w:rFonts w:ascii="Times New Roman" w:hAnsi="Times New Roman"/>
        </w:rPr>
        <w:t xml:space="preserve"> . Percentage distribution by channels is shown in figure below.</w:t>
      </w:r>
    </w:p>
    <w:p w14:paraId="6567EB20" w14:textId="0C0D858F" w:rsidR="00852BA5" w:rsidRPr="009E1B38" w:rsidRDefault="00852BA5" w:rsidP="00C85CDC">
      <w:pPr>
        <w:spacing w:after="0"/>
        <w:rPr>
          <w:rFonts w:ascii="Times New Roman" w:hAnsi="Times New Roman"/>
        </w:rPr>
      </w:pPr>
    </w:p>
    <w:p w14:paraId="7D4A8E4E" w14:textId="77777777" w:rsidR="000875F4" w:rsidRPr="009E1B38" w:rsidRDefault="000875F4" w:rsidP="007E1FA4">
      <w:pPr>
        <w:spacing w:after="0"/>
        <w:rPr>
          <w:rFonts w:ascii="Times New Roman" w:hAnsi="Times New Roman"/>
        </w:rPr>
      </w:pPr>
    </w:p>
    <w:p w14:paraId="7D4A8E4F" w14:textId="38776FF4" w:rsidR="009E75EC" w:rsidRPr="009E1B38" w:rsidRDefault="009E75EC" w:rsidP="007E1FA4">
      <w:pPr>
        <w:spacing w:after="0"/>
        <w:rPr>
          <w:rStyle w:val="Gl"/>
          <w:rFonts w:ascii="Times New Roman" w:hAnsi="Times New Roman"/>
          <w:b w:val="0"/>
          <w:bCs w:val="0"/>
        </w:rPr>
      </w:pPr>
    </w:p>
    <w:p w14:paraId="66709597" w14:textId="5C756B87" w:rsidR="00127185" w:rsidRPr="009E1B38" w:rsidRDefault="007A1EDE" w:rsidP="00CB53A7">
      <w:pPr>
        <w:pStyle w:val="Balk5"/>
        <w:spacing w:before="0"/>
        <w:jc w:val="center"/>
        <w:rPr>
          <w:rFonts w:ascii="Times New Roman" w:hAnsi="Times New Roman" w:cs="Times New Roman"/>
        </w:rPr>
      </w:pPr>
      <w:bookmarkStart w:id="311" w:name="_Toc107499555"/>
      <w:r w:rsidRPr="009E1B38">
        <w:rPr>
          <w:rFonts w:ascii="Times New Roman" w:hAnsi="Times New Roman" w:cs="Times New Roman"/>
        </w:rPr>
        <w:t>Figure</w:t>
      </w:r>
      <w:r w:rsidR="009E75EC" w:rsidRPr="009E1B38">
        <w:rPr>
          <w:rFonts w:ascii="Times New Roman" w:hAnsi="Times New Roman" w:cs="Times New Roman"/>
        </w:rPr>
        <w:t xml:space="preserve"> 9.2: </w:t>
      </w:r>
      <w:r w:rsidR="00A80ACF" w:rsidRPr="009E1B38">
        <w:rPr>
          <w:rFonts w:ascii="Times New Roman" w:hAnsi="Times New Roman" w:cs="Times New Roman"/>
        </w:rPr>
        <w:t>Percentage Distribution of Complaint Notifications by Complaint Channels</w:t>
      </w:r>
      <w:bookmarkEnd w:id="311"/>
    </w:p>
    <w:p w14:paraId="1FAAFEAD" w14:textId="77777777" w:rsidR="00BF74A6" w:rsidRPr="009E1B38" w:rsidRDefault="00BF74A6" w:rsidP="00BF74A6">
      <w:pPr>
        <w:rPr>
          <w:rFonts w:ascii="Times New Roman" w:hAnsi="Times New Roman"/>
        </w:rPr>
      </w:pPr>
    </w:p>
    <w:p w14:paraId="7D4A8E51" w14:textId="0E4E21BA" w:rsidR="009E75EC" w:rsidRPr="009E1B38" w:rsidRDefault="00D24A58" w:rsidP="00BF74A6">
      <w:pPr>
        <w:jc w:val="center"/>
        <w:rPr>
          <w:rFonts w:ascii="Times New Roman" w:eastAsiaTheme="minorHAnsi" w:hAnsi="Times New Roman"/>
          <w:sz w:val="28"/>
          <w:szCs w:val="28"/>
        </w:rPr>
      </w:pPr>
      <w:r w:rsidRPr="009E1B38">
        <w:rPr>
          <w:rFonts w:ascii="Times New Roman" w:hAnsi="Times New Roman"/>
          <w:noProof/>
          <w:lang w:val="tr-TR" w:eastAsia="tr-TR"/>
        </w:rPr>
        <w:drawing>
          <wp:inline distT="0" distB="0" distL="0" distR="0" wp14:anchorId="6691D12D" wp14:editId="0312AABB">
            <wp:extent cx="5067300" cy="2903220"/>
            <wp:effectExtent l="0" t="0" r="0" b="11430"/>
            <wp:docPr id="2" name="Grafik 2">
              <a:extLst xmlns:a="http://schemas.openxmlformats.org/drawingml/2006/main">
                <a:ext uri="{FF2B5EF4-FFF2-40B4-BE49-F238E27FC236}">
                  <a16:creationId xmlns:a16="http://schemas.microsoft.com/office/drawing/2014/main" id="{6147CA0C-0002-4B48-9B2B-5AE1EAB349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D4A8E52" w14:textId="28E9EB9D" w:rsidR="009E75EC" w:rsidRPr="009E1B38" w:rsidRDefault="009E75EC" w:rsidP="00FC113A">
      <w:pPr>
        <w:spacing w:after="120"/>
        <w:rPr>
          <w:rFonts w:ascii="Times New Roman" w:hAnsi="Times New Roman"/>
        </w:rPr>
      </w:pPr>
    </w:p>
    <w:p w14:paraId="7D4A8E53" w14:textId="3623E762" w:rsidR="007E1FA4" w:rsidRPr="009E1B38" w:rsidRDefault="00B30DF9" w:rsidP="007E1FA4">
      <w:pPr>
        <w:spacing w:after="0"/>
        <w:rPr>
          <w:rFonts w:ascii="Times New Roman" w:hAnsi="Times New Roman"/>
        </w:rPr>
      </w:pPr>
      <w:bookmarkStart w:id="312" w:name="_Toc440363416"/>
      <w:bookmarkStart w:id="313" w:name="_Toc440363443"/>
      <w:bookmarkStart w:id="314" w:name="_Toc440364104"/>
      <w:bookmarkStart w:id="315" w:name="_Toc447286887"/>
      <w:r w:rsidRPr="009E1B38">
        <w:rPr>
          <w:rFonts w:ascii="Times New Roman" w:hAnsi="Times New Roman"/>
        </w:rPr>
        <w:t>90,1% of Complaint Noti</w:t>
      </w:r>
      <w:r w:rsidR="001B6706" w:rsidRPr="009E1B38">
        <w:rPr>
          <w:rFonts w:ascii="Times New Roman" w:hAnsi="Times New Roman"/>
        </w:rPr>
        <w:t>fications</w:t>
      </w:r>
      <w:r w:rsidRPr="009E1B38">
        <w:rPr>
          <w:rFonts w:ascii="Times New Roman" w:hAnsi="Times New Roman"/>
        </w:rPr>
        <w:t xml:space="preserve"> were made through CİMER. After CİMER, the highest number of noti</w:t>
      </w:r>
      <w:r w:rsidR="001B6706" w:rsidRPr="009E1B38">
        <w:rPr>
          <w:rFonts w:ascii="Times New Roman" w:hAnsi="Times New Roman"/>
        </w:rPr>
        <w:t>fications</w:t>
      </w:r>
      <w:r w:rsidRPr="009E1B38">
        <w:rPr>
          <w:rFonts w:ascii="Times New Roman" w:hAnsi="Times New Roman"/>
        </w:rPr>
        <w:t xml:space="preserve"> was made via the Institution's web page (Form) with 9,51%. EMRA web page is followed by ETKB, EMRA General Document and Other channels, respectively.</w:t>
      </w:r>
    </w:p>
    <w:p w14:paraId="7D4A8E54" w14:textId="77777777" w:rsidR="00AA55FC" w:rsidRPr="009E1B38" w:rsidRDefault="00AA55FC" w:rsidP="007E1FA4">
      <w:pPr>
        <w:spacing w:after="0"/>
        <w:rPr>
          <w:rFonts w:ascii="Times New Roman" w:hAnsi="Times New Roman"/>
          <w:color w:val="00B050"/>
        </w:rPr>
      </w:pPr>
    </w:p>
    <w:p w14:paraId="7D4A8E55" w14:textId="344F133E" w:rsidR="006E1269" w:rsidRPr="009E1B38" w:rsidRDefault="003100A3" w:rsidP="00D730CF">
      <w:pPr>
        <w:pStyle w:val="Balk3"/>
        <w:spacing w:after="240"/>
        <w:rPr>
          <w:rFonts w:ascii="Times New Roman" w:hAnsi="Times New Roman" w:cs="Times New Roman"/>
          <w:color w:val="auto"/>
        </w:rPr>
      </w:pPr>
      <w:bookmarkStart w:id="316" w:name="_Toc113615398"/>
      <w:r w:rsidRPr="009E1B38">
        <w:rPr>
          <w:rFonts w:ascii="Times New Roman" w:hAnsi="Times New Roman" w:cs="Times New Roman"/>
          <w:color w:val="auto"/>
        </w:rPr>
        <w:t>9.2.2.</w:t>
      </w:r>
      <w:r w:rsidR="00CC5AC3" w:rsidRPr="009E1B38">
        <w:rPr>
          <w:rFonts w:ascii="Times New Roman" w:hAnsi="Times New Roman" w:cs="Times New Roman"/>
        </w:rPr>
        <w:t xml:space="preserve"> </w:t>
      </w:r>
      <w:r w:rsidR="00CC5AC3" w:rsidRPr="009E1B38">
        <w:rPr>
          <w:rFonts w:ascii="Times New Roman" w:hAnsi="Times New Roman" w:cs="Times New Roman"/>
          <w:color w:val="auto"/>
        </w:rPr>
        <w:t>Complaint Notifications by Sectors</w:t>
      </w:r>
      <w:bookmarkEnd w:id="316"/>
      <w:r w:rsidRPr="009E1B38">
        <w:rPr>
          <w:rFonts w:ascii="Times New Roman" w:hAnsi="Times New Roman" w:cs="Times New Roman"/>
          <w:color w:val="auto"/>
        </w:rPr>
        <w:t xml:space="preserve"> </w:t>
      </w:r>
      <w:bookmarkEnd w:id="312"/>
      <w:bookmarkEnd w:id="313"/>
      <w:bookmarkEnd w:id="314"/>
      <w:bookmarkEnd w:id="315"/>
    </w:p>
    <w:p w14:paraId="77CC498F" w14:textId="50D2DD24" w:rsidR="0043408E" w:rsidRPr="009E1B38" w:rsidRDefault="00C35B40" w:rsidP="003100A3">
      <w:pPr>
        <w:spacing w:after="0"/>
        <w:rPr>
          <w:rFonts w:ascii="Times New Roman" w:hAnsi="Times New Roman"/>
        </w:rPr>
      </w:pPr>
      <w:r w:rsidRPr="009E1B38">
        <w:rPr>
          <w:rFonts w:ascii="Times New Roman" w:hAnsi="Times New Roman"/>
        </w:rPr>
        <w:t>The notifications communicated under the complaint category are separated into Electricity Market, Natural Gas Market, Liquefied Petroleum Gas Market (LPG) and Petroleum Market within the framework of protection of consumer rights and evaluation of consumer complaints. The percentage distribution of complaint notifications belonging to these sectors is given in the figure below.</w:t>
      </w:r>
    </w:p>
    <w:p w14:paraId="2A27C648" w14:textId="77777777" w:rsidR="00FE0417" w:rsidRPr="009E1B38" w:rsidRDefault="00FE0417" w:rsidP="003100A3">
      <w:pPr>
        <w:spacing w:after="0"/>
        <w:rPr>
          <w:rFonts w:ascii="Times New Roman" w:hAnsi="Times New Roman"/>
        </w:rPr>
      </w:pPr>
    </w:p>
    <w:p w14:paraId="45E49BDB" w14:textId="77777777" w:rsidR="00BF74A6" w:rsidRPr="009E1B38" w:rsidRDefault="007A1EDE" w:rsidP="00260412">
      <w:pPr>
        <w:jc w:val="center"/>
        <w:rPr>
          <w:rStyle w:val="Balk5Char"/>
          <w:rFonts w:ascii="Times New Roman" w:hAnsi="Times New Roman" w:cs="Times New Roman"/>
        </w:rPr>
      </w:pPr>
      <w:bookmarkStart w:id="317" w:name="_Toc107499556"/>
      <w:r w:rsidRPr="009E1B38">
        <w:rPr>
          <w:rStyle w:val="Balk5Char"/>
          <w:rFonts w:ascii="Times New Roman" w:hAnsi="Times New Roman" w:cs="Times New Roman"/>
        </w:rPr>
        <w:t>Figure</w:t>
      </w:r>
      <w:r w:rsidR="008C24FE" w:rsidRPr="009E1B38">
        <w:rPr>
          <w:rStyle w:val="Balk5Char"/>
          <w:rFonts w:ascii="Times New Roman" w:hAnsi="Times New Roman" w:cs="Times New Roman"/>
        </w:rPr>
        <w:t xml:space="preserve"> 9.3: </w:t>
      </w:r>
      <w:r w:rsidR="00AF6C0B" w:rsidRPr="009E1B38">
        <w:rPr>
          <w:rStyle w:val="Balk5Char"/>
          <w:rFonts w:ascii="Times New Roman" w:hAnsi="Times New Roman" w:cs="Times New Roman"/>
        </w:rPr>
        <w:t>Sectoral Distribution of Complaint Notifications</w:t>
      </w:r>
      <w:bookmarkEnd w:id="317"/>
    </w:p>
    <w:p w14:paraId="7D4A8E59" w14:textId="416B212D" w:rsidR="00260412" w:rsidRPr="009E1B38" w:rsidRDefault="00C514F7" w:rsidP="00BF74A6">
      <w:pPr>
        <w:jc w:val="center"/>
        <w:rPr>
          <w:rFonts w:ascii="Times New Roman" w:hAnsi="Times New Roman"/>
        </w:rPr>
      </w:pPr>
      <w:r w:rsidRPr="009E1B38">
        <w:rPr>
          <w:rFonts w:ascii="Times New Roman" w:hAnsi="Times New Roman"/>
          <w:noProof/>
          <w:lang w:val="tr-TR" w:eastAsia="tr-TR"/>
        </w:rPr>
        <w:drawing>
          <wp:inline distT="0" distB="0" distL="0" distR="0" wp14:anchorId="66B07E16" wp14:editId="61E17AA2">
            <wp:extent cx="5204460" cy="3017520"/>
            <wp:effectExtent l="0" t="0" r="15240" b="1143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64D1D482" w14:textId="0FE7DE98" w:rsidR="004E51ED" w:rsidRPr="009E1B38" w:rsidRDefault="00F25C2B" w:rsidP="00C271FD">
      <w:pPr>
        <w:rPr>
          <w:rFonts w:ascii="Times New Roman" w:hAnsi="Times New Roman"/>
        </w:rPr>
      </w:pPr>
      <w:r w:rsidRPr="009E1B38">
        <w:rPr>
          <w:rFonts w:ascii="Times New Roman" w:hAnsi="Times New Roman"/>
        </w:rPr>
        <w:t xml:space="preserve">Electricity sector has the biggest share with </w:t>
      </w:r>
      <w:r w:rsidR="008C3838" w:rsidRPr="009E1B38">
        <w:rPr>
          <w:rFonts w:ascii="Times New Roman" w:hAnsi="Times New Roman"/>
        </w:rPr>
        <w:t>100.283</w:t>
      </w:r>
      <w:r w:rsidRPr="009E1B38">
        <w:rPr>
          <w:rFonts w:ascii="Times New Roman" w:hAnsi="Times New Roman"/>
        </w:rPr>
        <w:t xml:space="preserve"> (</w:t>
      </w:r>
      <w:r w:rsidR="008C3838" w:rsidRPr="009E1B38">
        <w:rPr>
          <w:rFonts w:ascii="Times New Roman" w:hAnsi="Times New Roman"/>
        </w:rPr>
        <w:t>77,8</w:t>
      </w:r>
      <w:r w:rsidRPr="009E1B38">
        <w:rPr>
          <w:rFonts w:ascii="Times New Roman" w:hAnsi="Times New Roman"/>
        </w:rPr>
        <w:t>%) in the sectoral distribution of complaints. Natural gas sector with</w:t>
      </w:r>
      <w:r w:rsidR="003F6059" w:rsidRPr="009E1B38">
        <w:rPr>
          <w:rFonts w:ascii="Times New Roman" w:hAnsi="Times New Roman"/>
        </w:rPr>
        <w:t xml:space="preserve"> 21.860</w:t>
      </w:r>
      <w:r w:rsidRPr="009E1B38">
        <w:rPr>
          <w:rFonts w:ascii="Times New Roman" w:hAnsi="Times New Roman"/>
        </w:rPr>
        <w:t xml:space="preserve"> (</w:t>
      </w:r>
      <w:r w:rsidR="003F6059" w:rsidRPr="009E1B38">
        <w:rPr>
          <w:rFonts w:ascii="Times New Roman" w:hAnsi="Times New Roman"/>
        </w:rPr>
        <w:t>17</w:t>
      </w:r>
      <w:r w:rsidRPr="009E1B38">
        <w:rPr>
          <w:rFonts w:ascii="Times New Roman" w:hAnsi="Times New Roman"/>
        </w:rPr>
        <w:t xml:space="preserve">%), petroleum sector with </w:t>
      </w:r>
      <w:r w:rsidR="0080637C" w:rsidRPr="009E1B38">
        <w:rPr>
          <w:rFonts w:ascii="Times New Roman" w:hAnsi="Times New Roman"/>
        </w:rPr>
        <w:t>1</w:t>
      </w:r>
      <w:r w:rsidRPr="009E1B38">
        <w:rPr>
          <w:rFonts w:ascii="Times New Roman" w:hAnsi="Times New Roman"/>
        </w:rPr>
        <w:t>.</w:t>
      </w:r>
      <w:r w:rsidR="0080637C" w:rsidRPr="009E1B38">
        <w:rPr>
          <w:rFonts w:ascii="Times New Roman" w:hAnsi="Times New Roman"/>
        </w:rPr>
        <w:t>138</w:t>
      </w:r>
      <w:r w:rsidRPr="009E1B38">
        <w:rPr>
          <w:rFonts w:ascii="Times New Roman" w:hAnsi="Times New Roman"/>
        </w:rPr>
        <w:t xml:space="preserve"> (</w:t>
      </w:r>
      <w:r w:rsidR="0080637C" w:rsidRPr="009E1B38">
        <w:rPr>
          <w:rFonts w:ascii="Times New Roman" w:hAnsi="Times New Roman"/>
        </w:rPr>
        <w:t>0,9</w:t>
      </w:r>
      <w:r w:rsidRPr="009E1B38">
        <w:rPr>
          <w:rFonts w:ascii="Times New Roman" w:hAnsi="Times New Roman"/>
        </w:rPr>
        <w:t>%), other with 2</w:t>
      </w:r>
      <w:r w:rsidR="00717DD2" w:rsidRPr="009E1B38">
        <w:rPr>
          <w:rFonts w:ascii="Times New Roman" w:hAnsi="Times New Roman"/>
        </w:rPr>
        <w:t>.903</w:t>
      </w:r>
      <w:r w:rsidRPr="009E1B38">
        <w:rPr>
          <w:rFonts w:ascii="Times New Roman" w:hAnsi="Times New Roman"/>
        </w:rPr>
        <w:t xml:space="preserve"> (</w:t>
      </w:r>
      <w:r w:rsidR="00BC4B7C" w:rsidRPr="009E1B38">
        <w:rPr>
          <w:rFonts w:ascii="Times New Roman" w:hAnsi="Times New Roman"/>
        </w:rPr>
        <w:t>2,3</w:t>
      </w:r>
      <w:r w:rsidRPr="009E1B38">
        <w:rPr>
          <w:rFonts w:ascii="Times New Roman" w:hAnsi="Times New Roman"/>
        </w:rPr>
        <w:t>%) and LPG sector with 1</w:t>
      </w:r>
      <w:r w:rsidR="00BC4B7C" w:rsidRPr="009E1B38">
        <w:rPr>
          <w:rFonts w:ascii="Times New Roman" w:hAnsi="Times New Roman"/>
        </w:rPr>
        <w:t>.138</w:t>
      </w:r>
      <w:r w:rsidRPr="009E1B38">
        <w:rPr>
          <w:rFonts w:ascii="Times New Roman" w:hAnsi="Times New Roman"/>
        </w:rPr>
        <w:t xml:space="preserve"> (</w:t>
      </w:r>
      <w:r w:rsidR="00BC4B7C" w:rsidRPr="009E1B38">
        <w:rPr>
          <w:rFonts w:ascii="Times New Roman" w:hAnsi="Times New Roman"/>
        </w:rPr>
        <w:t>0,9</w:t>
      </w:r>
      <w:r w:rsidRPr="009E1B38">
        <w:rPr>
          <w:rFonts w:ascii="Times New Roman" w:hAnsi="Times New Roman"/>
        </w:rPr>
        <w:t>%), followed by electricity sector</w:t>
      </w:r>
      <w:r w:rsidR="00BC4B7C" w:rsidRPr="009E1B38">
        <w:rPr>
          <w:rFonts w:ascii="Times New Roman" w:hAnsi="Times New Roman"/>
        </w:rPr>
        <w:t>.</w:t>
      </w:r>
      <w:r w:rsidR="00B76498" w:rsidRPr="009E1B38">
        <w:rPr>
          <w:rFonts w:ascii="Times New Roman" w:hAnsi="Times New Roman"/>
        </w:rPr>
        <w:t xml:space="preserve"> When these rates, especially for the electricity and natural gas sectors, are evaluated, it should be taken into account that there are over 64 million consumers</w:t>
      </w:r>
      <w:r w:rsidR="00C271FD" w:rsidRPr="009E1B38">
        <w:rPr>
          <w:rFonts w:ascii="Times New Roman" w:hAnsi="Times New Roman"/>
        </w:rPr>
        <w:t>/subscribes</w:t>
      </w:r>
      <w:r w:rsidR="00B76498" w:rsidRPr="009E1B38">
        <w:rPr>
          <w:rFonts w:ascii="Times New Roman" w:hAnsi="Times New Roman"/>
        </w:rPr>
        <w:t xml:space="preserve"> (eligible and non-eligible) in the electricity</w:t>
      </w:r>
      <w:r w:rsidR="00C271FD" w:rsidRPr="009E1B38">
        <w:rPr>
          <w:rFonts w:ascii="Times New Roman" w:hAnsi="Times New Roman"/>
        </w:rPr>
        <w:t xml:space="preserve"> and natural gas</w:t>
      </w:r>
      <w:r w:rsidR="00B76498" w:rsidRPr="009E1B38">
        <w:rPr>
          <w:rFonts w:ascii="Times New Roman" w:hAnsi="Times New Roman"/>
        </w:rPr>
        <w:t xml:space="preserve"> sector in 202</w:t>
      </w:r>
      <w:r w:rsidR="00C271FD" w:rsidRPr="009E1B38">
        <w:rPr>
          <w:rFonts w:ascii="Times New Roman" w:hAnsi="Times New Roman"/>
        </w:rPr>
        <w:t>1.</w:t>
      </w:r>
    </w:p>
    <w:p w14:paraId="7D4A8E5C" w14:textId="77777777" w:rsidR="007E1FA4" w:rsidRPr="009E1B38" w:rsidRDefault="007E1FA4" w:rsidP="007E1FA4">
      <w:pPr>
        <w:spacing w:after="0"/>
        <w:rPr>
          <w:rFonts w:ascii="Times New Roman" w:hAnsi="Times New Roman"/>
        </w:rPr>
      </w:pPr>
    </w:p>
    <w:p w14:paraId="75A39505" w14:textId="77777777" w:rsidR="0043408E" w:rsidRPr="009E1B38" w:rsidRDefault="0043408E" w:rsidP="0043408E">
      <w:pPr>
        <w:rPr>
          <w:rFonts w:ascii="Times New Roman" w:hAnsi="Times New Roman"/>
          <w:noProof/>
          <w:lang w:eastAsia="tr-TR"/>
        </w:rPr>
      </w:pPr>
      <w:r w:rsidRPr="009E1B38">
        <w:rPr>
          <w:rFonts w:ascii="Times New Roman" w:hAnsi="Times New Roman"/>
        </w:rPr>
        <w:t>All notifications included in the authority correspondence system are not sent to the sector departments. Complaints that are not directly evaluated by our authority and that need to be answered and evaluated by the companies are sent to the related companies.</w:t>
      </w:r>
      <w:r w:rsidRPr="009E1B38">
        <w:rPr>
          <w:rFonts w:ascii="Times New Roman" w:hAnsi="Times New Roman"/>
          <w:noProof/>
          <w:lang w:eastAsia="tr-TR"/>
        </w:rPr>
        <w:t xml:space="preserve"> </w:t>
      </w:r>
    </w:p>
    <w:p w14:paraId="6083FE00" w14:textId="405AC77B" w:rsidR="0043408E" w:rsidRPr="009E1B38" w:rsidRDefault="0043408E" w:rsidP="0043408E">
      <w:pPr>
        <w:rPr>
          <w:rFonts w:ascii="Times New Roman" w:eastAsiaTheme="minorHAnsi" w:hAnsi="Times New Roman"/>
        </w:rPr>
      </w:pPr>
      <w:r w:rsidRPr="009E1B38">
        <w:rPr>
          <w:rFonts w:ascii="Times New Roman" w:hAnsi="Times New Roman"/>
        </w:rPr>
        <w:t>The following graph shows the proportions of complaints that are included in the authority's correspondence system and sent directly to the authority.</w:t>
      </w:r>
    </w:p>
    <w:p w14:paraId="7D4A8E60" w14:textId="29900C06" w:rsidR="00AA55FC" w:rsidRPr="009E1B38" w:rsidRDefault="00AA55FC" w:rsidP="003100A3">
      <w:pPr>
        <w:spacing w:after="0"/>
        <w:rPr>
          <w:rFonts w:ascii="Times New Roman" w:hAnsi="Times New Roman"/>
        </w:rPr>
      </w:pPr>
    </w:p>
    <w:p w14:paraId="162A1AD3" w14:textId="6853BF8E" w:rsidR="00BF74A6" w:rsidRPr="009E1B38" w:rsidRDefault="00BF74A6" w:rsidP="003100A3">
      <w:pPr>
        <w:spacing w:after="0"/>
        <w:rPr>
          <w:rFonts w:ascii="Times New Roman" w:hAnsi="Times New Roman"/>
        </w:rPr>
      </w:pPr>
    </w:p>
    <w:p w14:paraId="6FE89F8C" w14:textId="4A3DAC74" w:rsidR="00BF74A6" w:rsidRPr="009E1B38" w:rsidRDefault="00BF74A6" w:rsidP="003100A3">
      <w:pPr>
        <w:spacing w:after="0"/>
        <w:rPr>
          <w:rFonts w:ascii="Times New Roman" w:hAnsi="Times New Roman"/>
        </w:rPr>
      </w:pPr>
    </w:p>
    <w:p w14:paraId="3B0DBBE0" w14:textId="18ED6322" w:rsidR="00BF74A6" w:rsidRPr="009E1B38" w:rsidRDefault="00BF74A6" w:rsidP="003100A3">
      <w:pPr>
        <w:spacing w:after="0"/>
        <w:rPr>
          <w:rFonts w:ascii="Times New Roman" w:hAnsi="Times New Roman"/>
        </w:rPr>
      </w:pPr>
    </w:p>
    <w:p w14:paraId="6600D243" w14:textId="488F360C" w:rsidR="00BF74A6" w:rsidRPr="009E1B38" w:rsidRDefault="00BF74A6" w:rsidP="003100A3">
      <w:pPr>
        <w:spacing w:after="0"/>
        <w:rPr>
          <w:rFonts w:ascii="Times New Roman" w:hAnsi="Times New Roman"/>
        </w:rPr>
      </w:pPr>
    </w:p>
    <w:p w14:paraId="39193ECE" w14:textId="188B3383" w:rsidR="00BF74A6" w:rsidRPr="009E1B38" w:rsidRDefault="00BF74A6" w:rsidP="003100A3">
      <w:pPr>
        <w:spacing w:after="0"/>
        <w:rPr>
          <w:rFonts w:ascii="Times New Roman" w:hAnsi="Times New Roman"/>
        </w:rPr>
      </w:pPr>
    </w:p>
    <w:p w14:paraId="3DD832EC" w14:textId="77777777" w:rsidR="00BF74A6" w:rsidRPr="009E1B38" w:rsidRDefault="00BF74A6" w:rsidP="00D06DEE">
      <w:pPr>
        <w:pStyle w:val="Balk5"/>
        <w:spacing w:before="0"/>
        <w:jc w:val="center"/>
        <w:rPr>
          <w:rStyle w:val="Gl"/>
          <w:rFonts w:ascii="Times New Roman" w:hAnsi="Times New Roman" w:cs="Times New Roman"/>
          <w:color w:val="auto"/>
        </w:rPr>
      </w:pPr>
    </w:p>
    <w:p w14:paraId="5715E118" w14:textId="702B07D4" w:rsidR="00BF74A6" w:rsidRPr="009E1B38" w:rsidRDefault="003100A3" w:rsidP="00D06DEE">
      <w:pPr>
        <w:pStyle w:val="Balk5"/>
        <w:spacing w:before="0"/>
        <w:jc w:val="center"/>
        <w:rPr>
          <w:rFonts w:ascii="Times New Roman" w:hAnsi="Times New Roman" w:cs="Times New Roman"/>
        </w:rPr>
      </w:pPr>
      <w:r w:rsidRPr="009E1B38">
        <w:rPr>
          <w:rStyle w:val="Gl"/>
          <w:rFonts w:ascii="Times New Roman" w:hAnsi="Times New Roman" w:cs="Times New Roman"/>
          <w:color w:val="auto"/>
        </w:rPr>
        <w:t xml:space="preserve"> </w:t>
      </w:r>
      <w:bookmarkStart w:id="318" w:name="_Toc107499557"/>
      <w:r w:rsidR="00847859" w:rsidRPr="009E1B38">
        <w:rPr>
          <w:rFonts w:ascii="Times New Roman" w:hAnsi="Times New Roman" w:cs="Times New Roman"/>
        </w:rPr>
        <w:t>Figure</w:t>
      </w:r>
      <w:r w:rsidR="008C24FE" w:rsidRPr="009E1B38">
        <w:rPr>
          <w:rFonts w:ascii="Times New Roman" w:hAnsi="Times New Roman" w:cs="Times New Roman"/>
        </w:rPr>
        <w:t xml:space="preserve"> 9.4: </w:t>
      </w:r>
      <w:r w:rsidR="00955BCF" w:rsidRPr="009E1B38">
        <w:rPr>
          <w:rFonts w:ascii="Times New Roman" w:hAnsi="Times New Roman" w:cs="Times New Roman"/>
        </w:rPr>
        <w:t>Distribution of Complaint Notifications by Relevant Addresses</w:t>
      </w:r>
      <w:bookmarkEnd w:id="318"/>
      <w:r w:rsidR="00955BCF" w:rsidRPr="009E1B38">
        <w:rPr>
          <w:rFonts w:ascii="Times New Roman" w:hAnsi="Times New Roman" w:cs="Times New Roman"/>
        </w:rPr>
        <w:t xml:space="preserve"> </w:t>
      </w:r>
    </w:p>
    <w:p w14:paraId="49D075E9" w14:textId="77777777" w:rsidR="00BF74A6" w:rsidRPr="009E1B38" w:rsidRDefault="00BF74A6" w:rsidP="00BF74A6">
      <w:pPr>
        <w:rPr>
          <w:rFonts w:ascii="Times New Roman" w:hAnsi="Times New Roman"/>
        </w:rPr>
      </w:pPr>
    </w:p>
    <w:p w14:paraId="7D4A8E62" w14:textId="2A429333" w:rsidR="000B7B7C" w:rsidRPr="009E1B38" w:rsidRDefault="00D06DEE" w:rsidP="00BF74A6">
      <w:pPr>
        <w:jc w:val="center"/>
        <w:rPr>
          <w:rFonts w:ascii="Times New Roman" w:hAnsi="Times New Roman"/>
        </w:rPr>
      </w:pPr>
      <w:r w:rsidRPr="009E1B38">
        <w:rPr>
          <w:rFonts w:ascii="Times New Roman" w:hAnsi="Times New Roman"/>
          <w:noProof/>
          <w:lang w:val="tr-TR" w:eastAsia="tr-TR"/>
        </w:rPr>
        <w:lastRenderedPageBreak/>
        <w:drawing>
          <wp:inline distT="0" distB="0" distL="0" distR="0" wp14:anchorId="33FF7F2A" wp14:editId="446D20CC">
            <wp:extent cx="3962400" cy="2735580"/>
            <wp:effectExtent l="0" t="0" r="0" b="7620"/>
            <wp:docPr id="9" name="Grafik 9">
              <a:extLst xmlns:a="http://schemas.openxmlformats.org/drawingml/2006/main">
                <a:ext uri="{FF2B5EF4-FFF2-40B4-BE49-F238E27FC236}">
                  <a16:creationId xmlns:a16="http://schemas.microsoft.com/office/drawing/2014/main" id="{89EF3BED-629F-4D19-A16A-241620E29A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0B923F5D" w14:textId="35C443FE" w:rsidR="002C5619" w:rsidRPr="009E1B38" w:rsidRDefault="002C5619" w:rsidP="002C5619">
      <w:pPr>
        <w:rPr>
          <w:rFonts w:ascii="Times New Roman" w:eastAsiaTheme="minorHAnsi" w:hAnsi="Times New Roman"/>
        </w:rPr>
      </w:pPr>
      <w:r w:rsidRPr="009E1B38">
        <w:rPr>
          <w:rFonts w:ascii="Times New Roman" w:hAnsi="Times New Roman"/>
        </w:rPr>
        <w:t>The biggest part of the complaints received into the Authority’s correspondence system was forwarded to electricity distribution companies with 5</w:t>
      </w:r>
      <w:r w:rsidR="00CE6A16" w:rsidRPr="009E1B38">
        <w:rPr>
          <w:rFonts w:ascii="Times New Roman" w:hAnsi="Times New Roman"/>
        </w:rPr>
        <w:t>5</w:t>
      </w:r>
      <w:r w:rsidRPr="009E1B38">
        <w:rPr>
          <w:rFonts w:ascii="Times New Roman" w:hAnsi="Times New Roman"/>
        </w:rPr>
        <w:t>%, natural gas companies with 1</w:t>
      </w:r>
      <w:r w:rsidR="00CE6A16" w:rsidRPr="009E1B38">
        <w:rPr>
          <w:rFonts w:ascii="Times New Roman" w:hAnsi="Times New Roman"/>
        </w:rPr>
        <w:t>4</w:t>
      </w:r>
      <w:r w:rsidRPr="009E1B38">
        <w:rPr>
          <w:rFonts w:ascii="Times New Roman" w:hAnsi="Times New Roman"/>
        </w:rPr>
        <w:t>%, electricity assigned supplier companies with 1</w:t>
      </w:r>
      <w:r w:rsidR="00CE6A16" w:rsidRPr="009E1B38">
        <w:rPr>
          <w:rFonts w:ascii="Times New Roman" w:hAnsi="Times New Roman"/>
        </w:rPr>
        <w:t>6</w:t>
      </w:r>
      <w:r w:rsidRPr="009E1B38">
        <w:rPr>
          <w:rFonts w:ascii="Times New Roman" w:hAnsi="Times New Roman"/>
        </w:rPr>
        <w:t>% and the related sectoral departments of the authority with 1</w:t>
      </w:r>
      <w:r w:rsidR="00CE6A16" w:rsidRPr="009E1B38">
        <w:rPr>
          <w:rFonts w:ascii="Times New Roman" w:hAnsi="Times New Roman"/>
        </w:rPr>
        <w:t>4</w:t>
      </w:r>
      <w:r w:rsidRPr="009E1B38">
        <w:rPr>
          <w:rFonts w:ascii="Times New Roman" w:hAnsi="Times New Roman"/>
        </w:rPr>
        <w:t>%.</w:t>
      </w:r>
    </w:p>
    <w:p w14:paraId="7D4A8E64" w14:textId="77777777" w:rsidR="00AA55FC" w:rsidRPr="009E1B38" w:rsidRDefault="00AA55FC" w:rsidP="004925E2">
      <w:pPr>
        <w:spacing w:after="0"/>
        <w:rPr>
          <w:rFonts w:ascii="Times New Roman" w:hAnsi="Times New Roman"/>
        </w:rPr>
      </w:pPr>
    </w:p>
    <w:p w14:paraId="7D4A8E65" w14:textId="79A2038F" w:rsidR="00C35C11" w:rsidRPr="009E1B38" w:rsidRDefault="00EB4D95" w:rsidP="00D730CF">
      <w:pPr>
        <w:pStyle w:val="Balk3"/>
        <w:spacing w:after="240"/>
        <w:rPr>
          <w:rFonts w:ascii="Times New Roman" w:hAnsi="Times New Roman" w:cs="Times New Roman"/>
          <w:color w:val="auto"/>
        </w:rPr>
      </w:pPr>
      <w:bookmarkStart w:id="319" w:name="_Toc113615399"/>
      <w:bookmarkStart w:id="320" w:name="_Toc440363418"/>
      <w:bookmarkStart w:id="321" w:name="_Toc440363445"/>
      <w:bookmarkStart w:id="322" w:name="_Toc440364106"/>
      <w:bookmarkStart w:id="323" w:name="_Toc447286889"/>
      <w:r w:rsidRPr="009E1B38">
        <w:rPr>
          <w:rFonts w:ascii="Times New Roman" w:hAnsi="Times New Roman" w:cs="Times New Roman"/>
          <w:color w:val="auto"/>
        </w:rPr>
        <w:t>9.2.</w:t>
      </w:r>
      <w:r w:rsidR="004925E2" w:rsidRPr="009E1B38">
        <w:rPr>
          <w:rFonts w:ascii="Times New Roman" w:hAnsi="Times New Roman" w:cs="Times New Roman"/>
          <w:color w:val="auto"/>
        </w:rPr>
        <w:t>3</w:t>
      </w:r>
      <w:r w:rsidRPr="009E1B38">
        <w:rPr>
          <w:rFonts w:ascii="Times New Roman" w:hAnsi="Times New Roman" w:cs="Times New Roman"/>
          <w:color w:val="auto"/>
        </w:rPr>
        <w:t xml:space="preserve">. </w:t>
      </w:r>
      <w:r w:rsidR="002B21BC" w:rsidRPr="009E1B38">
        <w:rPr>
          <w:rFonts w:ascii="Times New Roman" w:hAnsi="Times New Roman" w:cs="Times New Roman"/>
          <w:color w:val="auto"/>
        </w:rPr>
        <w:t>Classification of Complaints and Realizations in the Electricity Sector</w:t>
      </w:r>
      <w:bookmarkEnd w:id="319"/>
      <w:r w:rsidR="002B21BC" w:rsidRPr="009E1B38">
        <w:rPr>
          <w:rFonts w:ascii="Times New Roman" w:hAnsi="Times New Roman" w:cs="Times New Roman"/>
          <w:color w:val="auto"/>
        </w:rPr>
        <w:t xml:space="preserve"> </w:t>
      </w:r>
      <w:bookmarkEnd w:id="320"/>
      <w:bookmarkEnd w:id="321"/>
      <w:bookmarkEnd w:id="322"/>
      <w:bookmarkEnd w:id="323"/>
    </w:p>
    <w:p w14:paraId="51CDCC7E" w14:textId="25DD5894" w:rsidR="00F21DFC" w:rsidRPr="009E1B38" w:rsidRDefault="00F21DFC" w:rsidP="00F21DFC">
      <w:pPr>
        <w:rPr>
          <w:rFonts w:ascii="Times New Roman" w:hAnsi="Times New Roman"/>
        </w:rPr>
      </w:pPr>
      <w:r w:rsidRPr="009E1B38">
        <w:rPr>
          <w:rFonts w:ascii="Times New Roman" w:hAnsi="Times New Roman"/>
        </w:rPr>
        <w:t>Within the framework of consumer rights and protection of consumers, sub-classifications specific to the Electricity sector have been made under the complaint category. In this period, 100.279 notifications subject to the complaint category were processed, and the distribution of the supply, distribution and private supply companies’ complaint categories on the basis of sub-classifications is given below.</w:t>
      </w:r>
    </w:p>
    <w:p w14:paraId="1C212599" w14:textId="3EAC0D6A" w:rsidR="00BF74A6" w:rsidRPr="009E1B38" w:rsidRDefault="00847859" w:rsidP="00BF74A6">
      <w:pPr>
        <w:pStyle w:val="Balk5"/>
        <w:spacing w:before="0"/>
        <w:jc w:val="center"/>
        <w:rPr>
          <w:rFonts w:ascii="Times New Roman" w:hAnsi="Times New Roman" w:cs="Times New Roman"/>
        </w:rPr>
      </w:pPr>
      <w:bookmarkStart w:id="324" w:name="_Toc107499558"/>
      <w:r w:rsidRPr="009E1B38">
        <w:rPr>
          <w:rFonts w:ascii="Times New Roman" w:hAnsi="Times New Roman" w:cs="Times New Roman"/>
        </w:rPr>
        <w:t>Figure</w:t>
      </w:r>
      <w:r w:rsidR="008C24FE" w:rsidRPr="009E1B38">
        <w:rPr>
          <w:rFonts w:ascii="Times New Roman" w:hAnsi="Times New Roman" w:cs="Times New Roman"/>
        </w:rPr>
        <w:t xml:space="preserve"> 9.5: </w:t>
      </w:r>
      <w:r w:rsidR="00BB161D" w:rsidRPr="009E1B38">
        <w:rPr>
          <w:rFonts w:ascii="Times New Roman" w:hAnsi="Times New Roman" w:cs="Times New Roman"/>
        </w:rPr>
        <w:t>Percentage Distribution of Sub-Classification of Complaints in the Electricity Sector</w:t>
      </w:r>
      <w:bookmarkEnd w:id="324"/>
    </w:p>
    <w:p w14:paraId="698B6323" w14:textId="1A1AF158" w:rsidR="00BF74A6" w:rsidRPr="009E1B38" w:rsidRDefault="00BF74A6" w:rsidP="00BF74A6">
      <w:pPr>
        <w:rPr>
          <w:rFonts w:ascii="Times New Roman" w:hAnsi="Times New Roman"/>
        </w:rPr>
      </w:pPr>
      <w:r w:rsidRPr="009E1B38">
        <w:rPr>
          <w:rFonts w:ascii="Times New Roman" w:hAnsi="Times New Roman"/>
          <w:noProof/>
          <w:lang w:val="tr-TR" w:eastAsia="tr-TR"/>
        </w:rPr>
        <w:drawing>
          <wp:inline distT="0" distB="0" distL="0" distR="0" wp14:anchorId="16A976BE" wp14:editId="7E3D0C38">
            <wp:extent cx="6035040" cy="3421380"/>
            <wp:effectExtent l="0" t="0" r="3810" b="7620"/>
            <wp:docPr id="29" name="Grafik 29">
              <a:extLst xmlns:a="http://schemas.openxmlformats.org/drawingml/2006/main">
                <a:ext uri="{FF2B5EF4-FFF2-40B4-BE49-F238E27FC236}">
                  <a16:creationId xmlns:a16="http://schemas.microsoft.com/office/drawing/2014/main" id="{B4ACF859-71D1-4159-A123-07ABD3A8DF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7D4A8E6A" w14:textId="6CE4A1AA" w:rsidR="008C24FE" w:rsidRPr="009E1B38" w:rsidRDefault="008C24FE" w:rsidP="00BF74A6">
      <w:pPr>
        <w:jc w:val="center"/>
        <w:rPr>
          <w:rStyle w:val="Gl"/>
          <w:rFonts w:ascii="Times New Roman" w:hAnsi="Times New Roman"/>
        </w:rPr>
      </w:pPr>
    </w:p>
    <w:p w14:paraId="686BD4BD" w14:textId="0E0EA184" w:rsidR="001D0ACB" w:rsidRPr="009E1B38" w:rsidRDefault="001D0ACB" w:rsidP="001D0ACB">
      <w:pPr>
        <w:rPr>
          <w:rFonts w:ascii="Times New Roman" w:hAnsi="Times New Roman"/>
          <w:sz w:val="18"/>
          <w:szCs w:val="18"/>
        </w:rPr>
      </w:pPr>
      <w:r w:rsidRPr="009E1B38">
        <w:rPr>
          <w:rFonts w:ascii="Times New Roman" w:hAnsi="Times New Roman"/>
          <w:sz w:val="18"/>
          <w:szCs w:val="18"/>
        </w:rPr>
        <w:t>*In the category “Other”, there are various complaints related to more than one subject and the sum of the complaints with a very low percentage.</w:t>
      </w:r>
    </w:p>
    <w:p w14:paraId="7D4A8E6E" w14:textId="28F1398D" w:rsidR="00824806" w:rsidRPr="009E1B38" w:rsidRDefault="00FB0040" w:rsidP="00BF74A6">
      <w:pPr>
        <w:rPr>
          <w:rFonts w:ascii="Times New Roman" w:hAnsi="Times New Roman"/>
        </w:rPr>
      </w:pPr>
      <w:r w:rsidRPr="009E1B38">
        <w:rPr>
          <w:rFonts w:ascii="Times New Roman" w:hAnsi="Times New Roman"/>
        </w:rPr>
        <w:t xml:space="preserve">The majority of complaints in the electricity market is in the Power Cut field with 30,6%, </w:t>
      </w:r>
      <w:r w:rsidR="003F07F7" w:rsidRPr="009E1B38">
        <w:rPr>
          <w:rFonts w:ascii="Times New Roman" w:hAnsi="Times New Roman"/>
        </w:rPr>
        <w:t xml:space="preserve">other with 14,9%, </w:t>
      </w:r>
      <w:r w:rsidRPr="009E1B38">
        <w:rPr>
          <w:rFonts w:ascii="Times New Roman" w:hAnsi="Times New Roman"/>
        </w:rPr>
        <w:t>Investment / Initial Connection (Physical Connection to Network) with 1</w:t>
      </w:r>
      <w:r w:rsidR="00602AD4" w:rsidRPr="009E1B38">
        <w:rPr>
          <w:rFonts w:ascii="Times New Roman" w:hAnsi="Times New Roman"/>
        </w:rPr>
        <w:t>0,7</w:t>
      </w:r>
      <w:r w:rsidRPr="009E1B38">
        <w:rPr>
          <w:rFonts w:ascii="Times New Roman" w:hAnsi="Times New Roman"/>
        </w:rPr>
        <w:t>%</w:t>
      </w:r>
      <w:r w:rsidR="00115A50" w:rsidRPr="009E1B38">
        <w:rPr>
          <w:rFonts w:ascii="Times New Roman" w:hAnsi="Times New Roman"/>
        </w:rPr>
        <w:t xml:space="preserve"> and High Bill Objections with 8.7%.</w:t>
      </w:r>
      <w:r w:rsidR="00981145" w:rsidRPr="009E1B38">
        <w:rPr>
          <w:rFonts w:ascii="Times New Roman" w:hAnsi="Times New Roman"/>
        </w:rPr>
        <w:t xml:space="preserve"> </w:t>
      </w:r>
      <w:r w:rsidR="00FE0527" w:rsidRPr="009E1B38">
        <w:rPr>
          <w:rFonts w:ascii="Times New Roman" w:hAnsi="Times New Roman"/>
        </w:rPr>
        <w:t>Percentage distribution of the notifications that are processed in the Electricity sector and are reported on a monthly basis are given below.</w:t>
      </w:r>
    </w:p>
    <w:p w14:paraId="42136ACA" w14:textId="77777777" w:rsidR="00BF74A6" w:rsidRPr="009E1B38" w:rsidRDefault="008E1DA4" w:rsidP="00BF74A6">
      <w:pPr>
        <w:pStyle w:val="Balk5"/>
        <w:spacing w:before="0"/>
        <w:jc w:val="center"/>
        <w:rPr>
          <w:rFonts w:ascii="Times New Roman" w:hAnsi="Times New Roman" w:cs="Times New Roman"/>
        </w:rPr>
      </w:pPr>
      <w:bookmarkStart w:id="325" w:name="_Toc107499559"/>
      <w:r w:rsidRPr="009E1B38">
        <w:rPr>
          <w:rFonts w:ascii="Times New Roman" w:hAnsi="Times New Roman" w:cs="Times New Roman"/>
        </w:rPr>
        <w:t xml:space="preserve">Figure </w:t>
      </w:r>
      <w:r w:rsidR="00A41710" w:rsidRPr="009E1B38">
        <w:rPr>
          <w:rFonts w:ascii="Times New Roman" w:hAnsi="Times New Roman" w:cs="Times New Roman"/>
        </w:rPr>
        <w:t xml:space="preserve">9.6: </w:t>
      </w:r>
      <w:r w:rsidR="00043635" w:rsidRPr="009E1B38">
        <w:rPr>
          <w:rFonts w:ascii="Times New Roman" w:hAnsi="Times New Roman" w:cs="Times New Roman"/>
        </w:rPr>
        <w:t>Percentage Distribution of Notifications in the Electricity Sector by Months</w:t>
      </w:r>
      <w:bookmarkEnd w:id="325"/>
    </w:p>
    <w:p w14:paraId="561D2493" w14:textId="49399B9B" w:rsidR="00BF74A6" w:rsidRPr="009E1B38" w:rsidRDefault="00043635" w:rsidP="00BF74A6">
      <w:pPr>
        <w:pStyle w:val="Balk5"/>
        <w:spacing w:before="0"/>
        <w:jc w:val="center"/>
        <w:rPr>
          <w:rFonts w:ascii="Times New Roman" w:hAnsi="Times New Roman" w:cs="Times New Roman"/>
          <w:b w:val="0"/>
          <w:bCs/>
          <w:color w:val="auto"/>
        </w:rPr>
      </w:pPr>
      <w:r w:rsidRPr="009E1B38">
        <w:rPr>
          <w:rStyle w:val="Gl"/>
          <w:rFonts w:ascii="Times New Roman" w:hAnsi="Times New Roman" w:cs="Times New Roman"/>
          <w:color w:val="auto"/>
        </w:rPr>
        <w:t xml:space="preserve"> </w:t>
      </w:r>
    </w:p>
    <w:p w14:paraId="7D4A8E6F" w14:textId="070ABF33" w:rsidR="00EB4D95" w:rsidRPr="009E1B38" w:rsidRDefault="00993C0A" w:rsidP="00BF74A6">
      <w:pPr>
        <w:jc w:val="center"/>
        <w:rPr>
          <w:rStyle w:val="Gl"/>
          <w:rFonts w:ascii="Times New Roman" w:hAnsi="Times New Roman"/>
        </w:rPr>
      </w:pPr>
      <w:r w:rsidRPr="009E1B38">
        <w:rPr>
          <w:rFonts w:ascii="Times New Roman" w:hAnsi="Times New Roman"/>
          <w:noProof/>
          <w:lang w:val="tr-TR" w:eastAsia="tr-TR"/>
        </w:rPr>
        <w:drawing>
          <wp:inline distT="0" distB="0" distL="0" distR="0" wp14:anchorId="7D466AE4" wp14:editId="3F8C2C16">
            <wp:extent cx="5966460" cy="2834640"/>
            <wp:effectExtent l="0" t="0" r="15240" b="381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7D4A8E70" w14:textId="7E1ED974" w:rsidR="00211D78" w:rsidRPr="009E1B38" w:rsidRDefault="00211D78" w:rsidP="00211D78">
      <w:pPr>
        <w:jc w:val="center"/>
        <w:rPr>
          <w:rFonts w:ascii="Times New Roman" w:hAnsi="Times New Roman"/>
        </w:rPr>
      </w:pPr>
    </w:p>
    <w:p w14:paraId="7D4A8E71" w14:textId="77777777" w:rsidR="00C35C11" w:rsidRPr="009E1B38" w:rsidRDefault="00C35C11" w:rsidP="00211D78">
      <w:pPr>
        <w:spacing w:after="0"/>
        <w:rPr>
          <w:rFonts w:ascii="Times New Roman" w:hAnsi="Times New Roman"/>
        </w:rPr>
      </w:pPr>
    </w:p>
    <w:p w14:paraId="508F56B8" w14:textId="160B9527" w:rsidR="00F040F2" w:rsidRPr="009E1B38" w:rsidRDefault="00F040F2" w:rsidP="00F040F2">
      <w:pPr>
        <w:spacing w:after="0"/>
        <w:rPr>
          <w:rFonts w:ascii="Times New Roman" w:hAnsi="Times New Roman"/>
        </w:rPr>
      </w:pPr>
      <w:r w:rsidRPr="009E1B38">
        <w:rPr>
          <w:rFonts w:ascii="Times New Roman" w:hAnsi="Times New Roman"/>
        </w:rPr>
        <w:t>Considering notifications in the electricity sector on a monthly basis, August has the highest share with 11,9%, followed by April</w:t>
      </w:r>
      <w:r w:rsidR="00772B3E" w:rsidRPr="009E1B38">
        <w:rPr>
          <w:rFonts w:ascii="Times New Roman" w:hAnsi="Times New Roman"/>
        </w:rPr>
        <w:t>,</w:t>
      </w:r>
      <w:r w:rsidRPr="009E1B38">
        <w:rPr>
          <w:rFonts w:ascii="Times New Roman" w:hAnsi="Times New Roman"/>
        </w:rPr>
        <w:t xml:space="preserve"> </w:t>
      </w:r>
      <w:r w:rsidR="00772B3E" w:rsidRPr="009E1B38">
        <w:rPr>
          <w:rFonts w:ascii="Times New Roman" w:hAnsi="Times New Roman"/>
        </w:rPr>
        <w:t>May</w:t>
      </w:r>
      <w:r w:rsidRPr="009E1B38">
        <w:rPr>
          <w:rFonts w:ascii="Times New Roman" w:hAnsi="Times New Roman"/>
        </w:rPr>
        <w:t xml:space="preserve">, </w:t>
      </w:r>
      <w:r w:rsidR="00513B02" w:rsidRPr="009E1B38">
        <w:rPr>
          <w:rFonts w:ascii="Times New Roman" w:hAnsi="Times New Roman"/>
        </w:rPr>
        <w:t>Decembe</w:t>
      </w:r>
      <w:r w:rsidRPr="009E1B38">
        <w:rPr>
          <w:rFonts w:ascii="Times New Roman" w:hAnsi="Times New Roman"/>
        </w:rPr>
        <w:t xml:space="preserve">r and </w:t>
      </w:r>
      <w:r w:rsidR="00513B02" w:rsidRPr="009E1B38">
        <w:rPr>
          <w:rFonts w:ascii="Times New Roman" w:hAnsi="Times New Roman"/>
        </w:rPr>
        <w:t>January</w:t>
      </w:r>
      <w:r w:rsidRPr="009E1B38">
        <w:rPr>
          <w:rFonts w:ascii="Times New Roman" w:hAnsi="Times New Roman"/>
        </w:rPr>
        <w:t>, respectively.</w:t>
      </w:r>
    </w:p>
    <w:p w14:paraId="7D4A8E73" w14:textId="3A18F612" w:rsidR="00211D78" w:rsidRPr="009E1B38" w:rsidRDefault="00211D78" w:rsidP="00D730CF">
      <w:pPr>
        <w:pStyle w:val="Balk3"/>
        <w:spacing w:after="240"/>
        <w:rPr>
          <w:rFonts w:ascii="Times New Roman" w:hAnsi="Times New Roman" w:cs="Times New Roman"/>
          <w:color w:val="auto"/>
        </w:rPr>
      </w:pPr>
      <w:bookmarkStart w:id="326" w:name="_Toc113615400"/>
      <w:bookmarkStart w:id="327" w:name="_Toc440363417"/>
      <w:bookmarkStart w:id="328" w:name="_Toc440363444"/>
      <w:bookmarkStart w:id="329" w:name="_Toc440364105"/>
      <w:bookmarkStart w:id="330" w:name="_Toc447286888"/>
      <w:r w:rsidRPr="009E1B38">
        <w:rPr>
          <w:rFonts w:ascii="Times New Roman" w:hAnsi="Times New Roman" w:cs="Times New Roman"/>
          <w:color w:val="auto"/>
        </w:rPr>
        <w:t>9.2.4</w:t>
      </w:r>
      <w:r w:rsidR="003100A3" w:rsidRPr="009E1B38">
        <w:rPr>
          <w:rFonts w:ascii="Times New Roman" w:hAnsi="Times New Roman" w:cs="Times New Roman"/>
          <w:color w:val="auto"/>
        </w:rPr>
        <w:t xml:space="preserve">. </w:t>
      </w:r>
      <w:r w:rsidR="00784E77" w:rsidRPr="009E1B38">
        <w:rPr>
          <w:rFonts w:ascii="Times New Roman" w:hAnsi="Times New Roman" w:cs="Times New Roman"/>
          <w:color w:val="auto"/>
        </w:rPr>
        <w:t>Classification of Complaints and Realizations in Natural Gas Sector</w:t>
      </w:r>
      <w:bookmarkEnd w:id="326"/>
      <w:r w:rsidR="00784E77" w:rsidRPr="009E1B38">
        <w:rPr>
          <w:rFonts w:ascii="Times New Roman" w:hAnsi="Times New Roman" w:cs="Times New Roman"/>
          <w:color w:val="auto"/>
        </w:rPr>
        <w:t xml:space="preserve"> </w:t>
      </w:r>
      <w:bookmarkEnd w:id="327"/>
      <w:bookmarkEnd w:id="328"/>
      <w:bookmarkEnd w:id="329"/>
      <w:bookmarkEnd w:id="330"/>
    </w:p>
    <w:p w14:paraId="7D4A8E75" w14:textId="353E33B3" w:rsidR="00BF1ABF" w:rsidRPr="009E1B38" w:rsidRDefault="003A3D7E" w:rsidP="003A3D7E">
      <w:pPr>
        <w:rPr>
          <w:rFonts w:ascii="Times New Roman" w:hAnsi="Times New Roman"/>
        </w:rPr>
      </w:pPr>
      <w:r w:rsidRPr="009E1B38">
        <w:rPr>
          <w:rFonts w:ascii="Times New Roman" w:hAnsi="Times New Roman"/>
        </w:rPr>
        <w:t>In order to establish the necessary procedures for the protection of consumer rights and consumers, sector specific classifications have been made under the complaint category, taking into consideration the relevant legislation. Incorrect billing related to natural gas, Connection/Service Line, Meter Reading Time, Other, Invoice İtems Objection, Unpaid Debt, Meter Reading, Meter Fee, Meter Change and Maintenance Fees, Invoice Period/Deadline Date, Personnel/Company Communication ( Personnel behavior, Unable to reach Company Phones, etc.), Service Interruption, Service Box, Internal Installation Company Transactions, Accrual of Illegal/Irregular Use, Assurance Fee and Refund, Subscription Agreement, Distribution Company Failure/Delay to Appointment, Limited Sales, Applications Not Answered within the Timeframe subclassified under. During this period, 21.860 notifications subject to the complaint category were processed, and the distribution of the first 13 complaint categories on the basis of subclassifications is given below.</w:t>
      </w:r>
    </w:p>
    <w:p w14:paraId="2EA8A48F" w14:textId="16BDD01A" w:rsidR="00BF74A6" w:rsidRPr="009E1B38" w:rsidRDefault="008E1DA4" w:rsidP="003F0CCE">
      <w:pPr>
        <w:pStyle w:val="Balk5"/>
        <w:spacing w:before="0"/>
        <w:jc w:val="center"/>
        <w:rPr>
          <w:rFonts w:ascii="Times New Roman" w:hAnsi="Times New Roman" w:cs="Times New Roman"/>
        </w:rPr>
      </w:pPr>
      <w:bookmarkStart w:id="331" w:name="_Toc107499560"/>
      <w:r w:rsidRPr="009E1B38">
        <w:rPr>
          <w:rFonts w:ascii="Times New Roman" w:hAnsi="Times New Roman" w:cs="Times New Roman"/>
        </w:rPr>
        <w:t>Figure</w:t>
      </w:r>
      <w:r w:rsidR="00A41710" w:rsidRPr="009E1B38">
        <w:rPr>
          <w:rFonts w:ascii="Times New Roman" w:hAnsi="Times New Roman" w:cs="Times New Roman"/>
        </w:rPr>
        <w:t xml:space="preserve"> 9.7:</w:t>
      </w:r>
      <w:r w:rsidR="00322967" w:rsidRPr="009E1B38">
        <w:rPr>
          <w:rFonts w:ascii="Times New Roman" w:hAnsi="Times New Roman" w:cs="Times New Roman"/>
        </w:rPr>
        <w:t xml:space="preserve"> Percentage Distribution of Sub-Classification of Complaints and Realizations in the Natural Gas Sector</w:t>
      </w:r>
      <w:bookmarkEnd w:id="331"/>
    </w:p>
    <w:p w14:paraId="0AE53A3C" w14:textId="77777777" w:rsidR="00BF74A6" w:rsidRPr="009E1B38" w:rsidRDefault="00BF74A6" w:rsidP="00BF74A6">
      <w:pPr>
        <w:rPr>
          <w:rFonts w:ascii="Times New Roman" w:hAnsi="Times New Roman"/>
        </w:rPr>
      </w:pPr>
    </w:p>
    <w:p w14:paraId="7D4A8E76" w14:textId="7DF4AD48" w:rsidR="003100A3" w:rsidRPr="009E1B38" w:rsidRDefault="00321E87" w:rsidP="00BF74A6">
      <w:pPr>
        <w:jc w:val="center"/>
        <w:rPr>
          <w:rStyle w:val="Gl"/>
          <w:rFonts w:ascii="Times New Roman" w:hAnsi="Times New Roman"/>
        </w:rPr>
      </w:pPr>
      <w:r w:rsidRPr="009E1B38">
        <w:rPr>
          <w:rFonts w:ascii="Times New Roman" w:hAnsi="Times New Roman"/>
          <w:noProof/>
          <w:lang w:val="tr-TR" w:eastAsia="tr-TR"/>
        </w:rPr>
        <w:lastRenderedPageBreak/>
        <w:drawing>
          <wp:inline distT="0" distB="0" distL="0" distR="0" wp14:anchorId="4AAB9B44" wp14:editId="34706DC6">
            <wp:extent cx="6233160" cy="3124200"/>
            <wp:effectExtent l="0" t="0" r="15240" b="0"/>
            <wp:docPr id="32" name="Grafik 32">
              <a:extLst xmlns:a="http://schemas.openxmlformats.org/drawingml/2006/main">
                <a:ext uri="{FF2B5EF4-FFF2-40B4-BE49-F238E27FC236}">
                  <a16:creationId xmlns:a16="http://schemas.microsoft.com/office/drawing/2014/main" id="{8CBDB154-53D7-41BE-AAB7-E89068EAAF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67A1BEE8" w14:textId="001A7465" w:rsidR="007248AB" w:rsidRPr="009E1B38" w:rsidRDefault="007248AB" w:rsidP="007248AB">
      <w:pPr>
        <w:rPr>
          <w:rFonts w:ascii="Times New Roman" w:hAnsi="Times New Roman"/>
          <w:sz w:val="18"/>
          <w:szCs w:val="18"/>
        </w:rPr>
      </w:pPr>
      <w:r w:rsidRPr="009E1B38">
        <w:rPr>
          <w:rFonts w:ascii="Times New Roman" w:hAnsi="Times New Roman"/>
          <w:sz w:val="18"/>
          <w:szCs w:val="18"/>
        </w:rPr>
        <w:t>*In the category “Other”, there are various complaints related to more than one subject and the sum of the complaints with a very low percentage.</w:t>
      </w:r>
    </w:p>
    <w:p w14:paraId="7D4A8E78" w14:textId="21D29FFE" w:rsidR="000C601F" w:rsidRPr="009E1B38" w:rsidRDefault="00E27279" w:rsidP="00CB4B7F">
      <w:pPr>
        <w:spacing w:after="0"/>
        <w:rPr>
          <w:rFonts w:ascii="Times New Roman" w:hAnsi="Times New Roman"/>
        </w:rPr>
      </w:pPr>
      <w:r w:rsidRPr="009E1B38">
        <w:rPr>
          <w:rFonts w:ascii="Times New Roman" w:hAnsi="Times New Roman"/>
        </w:rPr>
        <w:t>The issue that belongs to the natural gas sector and receives the most complaints is the Connection/Service Line issue with a rate of 53%. Other categories follows it.</w:t>
      </w:r>
      <w:r w:rsidR="00CB4B7F" w:rsidRPr="009E1B38">
        <w:rPr>
          <w:rFonts w:ascii="Times New Roman" w:hAnsi="Times New Roman"/>
        </w:rPr>
        <w:t xml:space="preserve"> </w:t>
      </w:r>
    </w:p>
    <w:p w14:paraId="7D4A8E79" w14:textId="77777777" w:rsidR="000C601F" w:rsidRPr="009E1B38" w:rsidRDefault="000C601F" w:rsidP="00CB4B7F">
      <w:pPr>
        <w:spacing w:after="0"/>
        <w:rPr>
          <w:rFonts w:ascii="Times New Roman" w:hAnsi="Times New Roman"/>
        </w:rPr>
      </w:pPr>
    </w:p>
    <w:p w14:paraId="7AFF4DC1" w14:textId="500939CB" w:rsidR="00D3343F" w:rsidRPr="009E1B38" w:rsidRDefault="008778D0" w:rsidP="00084DEC">
      <w:pPr>
        <w:spacing w:after="0"/>
        <w:rPr>
          <w:rFonts w:ascii="Times New Roman" w:hAnsi="Times New Roman"/>
        </w:rPr>
      </w:pPr>
      <w:r w:rsidRPr="009E1B38">
        <w:rPr>
          <w:rFonts w:ascii="Times New Roman" w:hAnsi="Times New Roman"/>
        </w:rPr>
        <w:t>Percentage distribution of reported notifications of natural gas sector by months are given below</w:t>
      </w:r>
      <w:r w:rsidR="00BF74A6" w:rsidRPr="009E1B38">
        <w:rPr>
          <w:rFonts w:ascii="Times New Roman" w:hAnsi="Times New Roman"/>
        </w:rPr>
        <w:t>.</w:t>
      </w:r>
    </w:p>
    <w:p w14:paraId="315F3074" w14:textId="77777777" w:rsidR="00D3343F" w:rsidRPr="009E1B38" w:rsidRDefault="00D3343F" w:rsidP="00084DEC">
      <w:pPr>
        <w:spacing w:after="0"/>
        <w:rPr>
          <w:rFonts w:ascii="Times New Roman" w:hAnsi="Times New Roman"/>
        </w:rPr>
      </w:pPr>
    </w:p>
    <w:p w14:paraId="0232E409" w14:textId="77777777" w:rsidR="00BF74A6" w:rsidRPr="009E1B38" w:rsidRDefault="00D3343F" w:rsidP="00BF74A6">
      <w:pPr>
        <w:spacing w:after="0"/>
        <w:ind w:firstLine="708"/>
        <w:rPr>
          <w:rStyle w:val="Balk5Char"/>
          <w:rFonts w:ascii="Times New Roman" w:hAnsi="Times New Roman" w:cs="Times New Roman"/>
        </w:rPr>
      </w:pPr>
      <w:bookmarkStart w:id="332" w:name="_Toc107499561"/>
      <w:r w:rsidRPr="009E1B38">
        <w:rPr>
          <w:rStyle w:val="Balk5Char"/>
          <w:rFonts w:ascii="Times New Roman" w:hAnsi="Times New Roman" w:cs="Times New Roman"/>
        </w:rPr>
        <w:t>Figure</w:t>
      </w:r>
      <w:r w:rsidR="00A41710" w:rsidRPr="009E1B38">
        <w:rPr>
          <w:rStyle w:val="Balk5Char"/>
          <w:rFonts w:ascii="Times New Roman" w:hAnsi="Times New Roman" w:cs="Times New Roman"/>
        </w:rPr>
        <w:t xml:space="preserve"> 9.8: </w:t>
      </w:r>
      <w:r w:rsidR="008A09BC" w:rsidRPr="009E1B38">
        <w:rPr>
          <w:rStyle w:val="Balk5Char"/>
          <w:rFonts w:ascii="Times New Roman" w:hAnsi="Times New Roman" w:cs="Times New Roman"/>
        </w:rPr>
        <w:t>Percentage Distribution of Notifications in the Natural Gas Sector by Months</w:t>
      </w:r>
      <w:bookmarkEnd w:id="332"/>
    </w:p>
    <w:p w14:paraId="16463D51" w14:textId="1FAB1AE1" w:rsidR="00BF74A6" w:rsidRPr="009E1B38" w:rsidRDefault="008A09BC" w:rsidP="003F0CCE">
      <w:pPr>
        <w:spacing w:after="0"/>
        <w:ind w:firstLine="708"/>
        <w:jc w:val="center"/>
        <w:rPr>
          <w:rStyle w:val="Gl"/>
          <w:rFonts w:ascii="Times New Roman" w:hAnsi="Times New Roman"/>
        </w:rPr>
      </w:pPr>
      <w:r w:rsidRPr="009E1B38">
        <w:rPr>
          <w:rStyle w:val="Gl"/>
          <w:rFonts w:ascii="Times New Roman" w:hAnsi="Times New Roman"/>
        </w:rPr>
        <w:t xml:space="preserve"> </w:t>
      </w:r>
    </w:p>
    <w:p w14:paraId="7D4A8E7D" w14:textId="0CFB0D9F" w:rsidR="003100A3" w:rsidRPr="009E1B38" w:rsidRDefault="00F22876" w:rsidP="00BF74A6">
      <w:pPr>
        <w:jc w:val="center"/>
        <w:rPr>
          <w:rFonts w:ascii="Times New Roman" w:hAnsi="Times New Roman"/>
        </w:rPr>
      </w:pPr>
      <w:r w:rsidRPr="009E1B38">
        <w:rPr>
          <w:rFonts w:ascii="Times New Roman" w:hAnsi="Times New Roman"/>
          <w:noProof/>
          <w:lang w:val="tr-TR" w:eastAsia="tr-TR"/>
        </w:rPr>
        <w:drawing>
          <wp:inline distT="0" distB="0" distL="0" distR="0" wp14:anchorId="16CA29D2" wp14:editId="17C5DD69">
            <wp:extent cx="5966460" cy="2834640"/>
            <wp:effectExtent l="0" t="0" r="15240" b="3810"/>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35795D52" w14:textId="6AF3C693" w:rsidR="00C51B81" w:rsidRPr="009E1B38" w:rsidRDefault="00C51B81" w:rsidP="00C51B81">
      <w:pPr>
        <w:spacing w:after="0"/>
        <w:rPr>
          <w:rFonts w:ascii="Times New Roman" w:hAnsi="Times New Roman"/>
        </w:rPr>
      </w:pPr>
      <w:r w:rsidRPr="009E1B38">
        <w:rPr>
          <w:rFonts w:ascii="Times New Roman" w:hAnsi="Times New Roman"/>
        </w:rPr>
        <w:t>Considering the monthly realization of notifications, it is seen that October has the highest with 11,3%, followed by December and April.</w:t>
      </w:r>
    </w:p>
    <w:p w14:paraId="7D4A8E7F" w14:textId="77777777" w:rsidR="008C0785" w:rsidRPr="009E1B38" w:rsidRDefault="008C0785" w:rsidP="003100A3">
      <w:pPr>
        <w:spacing w:after="0"/>
        <w:rPr>
          <w:rFonts w:ascii="Times New Roman" w:hAnsi="Times New Roman"/>
        </w:rPr>
      </w:pPr>
    </w:p>
    <w:p w14:paraId="4F20F791" w14:textId="453E997E" w:rsidR="00813510" w:rsidRPr="009E1B38" w:rsidRDefault="00AD654C" w:rsidP="00B22CD9">
      <w:pPr>
        <w:pStyle w:val="Balk3"/>
        <w:spacing w:before="0"/>
        <w:rPr>
          <w:rFonts w:ascii="Times New Roman" w:hAnsi="Times New Roman" w:cs="Times New Roman"/>
          <w:color w:val="auto"/>
        </w:rPr>
      </w:pPr>
      <w:bookmarkStart w:id="333" w:name="_Toc113615401"/>
      <w:bookmarkStart w:id="334" w:name="_Toc440363420"/>
      <w:bookmarkStart w:id="335" w:name="_Toc440363447"/>
      <w:bookmarkStart w:id="336" w:name="_Toc440364108"/>
      <w:bookmarkStart w:id="337" w:name="_Toc447286891"/>
      <w:r w:rsidRPr="009E1B38">
        <w:rPr>
          <w:rFonts w:ascii="Times New Roman" w:hAnsi="Times New Roman" w:cs="Times New Roman"/>
          <w:color w:val="auto"/>
        </w:rPr>
        <w:lastRenderedPageBreak/>
        <w:t>9.2.5</w:t>
      </w:r>
      <w:r w:rsidR="00EB4D95" w:rsidRPr="009E1B38">
        <w:rPr>
          <w:rFonts w:ascii="Times New Roman" w:hAnsi="Times New Roman" w:cs="Times New Roman"/>
          <w:color w:val="auto"/>
        </w:rPr>
        <w:t>.</w:t>
      </w:r>
      <w:r w:rsidR="00DD6D94" w:rsidRPr="009E1B38">
        <w:rPr>
          <w:rFonts w:ascii="Times New Roman" w:hAnsi="Times New Roman" w:cs="Times New Roman"/>
          <w:color w:val="auto"/>
        </w:rPr>
        <w:t xml:space="preserve"> Classification of Complaints and Realizations in the Petroleum Sector</w:t>
      </w:r>
      <w:bookmarkEnd w:id="333"/>
      <w:r w:rsidR="00DD6D94" w:rsidRPr="009E1B38">
        <w:rPr>
          <w:rFonts w:ascii="Times New Roman" w:hAnsi="Times New Roman" w:cs="Times New Roman"/>
          <w:color w:val="auto"/>
        </w:rPr>
        <w:t xml:space="preserve"> </w:t>
      </w:r>
      <w:bookmarkEnd w:id="334"/>
      <w:bookmarkEnd w:id="335"/>
      <w:bookmarkEnd w:id="336"/>
      <w:bookmarkEnd w:id="337"/>
    </w:p>
    <w:p w14:paraId="7D4A8E82" w14:textId="37E5D167" w:rsidR="008C0785" w:rsidRPr="009E1B38" w:rsidRDefault="00D75417" w:rsidP="00564F2C">
      <w:pPr>
        <w:spacing w:after="0"/>
        <w:rPr>
          <w:rFonts w:ascii="Times New Roman" w:hAnsi="Times New Roman"/>
        </w:rPr>
      </w:pPr>
      <w:r w:rsidRPr="009E1B38">
        <w:rPr>
          <w:rFonts w:ascii="Times New Roman" w:hAnsi="Times New Roman"/>
        </w:rPr>
        <w:t xml:space="preserve">Under the complaint category, Fuel Price and Price Increases, Other, Fuel Contrary to Technical Regulations, Timely Implementation of Price Increases and Decreases, Customer Service and Quality, Incomplete Fuel Supply, Facility Security (GSM license, license-based documents, distance restriction, etc.), Sub-categories such as Legislation/Suggestion, İssues beyond the EMRA, Different Prices on the Pump and Sign, Violation of Competition, Non-Vehicle Refueling, Leaking Fuel Warning, Behaviors of Company Employees, Loyalty Card Applications have been determined. During this period, </w:t>
      </w:r>
      <w:r w:rsidR="006C5597" w:rsidRPr="009E1B38">
        <w:rPr>
          <w:rFonts w:ascii="Times New Roman" w:hAnsi="Times New Roman"/>
        </w:rPr>
        <w:t>2.767</w:t>
      </w:r>
      <w:r w:rsidRPr="009E1B38">
        <w:rPr>
          <w:rFonts w:ascii="Times New Roman" w:hAnsi="Times New Roman"/>
        </w:rPr>
        <w:t xml:space="preserve"> complaints were processed. The petroleum sector has a 1,2% share in the notifications received by the Authority. The distribution of the first 10 complaint categories based on sub-classifications for this period is given below.</w:t>
      </w:r>
    </w:p>
    <w:p w14:paraId="465B8785" w14:textId="406AE331" w:rsidR="00BF74A6" w:rsidRPr="009E1B38" w:rsidRDefault="00813510" w:rsidP="00BF1ABF">
      <w:pPr>
        <w:pStyle w:val="Balk5"/>
        <w:spacing w:before="0"/>
        <w:jc w:val="center"/>
        <w:rPr>
          <w:rFonts w:ascii="Times New Roman" w:hAnsi="Times New Roman" w:cs="Times New Roman"/>
        </w:rPr>
      </w:pPr>
      <w:bookmarkStart w:id="338" w:name="_Toc107499562"/>
      <w:r w:rsidRPr="009E1B38">
        <w:rPr>
          <w:rFonts w:ascii="Times New Roman" w:hAnsi="Times New Roman" w:cs="Times New Roman"/>
        </w:rPr>
        <w:t>Figure</w:t>
      </w:r>
      <w:r w:rsidR="00E41857" w:rsidRPr="009E1B38">
        <w:rPr>
          <w:rFonts w:ascii="Times New Roman" w:hAnsi="Times New Roman" w:cs="Times New Roman"/>
        </w:rPr>
        <w:t xml:space="preserve"> 9.9</w:t>
      </w:r>
      <w:r w:rsidR="00BF1ABF" w:rsidRPr="009E1B38">
        <w:rPr>
          <w:rFonts w:ascii="Times New Roman" w:hAnsi="Times New Roman" w:cs="Times New Roman"/>
        </w:rPr>
        <w:t xml:space="preserve">: </w:t>
      </w:r>
      <w:r w:rsidR="00D744DA" w:rsidRPr="009E1B38">
        <w:rPr>
          <w:rFonts w:ascii="Times New Roman" w:hAnsi="Times New Roman" w:cs="Times New Roman"/>
        </w:rPr>
        <w:t>Percentage Distribution of Sub-classification of Complaints in the Petroleum Industry</w:t>
      </w:r>
      <w:bookmarkEnd w:id="338"/>
    </w:p>
    <w:p w14:paraId="7D4A8E83" w14:textId="3118AD16" w:rsidR="00BF1ABF" w:rsidRPr="009E1B38" w:rsidRDefault="00656817" w:rsidP="00BF74A6">
      <w:pPr>
        <w:rPr>
          <w:rStyle w:val="Gl"/>
          <w:rFonts w:ascii="Times New Roman" w:hAnsi="Times New Roman"/>
        </w:rPr>
      </w:pPr>
      <w:r w:rsidRPr="009E1B38">
        <w:rPr>
          <w:rFonts w:ascii="Times New Roman" w:hAnsi="Times New Roman"/>
          <w:noProof/>
          <w:lang w:val="tr-TR" w:eastAsia="tr-TR"/>
        </w:rPr>
        <w:drawing>
          <wp:inline distT="0" distB="0" distL="0" distR="0" wp14:anchorId="3EB8798D" wp14:editId="461BEDF7">
            <wp:extent cx="6126480" cy="2720340"/>
            <wp:effectExtent l="0" t="0" r="7620" b="3810"/>
            <wp:docPr id="37" name="Grafik 37">
              <a:extLst xmlns:a="http://schemas.openxmlformats.org/drawingml/2006/main">
                <a:ext uri="{FF2B5EF4-FFF2-40B4-BE49-F238E27FC236}">
                  <a16:creationId xmlns:a16="http://schemas.microsoft.com/office/drawing/2014/main" id="{8C2CD139-14EE-4991-8969-8AE7E7230F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7D4A8E84" w14:textId="491CA63C" w:rsidR="00084DEC" w:rsidRPr="009E1B38" w:rsidRDefault="008766CB" w:rsidP="00084DEC">
      <w:pPr>
        <w:rPr>
          <w:rFonts w:ascii="Times New Roman" w:hAnsi="Times New Roman"/>
        </w:rPr>
      </w:pPr>
      <w:r w:rsidRPr="009E1B38">
        <w:rPr>
          <w:rFonts w:ascii="Times New Roman" w:hAnsi="Times New Roman"/>
        </w:rPr>
        <w:t xml:space="preserve"> </w:t>
      </w:r>
      <w:r w:rsidR="00084DEC" w:rsidRPr="009E1B38">
        <w:rPr>
          <w:rFonts w:ascii="Times New Roman" w:hAnsi="Times New Roman"/>
        </w:rPr>
        <w:t>*In the other category, there are various complaints concerning more than one subject and the total of complaints with a very small percentage.</w:t>
      </w:r>
    </w:p>
    <w:p w14:paraId="7D4A8E85" w14:textId="49D36CED" w:rsidR="00F74C9F" w:rsidRPr="009E1B38" w:rsidRDefault="00F74C9F" w:rsidP="00D730CF">
      <w:pPr>
        <w:pStyle w:val="Balk3"/>
        <w:spacing w:after="240"/>
        <w:rPr>
          <w:rFonts w:ascii="Times New Roman" w:hAnsi="Times New Roman" w:cs="Times New Roman"/>
          <w:color w:val="auto"/>
        </w:rPr>
      </w:pPr>
      <w:bookmarkStart w:id="339" w:name="_Toc113615402"/>
      <w:bookmarkStart w:id="340" w:name="_Toc440363419"/>
      <w:bookmarkStart w:id="341" w:name="_Toc440363446"/>
      <w:bookmarkStart w:id="342" w:name="_Toc440364107"/>
      <w:bookmarkStart w:id="343" w:name="_Toc447286890"/>
      <w:r w:rsidRPr="009E1B38">
        <w:rPr>
          <w:rFonts w:ascii="Times New Roman" w:hAnsi="Times New Roman" w:cs="Times New Roman"/>
          <w:color w:val="auto"/>
        </w:rPr>
        <w:t>9.2.6</w:t>
      </w:r>
      <w:r w:rsidR="003100A3" w:rsidRPr="009E1B38">
        <w:rPr>
          <w:rFonts w:ascii="Times New Roman" w:hAnsi="Times New Roman" w:cs="Times New Roman"/>
          <w:color w:val="auto"/>
        </w:rPr>
        <w:t>.</w:t>
      </w:r>
      <w:r w:rsidR="008E763C" w:rsidRPr="009E1B38">
        <w:rPr>
          <w:rFonts w:ascii="Times New Roman" w:hAnsi="Times New Roman" w:cs="Times New Roman"/>
        </w:rPr>
        <w:t xml:space="preserve"> </w:t>
      </w:r>
      <w:r w:rsidR="008E763C" w:rsidRPr="009E1B38">
        <w:rPr>
          <w:rFonts w:ascii="Times New Roman" w:hAnsi="Times New Roman" w:cs="Times New Roman"/>
          <w:color w:val="auto"/>
        </w:rPr>
        <w:t>Classification and Realizations of Liquefied Petroleum Gases (LPG) Complaints</w:t>
      </w:r>
      <w:bookmarkEnd w:id="339"/>
      <w:r w:rsidR="003100A3" w:rsidRPr="009E1B38">
        <w:rPr>
          <w:rFonts w:ascii="Times New Roman" w:hAnsi="Times New Roman" w:cs="Times New Roman"/>
          <w:color w:val="auto"/>
        </w:rPr>
        <w:t xml:space="preserve"> </w:t>
      </w:r>
      <w:bookmarkEnd w:id="340"/>
      <w:bookmarkEnd w:id="341"/>
      <w:bookmarkEnd w:id="342"/>
      <w:bookmarkEnd w:id="343"/>
    </w:p>
    <w:p w14:paraId="2A2C0B65" w14:textId="41B680D7" w:rsidR="007D1237" w:rsidRPr="009E1B38" w:rsidRDefault="007D1237" w:rsidP="007D1237">
      <w:pPr>
        <w:spacing w:after="0"/>
        <w:rPr>
          <w:rFonts w:ascii="Times New Roman" w:hAnsi="Times New Roman"/>
        </w:rPr>
      </w:pPr>
      <w:r w:rsidRPr="009E1B38">
        <w:rPr>
          <w:rFonts w:ascii="Times New Roman" w:hAnsi="Times New Roman"/>
        </w:rPr>
        <w:t>Within the scope of consumer rights and protection of consumers based on the relevant legislation, LPG Price and Price Increases under the Complaint category, Other, Failure in Timely İmplementation of Price Increases and Declines, LPG in contradiction to Technical Regulations, Customer Service and Quality, İssues Beyond the EMRA, Legislation / Recommendation (license to open a business, license based on license, distance limit etc.), Smuggled LPG , Facility Security, Differences between Pump and Sign Prices Sub-categories were identified. During this period, 1.138 complaints were processed. The LPG sector has a 0,9% share in the notifications received by the Authority.</w:t>
      </w:r>
    </w:p>
    <w:p w14:paraId="76BDFA67" w14:textId="77777777" w:rsidR="007D1237" w:rsidRPr="009E1B38" w:rsidRDefault="007D1237" w:rsidP="007D1237">
      <w:pPr>
        <w:spacing w:after="0"/>
        <w:rPr>
          <w:rFonts w:ascii="Times New Roman" w:hAnsi="Times New Roman"/>
        </w:rPr>
      </w:pPr>
    </w:p>
    <w:p w14:paraId="713C4404" w14:textId="77777777" w:rsidR="007D1237" w:rsidRPr="009E1B38" w:rsidRDefault="007D1237" w:rsidP="007D1237">
      <w:pPr>
        <w:spacing w:after="0"/>
        <w:rPr>
          <w:rFonts w:ascii="Times New Roman" w:hAnsi="Times New Roman"/>
        </w:rPr>
      </w:pPr>
      <w:r w:rsidRPr="009E1B38">
        <w:rPr>
          <w:rFonts w:ascii="Times New Roman" w:hAnsi="Times New Roman"/>
        </w:rPr>
        <w:t>The distribution of the first 10 complaint categories based on sub-classifications for this period is given below.</w:t>
      </w:r>
    </w:p>
    <w:p w14:paraId="7D4A8E87" w14:textId="77777777" w:rsidR="00ED715C" w:rsidRPr="009E1B38" w:rsidRDefault="00ED715C" w:rsidP="00ED715C">
      <w:pPr>
        <w:spacing w:after="0"/>
        <w:rPr>
          <w:rFonts w:ascii="Times New Roman" w:hAnsi="Times New Roman"/>
        </w:rPr>
      </w:pPr>
    </w:p>
    <w:p w14:paraId="7D4A8E89" w14:textId="77777777" w:rsidR="002D1BFD" w:rsidRPr="009E1B38" w:rsidRDefault="002D1BFD" w:rsidP="00564F2C">
      <w:pPr>
        <w:spacing w:after="0"/>
        <w:rPr>
          <w:rFonts w:ascii="Times New Roman" w:hAnsi="Times New Roman"/>
        </w:rPr>
      </w:pPr>
    </w:p>
    <w:p w14:paraId="6EF1E636" w14:textId="2244989D" w:rsidR="00BF74A6" w:rsidRPr="009E1B38" w:rsidRDefault="00D07566" w:rsidP="00BF74A6">
      <w:pPr>
        <w:pStyle w:val="Balk5"/>
        <w:jc w:val="center"/>
        <w:rPr>
          <w:rFonts w:ascii="Times New Roman" w:hAnsi="Times New Roman" w:cs="Times New Roman"/>
        </w:rPr>
      </w:pPr>
      <w:bookmarkStart w:id="344" w:name="_Toc107499563"/>
      <w:r w:rsidRPr="009E1B38">
        <w:rPr>
          <w:rFonts w:ascii="Times New Roman" w:hAnsi="Times New Roman" w:cs="Times New Roman"/>
        </w:rPr>
        <w:lastRenderedPageBreak/>
        <w:t xml:space="preserve">Figure </w:t>
      </w:r>
      <w:r w:rsidR="00E41857" w:rsidRPr="009E1B38">
        <w:rPr>
          <w:rFonts w:ascii="Times New Roman" w:hAnsi="Times New Roman" w:cs="Times New Roman"/>
        </w:rPr>
        <w:t xml:space="preserve">9.10: </w:t>
      </w:r>
      <w:r w:rsidRPr="009E1B38">
        <w:rPr>
          <w:rFonts w:ascii="Times New Roman" w:hAnsi="Times New Roman" w:cs="Times New Roman"/>
        </w:rPr>
        <w:t>Percentage Distribution of Subclassification of Complaints in the LPG Industry</w:t>
      </w:r>
      <w:bookmarkEnd w:id="344"/>
    </w:p>
    <w:p w14:paraId="7D4A8E8A" w14:textId="1B538A6B" w:rsidR="00E41857" w:rsidRPr="009E1B38" w:rsidRDefault="00656817" w:rsidP="00BF74A6">
      <w:pPr>
        <w:jc w:val="center"/>
        <w:rPr>
          <w:rStyle w:val="Gl"/>
          <w:rFonts w:ascii="Times New Roman" w:hAnsi="Times New Roman"/>
        </w:rPr>
      </w:pPr>
      <w:r w:rsidRPr="009E1B38">
        <w:rPr>
          <w:rFonts w:ascii="Times New Roman" w:hAnsi="Times New Roman"/>
          <w:noProof/>
          <w:lang w:val="tr-TR" w:eastAsia="tr-TR"/>
        </w:rPr>
        <w:drawing>
          <wp:inline distT="0" distB="0" distL="0" distR="0" wp14:anchorId="0ECEE88F" wp14:editId="62090CDE">
            <wp:extent cx="6299835" cy="2901315"/>
            <wp:effectExtent l="0" t="0" r="5715" b="13335"/>
            <wp:docPr id="35" name="Grafik 35">
              <a:extLst xmlns:a="http://schemas.openxmlformats.org/drawingml/2006/main">
                <a:ext uri="{FF2B5EF4-FFF2-40B4-BE49-F238E27FC236}">
                  <a16:creationId xmlns:a16="http://schemas.microsoft.com/office/drawing/2014/main" id="{F1BB8A0C-DB39-452B-A22C-B41D72E96B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1BAA9A47" w14:textId="103F93F7" w:rsidR="00F57787" w:rsidRPr="009E1B38" w:rsidRDefault="00F57787" w:rsidP="00F57787">
      <w:pPr>
        <w:rPr>
          <w:rFonts w:ascii="Times New Roman" w:hAnsi="Times New Roman"/>
        </w:rPr>
      </w:pPr>
      <w:r w:rsidRPr="009E1B38">
        <w:rPr>
          <w:rFonts w:ascii="Times New Roman" w:hAnsi="Times New Roman"/>
        </w:rPr>
        <w:t>* In the other category, there are various complaints concerning more than one subject and the total of complaints with a very small percentage.</w:t>
      </w:r>
    </w:p>
    <w:p w14:paraId="7D4A8E8B" w14:textId="7AED55DA" w:rsidR="00893DB0" w:rsidRPr="009E1B38" w:rsidRDefault="00893DB0" w:rsidP="008766CB">
      <w:pPr>
        <w:rPr>
          <w:rFonts w:ascii="Times New Roman" w:hAnsi="Times New Roman"/>
        </w:rPr>
      </w:pPr>
    </w:p>
    <w:p w14:paraId="7D4A8E8C" w14:textId="77777777" w:rsidR="00FD052B" w:rsidRPr="009E1B38" w:rsidRDefault="00FD052B" w:rsidP="00FD052B">
      <w:pPr>
        <w:rPr>
          <w:rFonts w:ascii="Times New Roman" w:hAnsi="Times New Roman"/>
        </w:rPr>
      </w:pPr>
    </w:p>
    <w:p w14:paraId="7D4A8E8D" w14:textId="77777777" w:rsidR="00145A74" w:rsidRPr="009E1B38" w:rsidRDefault="00145A74" w:rsidP="002D1BFD">
      <w:pPr>
        <w:spacing w:after="0"/>
        <w:jc w:val="center"/>
        <w:rPr>
          <w:rFonts w:ascii="Times New Roman" w:hAnsi="Times New Roman"/>
        </w:rPr>
      </w:pPr>
      <w:r w:rsidRPr="009E1B38">
        <w:rPr>
          <w:rFonts w:ascii="Times New Roman" w:hAnsi="Times New Roman"/>
        </w:rPr>
        <w:br w:type="page"/>
      </w:r>
    </w:p>
    <w:p w14:paraId="7D4A8E8E" w14:textId="01D79B8B" w:rsidR="00C62DB3" w:rsidRPr="009E1B38" w:rsidRDefault="007412EF" w:rsidP="007412EF">
      <w:pPr>
        <w:pStyle w:val="Balk1"/>
        <w:spacing w:before="0" w:after="240"/>
        <w:ind w:left="720"/>
        <w:rPr>
          <w:rFonts w:eastAsia="Times New Roman" w:cs="Times New Roman"/>
          <w:color w:val="000000"/>
          <w:sz w:val="22"/>
          <w:szCs w:val="22"/>
        </w:rPr>
      </w:pPr>
      <w:bookmarkStart w:id="345" w:name="_Toc113615403"/>
      <w:r w:rsidRPr="009E1B38">
        <w:rPr>
          <w:rFonts w:cs="Times New Roman"/>
          <w:sz w:val="22"/>
          <w:szCs w:val="22"/>
        </w:rPr>
        <w:lastRenderedPageBreak/>
        <w:t xml:space="preserve">10. </w:t>
      </w:r>
      <w:r w:rsidR="00735A39" w:rsidRPr="009E1B38">
        <w:rPr>
          <w:rFonts w:cs="Times New Roman"/>
          <w:sz w:val="22"/>
          <w:szCs w:val="22"/>
        </w:rPr>
        <w:t>PRESS AND PUBLIC RELATIONS</w:t>
      </w:r>
      <w:bookmarkEnd w:id="345"/>
      <w:r w:rsidR="00D30567" w:rsidRPr="009E1B38">
        <w:rPr>
          <w:rFonts w:eastAsia="Times New Roman" w:cs="Times New Roman"/>
          <w:color w:val="000000"/>
          <w:sz w:val="22"/>
          <w:szCs w:val="22"/>
        </w:rPr>
        <w:t xml:space="preserve"> </w:t>
      </w:r>
    </w:p>
    <w:p w14:paraId="2075A014" w14:textId="37ECCF72" w:rsidR="00DA0941" w:rsidRPr="009E1B38" w:rsidRDefault="00DA0941" w:rsidP="00DA0941">
      <w:pPr>
        <w:spacing w:after="0"/>
        <w:rPr>
          <w:rFonts w:ascii="Times New Roman" w:hAnsi="Times New Roman"/>
        </w:rPr>
      </w:pPr>
      <w:r w:rsidRPr="009E1B38">
        <w:rPr>
          <w:rFonts w:ascii="Times New Roman" w:hAnsi="Times New Roman"/>
        </w:rPr>
        <w:t>In 2021, monitoring and evaluation of publications related to the energy sector and Authority activities, answering written and oral questions directed to the Authority by members of the press, informing the public about the electricity, natural gas, petroleum and LPG sectors, and other organizational duties given by the President of the Authority were fulfilled. News texts about the activities of the Authority were prepared and the public was informed through media organizations and press statements were made when it is necessary.</w:t>
      </w:r>
    </w:p>
    <w:p w14:paraId="1A78F458" w14:textId="77777777" w:rsidR="00C42CF5" w:rsidRPr="009E1B38" w:rsidRDefault="00C42CF5" w:rsidP="00DA0941">
      <w:pPr>
        <w:spacing w:after="0"/>
        <w:rPr>
          <w:rFonts w:ascii="Times New Roman" w:hAnsi="Times New Roman"/>
        </w:rPr>
      </w:pPr>
    </w:p>
    <w:p w14:paraId="75A33DD5" w14:textId="77777777" w:rsidR="00C42CF5" w:rsidRPr="009E1B38" w:rsidRDefault="00C42CF5" w:rsidP="00C42CF5">
      <w:pPr>
        <w:spacing w:after="0"/>
        <w:rPr>
          <w:rFonts w:ascii="Times New Roman" w:hAnsi="Times New Roman"/>
        </w:rPr>
      </w:pPr>
      <w:r w:rsidRPr="009E1B38">
        <w:rPr>
          <w:rFonts w:ascii="Times New Roman" w:hAnsi="Times New Roman"/>
        </w:rPr>
        <w:t>Board Decisions about the consumer rights and which need to be informed to the public, have been turned into news and public information has been publicized through the media channels.</w:t>
      </w:r>
    </w:p>
    <w:p w14:paraId="1287FDF5" w14:textId="77777777" w:rsidR="00C42CF5" w:rsidRPr="009E1B38" w:rsidRDefault="00C42CF5" w:rsidP="00C42CF5">
      <w:pPr>
        <w:spacing w:after="0"/>
        <w:rPr>
          <w:rFonts w:ascii="Times New Roman" w:hAnsi="Times New Roman"/>
        </w:rPr>
      </w:pPr>
    </w:p>
    <w:p w14:paraId="062650F0" w14:textId="77777777" w:rsidR="00C42CF5" w:rsidRPr="009E1B38" w:rsidRDefault="00C42CF5" w:rsidP="00C42CF5">
      <w:pPr>
        <w:spacing w:after="0"/>
        <w:rPr>
          <w:rFonts w:ascii="Times New Roman" w:hAnsi="Times New Roman"/>
        </w:rPr>
      </w:pPr>
      <w:r w:rsidRPr="009E1B38">
        <w:rPr>
          <w:rFonts w:ascii="Times New Roman" w:hAnsi="Times New Roman"/>
        </w:rPr>
        <w:t xml:space="preserve">Organization of meetings were held with associations which are active in the field of energy with the participation of President of EMRA, Board Members and staff of the related service units. </w:t>
      </w:r>
    </w:p>
    <w:p w14:paraId="709740F0" w14:textId="77777777" w:rsidR="00C42CF5" w:rsidRPr="009E1B38" w:rsidRDefault="00C42CF5" w:rsidP="00DA0941">
      <w:pPr>
        <w:spacing w:after="0"/>
        <w:rPr>
          <w:rFonts w:ascii="Times New Roman" w:hAnsi="Times New Roman"/>
        </w:rPr>
      </w:pPr>
    </w:p>
    <w:p w14:paraId="3B68C7BA" w14:textId="58A2DEF2" w:rsidR="00C7445E" w:rsidRPr="009E1B38" w:rsidRDefault="00C7445E" w:rsidP="00C7445E">
      <w:pPr>
        <w:rPr>
          <w:rFonts w:ascii="Times New Roman" w:eastAsiaTheme="minorHAnsi" w:hAnsi="Times New Roman"/>
          <w:lang w:eastAsia="tr-TR"/>
        </w:rPr>
      </w:pPr>
      <w:r w:rsidRPr="009E1B38">
        <w:rPr>
          <w:rFonts w:ascii="Times New Roman" w:hAnsi="Times New Roman"/>
        </w:rPr>
        <w:t xml:space="preserve">In 2021, </w:t>
      </w:r>
      <w:r w:rsidR="000408AF" w:rsidRPr="009E1B38">
        <w:rPr>
          <w:rFonts w:ascii="Times New Roman" w:hAnsi="Times New Roman"/>
        </w:rPr>
        <w:t>6.546</w:t>
      </w:r>
      <w:r w:rsidRPr="009E1B38">
        <w:rPr>
          <w:rFonts w:ascii="Times New Roman" w:hAnsi="Times New Roman"/>
        </w:rPr>
        <w:t xml:space="preserve"> written press reports and </w:t>
      </w:r>
      <w:r w:rsidR="000408AF" w:rsidRPr="009E1B38">
        <w:rPr>
          <w:rFonts w:ascii="Times New Roman" w:hAnsi="Times New Roman"/>
        </w:rPr>
        <w:t>2.923</w:t>
      </w:r>
      <w:r w:rsidRPr="009E1B38">
        <w:rPr>
          <w:rFonts w:ascii="Times New Roman" w:hAnsi="Times New Roman"/>
        </w:rPr>
        <w:t xml:space="preserve"> TV reports were published related to EMRA. 7 </w:t>
      </w:r>
      <w:r w:rsidRPr="009E1B38">
        <w:rPr>
          <w:rFonts w:ascii="Times New Roman" w:hAnsi="Times New Roman"/>
          <w:lang w:eastAsia="tr-TR"/>
        </w:rPr>
        <w:t>press releases have been published on behalf of the Authority</w:t>
      </w:r>
      <w:r w:rsidRPr="009E1B38">
        <w:rPr>
          <w:rFonts w:ascii="Times New Roman" w:hAnsi="Times New Roman"/>
        </w:rPr>
        <w:t xml:space="preserve">. </w:t>
      </w:r>
      <w:r w:rsidRPr="009E1B38">
        <w:rPr>
          <w:rFonts w:ascii="Times New Roman" w:hAnsi="Times New Roman"/>
          <w:lang w:eastAsia="tr-TR"/>
        </w:rPr>
        <w:t>President of EMRA participated in 13 programs accessible to press (conferences, meetings, live TV broadcasts) as speaker.</w:t>
      </w:r>
    </w:p>
    <w:p w14:paraId="7D4A8E93" w14:textId="77777777" w:rsidR="00030C2B" w:rsidRPr="009E1B38" w:rsidRDefault="00030C2B" w:rsidP="004945F0">
      <w:pPr>
        <w:rPr>
          <w:rFonts w:ascii="Times New Roman" w:hAnsi="Times New Roman"/>
          <w:lang w:eastAsia="tr-TR"/>
        </w:rPr>
      </w:pPr>
    </w:p>
    <w:p w14:paraId="7D4A8E94" w14:textId="77777777" w:rsidR="005B1782" w:rsidRPr="009E1B38" w:rsidRDefault="005B1782" w:rsidP="004945F0">
      <w:pPr>
        <w:rPr>
          <w:rFonts w:ascii="Times New Roman" w:hAnsi="Times New Roman"/>
          <w:lang w:eastAsia="tr-TR"/>
        </w:rPr>
      </w:pPr>
    </w:p>
    <w:p w14:paraId="7D4A8E95" w14:textId="77777777" w:rsidR="005B1782" w:rsidRPr="009E1B38" w:rsidRDefault="005B1782" w:rsidP="004945F0">
      <w:pPr>
        <w:rPr>
          <w:rFonts w:ascii="Times New Roman" w:hAnsi="Times New Roman"/>
          <w:lang w:eastAsia="tr-TR"/>
        </w:rPr>
      </w:pPr>
    </w:p>
    <w:p w14:paraId="7D4A8E96" w14:textId="77777777" w:rsidR="005B1782" w:rsidRPr="009E1B38" w:rsidRDefault="005B1782" w:rsidP="004945F0">
      <w:pPr>
        <w:rPr>
          <w:rFonts w:ascii="Times New Roman" w:hAnsi="Times New Roman"/>
          <w:lang w:eastAsia="tr-TR"/>
        </w:rPr>
      </w:pPr>
    </w:p>
    <w:p w14:paraId="7D4A8E97" w14:textId="77777777" w:rsidR="005B1782" w:rsidRPr="009E1B38" w:rsidRDefault="005B1782" w:rsidP="004945F0">
      <w:pPr>
        <w:rPr>
          <w:rFonts w:ascii="Times New Roman" w:hAnsi="Times New Roman"/>
          <w:lang w:eastAsia="tr-TR"/>
        </w:rPr>
      </w:pPr>
    </w:p>
    <w:p w14:paraId="7D4A8E98" w14:textId="77777777" w:rsidR="005B1782" w:rsidRPr="009E1B38" w:rsidRDefault="005B1782" w:rsidP="004945F0">
      <w:pPr>
        <w:rPr>
          <w:rFonts w:ascii="Times New Roman" w:hAnsi="Times New Roman"/>
          <w:lang w:eastAsia="tr-TR"/>
        </w:rPr>
      </w:pPr>
    </w:p>
    <w:p w14:paraId="7D4A8E99" w14:textId="77777777" w:rsidR="005B1782" w:rsidRPr="009E1B38" w:rsidRDefault="005B1782" w:rsidP="004945F0">
      <w:pPr>
        <w:rPr>
          <w:rFonts w:ascii="Times New Roman" w:hAnsi="Times New Roman"/>
          <w:lang w:eastAsia="tr-TR"/>
        </w:rPr>
      </w:pPr>
    </w:p>
    <w:p w14:paraId="7D4A8E9A" w14:textId="77777777" w:rsidR="005B1782" w:rsidRPr="009E1B38" w:rsidRDefault="005B1782" w:rsidP="004945F0">
      <w:pPr>
        <w:rPr>
          <w:rFonts w:ascii="Times New Roman" w:hAnsi="Times New Roman"/>
          <w:lang w:eastAsia="tr-TR"/>
        </w:rPr>
      </w:pPr>
    </w:p>
    <w:p w14:paraId="7D4A8E9B" w14:textId="77777777" w:rsidR="005B1782" w:rsidRPr="009E1B38" w:rsidRDefault="005B1782" w:rsidP="004945F0">
      <w:pPr>
        <w:rPr>
          <w:rFonts w:ascii="Times New Roman" w:hAnsi="Times New Roman"/>
          <w:lang w:eastAsia="tr-TR"/>
        </w:rPr>
      </w:pPr>
    </w:p>
    <w:p w14:paraId="7D4A8E9C" w14:textId="77777777" w:rsidR="005B1782" w:rsidRPr="009E1B38" w:rsidRDefault="005B1782" w:rsidP="004945F0">
      <w:pPr>
        <w:rPr>
          <w:rFonts w:ascii="Times New Roman" w:hAnsi="Times New Roman"/>
          <w:lang w:eastAsia="tr-TR"/>
        </w:rPr>
      </w:pPr>
    </w:p>
    <w:p w14:paraId="7D4A8E9D" w14:textId="77777777" w:rsidR="005B1782" w:rsidRPr="009E1B38" w:rsidRDefault="005B1782" w:rsidP="004945F0">
      <w:pPr>
        <w:rPr>
          <w:rFonts w:ascii="Times New Roman" w:hAnsi="Times New Roman"/>
          <w:lang w:eastAsia="tr-TR"/>
        </w:rPr>
      </w:pPr>
    </w:p>
    <w:p w14:paraId="7D4A8E9E" w14:textId="77777777" w:rsidR="005B1782" w:rsidRPr="009E1B38" w:rsidRDefault="005B1782" w:rsidP="004945F0">
      <w:pPr>
        <w:rPr>
          <w:rFonts w:ascii="Times New Roman" w:hAnsi="Times New Roman"/>
          <w:lang w:eastAsia="tr-TR"/>
        </w:rPr>
      </w:pPr>
    </w:p>
    <w:p w14:paraId="7D4A8E9F" w14:textId="77777777" w:rsidR="005B1782" w:rsidRPr="009E1B38" w:rsidRDefault="005B1782" w:rsidP="004945F0">
      <w:pPr>
        <w:rPr>
          <w:rFonts w:ascii="Times New Roman" w:hAnsi="Times New Roman"/>
          <w:lang w:eastAsia="tr-TR"/>
        </w:rPr>
      </w:pPr>
    </w:p>
    <w:p w14:paraId="7D4A8EA0" w14:textId="77777777" w:rsidR="005B1782" w:rsidRPr="009E1B38" w:rsidRDefault="005B1782" w:rsidP="004945F0">
      <w:pPr>
        <w:rPr>
          <w:rFonts w:ascii="Times New Roman" w:hAnsi="Times New Roman"/>
          <w:lang w:eastAsia="tr-TR"/>
        </w:rPr>
      </w:pPr>
    </w:p>
    <w:p w14:paraId="7D4A8EA1" w14:textId="77777777" w:rsidR="005B1782" w:rsidRPr="009E1B38" w:rsidRDefault="005B1782" w:rsidP="004945F0">
      <w:pPr>
        <w:rPr>
          <w:rFonts w:ascii="Times New Roman" w:hAnsi="Times New Roman"/>
          <w:lang w:eastAsia="tr-TR"/>
        </w:rPr>
      </w:pPr>
    </w:p>
    <w:p w14:paraId="7D4A8EA2" w14:textId="7C169388" w:rsidR="005B1782" w:rsidRPr="009E1B38" w:rsidRDefault="007C6EB1" w:rsidP="007C6EB1">
      <w:pPr>
        <w:keepNext/>
        <w:keepLines/>
        <w:spacing w:after="240"/>
        <w:ind w:left="720"/>
        <w:outlineLvl w:val="0"/>
        <w:rPr>
          <w:rFonts w:ascii="Times New Roman" w:eastAsiaTheme="majorEastAsia" w:hAnsi="Times New Roman"/>
          <w:b/>
          <w:bCs/>
        </w:rPr>
      </w:pPr>
      <w:bookmarkStart w:id="346" w:name="_Toc113615404"/>
      <w:bookmarkStart w:id="347" w:name="_Toc39153505"/>
      <w:r w:rsidRPr="009E1B38">
        <w:rPr>
          <w:rStyle w:val="Balk1Char"/>
          <w:rFonts w:cs="Times New Roman"/>
        </w:rPr>
        <w:t>11</w:t>
      </w:r>
      <w:r w:rsidRPr="009E1B38">
        <w:rPr>
          <w:rFonts w:ascii="Times New Roman" w:eastAsiaTheme="majorEastAsia" w:hAnsi="Times New Roman"/>
          <w:b/>
          <w:bCs/>
        </w:rPr>
        <w:t xml:space="preserve">. </w:t>
      </w:r>
      <w:r w:rsidR="000264A1" w:rsidRPr="009E1B38">
        <w:rPr>
          <w:rStyle w:val="Balk1Char"/>
          <w:rFonts w:cs="Times New Roman"/>
        </w:rPr>
        <w:t>RELATIONS WITH OTHER INSTITUTIONS</w:t>
      </w:r>
      <w:bookmarkEnd w:id="346"/>
      <w:r w:rsidR="000264A1" w:rsidRPr="009E1B38">
        <w:rPr>
          <w:rFonts w:ascii="Times New Roman" w:eastAsiaTheme="majorEastAsia" w:hAnsi="Times New Roman"/>
          <w:b/>
          <w:bCs/>
        </w:rPr>
        <w:t xml:space="preserve"> </w:t>
      </w:r>
      <w:bookmarkEnd w:id="347"/>
    </w:p>
    <w:p w14:paraId="7D4A8EA3" w14:textId="3E448994" w:rsidR="005B1782" w:rsidRPr="009E1B38" w:rsidRDefault="00F5398A" w:rsidP="00576DEB">
      <w:pPr>
        <w:pStyle w:val="Balk3"/>
        <w:rPr>
          <w:rFonts w:ascii="Times New Roman" w:hAnsi="Times New Roman" w:cs="Times New Roman"/>
        </w:rPr>
      </w:pPr>
      <w:bookmarkStart w:id="348" w:name="_Toc39153506"/>
      <w:bookmarkStart w:id="349" w:name="_Toc113615405"/>
      <w:r w:rsidRPr="009E1B38">
        <w:rPr>
          <w:rFonts w:ascii="Times New Roman" w:hAnsi="Times New Roman" w:cs="Times New Roman"/>
        </w:rPr>
        <w:t>11.1</w:t>
      </w:r>
      <w:r w:rsidR="000647CD" w:rsidRPr="009E1B38">
        <w:rPr>
          <w:rFonts w:ascii="Times New Roman" w:hAnsi="Times New Roman" w:cs="Times New Roman"/>
        </w:rPr>
        <w:t>.</w:t>
      </w:r>
      <w:r w:rsidRPr="009E1B38">
        <w:rPr>
          <w:rFonts w:ascii="Times New Roman" w:hAnsi="Times New Roman" w:cs="Times New Roman"/>
        </w:rPr>
        <w:t xml:space="preserve"> </w:t>
      </w:r>
      <w:r w:rsidR="0014200B" w:rsidRPr="009E1B38">
        <w:rPr>
          <w:rFonts w:ascii="Times New Roman" w:hAnsi="Times New Roman" w:cs="Times New Roman"/>
        </w:rPr>
        <w:t xml:space="preserve">Question Proposals from the Grand National Assembly of </w:t>
      </w:r>
      <w:r w:rsidR="0082470D" w:rsidRPr="009E1B38">
        <w:rPr>
          <w:rFonts w:ascii="Times New Roman" w:hAnsi="Times New Roman" w:cs="Times New Roman"/>
        </w:rPr>
        <w:t>Türkiye</w:t>
      </w:r>
      <w:r w:rsidR="0014200B" w:rsidRPr="009E1B38">
        <w:rPr>
          <w:rFonts w:ascii="Times New Roman" w:hAnsi="Times New Roman" w:cs="Times New Roman"/>
        </w:rPr>
        <w:t xml:space="preserve"> through the Ministry</w:t>
      </w:r>
      <w:bookmarkEnd w:id="348"/>
      <w:bookmarkEnd w:id="349"/>
    </w:p>
    <w:p w14:paraId="7D4A8EA5" w14:textId="0B26DEFF" w:rsidR="005B1782" w:rsidRPr="009E1B38" w:rsidRDefault="00431C95" w:rsidP="005B1782">
      <w:pPr>
        <w:spacing w:after="0"/>
        <w:rPr>
          <w:rFonts w:ascii="Times New Roman" w:hAnsi="Times New Roman"/>
        </w:rPr>
      </w:pPr>
      <w:r w:rsidRPr="009E1B38">
        <w:rPr>
          <w:rFonts w:ascii="Times New Roman" w:hAnsi="Times New Roman"/>
        </w:rPr>
        <w:t xml:space="preserve">An answer was created for 410 parliamentary questions from the Grand National Assembly of </w:t>
      </w:r>
      <w:r w:rsidR="0082470D" w:rsidRPr="009E1B38">
        <w:rPr>
          <w:rFonts w:ascii="Times New Roman" w:hAnsi="Times New Roman"/>
        </w:rPr>
        <w:t>Türkiye</w:t>
      </w:r>
      <w:r w:rsidRPr="009E1B38">
        <w:rPr>
          <w:rFonts w:ascii="Times New Roman" w:hAnsi="Times New Roman"/>
        </w:rPr>
        <w:t xml:space="preserve"> through the Ministry in 2021. The distribution of the aforementioned questions is shown in Table 11.1.</w:t>
      </w:r>
    </w:p>
    <w:p w14:paraId="57C46653" w14:textId="77777777" w:rsidR="00AA7594" w:rsidRPr="009E1B38" w:rsidRDefault="00AA7594" w:rsidP="005B1782">
      <w:pPr>
        <w:spacing w:after="0"/>
        <w:rPr>
          <w:rFonts w:ascii="Times New Roman" w:hAnsi="Times New Roman"/>
        </w:rPr>
      </w:pPr>
    </w:p>
    <w:p w14:paraId="7D4A8EA6" w14:textId="13646D6D" w:rsidR="005B1782" w:rsidRPr="009E1B38" w:rsidRDefault="005B1782" w:rsidP="003F0CCE">
      <w:pPr>
        <w:pStyle w:val="Balk5"/>
        <w:jc w:val="center"/>
        <w:rPr>
          <w:rStyle w:val="Gl"/>
          <w:rFonts w:ascii="Times New Roman" w:hAnsi="Times New Roman" w:cs="Times New Roman"/>
          <w:b/>
          <w:bCs w:val="0"/>
        </w:rPr>
      </w:pPr>
      <w:bookmarkStart w:id="350" w:name="_Toc39153598"/>
      <w:bookmarkStart w:id="351" w:name="_Toc107499564"/>
      <w:r w:rsidRPr="009E1B38">
        <w:rPr>
          <w:rStyle w:val="Gl"/>
          <w:rFonts w:ascii="Times New Roman" w:hAnsi="Times New Roman" w:cs="Times New Roman"/>
          <w:b/>
          <w:bCs w:val="0"/>
        </w:rPr>
        <w:t>Tab</w:t>
      </w:r>
      <w:r w:rsidR="00AA7594" w:rsidRPr="009E1B38">
        <w:rPr>
          <w:rStyle w:val="Gl"/>
          <w:rFonts w:ascii="Times New Roman" w:hAnsi="Times New Roman" w:cs="Times New Roman"/>
          <w:b/>
          <w:bCs w:val="0"/>
        </w:rPr>
        <w:t>le</w:t>
      </w:r>
      <w:r w:rsidRPr="009E1B38">
        <w:rPr>
          <w:rStyle w:val="Gl"/>
          <w:rFonts w:ascii="Times New Roman" w:hAnsi="Times New Roman" w:cs="Times New Roman"/>
          <w:b/>
          <w:bCs w:val="0"/>
        </w:rPr>
        <w:t xml:space="preserve"> 11.1: </w:t>
      </w:r>
      <w:bookmarkEnd w:id="350"/>
      <w:r w:rsidR="00C80D72" w:rsidRPr="009E1B38">
        <w:rPr>
          <w:rStyle w:val="Gl"/>
          <w:rFonts w:ascii="Times New Roman" w:hAnsi="Times New Roman" w:cs="Times New Roman"/>
          <w:b/>
          <w:bCs w:val="0"/>
        </w:rPr>
        <w:t>Distribution of the Parliamentary Question in 2021 by Subject</w:t>
      </w:r>
      <w:bookmarkEnd w:id="351"/>
    </w:p>
    <w:tbl>
      <w:tblPr>
        <w:tblW w:w="5000" w:type="pct"/>
        <w:jc w:val="center"/>
        <w:tblLayout w:type="fixed"/>
        <w:tblCellMar>
          <w:left w:w="70" w:type="dxa"/>
          <w:right w:w="70" w:type="dxa"/>
        </w:tblCellMar>
        <w:tblLook w:val="04A0" w:firstRow="1" w:lastRow="0" w:firstColumn="1" w:lastColumn="0" w:noHBand="0" w:noVBand="1"/>
      </w:tblPr>
      <w:tblGrid>
        <w:gridCol w:w="8854"/>
        <w:gridCol w:w="1207"/>
      </w:tblGrid>
      <w:tr w:rsidR="005B1782" w:rsidRPr="009E1B38" w14:paraId="7D4A8EA9" w14:textId="77777777" w:rsidTr="00DF53AD">
        <w:trPr>
          <w:trHeight w:val="397"/>
          <w:jc w:val="center"/>
        </w:trPr>
        <w:tc>
          <w:tcPr>
            <w:tcW w:w="4400" w:type="pct"/>
            <w:tcBorders>
              <w:top w:val="single" w:sz="8" w:space="0" w:color="BFBFBF"/>
              <w:left w:val="single" w:sz="8" w:space="0" w:color="BFBFBF"/>
              <w:bottom w:val="single" w:sz="8" w:space="0" w:color="BFBFBF"/>
              <w:right w:val="single" w:sz="8" w:space="0" w:color="BFBFBF"/>
            </w:tcBorders>
            <w:shd w:val="clear" w:color="000000" w:fill="6E9ECA"/>
            <w:noWrap/>
            <w:vAlign w:val="center"/>
            <w:hideMark/>
          </w:tcPr>
          <w:p w14:paraId="7D4A8EA7" w14:textId="431D52D9" w:rsidR="005B1782" w:rsidRPr="009E1B38" w:rsidRDefault="00A94E81" w:rsidP="000C601F">
            <w:pPr>
              <w:spacing w:after="0" w:line="240" w:lineRule="auto"/>
              <w:jc w:val="left"/>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The Content of the Question Proposal</w:t>
            </w:r>
          </w:p>
        </w:tc>
        <w:tc>
          <w:tcPr>
            <w:tcW w:w="4400" w:type="pct"/>
            <w:tcBorders>
              <w:top w:val="single" w:sz="8" w:space="0" w:color="BFBFBF"/>
              <w:left w:val="nil"/>
              <w:bottom w:val="single" w:sz="8" w:space="0" w:color="BFBFBF"/>
              <w:right w:val="single" w:sz="8" w:space="0" w:color="BFBFBF"/>
            </w:tcBorders>
            <w:shd w:val="clear" w:color="000000" w:fill="6E9ECA"/>
            <w:noWrap/>
            <w:vAlign w:val="center"/>
            <w:hideMark/>
          </w:tcPr>
          <w:p w14:paraId="7D4A8EA8" w14:textId="08D299E0" w:rsidR="005B1782" w:rsidRPr="009E1B38" w:rsidRDefault="00DC0FA0" w:rsidP="005B1782">
            <w:pPr>
              <w:spacing w:after="0" w:line="240" w:lineRule="auto"/>
              <w:jc w:val="center"/>
              <w:rPr>
                <w:rFonts w:ascii="Times New Roman" w:eastAsia="Times New Roman" w:hAnsi="Times New Roman"/>
                <w:b/>
                <w:bCs/>
                <w:color w:val="FFFFFF"/>
                <w:lang w:eastAsia="tr-TR"/>
              </w:rPr>
            </w:pPr>
            <w:r w:rsidRPr="009E1B38">
              <w:rPr>
                <w:rFonts w:ascii="Times New Roman" w:eastAsia="Times New Roman" w:hAnsi="Times New Roman"/>
                <w:b/>
                <w:bCs/>
                <w:color w:val="FFFFFF"/>
                <w:lang w:eastAsia="tr-TR"/>
              </w:rPr>
              <w:t>Number</w:t>
            </w:r>
          </w:p>
        </w:tc>
      </w:tr>
      <w:tr w:rsidR="005B1782" w:rsidRPr="009E1B38" w14:paraId="7D4A8EAC" w14:textId="77777777" w:rsidTr="00DF53AD">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hideMark/>
          </w:tcPr>
          <w:p w14:paraId="7D4A8EAA" w14:textId="60F129A5" w:rsidR="005B1782" w:rsidRPr="009E1B38" w:rsidRDefault="0051170E" w:rsidP="005B178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Number of Consumers whose Electricity / Natural Gas Was Cut Due to Unpaid Bills</w:t>
            </w:r>
          </w:p>
        </w:tc>
        <w:tc>
          <w:tcPr>
            <w:tcW w:w="4400" w:type="pct"/>
            <w:tcBorders>
              <w:top w:val="nil"/>
              <w:left w:val="nil"/>
              <w:bottom w:val="single" w:sz="8" w:space="0" w:color="BFBFBF"/>
              <w:right w:val="single" w:sz="8" w:space="0" w:color="BFBFBF"/>
            </w:tcBorders>
            <w:shd w:val="clear" w:color="000000" w:fill="FFFFFF"/>
            <w:noWrap/>
            <w:vAlign w:val="center"/>
            <w:hideMark/>
          </w:tcPr>
          <w:p w14:paraId="7D4A8EAB" w14:textId="77777777" w:rsidR="005B1782" w:rsidRPr="009E1B38" w:rsidRDefault="005B1782" w:rsidP="000C601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173</w:t>
            </w:r>
          </w:p>
        </w:tc>
      </w:tr>
      <w:tr w:rsidR="005B1782" w:rsidRPr="009E1B38" w14:paraId="7D4A8EB0" w14:textId="77777777"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14:paraId="7D4A8EAD" w14:textId="245EC851" w:rsidR="005B1782" w:rsidRPr="009E1B38" w:rsidRDefault="003365B9" w:rsidP="005B178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Complaints About Distribution Companies Due to Electricity and Natural Gas Interruptions</w:t>
            </w:r>
          </w:p>
          <w:p w14:paraId="7D4A8EAE" w14:textId="77777777" w:rsidR="005B1782" w:rsidRPr="009E1B38" w:rsidRDefault="005B1782" w:rsidP="005B1782">
            <w:pPr>
              <w:spacing w:after="0" w:line="240" w:lineRule="auto"/>
              <w:rPr>
                <w:rFonts w:ascii="Times New Roman" w:eastAsia="Times New Roman" w:hAnsi="Times New Roman"/>
                <w:color w:val="000000"/>
                <w:lang w:eastAsia="tr-TR"/>
              </w:rPr>
            </w:pPr>
          </w:p>
        </w:tc>
        <w:tc>
          <w:tcPr>
            <w:tcW w:w="4400" w:type="pct"/>
            <w:tcBorders>
              <w:top w:val="nil"/>
              <w:left w:val="nil"/>
              <w:bottom w:val="single" w:sz="8" w:space="0" w:color="BFBFBF"/>
              <w:right w:val="single" w:sz="8" w:space="0" w:color="BFBFBF"/>
            </w:tcBorders>
            <w:shd w:val="clear" w:color="000000" w:fill="FFFFFF"/>
            <w:noWrap/>
            <w:vAlign w:val="center"/>
          </w:tcPr>
          <w:p w14:paraId="7D4A8EAF" w14:textId="77777777" w:rsidR="005B1782" w:rsidRPr="009E1B38" w:rsidRDefault="005B1782" w:rsidP="000C601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83</w:t>
            </w:r>
          </w:p>
        </w:tc>
      </w:tr>
      <w:tr w:rsidR="005B1782" w:rsidRPr="009E1B38" w14:paraId="7D4A8EB4" w14:textId="77777777"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14:paraId="7D4A8EB2" w14:textId="602D0B1C" w:rsidR="005B1782" w:rsidRPr="009E1B38" w:rsidRDefault="00A14A87" w:rsidP="00A14A87">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Whether Agricultural Irrigation Subscribers Can Be Supported During the Pandemic Period</w:t>
            </w:r>
          </w:p>
        </w:tc>
        <w:tc>
          <w:tcPr>
            <w:tcW w:w="4400" w:type="pct"/>
            <w:tcBorders>
              <w:top w:val="nil"/>
              <w:left w:val="nil"/>
              <w:bottom w:val="single" w:sz="8" w:space="0" w:color="BFBFBF"/>
              <w:right w:val="single" w:sz="8" w:space="0" w:color="BFBFBF"/>
            </w:tcBorders>
            <w:shd w:val="clear" w:color="000000" w:fill="FFFFFF"/>
            <w:noWrap/>
            <w:vAlign w:val="center"/>
          </w:tcPr>
          <w:p w14:paraId="7D4A8EB3" w14:textId="77777777" w:rsidR="005B1782" w:rsidRPr="009E1B38" w:rsidRDefault="005B1782" w:rsidP="000C601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40</w:t>
            </w:r>
          </w:p>
        </w:tc>
      </w:tr>
      <w:tr w:rsidR="005B1782" w:rsidRPr="009E1B38" w14:paraId="7D4A8EB8" w14:textId="77777777"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14:paraId="7D4A8EB5" w14:textId="7BEC31DE" w:rsidR="005B1782" w:rsidRPr="009E1B38" w:rsidRDefault="00F00DE0" w:rsidP="005B178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Amount of Electricity Produced in the Scope of Renewable Energy and its Distribution by Regions</w:t>
            </w:r>
          </w:p>
          <w:p w14:paraId="7D4A8EB6" w14:textId="77777777" w:rsidR="005B1782" w:rsidRPr="009E1B38" w:rsidRDefault="005B1782" w:rsidP="005B1782">
            <w:pPr>
              <w:spacing w:after="0" w:line="240" w:lineRule="auto"/>
              <w:rPr>
                <w:rFonts w:ascii="Times New Roman" w:eastAsia="Times New Roman" w:hAnsi="Times New Roman"/>
                <w:color w:val="000000"/>
                <w:lang w:eastAsia="tr-TR"/>
              </w:rPr>
            </w:pPr>
          </w:p>
        </w:tc>
        <w:tc>
          <w:tcPr>
            <w:tcW w:w="4400" w:type="pct"/>
            <w:tcBorders>
              <w:top w:val="nil"/>
              <w:left w:val="nil"/>
              <w:bottom w:val="single" w:sz="8" w:space="0" w:color="BFBFBF"/>
              <w:right w:val="single" w:sz="8" w:space="0" w:color="BFBFBF"/>
            </w:tcBorders>
            <w:shd w:val="clear" w:color="000000" w:fill="FFFFFF"/>
            <w:noWrap/>
            <w:vAlign w:val="center"/>
          </w:tcPr>
          <w:p w14:paraId="7D4A8EB7" w14:textId="77777777" w:rsidR="005B1782" w:rsidRPr="009E1B38" w:rsidRDefault="005B1782" w:rsidP="000C601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33</w:t>
            </w:r>
          </w:p>
        </w:tc>
      </w:tr>
      <w:tr w:rsidR="005B1782" w:rsidRPr="009E1B38" w14:paraId="7D4A8EBC" w14:textId="77777777"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14:paraId="7D4A8EB9" w14:textId="2003EC2B" w:rsidR="005B1782" w:rsidRPr="009E1B38" w:rsidRDefault="00D50E30" w:rsidP="005B178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 xml:space="preserve">Whether There is a </w:t>
            </w:r>
            <w:r w:rsidR="00DA102E" w:rsidRPr="009E1B38">
              <w:rPr>
                <w:rFonts w:ascii="Times New Roman" w:eastAsia="Times New Roman" w:hAnsi="Times New Roman"/>
                <w:color w:val="000000"/>
                <w:lang w:eastAsia="tr-TR"/>
              </w:rPr>
              <w:t>N</w:t>
            </w:r>
            <w:r w:rsidRPr="009E1B38">
              <w:rPr>
                <w:rFonts w:ascii="Times New Roman" w:eastAsia="Times New Roman" w:hAnsi="Times New Roman"/>
                <w:color w:val="000000"/>
                <w:lang w:eastAsia="tr-TR"/>
              </w:rPr>
              <w:t xml:space="preserve">ew </w:t>
            </w:r>
            <w:r w:rsidR="00DA102E" w:rsidRPr="009E1B38">
              <w:rPr>
                <w:rFonts w:ascii="Times New Roman" w:eastAsia="Times New Roman" w:hAnsi="Times New Roman"/>
                <w:color w:val="000000"/>
                <w:lang w:eastAsia="tr-TR"/>
              </w:rPr>
              <w:t>S</w:t>
            </w:r>
            <w:r w:rsidRPr="009E1B38">
              <w:rPr>
                <w:rFonts w:ascii="Times New Roman" w:eastAsia="Times New Roman" w:hAnsi="Times New Roman"/>
                <w:color w:val="000000"/>
                <w:lang w:eastAsia="tr-TR"/>
              </w:rPr>
              <w:t xml:space="preserve">tudy for </w:t>
            </w:r>
            <w:r w:rsidR="00DA102E" w:rsidRPr="009E1B38">
              <w:rPr>
                <w:rFonts w:ascii="Times New Roman" w:eastAsia="Times New Roman" w:hAnsi="Times New Roman"/>
                <w:color w:val="000000"/>
                <w:lang w:eastAsia="tr-TR"/>
              </w:rPr>
              <w:t>T</w:t>
            </w:r>
            <w:r w:rsidRPr="009E1B38">
              <w:rPr>
                <w:rFonts w:ascii="Times New Roman" w:eastAsia="Times New Roman" w:hAnsi="Times New Roman"/>
                <w:color w:val="000000"/>
                <w:lang w:eastAsia="tr-TR"/>
              </w:rPr>
              <w:t xml:space="preserve">he </w:t>
            </w:r>
            <w:r w:rsidR="00DA102E" w:rsidRPr="009E1B38">
              <w:rPr>
                <w:rFonts w:ascii="Times New Roman" w:eastAsia="Times New Roman" w:hAnsi="Times New Roman"/>
                <w:color w:val="000000"/>
                <w:lang w:eastAsia="tr-TR"/>
              </w:rPr>
              <w:t>R</w:t>
            </w:r>
            <w:r w:rsidRPr="009E1B38">
              <w:rPr>
                <w:rFonts w:ascii="Times New Roman" w:eastAsia="Times New Roman" w:hAnsi="Times New Roman"/>
                <w:color w:val="000000"/>
                <w:lang w:eastAsia="tr-TR"/>
              </w:rPr>
              <w:t xml:space="preserve">egions </w:t>
            </w:r>
            <w:r w:rsidR="00DA102E" w:rsidRPr="009E1B38">
              <w:rPr>
                <w:rFonts w:ascii="Times New Roman" w:eastAsia="Times New Roman" w:hAnsi="Times New Roman"/>
                <w:color w:val="000000"/>
                <w:lang w:eastAsia="tr-TR"/>
              </w:rPr>
              <w:t>W</w:t>
            </w:r>
            <w:r w:rsidRPr="009E1B38">
              <w:rPr>
                <w:rFonts w:ascii="Times New Roman" w:eastAsia="Times New Roman" w:hAnsi="Times New Roman"/>
                <w:color w:val="000000"/>
                <w:lang w:eastAsia="tr-TR"/>
              </w:rPr>
              <w:t xml:space="preserve">ithout </w:t>
            </w:r>
            <w:r w:rsidR="00DA102E" w:rsidRPr="009E1B38">
              <w:rPr>
                <w:rFonts w:ascii="Times New Roman" w:eastAsia="Times New Roman" w:hAnsi="Times New Roman"/>
                <w:color w:val="000000"/>
                <w:lang w:eastAsia="tr-TR"/>
              </w:rPr>
              <w:t>E</w:t>
            </w:r>
            <w:r w:rsidRPr="009E1B38">
              <w:rPr>
                <w:rFonts w:ascii="Times New Roman" w:eastAsia="Times New Roman" w:hAnsi="Times New Roman"/>
                <w:color w:val="000000"/>
                <w:lang w:eastAsia="tr-TR"/>
              </w:rPr>
              <w:t xml:space="preserve">lectricity and </w:t>
            </w:r>
            <w:r w:rsidR="00DA102E" w:rsidRPr="009E1B38">
              <w:rPr>
                <w:rFonts w:ascii="Times New Roman" w:eastAsia="Times New Roman" w:hAnsi="Times New Roman"/>
                <w:color w:val="000000"/>
                <w:lang w:eastAsia="tr-TR"/>
              </w:rPr>
              <w:t>N</w:t>
            </w:r>
            <w:r w:rsidRPr="009E1B38">
              <w:rPr>
                <w:rFonts w:ascii="Times New Roman" w:eastAsia="Times New Roman" w:hAnsi="Times New Roman"/>
                <w:color w:val="000000"/>
                <w:lang w:eastAsia="tr-TR"/>
              </w:rPr>
              <w:t xml:space="preserve">atural </w:t>
            </w:r>
            <w:r w:rsidR="00DA102E" w:rsidRPr="009E1B38">
              <w:rPr>
                <w:rFonts w:ascii="Times New Roman" w:eastAsia="Times New Roman" w:hAnsi="Times New Roman"/>
                <w:color w:val="000000"/>
                <w:lang w:eastAsia="tr-TR"/>
              </w:rPr>
              <w:t>G</w:t>
            </w:r>
            <w:r w:rsidRPr="009E1B38">
              <w:rPr>
                <w:rFonts w:ascii="Times New Roman" w:eastAsia="Times New Roman" w:hAnsi="Times New Roman"/>
                <w:color w:val="000000"/>
                <w:lang w:eastAsia="tr-TR"/>
              </w:rPr>
              <w:t xml:space="preserve">as </w:t>
            </w:r>
            <w:r w:rsidR="00DA102E" w:rsidRPr="009E1B38">
              <w:rPr>
                <w:rFonts w:ascii="Times New Roman" w:eastAsia="Times New Roman" w:hAnsi="Times New Roman"/>
                <w:color w:val="000000"/>
                <w:lang w:eastAsia="tr-TR"/>
              </w:rPr>
              <w:t>L</w:t>
            </w:r>
            <w:r w:rsidRPr="009E1B38">
              <w:rPr>
                <w:rFonts w:ascii="Times New Roman" w:eastAsia="Times New Roman" w:hAnsi="Times New Roman"/>
                <w:color w:val="000000"/>
                <w:lang w:eastAsia="tr-TR"/>
              </w:rPr>
              <w:t>ines</w:t>
            </w:r>
          </w:p>
          <w:p w14:paraId="7D4A8EBA" w14:textId="77777777" w:rsidR="005B1782" w:rsidRPr="009E1B38" w:rsidRDefault="005B1782" w:rsidP="005B1782">
            <w:pPr>
              <w:spacing w:after="0" w:line="240" w:lineRule="auto"/>
              <w:rPr>
                <w:rFonts w:ascii="Times New Roman" w:eastAsia="Times New Roman" w:hAnsi="Times New Roman"/>
                <w:color w:val="000000"/>
                <w:lang w:eastAsia="tr-TR"/>
              </w:rPr>
            </w:pPr>
          </w:p>
        </w:tc>
        <w:tc>
          <w:tcPr>
            <w:tcW w:w="4400" w:type="pct"/>
            <w:tcBorders>
              <w:top w:val="nil"/>
              <w:left w:val="nil"/>
              <w:bottom w:val="single" w:sz="8" w:space="0" w:color="BFBFBF"/>
              <w:right w:val="single" w:sz="8" w:space="0" w:color="BFBFBF"/>
            </w:tcBorders>
            <w:shd w:val="clear" w:color="000000" w:fill="FFFFFF"/>
            <w:noWrap/>
            <w:vAlign w:val="center"/>
          </w:tcPr>
          <w:p w14:paraId="7D4A8EBB" w14:textId="77777777" w:rsidR="005B1782" w:rsidRPr="009E1B38" w:rsidRDefault="005B1782" w:rsidP="000C601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25</w:t>
            </w:r>
          </w:p>
        </w:tc>
      </w:tr>
      <w:tr w:rsidR="005B1782" w:rsidRPr="009E1B38" w14:paraId="7D4A8EC0" w14:textId="77777777"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14:paraId="7D4A8EBD" w14:textId="0B34E034" w:rsidR="005B1782" w:rsidRPr="009E1B38" w:rsidRDefault="00974BF5" w:rsidP="005B178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Elements of Electricity Bill</w:t>
            </w:r>
          </w:p>
          <w:p w14:paraId="7D4A8EBE" w14:textId="77777777" w:rsidR="005B1782" w:rsidRPr="009E1B38" w:rsidRDefault="005B1782" w:rsidP="005B1782">
            <w:pPr>
              <w:spacing w:after="0" w:line="240" w:lineRule="auto"/>
              <w:rPr>
                <w:rFonts w:ascii="Times New Roman" w:eastAsia="Times New Roman" w:hAnsi="Times New Roman"/>
                <w:color w:val="000000"/>
                <w:lang w:eastAsia="tr-TR"/>
              </w:rPr>
            </w:pPr>
          </w:p>
        </w:tc>
        <w:tc>
          <w:tcPr>
            <w:tcW w:w="4400" w:type="pct"/>
            <w:tcBorders>
              <w:top w:val="nil"/>
              <w:left w:val="nil"/>
              <w:bottom w:val="single" w:sz="8" w:space="0" w:color="BFBFBF"/>
              <w:right w:val="single" w:sz="8" w:space="0" w:color="BFBFBF"/>
            </w:tcBorders>
            <w:shd w:val="clear" w:color="000000" w:fill="FFFFFF"/>
            <w:noWrap/>
            <w:vAlign w:val="center"/>
          </w:tcPr>
          <w:p w14:paraId="7D4A8EBF" w14:textId="77777777" w:rsidR="005B1782" w:rsidRPr="009E1B38" w:rsidRDefault="005B1782" w:rsidP="000C601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17</w:t>
            </w:r>
          </w:p>
        </w:tc>
      </w:tr>
      <w:tr w:rsidR="005B1782" w:rsidRPr="009E1B38" w14:paraId="7D4A8EC4" w14:textId="77777777"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14:paraId="7D4A8EC1" w14:textId="21B45670" w:rsidR="005B1782" w:rsidRPr="009E1B38" w:rsidRDefault="005D2BC8" w:rsidP="005B178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Coal Power Plants and Their Negative Effects on the Environment</w:t>
            </w:r>
          </w:p>
          <w:p w14:paraId="7D4A8EC2" w14:textId="77777777" w:rsidR="005B1782" w:rsidRPr="009E1B38" w:rsidRDefault="005B1782" w:rsidP="005B1782">
            <w:pPr>
              <w:spacing w:after="0" w:line="240" w:lineRule="auto"/>
              <w:rPr>
                <w:rFonts w:ascii="Times New Roman" w:eastAsia="Times New Roman" w:hAnsi="Times New Roman"/>
                <w:color w:val="000000"/>
                <w:lang w:eastAsia="tr-TR"/>
              </w:rPr>
            </w:pPr>
          </w:p>
        </w:tc>
        <w:tc>
          <w:tcPr>
            <w:tcW w:w="4400" w:type="pct"/>
            <w:tcBorders>
              <w:top w:val="nil"/>
              <w:left w:val="nil"/>
              <w:bottom w:val="single" w:sz="8" w:space="0" w:color="BFBFBF"/>
              <w:right w:val="single" w:sz="8" w:space="0" w:color="BFBFBF"/>
            </w:tcBorders>
            <w:shd w:val="clear" w:color="000000" w:fill="FFFFFF"/>
            <w:noWrap/>
            <w:vAlign w:val="center"/>
          </w:tcPr>
          <w:p w14:paraId="7D4A8EC3" w14:textId="77777777" w:rsidR="005B1782" w:rsidRPr="009E1B38" w:rsidRDefault="005B1782" w:rsidP="000C601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14</w:t>
            </w:r>
          </w:p>
        </w:tc>
      </w:tr>
      <w:tr w:rsidR="005B1782" w:rsidRPr="009E1B38" w14:paraId="7D4A8EC8" w14:textId="77777777" w:rsidTr="00DF53AD">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hideMark/>
          </w:tcPr>
          <w:p w14:paraId="7D4A8EC5" w14:textId="203EAC6A" w:rsidR="005B1782" w:rsidRPr="009E1B38" w:rsidRDefault="00CE6BA5" w:rsidP="005B178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Tariff Regulations (Loss and Leakage Rates/Energy Fund/TRT Share/Guarantee Fee/CPI Rate)</w:t>
            </w:r>
          </w:p>
        </w:tc>
        <w:tc>
          <w:tcPr>
            <w:tcW w:w="4400" w:type="pct"/>
            <w:tcBorders>
              <w:top w:val="nil"/>
              <w:left w:val="nil"/>
              <w:bottom w:val="single" w:sz="8" w:space="0" w:color="BFBFBF"/>
              <w:right w:val="single" w:sz="8" w:space="0" w:color="BFBFBF"/>
            </w:tcBorders>
            <w:shd w:val="clear" w:color="000000" w:fill="FFFFFF"/>
            <w:noWrap/>
            <w:vAlign w:val="center"/>
            <w:hideMark/>
          </w:tcPr>
          <w:p w14:paraId="7D4A8EC6" w14:textId="77777777" w:rsidR="005B1782" w:rsidRPr="009E1B38" w:rsidRDefault="005B1782" w:rsidP="000C601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11</w:t>
            </w:r>
          </w:p>
          <w:p w14:paraId="7D4A8EC7" w14:textId="77777777" w:rsidR="005B1782" w:rsidRPr="009E1B38" w:rsidRDefault="005B1782" w:rsidP="000C601F">
            <w:pPr>
              <w:spacing w:after="0" w:line="240" w:lineRule="auto"/>
              <w:jc w:val="center"/>
              <w:rPr>
                <w:rFonts w:ascii="Times New Roman" w:eastAsia="Times New Roman" w:hAnsi="Times New Roman"/>
                <w:color w:val="000000"/>
                <w:lang w:eastAsia="tr-TR"/>
              </w:rPr>
            </w:pPr>
          </w:p>
        </w:tc>
      </w:tr>
      <w:tr w:rsidR="005B1782" w:rsidRPr="009E1B38" w14:paraId="7D4A8ECB" w14:textId="77777777" w:rsidTr="00DF53AD">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14:paraId="7D4A8EC9" w14:textId="7A7B7E27" w:rsidR="005B1782" w:rsidRPr="009E1B38" w:rsidRDefault="00972F79" w:rsidP="005B178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EMRA Business and Transactions</w:t>
            </w:r>
          </w:p>
        </w:tc>
        <w:tc>
          <w:tcPr>
            <w:tcW w:w="4400" w:type="pct"/>
            <w:tcBorders>
              <w:top w:val="nil"/>
              <w:left w:val="nil"/>
              <w:bottom w:val="single" w:sz="8" w:space="0" w:color="BFBFBF"/>
              <w:right w:val="single" w:sz="8" w:space="0" w:color="BFBFBF"/>
            </w:tcBorders>
            <w:shd w:val="clear" w:color="000000" w:fill="FFFFFF"/>
            <w:noWrap/>
            <w:vAlign w:val="center"/>
          </w:tcPr>
          <w:p w14:paraId="7D4A8ECA" w14:textId="77777777" w:rsidR="005B1782" w:rsidRPr="009E1B38" w:rsidRDefault="005B1782" w:rsidP="000C601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7</w:t>
            </w:r>
          </w:p>
        </w:tc>
      </w:tr>
      <w:tr w:rsidR="005B1782" w:rsidRPr="009E1B38" w14:paraId="7D4A8ECE" w14:textId="77777777" w:rsidTr="00DF53AD">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hideMark/>
          </w:tcPr>
          <w:p w14:paraId="7D4A8ECC" w14:textId="4B8B973F" w:rsidR="005B1782" w:rsidRPr="009E1B38" w:rsidRDefault="00A94E81" w:rsidP="005B178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color w:val="000000"/>
                <w:lang w:eastAsia="tr-TR"/>
              </w:rPr>
              <w:t>Other</w:t>
            </w:r>
          </w:p>
        </w:tc>
        <w:tc>
          <w:tcPr>
            <w:tcW w:w="4400" w:type="pct"/>
            <w:tcBorders>
              <w:top w:val="nil"/>
              <w:left w:val="nil"/>
              <w:bottom w:val="single" w:sz="8" w:space="0" w:color="BFBFBF"/>
              <w:right w:val="single" w:sz="8" w:space="0" w:color="BFBFBF"/>
            </w:tcBorders>
            <w:shd w:val="clear" w:color="000000" w:fill="FFFFFF"/>
            <w:noWrap/>
            <w:vAlign w:val="center"/>
            <w:hideMark/>
          </w:tcPr>
          <w:p w14:paraId="7D4A8ECD" w14:textId="77777777" w:rsidR="005B1782" w:rsidRPr="009E1B38" w:rsidRDefault="005B1782" w:rsidP="000C601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color w:val="000000"/>
                <w:lang w:eastAsia="tr-TR"/>
              </w:rPr>
              <w:t>7</w:t>
            </w:r>
          </w:p>
        </w:tc>
      </w:tr>
      <w:tr w:rsidR="005B1782" w:rsidRPr="009E1B38" w14:paraId="7D4A8ED1" w14:textId="77777777" w:rsidTr="00DF53AD">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14:paraId="7D4A8ECF" w14:textId="61E1DAA3" w:rsidR="005B1782" w:rsidRPr="009E1B38" w:rsidRDefault="005B1782" w:rsidP="005B1782">
            <w:pPr>
              <w:spacing w:after="0" w:line="240" w:lineRule="auto"/>
              <w:rPr>
                <w:rFonts w:ascii="Times New Roman" w:eastAsia="Times New Roman" w:hAnsi="Times New Roman"/>
                <w:color w:val="000000"/>
                <w:lang w:eastAsia="tr-TR"/>
              </w:rPr>
            </w:pPr>
            <w:r w:rsidRPr="009E1B38">
              <w:rPr>
                <w:rFonts w:ascii="Times New Roman" w:eastAsia="Times New Roman" w:hAnsi="Times New Roman"/>
                <w:b/>
                <w:bCs/>
                <w:color w:val="000000"/>
                <w:lang w:eastAsia="tr-TR"/>
              </w:rPr>
              <w:t>To</w:t>
            </w:r>
            <w:r w:rsidR="005E1053" w:rsidRPr="009E1B38">
              <w:rPr>
                <w:rFonts w:ascii="Times New Roman" w:eastAsia="Times New Roman" w:hAnsi="Times New Roman"/>
                <w:b/>
                <w:bCs/>
                <w:color w:val="000000"/>
                <w:lang w:eastAsia="tr-TR"/>
              </w:rPr>
              <w:t>tal</w:t>
            </w:r>
          </w:p>
        </w:tc>
        <w:tc>
          <w:tcPr>
            <w:tcW w:w="4400" w:type="pct"/>
            <w:tcBorders>
              <w:top w:val="nil"/>
              <w:left w:val="nil"/>
              <w:bottom w:val="single" w:sz="8" w:space="0" w:color="BFBFBF"/>
              <w:right w:val="single" w:sz="8" w:space="0" w:color="BFBFBF"/>
            </w:tcBorders>
            <w:shd w:val="clear" w:color="000000" w:fill="FFFFFF"/>
            <w:noWrap/>
            <w:vAlign w:val="center"/>
          </w:tcPr>
          <w:p w14:paraId="7D4A8ED0" w14:textId="77777777" w:rsidR="005B1782" w:rsidRPr="009E1B38" w:rsidRDefault="005B1782" w:rsidP="000C601F">
            <w:pPr>
              <w:spacing w:after="0" w:line="240" w:lineRule="auto"/>
              <w:jc w:val="center"/>
              <w:rPr>
                <w:rFonts w:ascii="Times New Roman" w:eastAsia="Times New Roman" w:hAnsi="Times New Roman"/>
                <w:color w:val="000000"/>
                <w:lang w:eastAsia="tr-TR"/>
              </w:rPr>
            </w:pPr>
            <w:r w:rsidRPr="009E1B38">
              <w:rPr>
                <w:rFonts w:ascii="Times New Roman" w:eastAsia="Times New Roman" w:hAnsi="Times New Roman"/>
                <w:b/>
                <w:bCs/>
                <w:color w:val="000000"/>
                <w:lang w:eastAsia="tr-TR"/>
              </w:rPr>
              <w:t>410</w:t>
            </w:r>
          </w:p>
        </w:tc>
      </w:tr>
    </w:tbl>
    <w:p w14:paraId="7D4A8ED2" w14:textId="77777777" w:rsidR="005B1782" w:rsidRPr="009E1B38" w:rsidRDefault="005B1782" w:rsidP="005B1782">
      <w:pPr>
        <w:spacing w:after="0"/>
        <w:jc w:val="center"/>
        <w:rPr>
          <w:rFonts w:ascii="Times New Roman" w:hAnsi="Times New Roman"/>
        </w:rPr>
      </w:pPr>
    </w:p>
    <w:p w14:paraId="7D4A8ED3" w14:textId="77777777" w:rsidR="00934D54" w:rsidRPr="009E1B38" w:rsidRDefault="00934D54" w:rsidP="005B1782">
      <w:pPr>
        <w:spacing w:after="0"/>
        <w:jc w:val="center"/>
        <w:rPr>
          <w:rFonts w:ascii="Times New Roman" w:hAnsi="Times New Roman"/>
        </w:rPr>
      </w:pPr>
    </w:p>
    <w:p w14:paraId="7D4A8ED4" w14:textId="77777777" w:rsidR="00934D54" w:rsidRPr="009E1B38" w:rsidRDefault="00934D54" w:rsidP="005B1782">
      <w:pPr>
        <w:spacing w:after="0"/>
        <w:jc w:val="center"/>
        <w:rPr>
          <w:rFonts w:ascii="Times New Roman" w:hAnsi="Times New Roman"/>
        </w:rPr>
      </w:pPr>
    </w:p>
    <w:p w14:paraId="7D4A8ED5" w14:textId="77777777" w:rsidR="00934D54" w:rsidRPr="009E1B38" w:rsidRDefault="00934D54" w:rsidP="005B1782">
      <w:pPr>
        <w:spacing w:after="0"/>
        <w:jc w:val="center"/>
        <w:rPr>
          <w:rFonts w:ascii="Times New Roman" w:hAnsi="Times New Roman"/>
        </w:rPr>
      </w:pPr>
    </w:p>
    <w:p w14:paraId="7D4A8ED6" w14:textId="77777777" w:rsidR="00934D54" w:rsidRPr="009E1B38" w:rsidRDefault="00934D54" w:rsidP="005B1782">
      <w:pPr>
        <w:spacing w:after="0"/>
        <w:jc w:val="center"/>
        <w:rPr>
          <w:rFonts w:ascii="Times New Roman" w:hAnsi="Times New Roman"/>
        </w:rPr>
      </w:pPr>
    </w:p>
    <w:p w14:paraId="7D4A8ED7" w14:textId="77777777" w:rsidR="00934D54" w:rsidRPr="009E1B38" w:rsidRDefault="00934D54" w:rsidP="005B1782">
      <w:pPr>
        <w:spacing w:after="0"/>
        <w:jc w:val="center"/>
        <w:rPr>
          <w:rFonts w:ascii="Times New Roman" w:hAnsi="Times New Roman"/>
        </w:rPr>
      </w:pPr>
    </w:p>
    <w:p w14:paraId="7D4A8ED8" w14:textId="77777777" w:rsidR="00934D54" w:rsidRPr="009E1B38" w:rsidRDefault="00934D54" w:rsidP="005B1782">
      <w:pPr>
        <w:spacing w:after="0"/>
        <w:jc w:val="center"/>
        <w:rPr>
          <w:rFonts w:ascii="Times New Roman" w:hAnsi="Times New Roman"/>
        </w:rPr>
      </w:pPr>
    </w:p>
    <w:p w14:paraId="7D4A8ED9" w14:textId="77777777" w:rsidR="00934D54" w:rsidRPr="009E1B38" w:rsidRDefault="00934D54" w:rsidP="005B1782">
      <w:pPr>
        <w:spacing w:after="0"/>
        <w:jc w:val="center"/>
        <w:rPr>
          <w:rFonts w:ascii="Times New Roman" w:hAnsi="Times New Roman"/>
        </w:rPr>
      </w:pPr>
    </w:p>
    <w:p w14:paraId="7D4A8EDA" w14:textId="77777777" w:rsidR="00934D54" w:rsidRPr="009E1B38" w:rsidRDefault="00934D54" w:rsidP="005B1782">
      <w:pPr>
        <w:spacing w:after="0"/>
        <w:jc w:val="center"/>
        <w:rPr>
          <w:rFonts w:ascii="Times New Roman" w:hAnsi="Times New Roman"/>
        </w:rPr>
      </w:pPr>
    </w:p>
    <w:p w14:paraId="7D4A8EDB" w14:textId="77777777" w:rsidR="00934D54" w:rsidRPr="009E1B38" w:rsidRDefault="00934D54" w:rsidP="005B1782">
      <w:pPr>
        <w:spacing w:after="0"/>
        <w:jc w:val="center"/>
        <w:rPr>
          <w:rFonts w:ascii="Times New Roman" w:hAnsi="Times New Roman"/>
        </w:rPr>
      </w:pPr>
    </w:p>
    <w:p w14:paraId="7D4A8EDC" w14:textId="77777777" w:rsidR="00934D54" w:rsidRPr="009E1B38" w:rsidRDefault="00934D54" w:rsidP="005B1782">
      <w:pPr>
        <w:spacing w:after="0"/>
        <w:jc w:val="center"/>
        <w:rPr>
          <w:rFonts w:ascii="Times New Roman" w:hAnsi="Times New Roman"/>
        </w:rPr>
      </w:pPr>
    </w:p>
    <w:p w14:paraId="7D4A8EDD" w14:textId="77777777" w:rsidR="00934D54" w:rsidRPr="009E1B38" w:rsidRDefault="00934D54" w:rsidP="005B1782">
      <w:pPr>
        <w:spacing w:after="0"/>
        <w:jc w:val="center"/>
        <w:rPr>
          <w:rFonts w:ascii="Times New Roman" w:hAnsi="Times New Roman"/>
        </w:rPr>
      </w:pPr>
    </w:p>
    <w:p w14:paraId="7D4A8EDE" w14:textId="77777777" w:rsidR="00934D54" w:rsidRPr="009E1B38" w:rsidRDefault="00934D54" w:rsidP="005B1782">
      <w:pPr>
        <w:spacing w:after="0"/>
        <w:jc w:val="center"/>
        <w:rPr>
          <w:rFonts w:ascii="Times New Roman" w:hAnsi="Times New Roman"/>
        </w:rPr>
      </w:pPr>
    </w:p>
    <w:p w14:paraId="7D4A8EDF" w14:textId="77777777" w:rsidR="00934D54" w:rsidRPr="009E1B38" w:rsidRDefault="00934D54" w:rsidP="005B1782">
      <w:pPr>
        <w:spacing w:after="0"/>
        <w:jc w:val="center"/>
        <w:rPr>
          <w:rFonts w:ascii="Times New Roman" w:hAnsi="Times New Roman"/>
        </w:rPr>
      </w:pPr>
    </w:p>
    <w:p w14:paraId="7D4A8EE0" w14:textId="77777777" w:rsidR="00934D54" w:rsidRPr="009E1B38" w:rsidRDefault="00934D54" w:rsidP="005B1782">
      <w:pPr>
        <w:spacing w:after="0"/>
        <w:jc w:val="center"/>
        <w:rPr>
          <w:rFonts w:ascii="Times New Roman" w:hAnsi="Times New Roman"/>
        </w:rPr>
      </w:pPr>
    </w:p>
    <w:p w14:paraId="7D4A8EE1" w14:textId="77777777" w:rsidR="00934D54" w:rsidRPr="009E1B38" w:rsidRDefault="00934D54" w:rsidP="005B1782">
      <w:pPr>
        <w:spacing w:after="0"/>
        <w:jc w:val="center"/>
        <w:rPr>
          <w:rFonts w:ascii="Times New Roman" w:hAnsi="Times New Roman"/>
        </w:rPr>
      </w:pPr>
    </w:p>
    <w:p w14:paraId="7D4A8EE2" w14:textId="77777777" w:rsidR="00934D54" w:rsidRPr="009E1B38" w:rsidRDefault="00934D54" w:rsidP="005B1782">
      <w:pPr>
        <w:spacing w:after="0"/>
        <w:jc w:val="center"/>
        <w:rPr>
          <w:rFonts w:ascii="Times New Roman" w:hAnsi="Times New Roman"/>
        </w:rPr>
      </w:pPr>
    </w:p>
    <w:p w14:paraId="7D4A8EE3" w14:textId="77777777" w:rsidR="00934D54" w:rsidRPr="009E1B38" w:rsidRDefault="00934D54" w:rsidP="005B1782">
      <w:pPr>
        <w:spacing w:after="0"/>
        <w:jc w:val="center"/>
        <w:rPr>
          <w:rFonts w:ascii="Times New Roman" w:hAnsi="Times New Roman"/>
        </w:rPr>
      </w:pPr>
    </w:p>
    <w:p w14:paraId="7D4A8EE4" w14:textId="77777777" w:rsidR="00934D54" w:rsidRPr="009E1B38" w:rsidRDefault="00934D54" w:rsidP="005B1782">
      <w:pPr>
        <w:spacing w:after="0"/>
        <w:jc w:val="center"/>
        <w:rPr>
          <w:rFonts w:ascii="Times New Roman" w:hAnsi="Times New Roman"/>
        </w:rPr>
      </w:pPr>
    </w:p>
    <w:p w14:paraId="3EDAC5B7" w14:textId="77777777" w:rsidR="00127185" w:rsidRPr="009E1B38" w:rsidRDefault="00106909" w:rsidP="00127185">
      <w:pPr>
        <w:jc w:val="center"/>
        <w:rPr>
          <w:rStyle w:val="Balk5Char"/>
          <w:rFonts w:ascii="Times New Roman" w:hAnsi="Times New Roman" w:cs="Times New Roman"/>
        </w:rPr>
      </w:pPr>
      <w:bookmarkStart w:id="352" w:name="_Toc39153599"/>
      <w:bookmarkStart w:id="353" w:name="_Toc107499565"/>
      <w:r w:rsidRPr="009E1B38">
        <w:rPr>
          <w:rStyle w:val="Balk5Char"/>
          <w:rFonts w:ascii="Times New Roman" w:hAnsi="Times New Roman" w:cs="Times New Roman"/>
        </w:rPr>
        <w:t>Figure</w:t>
      </w:r>
      <w:r w:rsidR="005B1782" w:rsidRPr="009E1B38">
        <w:rPr>
          <w:rStyle w:val="Balk5Char"/>
          <w:rFonts w:ascii="Times New Roman" w:hAnsi="Times New Roman" w:cs="Times New Roman"/>
        </w:rPr>
        <w:t xml:space="preserve"> 11.1:</w:t>
      </w:r>
      <w:bookmarkEnd w:id="352"/>
      <w:r w:rsidRPr="009E1B38">
        <w:rPr>
          <w:rStyle w:val="Balk5Char"/>
          <w:rFonts w:ascii="Times New Roman" w:hAnsi="Times New Roman" w:cs="Times New Roman"/>
        </w:rPr>
        <w:t xml:space="preserve"> Percentage Distribution of Questionnaires Received in 2021 by Subject</w:t>
      </w:r>
      <w:bookmarkEnd w:id="353"/>
    </w:p>
    <w:p w14:paraId="7D4A8EE5" w14:textId="25C62DE1" w:rsidR="00AA77D3" w:rsidRPr="009E1B38" w:rsidRDefault="00656817" w:rsidP="00127185">
      <w:pPr>
        <w:rPr>
          <w:rStyle w:val="Gl"/>
          <w:rFonts w:ascii="Times New Roman" w:hAnsi="Times New Roman"/>
        </w:rPr>
      </w:pPr>
      <w:r w:rsidRPr="009E1B38">
        <w:rPr>
          <w:rFonts w:ascii="Times New Roman" w:hAnsi="Times New Roman"/>
          <w:noProof/>
          <w:lang w:val="tr-TR" w:eastAsia="tr-TR"/>
        </w:rPr>
        <w:lastRenderedPageBreak/>
        <w:drawing>
          <wp:inline distT="0" distB="0" distL="0" distR="0" wp14:anchorId="035A8EBB" wp14:editId="4422431F">
            <wp:extent cx="6137910" cy="3695700"/>
            <wp:effectExtent l="0" t="0" r="15240" b="0"/>
            <wp:docPr id="26" name="Grafik 26">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7D4A8EE6" w14:textId="28A46866" w:rsidR="005B1782" w:rsidRPr="009E1B38" w:rsidRDefault="005B1782" w:rsidP="005B1782">
      <w:pPr>
        <w:jc w:val="center"/>
        <w:rPr>
          <w:rFonts w:ascii="Times New Roman" w:hAnsi="Times New Roman"/>
          <w:lang w:eastAsia="tr-TR"/>
        </w:rPr>
      </w:pPr>
    </w:p>
    <w:p w14:paraId="7D4A8EE7" w14:textId="77777777" w:rsidR="005B1782" w:rsidRPr="009E1B38" w:rsidRDefault="005B1782" w:rsidP="005B1782">
      <w:pPr>
        <w:rPr>
          <w:rFonts w:ascii="Times New Roman" w:eastAsiaTheme="majorEastAsia" w:hAnsi="Times New Roman"/>
          <w:b/>
          <w:bCs/>
        </w:rPr>
      </w:pPr>
    </w:p>
    <w:p w14:paraId="7D4A8EE8" w14:textId="77777777" w:rsidR="00030C2B" w:rsidRPr="009E1B38" w:rsidRDefault="00030C2B" w:rsidP="004945F0">
      <w:pPr>
        <w:rPr>
          <w:rFonts w:ascii="Times New Roman" w:hAnsi="Times New Roman"/>
          <w:lang w:eastAsia="tr-TR"/>
        </w:rPr>
      </w:pPr>
    </w:p>
    <w:p w14:paraId="7D4A8EE9" w14:textId="77777777" w:rsidR="000276C9" w:rsidRPr="009E1B38" w:rsidRDefault="000276C9" w:rsidP="001C5F6B">
      <w:pPr>
        <w:spacing w:after="0"/>
        <w:rPr>
          <w:rFonts w:ascii="Times New Roman" w:hAnsi="Times New Roman"/>
          <w:lang w:eastAsia="tr-TR"/>
        </w:rPr>
      </w:pPr>
    </w:p>
    <w:p w14:paraId="7D4A8EEA" w14:textId="77777777" w:rsidR="00382EB1" w:rsidRPr="009E1B38" w:rsidRDefault="00382EB1" w:rsidP="00A02EDE">
      <w:pPr>
        <w:spacing w:after="240"/>
        <w:rPr>
          <w:rFonts w:ascii="Times New Roman" w:eastAsia="Times New Roman" w:hAnsi="Times New Roman"/>
          <w:b/>
          <w:lang w:eastAsia="tr-TR"/>
        </w:rPr>
      </w:pPr>
    </w:p>
    <w:p w14:paraId="7D4A8EEB" w14:textId="77777777" w:rsidR="00382EB1" w:rsidRPr="009E1B38" w:rsidRDefault="00382EB1" w:rsidP="00A02EDE">
      <w:pPr>
        <w:spacing w:after="240"/>
        <w:rPr>
          <w:rFonts w:ascii="Times New Roman" w:eastAsia="Times New Roman" w:hAnsi="Times New Roman"/>
          <w:b/>
          <w:lang w:eastAsia="tr-TR"/>
        </w:rPr>
      </w:pPr>
    </w:p>
    <w:p w14:paraId="7D4A8EEC" w14:textId="77777777" w:rsidR="00382EB1" w:rsidRPr="009E1B38" w:rsidRDefault="00382EB1" w:rsidP="00A02EDE">
      <w:pPr>
        <w:spacing w:after="240"/>
        <w:rPr>
          <w:rFonts w:ascii="Times New Roman" w:eastAsia="Times New Roman" w:hAnsi="Times New Roman"/>
          <w:b/>
          <w:lang w:eastAsia="tr-TR"/>
        </w:rPr>
      </w:pPr>
    </w:p>
    <w:p w14:paraId="7D4A8EED" w14:textId="77777777" w:rsidR="00382EB1" w:rsidRPr="009E1B38" w:rsidRDefault="00382EB1" w:rsidP="00A02EDE">
      <w:pPr>
        <w:spacing w:after="240"/>
        <w:rPr>
          <w:rFonts w:ascii="Times New Roman" w:eastAsia="Times New Roman" w:hAnsi="Times New Roman"/>
          <w:b/>
          <w:lang w:eastAsia="tr-TR"/>
        </w:rPr>
      </w:pPr>
    </w:p>
    <w:p w14:paraId="7D4A8EEE" w14:textId="77777777" w:rsidR="00382EB1" w:rsidRPr="009E1B38" w:rsidRDefault="00382EB1" w:rsidP="00A02EDE">
      <w:pPr>
        <w:spacing w:after="240"/>
        <w:rPr>
          <w:rFonts w:ascii="Times New Roman" w:eastAsia="Times New Roman" w:hAnsi="Times New Roman"/>
          <w:b/>
          <w:lang w:eastAsia="tr-TR"/>
        </w:rPr>
      </w:pPr>
    </w:p>
    <w:p w14:paraId="7D4A8EEF" w14:textId="77777777" w:rsidR="001C5F6B" w:rsidRPr="009E1B38" w:rsidRDefault="001C5F6B">
      <w:pPr>
        <w:rPr>
          <w:rFonts w:ascii="Times New Roman" w:eastAsiaTheme="majorEastAsia" w:hAnsi="Times New Roman"/>
          <w:b/>
          <w:bCs/>
        </w:rPr>
      </w:pPr>
      <w:r w:rsidRPr="009E1B38">
        <w:rPr>
          <w:rFonts w:ascii="Times New Roman" w:hAnsi="Times New Roman"/>
        </w:rPr>
        <w:br w:type="page"/>
      </w:r>
    </w:p>
    <w:p w14:paraId="7D4A8EF0" w14:textId="5E2F13EA" w:rsidR="003863AF" w:rsidRPr="009E1B38" w:rsidRDefault="00636666" w:rsidP="006378D6">
      <w:pPr>
        <w:pStyle w:val="Balk1"/>
        <w:spacing w:before="0" w:after="240"/>
        <w:ind w:left="720"/>
        <w:rPr>
          <w:rFonts w:cs="Times New Roman"/>
          <w:sz w:val="22"/>
          <w:szCs w:val="22"/>
        </w:rPr>
      </w:pPr>
      <w:bookmarkStart w:id="354" w:name="_Toc113615406"/>
      <w:r w:rsidRPr="009E1B38">
        <w:rPr>
          <w:rFonts w:cs="Times New Roman"/>
          <w:sz w:val="22"/>
          <w:szCs w:val="22"/>
        </w:rPr>
        <w:lastRenderedPageBreak/>
        <w:t>12</w:t>
      </w:r>
      <w:r w:rsidR="006378D6" w:rsidRPr="009E1B38">
        <w:rPr>
          <w:rFonts w:cs="Times New Roman"/>
          <w:sz w:val="22"/>
          <w:szCs w:val="22"/>
        </w:rPr>
        <w:t xml:space="preserve">. </w:t>
      </w:r>
      <w:r w:rsidR="00E62CB6" w:rsidRPr="009E1B38">
        <w:rPr>
          <w:rFonts w:cs="Times New Roman"/>
          <w:sz w:val="22"/>
          <w:szCs w:val="22"/>
        </w:rPr>
        <w:t>EXTERNAL RELATIONS</w:t>
      </w:r>
      <w:bookmarkEnd w:id="354"/>
      <w:r w:rsidR="00E62CB6" w:rsidRPr="009E1B38">
        <w:rPr>
          <w:rFonts w:cs="Times New Roman"/>
          <w:sz w:val="22"/>
          <w:szCs w:val="22"/>
        </w:rPr>
        <w:t xml:space="preserve"> </w:t>
      </w:r>
    </w:p>
    <w:p w14:paraId="750B12F2" w14:textId="77777777" w:rsidR="00203B20" w:rsidRPr="009E1B38" w:rsidRDefault="00203B20" w:rsidP="00203B20">
      <w:pPr>
        <w:rPr>
          <w:rFonts w:ascii="Times New Roman" w:eastAsiaTheme="minorHAnsi" w:hAnsi="Times New Roman"/>
        </w:rPr>
      </w:pPr>
      <w:r w:rsidRPr="009E1B38">
        <w:rPr>
          <w:rFonts w:ascii="Times New Roman" w:hAnsi="Times New Roman"/>
        </w:rPr>
        <w:t>The activities of the Authority related to foreign relations are carried out within the framework of the “EMRA Foreign Relations Strategy” document adopted within the scope of the vision of “becoming a value creating Authority with its expertise in regional and international energy markets”.</w:t>
      </w:r>
      <w:r w:rsidRPr="009E1B38">
        <w:rPr>
          <w:rFonts w:ascii="Times New Roman" w:eastAsiaTheme="minorHAnsi" w:hAnsi="Times New Roman"/>
        </w:rPr>
        <w:t xml:space="preserve"> Due to the pandemic measures started in March 2020, although most of the activities abroad could not be physically organized, all online events were attended. In addition to sharing our knowledge, expertise and experience on energy and energy regulation, importance also given to promoting our energy market. </w:t>
      </w:r>
    </w:p>
    <w:p w14:paraId="77609DF6" w14:textId="6F91F155" w:rsidR="00305772" w:rsidRPr="009E1B38" w:rsidRDefault="00305772" w:rsidP="00305772">
      <w:pPr>
        <w:spacing w:before="120" w:after="120"/>
        <w:rPr>
          <w:rFonts w:ascii="Times New Roman" w:hAnsi="Times New Roman"/>
        </w:rPr>
      </w:pPr>
      <w:r w:rsidRPr="009E1B38">
        <w:rPr>
          <w:rFonts w:ascii="Times New Roman" w:hAnsi="Times New Roman"/>
        </w:rPr>
        <w:t>In 2021, the Authority conducts its external relations activities in five main points:</w:t>
      </w:r>
    </w:p>
    <w:p w14:paraId="5098DD5B" w14:textId="77777777" w:rsidR="00305772" w:rsidRPr="009E1B38" w:rsidRDefault="00305772" w:rsidP="00E9030A">
      <w:pPr>
        <w:pStyle w:val="ListeParagraf"/>
        <w:numPr>
          <w:ilvl w:val="0"/>
          <w:numId w:val="5"/>
        </w:numPr>
        <w:spacing w:before="120" w:after="120"/>
        <w:rPr>
          <w:rFonts w:ascii="Times New Roman" w:hAnsi="Times New Roman"/>
        </w:rPr>
      </w:pPr>
      <w:r w:rsidRPr="009E1B38">
        <w:rPr>
          <w:rFonts w:ascii="Times New Roman" w:hAnsi="Times New Roman"/>
        </w:rPr>
        <w:t>Relations with international associations of which EMRA is a member,</w:t>
      </w:r>
    </w:p>
    <w:p w14:paraId="1370BF02" w14:textId="77777777" w:rsidR="00305772" w:rsidRPr="009E1B38" w:rsidRDefault="00305772" w:rsidP="00E9030A">
      <w:pPr>
        <w:pStyle w:val="ListeParagraf"/>
        <w:numPr>
          <w:ilvl w:val="0"/>
          <w:numId w:val="5"/>
        </w:numPr>
        <w:spacing w:before="120" w:after="120"/>
        <w:rPr>
          <w:rFonts w:ascii="Times New Roman" w:hAnsi="Times New Roman"/>
        </w:rPr>
      </w:pPr>
      <w:r w:rsidRPr="009E1B38">
        <w:rPr>
          <w:rFonts w:ascii="Times New Roman" w:hAnsi="Times New Roman"/>
        </w:rPr>
        <w:t>Bilateral relations,</w:t>
      </w:r>
    </w:p>
    <w:p w14:paraId="675C661F" w14:textId="77777777" w:rsidR="00305772" w:rsidRPr="009E1B38" w:rsidRDefault="00305772" w:rsidP="00E9030A">
      <w:pPr>
        <w:pStyle w:val="ListeParagraf"/>
        <w:numPr>
          <w:ilvl w:val="0"/>
          <w:numId w:val="5"/>
        </w:numPr>
        <w:rPr>
          <w:rFonts w:ascii="Times New Roman" w:eastAsiaTheme="minorHAnsi" w:hAnsi="Times New Roman"/>
        </w:rPr>
      </w:pPr>
      <w:r w:rsidRPr="009E1B38">
        <w:rPr>
          <w:rFonts w:ascii="Times New Roman" w:hAnsi="Times New Roman"/>
        </w:rPr>
        <w:t>Activities within the scope of alignment with the EU Acquis,</w:t>
      </w:r>
    </w:p>
    <w:p w14:paraId="5EC6AE84" w14:textId="77777777" w:rsidR="00305772" w:rsidRPr="009E1B38" w:rsidRDefault="00305772" w:rsidP="00E9030A">
      <w:pPr>
        <w:pStyle w:val="ListeParagraf"/>
        <w:numPr>
          <w:ilvl w:val="0"/>
          <w:numId w:val="5"/>
        </w:numPr>
        <w:rPr>
          <w:rFonts w:ascii="Times New Roman" w:eastAsiaTheme="minorHAnsi" w:hAnsi="Times New Roman"/>
        </w:rPr>
      </w:pPr>
      <w:r w:rsidRPr="009E1B38">
        <w:rPr>
          <w:rFonts w:ascii="Times New Roman" w:hAnsi="Times New Roman"/>
        </w:rPr>
        <w:t>Studies which are conducted in the areas of responsibility of EMRA within the processes where our country is a part of or in relation with,</w:t>
      </w:r>
    </w:p>
    <w:p w14:paraId="7D4A8EF8" w14:textId="1A1DEA0E" w:rsidR="00992142" w:rsidRPr="009E1B38" w:rsidRDefault="00305772" w:rsidP="00E9030A">
      <w:pPr>
        <w:pStyle w:val="ListeParagraf"/>
        <w:numPr>
          <w:ilvl w:val="0"/>
          <w:numId w:val="5"/>
        </w:numPr>
        <w:spacing w:before="120" w:after="120"/>
        <w:rPr>
          <w:rFonts w:ascii="Times New Roman" w:hAnsi="Times New Roman"/>
        </w:rPr>
      </w:pPr>
      <w:r w:rsidRPr="009E1B38">
        <w:rPr>
          <w:rFonts w:ascii="Times New Roman" w:hAnsi="Times New Roman"/>
        </w:rPr>
        <w:t>Monitoring and reporting of the developments in the international energy markets.</w:t>
      </w:r>
    </w:p>
    <w:p w14:paraId="7D4A8EF9" w14:textId="06C0AB38" w:rsidR="00D730CF" w:rsidRPr="009E1B38" w:rsidRDefault="000647CD" w:rsidP="00E7130B">
      <w:pPr>
        <w:pStyle w:val="Balk2"/>
        <w:ind w:left="426"/>
        <w:jc w:val="left"/>
        <w:rPr>
          <w:rFonts w:cs="Times New Roman"/>
        </w:rPr>
      </w:pPr>
      <w:bookmarkStart w:id="355" w:name="_Toc113615407"/>
      <w:r w:rsidRPr="009E1B38">
        <w:rPr>
          <w:rFonts w:cs="Times New Roman"/>
          <w:color w:val="000000" w:themeColor="text1"/>
        </w:rPr>
        <w:t xml:space="preserve">12.1. </w:t>
      </w:r>
      <w:r w:rsidR="001028A8" w:rsidRPr="009E1B38">
        <w:rPr>
          <w:rFonts w:cs="Times New Roman"/>
          <w:color w:val="000000" w:themeColor="text1"/>
        </w:rPr>
        <w:t>Relations with International Associations of which EMRA is a Member</w:t>
      </w:r>
      <w:bookmarkEnd w:id="355"/>
    </w:p>
    <w:p w14:paraId="76885547" w14:textId="776E2B2A" w:rsidR="00750C28" w:rsidRPr="009E1B38" w:rsidRDefault="00750C28" w:rsidP="00750C28">
      <w:pPr>
        <w:spacing w:before="120" w:after="120"/>
        <w:rPr>
          <w:rFonts w:ascii="Times New Roman" w:hAnsi="Times New Roman"/>
        </w:rPr>
      </w:pPr>
      <w:r w:rsidRPr="009E1B38">
        <w:rPr>
          <w:rFonts w:ascii="Times New Roman" w:hAnsi="Times New Roman"/>
        </w:rPr>
        <w:t>The Authority is a member of the Regional Energy Regulators Association (</w:t>
      </w:r>
      <w:r w:rsidR="007A3237" w:rsidRPr="009E1B38">
        <w:rPr>
          <w:rFonts w:ascii="Times New Roman" w:hAnsi="Times New Roman"/>
        </w:rPr>
        <w:t>ERR</w:t>
      </w:r>
      <w:r w:rsidR="003A7BBC" w:rsidRPr="009E1B38">
        <w:rPr>
          <w:rFonts w:ascii="Times New Roman" w:hAnsi="Times New Roman"/>
        </w:rPr>
        <w:t>A</w:t>
      </w:r>
      <w:r w:rsidRPr="009E1B38">
        <w:rPr>
          <w:rFonts w:ascii="Times New Roman" w:hAnsi="Times New Roman"/>
        </w:rPr>
        <w:t>) and the Mediterranean Electricity and Gas Regulators Association (MEDREG), and an observer member of the Energy Community Regulatory Board (ECRB). At the same time, our Authority is related to the International Confederation of Energy Regulators (İCER), the Black Sea Economic Cooperation Organization (BSEC) and the OECD Economic Regulators Network (OECD-NER), which contributes to the working groups formed by the assigned personnel.</w:t>
      </w:r>
    </w:p>
    <w:p w14:paraId="7D4A8EFB" w14:textId="39404EC9" w:rsidR="007C12F6" w:rsidRPr="009E1B38" w:rsidRDefault="006757C0" w:rsidP="007C12F6">
      <w:pPr>
        <w:spacing w:before="120" w:after="120"/>
        <w:rPr>
          <w:rFonts w:ascii="Times New Roman" w:hAnsi="Times New Roman"/>
        </w:rPr>
      </w:pPr>
      <w:r w:rsidRPr="009E1B38">
        <w:rPr>
          <w:rFonts w:ascii="Times New Roman" w:hAnsi="Times New Roman"/>
        </w:rPr>
        <w:t xml:space="preserve">Ahmet Çağrı ÇİÇEK, who was elected as a member of the </w:t>
      </w:r>
      <w:r w:rsidR="007A3237" w:rsidRPr="009E1B38">
        <w:rPr>
          <w:rFonts w:ascii="Times New Roman" w:hAnsi="Times New Roman"/>
        </w:rPr>
        <w:t>ER</w:t>
      </w:r>
      <w:r w:rsidR="003A7BBC" w:rsidRPr="009E1B38">
        <w:rPr>
          <w:rFonts w:ascii="Times New Roman" w:hAnsi="Times New Roman"/>
        </w:rPr>
        <w:t>RA</w:t>
      </w:r>
      <w:r w:rsidRPr="009E1B38">
        <w:rPr>
          <w:rFonts w:ascii="Times New Roman" w:hAnsi="Times New Roman"/>
        </w:rPr>
        <w:t xml:space="preserve"> Board of Directors at the general assembly of </w:t>
      </w:r>
      <w:r w:rsidR="007A3237" w:rsidRPr="009E1B38">
        <w:rPr>
          <w:rFonts w:ascii="Times New Roman" w:hAnsi="Times New Roman"/>
        </w:rPr>
        <w:t>ER</w:t>
      </w:r>
      <w:r w:rsidR="003A7BBC" w:rsidRPr="009E1B38">
        <w:rPr>
          <w:rFonts w:ascii="Times New Roman" w:hAnsi="Times New Roman"/>
        </w:rPr>
        <w:t>RA</w:t>
      </w:r>
      <w:r w:rsidRPr="009E1B38">
        <w:rPr>
          <w:rFonts w:ascii="Times New Roman" w:hAnsi="Times New Roman"/>
        </w:rPr>
        <w:t xml:space="preserve"> held on September 17, 2020, continued this duty throughout 2021. On the other hand, Agency personnel continue to act as the Chairman of the Natural Gas Markets and Economic Regulation Committee and the Vice Chairman of the Renewable Energy Committee of </w:t>
      </w:r>
      <w:r w:rsidR="00780E53" w:rsidRPr="009E1B38">
        <w:rPr>
          <w:rFonts w:ascii="Times New Roman" w:hAnsi="Times New Roman"/>
        </w:rPr>
        <w:t>ER</w:t>
      </w:r>
      <w:r w:rsidRPr="009E1B38">
        <w:rPr>
          <w:rFonts w:ascii="Times New Roman" w:hAnsi="Times New Roman"/>
        </w:rPr>
        <w:t>RA.</w:t>
      </w:r>
    </w:p>
    <w:p w14:paraId="03211A6D" w14:textId="77777777" w:rsidR="0029627C" w:rsidRPr="009E1B38" w:rsidRDefault="0029627C" w:rsidP="0029627C">
      <w:pPr>
        <w:spacing w:before="120" w:after="120"/>
        <w:rPr>
          <w:rFonts w:ascii="Times New Roman" w:hAnsi="Times New Roman"/>
        </w:rPr>
      </w:pPr>
      <w:r w:rsidRPr="009E1B38">
        <w:rPr>
          <w:rFonts w:ascii="Times New Roman" w:hAnsi="Times New Roman"/>
        </w:rPr>
        <w:t>In addition to the committee activities, by ERRA,</w:t>
      </w:r>
    </w:p>
    <w:p w14:paraId="27FF8737" w14:textId="5BA94C95" w:rsidR="0029627C" w:rsidRPr="009E1B38" w:rsidRDefault="0029627C" w:rsidP="0029627C">
      <w:pPr>
        <w:spacing w:before="120" w:after="120"/>
        <w:ind w:left="426" w:hanging="426"/>
        <w:rPr>
          <w:rFonts w:ascii="Times New Roman" w:hAnsi="Times New Roman"/>
        </w:rPr>
      </w:pPr>
      <w:r w:rsidRPr="009E1B38">
        <w:rPr>
          <w:rFonts w:ascii="Times New Roman" w:hAnsi="Times New Roman"/>
        </w:rPr>
        <w:t xml:space="preserve">       • The staff of the Authority participated as a speaker in the online seminar on "LNG Supply and Regulation      of Facilities" held on May 11, 2021.</w:t>
      </w:r>
    </w:p>
    <w:p w14:paraId="53C2BE19" w14:textId="74603C57" w:rsidR="00CD4DF7" w:rsidRPr="009E1B38" w:rsidRDefault="0029627C" w:rsidP="0029627C">
      <w:pPr>
        <w:spacing w:before="120" w:after="120"/>
        <w:ind w:left="426"/>
        <w:rPr>
          <w:rFonts w:ascii="Times New Roman" w:hAnsi="Times New Roman"/>
        </w:rPr>
      </w:pPr>
      <w:r w:rsidRPr="009E1B38">
        <w:rPr>
          <w:rFonts w:ascii="Times New Roman" w:hAnsi="Times New Roman"/>
        </w:rPr>
        <w:t>• The personnel of the Institution participated as trainers in the training on “Electricity Tariffs” held between September 20 and October 15, 2021.</w:t>
      </w:r>
    </w:p>
    <w:p w14:paraId="7D4A8EFF" w14:textId="77777777" w:rsidR="007C12F6" w:rsidRPr="009E1B38" w:rsidRDefault="007C12F6" w:rsidP="007C12F6">
      <w:pPr>
        <w:spacing w:before="120" w:after="120"/>
        <w:ind w:left="720"/>
        <w:contextualSpacing/>
        <w:rPr>
          <w:rFonts w:ascii="Times New Roman" w:hAnsi="Times New Roman"/>
        </w:rPr>
      </w:pPr>
    </w:p>
    <w:p w14:paraId="4C19CEB5" w14:textId="77777777" w:rsidR="00534D85" w:rsidRPr="009E1B38" w:rsidRDefault="00534D85" w:rsidP="00534D85">
      <w:pPr>
        <w:spacing w:before="120" w:after="120"/>
        <w:rPr>
          <w:rFonts w:ascii="Times New Roman" w:hAnsi="Times New Roman"/>
        </w:rPr>
      </w:pPr>
      <w:r w:rsidRPr="009E1B38">
        <w:rPr>
          <w:rFonts w:ascii="Times New Roman" w:hAnsi="Times New Roman"/>
        </w:rPr>
        <w:t>Since its establishment, MEDREG, another union of which the institution is a full member, has been actively participating in all its organs and contributing to its work.</w:t>
      </w:r>
    </w:p>
    <w:p w14:paraId="151BD43E" w14:textId="77777777" w:rsidR="00534D85" w:rsidRPr="009E1B38" w:rsidRDefault="00534D85" w:rsidP="00534D85">
      <w:pPr>
        <w:spacing w:before="120" w:after="120"/>
        <w:rPr>
          <w:rFonts w:ascii="Times New Roman" w:hAnsi="Times New Roman"/>
        </w:rPr>
      </w:pPr>
      <w:r w:rsidRPr="009E1B38">
        <w:rPr>
          <w:rFonts w:ascii="Times New Roman" w:hAnsi="Times New Roman"/>
        </w:rPr>
        <w:t>The 31st Meeting of the MEDREG Electricity Working Group was held on October 19, 2021, and the 31st Meeting of the Corporate Affairs Working Group was held on October 20, 2021, hosted by the Authority. Representatives of member countries and experts from the MEDREG Secretariat participated in the meetings.</w:t>
      </w:r>
    </w:p>
    <w:p w14:paraId="7D4A8F02" w14:textId="249F33FC" w:rsidR="007C12F6" w:rsidRPr="009E1B38" w:rsidRDefault="00534D85" w:rsidP="00516431">
      <w:pPr>
        <w:spacing w:before="120" w:after="120"/>
        <w:rPr>
          <w:rFonts w:ascii="Times New Roman" w:hAnsi="Times New Roman"/>
        </w:rPr>
      </w:pPr>
      <w:r w:rsidRPr="009E1B38">
        <w:rPr>
          <w:rFonts w:ascii="Times New Roman" w:hAnsi="Times New Roman"/>
        </w:rPr>
        <w:t>Our Institution personnel contributed as trainers to the online seminar titled "Service Quality Monitoring Tools and Methodology for Electricity and Gas Distribution Activity" organized by MEDREG on December 6, 2021</w:t>
      </w:r>
      <w:r w:rsidR="00516431" w:rsidRPr="009E1B38">
        <w:rPr>
          <w:rFonts w:ascii="Times New Roman" w:hAnsi="Times New Roman"/>
        </w:rPr>
        <w:t>.</w:t>
      </w:r>
    </w:p>
    <w:p w14:paraId="7D4A8F03" w14:textId="3F09BEA6" w:rsidR="00992142" w:rsidRPr="009E1B38" w:rsidRDefault="00D10B5F" w:rsidP="007C12F6">
      <w:pPr>
        <w:spacing w:before="120" w:after="120"/>
        <w:rPr>
          <w:rFonts w:ascii="Times New Roman" w:hAnsi="Times New Roman"/>
        </w:rPr>
      </w:pPr>
      <w:r w:rsidRPr="009E1B38">
        <w:rPr>
          <w:rFonts w:ascii="Times New Roman" w:hAnsi="Times New Roman"/>
        </w:rPr>
        <w:t>In addition, the work of the ECRB, of which the Agency is an observer member, has been followed up by the Agency staff working in the ECRB working groups.</w:t>
      </w:r>
    </w:p>
    <w:p w14:paraId="7D4A8F04" w14:textId="0EE13F7C" w:rsidR="007C12F6" w:rsidRPr="009E1B38" w:rsidRDefault="001D253B" w:rsidP="001D253B">
      <w:pPr>
        <w:pStyle w:val="Balk2"/>
        <w:ind w:left="142"/>
        <w:jc w:val="left"/>
        <w:rPr>
          <w:rFonts w:cs="Times New Roman"/>
        </w:rPr>
      </w:pPr>
      <w:bookmarkStart w:id="356" w:name="_Toc113615408"/>
      <w:r w:rsidRPr="009E1B38">
        <w:rPr>
          <w:rFonts w:cs="Times New Roman"/>
        </w:rPr>
        <w:lastRenderedPageBreak/>
        <w:t xml:space="preserve">12.2. </w:t>
      </w:r>
      <w:r w:rsidR="006757C0" w:rsidRPr="009E1B38">
        <w:rPr>
          <w:rFonts w:cs="Times New Roman"/>
        </w:rPr>
        <w:t>Bilateral Relations</w:t>
      </w:r>
      <w:bookmarkEnd w:id="356"/>
    </w:p>
    <w:p w14:paraId="0F40EA00" w14:textId="2348BC98" w:rsidR="003E056B" w:rsidRPr="009E1B38" w:rsidRDefault="003E056B" w:rsidP="003E056B">
      <w:pPr>
        <w:rPr>
          <w:rFonts w:ascii="Times New Roman" w:hAnsi="Times New Roman"/>
        </w:rPr>
      </w:pPr>
      <w:r w:rsidRPr="009E1B38">
        <w:rPr>
          <w:rFonts w:ascii="Times New Roman" w:hAnsi="Times New Roman"/>
        </w:rPr>
        <w:t xml:space="preserve">Online </w:t>
      </w:r>
      <w:r w:rsidR="0082470D" w:rsidRPr="009E1B38">
        <w:rPr>
          <w:rFonts w:ascii="Times New Roman" w:hAnsi="Times New Roman"/>
        </w:rPr>
        <w:t>Türkiye</w:t>
      </w:r>
      <w:r w:rsidRPr="009E1B38">
        <w:rPr>
          <w:rFonts w:ascii="Times New Roman" w:hAnsi="Times New Roman"/>
        </w:rPr>
        <w:t>-Japan Energy Workshop was held on March 9-10, 2021. The said workshop was attended by the experts of the Institution.</w:t>
      </w:r>
    </w:p>
    <w:p w14:paraId="7D4A8F06" w14:textId="684D5278" w:rsidR="007C12F6" w:rsidRPr="009E1B38" w:rsidRDefault="003E056B" w:rsidP="003E056B">
      <w:pPr>
        <w:rPr>
          <w:rFonts w:ascii="Times New Roman" w:hAnsi="Times New Roman"/>
        </w:rPr>
      </w:pPr>
      <w:r w:rsidRPr="009E1B38">
        <w:rPr>
          <w:rFonts w:ascii="Times New Roman" w:hAnsi="Times New Roman"/>
        </w:rPr>
        <w:t xml:space="preserve">The delegation headed by Marko Bislimoski, President of the North Macedonia Energy and Water Regulatory Authority, was accepted by our President on March 18, 2021. At the meeting, presentations were made to the delegation, which came to our country to benefit from </w:t>
      </w:r>
      <w:r w:rsidR="0082470D" w:rsidRPr="009E1B38">
        <w:rPr>
          <w:rFonts w:ascii="Times New Roman" w:hAnsi="Times New Roman"/>
        </w:rPr>
        <w:t>Türkiye</w:t>
      </w:r>
      <w:r w:rsidRPr="009E1B38">
        <w:rPr>
          <w:rFonts w:ascii="Times New Roman" w:hAnsi="Times New Roman"/>
        </w:rPr>
        <w:t>'s experience in natural gas distribution, on the Turkish natural gas market distribution tender processes, consumer services and natural gas tariffs.</w:t>
      </w:r>
    </w:p>
    <w:p w14:paraId="7D4A8F07" w14:textId="66525649" w:rsidR="007C12F6" w:rsidRPr="009E1B38" w:rsidRDefault="00984E51" w:rsidP="007C12F6">
      <w:pPr>
        <w:spacing w:after="150" w:line="240" w:lineRule="auto"/>
        <w:rPr>
          <w:rFonts w:ascii="Times New Roman" w:hAnsi="Times New Roman"/>
        </w:rPr>
      </w:pPr>
      <w:r w:rsidRPr="009E1B38">
        <w:rPr>
          <w:rFonts w:ascii="Times New Roman" w:hAnsi="Times New Roman"/>
        </w:rPr>
        <w:t>On April 19, 2021, our President of the Institution received David Tvalabeishvili, Deputy Minister of Economy and Sustainable Development of Georgia, Davit Narmania, President of the Georgian Energy and Water Services Regulatory Authority, and Irina Milorava, General Manager of the Georgian Energy Exchange, and the accompanying delegation. Presentations were made to the delegation on the general structure of the Turkish electricity market, organized wholesale markets and the last resource supply tariffs.</w:t>
      </w:r>
    </w:p>
    <w:p w14:paraId="3349CBA1" w14:textId="77777777" w:rsidR="00C201BD" w:rsidRPr="009E1B38" w:rsidRDefault="00C201BD" w:rsidP="00C201BD">
      <w:pPr>
        <w:rPr>
          <w:rFonts w:ascii="Times New Roman" w:hAnsi="Times New Roman"/>
        </w:rPr>
      </w:pPr>
      <w:r w:rsidRPr="009E1B38">
        <w:rPr>
          <w:rFonts w:ascii="Times New Roman" w:hAnsi="Times New Roman"/>
        </w:rPr>
        <w:t>Uzbekistan Deputy Minister of Energy Narmatov and the accompanying delegation visited the Authority on 7 July 2021. At the meetings held within this scope, the Uzbek delegation was informed about the operation of the Turkish natural gas market and the share of the Authority in this operation.</w:t>
      </w:r>
    </w:p>
    <w:p w14:paraId="7D4A8F09" w14:textId="01FCBEF7" w:rsidR="007C12F6" w:rsidRPr="009E1B38" w:rsidRDefault="00C201BD" w:rsidP="00C201BD">
      <w:pPr>
        <w:rPr>
          <w:rFonts w:ascii="Times New Roman" w:hAnsi="Times New Roman"/>
        </w:rPr>
      </w:pPr>
      <w:r w:rsidRPr="009E1B38">
        <w:rPr>
          <w:rFonts w:ascii="Times New Roman" w:hAnsi="Times New Roman"/>
        </w:rPr>
        <w:t>A delegation consisting of officials headed by Somali Energy Minister Hassan Abdi and Somalia's Ambassador to Ankara Jama Abdullahi visited the Institution on 31 August 2021. Within the scope of the said visit, a presentation was made to the Somali delegation about the basic principles of regulatory institutions, the organizational structure of the Authority and the energy market of our country.</w:t>
      </w:r>
    </w:p>
    <w:p w14:paraId="7D4A8F0A" w14:textId="3413D5A2" w:rsidR="007C12F6" w:rsidRPr="009E1B38" w:rsidRDefault="00CD0BBD" w:rsidP="00B36621">
      <w:pPr>
        <w:rPr>
          <w:rFonts w:ascii="Times New Roman" w:hAnsi="Times New Roman"/>
        </w:rPr>
      </w:pPr>
      <w:r w:rsidRPr="009E1B38">
        <w:rPr>
          <w:rFonts w:ascii="Times New Roman" w:hAnsi="Times New Roman"/>
        </w:rPr>
        <w:t xml:space="preserve">The first meeting of the </w:t>
      </w:r>
      <w:r w:rsidR="0082470D" w:rsidRPr="009E1B38">
        <w:rPr>
          <w:rFonts w:ascii="Times New Roman" w:hAnsi="Times New Roman"/>
        </w:rPr>
        <w:t>Türkiye</w:t>
      </w:r>
      <w:r w:rsidRPr="009E1B38">
        <w:rPr>
          <w:rFonts w:ascii="Times New Roman" w:hAnsi="Times New Roman"/>
        </w:rPr>
        <w:t>-Azerbaijan Energy Forum, established under the coordination of the Ministry of Energy and Natural Resources, was held in Baku on 21-22 December. The staff of the Authority participated in the meetings of the Regulation Working Group and the Electricity Market, Transmission and Distribution Working Group, which were co-chaired by the representatives of the Authority, among the working groups formed within the scope of the Forum, and presentations were made.</w:t>
      </w:r>
    </w:p>
    <w:p w14:paraId="7D4A8F0B" w14:textId="201C2F63" w:rsidR="00056EF5" w:rsidRPr="009E1B38" w:rsidRDefault="001D253B" w:rsidP="001D253B">
      <w:pPr>
        <w:pStyle w:val="Balk2"/>
        <w:ind w:left="142"/>
        <w:rPr>
          <w:rFonts w:cs="Times New Roman"/>
        </w:rPr>
      </w:pPr>
      <w:bookmarkStart w:id="357" w:name="_Toc113615409"/>
      <w:r w:rsidRPr="009E1B38">
        <w:rPr>
          <w:rFonts w:cs="Times New Roman"/>
        </w:rPr>
        <w:t xml:space="preserve">12.3. </w:t>
      </w:r>
      <w:r w:rsidR="00B11DE6" w:rsidRPr="009E1B38">
        <w:rPr>
          <w:rFonts w:cs="Times New Roman"/>
          <w:color w:val="000000" w:themeColor="text1"/>
        </w:rPr>
        <w:t>Activities within the Scope of Alignment with the EU Acquis</w:t>
      </w:r>
      <w:bookmarkEnd w:id="357"/>
    </w:p>
    <w:p w14:paraId="77544221" w14:textId="6909E514" w:rsidR="00B11DE6" w:rsidRPr="009E1B38" w:rsidRDefault="00B11DE6" w:rsidP="003C3FA1">
      <w:pPr>
        <w:spacing w:before="120" w:after="120"/>
        <w:rPr>
          <w:rFonts w:ascii="Times New Roman" w:hAnsi="Times New Roman"/>
        </w:rPr>
      </w:pPr>
      <w:r w:rsidRPr="009E1B38">
        <w:rPr>
          <w:rFonts w:ascii="Times New Roman" w:hAnsi="Times New Roman"/>
        </w:rPr>
        <w:t>European Union (EU) pre-accession instrument (IPA) 2013 conducted by the Ministry of energy and Natural Resources and the scope of programming and was launched on 18 September 2018, and are one of the main beneficiaries of the agency, “</w:t>
      </w:r>
      <w:r w:rsidR="0082470D" w:rsidRPr="009E1B38">
        <w:rPr>
          <w:rFonts w:ascii="Times New Roman" w:hAnsi="Times New Roman"/>
        </w:rPr>
        <w:t>Türkiye</w:t>
      </w:r>
      <w:r w:rsidRPr="009E1B38">
        <w:rPr>
          <w:rFonts w:ascii="Times New Roman" w:hAnsi="Times New Roman"/>
        </w:rPr>
        <w:t>'s energy sector Phase-2 Project” has been completed as of the date of May 26, 2021.</w:t>
      </w:r>
    </w:p>
    <w:p w14:paraId="7D4A8F0D" w14:textId="41F53915" w:rsidR="003C3FA1" w:rsidRPr="009E1B38" w:rsidRDefault="003E58D8" w:rsidP="003C3FA1">
      <w:pPr>
        <w:spacing w:before="120" w:after="120"/>
        <w:rPr>
          <w:rFonts w:ascii="Times New Roman" w:hAnsi="Times New Roman"/>
        </w:rPr>
      </w:pPr>
      <w:r w:rsidRPr="009E1B38">
        <w:rPr>
          <w:rFonts w:ascii="Times New Roman" w:hAnsi="Times New Roman"/>
        </w:rPr>
        <w:t>The "Performance Based Tariff Regulation" project, developed by our Authority within the scope of İPA 2015 programming, started with the opening meeting held on April 24, 2019 and the project is being successfully continued.</w:t>
      </w:r>
    </w:p>
    <w:p w14:paraId="7D4A8F0E" w14:textId="7159405E" w:rsidR="003C3FA1" w:rsidRPr="009E1B38" w:rsidRDefault="00DA0D56" w:rsidP="003C3FA1">
      <w:pPr>
        <w:spacing w:before="120" w:after="120"/>
        <w:rPr>
          <w:rFonts w:ascii="Times New Roman" w:hAnsi="Times New Roman"/>
        </w:rPr>
      </w:pPr>
      <w:r w:rsidRPr="009E1B38">
        <w:rPr>
          <w:rFonts w:ascii="Times New Roman" w:hAnsi="Times New Roman"/>
        </w:rPr>
        <w:t xml:space="preserve">Contributions were made to the 2021 Progress Report on </w:t>
      </w:r>
      <w:r w:rsidR="0082470D" w:rsidRPr="009E1B38">
        <w:rPr>
          <w:rFonts w:ascii="Times New Roman" w:hAnsi="Times New Roman"/>
        </w:rPr>
        <w:t>Türkiye</w:t>
      </w:r>
      <w:r w:rsidRPr="009E1B38">
        <w:rPr>
          <w:rFonts w:ascii="Times New Roman" w:hAnsi="Times New Roman"/>
        </w:rPr>
        <w:t xml:space="preserve"> prepared by the European Commission assessing the developments recorded by our country towards EU accession.</w:t>
      </w:r>
    </w:p>
    <w:p w14:paraId="7D4A8F0F" w14:textId="3BE708C4" w:rsidR="003C3FA1" w:rsidRPr="009E1B38" w:rsidRDefault="00DA0D56" w:rsidP="003C3FA1">
      <w:pPr>
        <w:spacing w:before="120" w:after="120"/>
        <w:rPr>
          <w:rFonts w:ascii="Times New Roman" w:hAnsi="Times New Roman"/>
        </w:rPr>
      </w:pPr>
      <w:r w:rsidRPr="009E1B38">
        <w:rPr>
          <w:rFonts w:ascii="Times New Roman" w:hAnsi="Times New Roman"/>
        </w:rPr>
        <w:t xml:space="preserve">Information notes were prepared regarding the measures in the energy markets within the scope of the preparations for 2022-2024 of the Pre-Accession Economic Reform Program (ERP), which is prepared annually and sent to the European Commission under the coordination of the Presidency Strategy and Budget Directorate within the framework of the status of a candidate country for full membership to the EU. </w:t>
      </w:r>
    </w:p>
    <w:p w14:paraId="7D4A8F10" w14:textId="434F8BFA" w:rsidR="003C3FA1" w:rsidRPr="009E1B38" w:rsidRDefault="00DA0D56" w:rsidP="003C3FA1">
      <w:pPr>
        <w:spacing w:before="120" w:after="120"/>
        <w:rPr>
          <w:rFonts w:ascii="Times New Roman" w:hAnsi="Times New Roman"/>
        </w:rPr>
      </w:pPr>
      <w:r w:rsidRPr="009E1B38">
        <w:rPr>
          <w:rFonts w:ascii="Times New Roman" w:hAnsi="Times New Roman"/>
        </w:rPr>
        <w:t>The No. 6 Transport, Environment, Energy and Trans-European Networks subcommittee meeting, which is scheduled to be held on April 20-22, 2021, hosted by our country, was held online due to pandemic measures. Presentations on electricity and natural gas markets were made at the meeting by the experts of the institution.</w:t>
      </w:r>
    </w:p>
    <w:p w14:paraId="7D4A8F11" w14:textId="6EB07931" w:rsidR="003C3FA1" w:rsidRPr="009E1B38" w:rsidRDefault="00DA0D56" w:rsidP="002D7BD5">
      <w:pPr>
        <w:spacing w:before="120" w:after="120"/>
        <w:rPr>
          <w:rFonts w:ascii="Times New Roman" w:hAnsi="Times New Roman"/>
        </w:rPr>
      </w:pPr>
      <w:r w:rsidRPr="009E1B38">
        <w:rPr>
          <w:rFonts w:ascii="Times New Roman" w:hAnsi="Times New Roman"/>
        </w:rPr>
        <w:t>In addition, studies on changes and innovations in the EU acquis were followed and reported.</w:t>
      </w:r>
    </w:p>
    <w:p w14:paraId="7D4A8F12" w14:textId="3FBDCCBD" w:rsidR="003F6883" w:rsidRPr="009E1B38" w:rsidRDefault="001D253B" w:rsidP="00E4521D">
      <w:pPr>
        <w:pStyle w:val="Balk2"/>
        <w:ind w:left="142"/>
        <w:jc w:val="left"/>
        <w:rPr>
          <w:rFonts w:cs="Times New Roman"/>
        </w:rPr>
      </w:pPr>
      <w:bookmarkStart w:id="358" w:name="_Toc113615410"/>
      <w:r w:rsidRPr="009E1B38">
        <w:rPr>
          <w:rFonts w:cs="Times New Roman"/>
        </w:rPr>
        <w:lastRenderedPageBreak/>
        <w:t>12.4</w:t>
      </w:r>
      <w:r w:rsidR="00DA0D56" w:rsidRPr="009E1B38">
        <w:rPr>
          <w:rFonts w:cs="Times New Roman"/>
        </w:rPr>
        <w:t xml:space="preserve">. </w:t>
      </w:r>
      <w:r w:rsidR="00DA0D56" w:rsidRPr="009E1B38">
        <w:rPr>
          <w:rFonts w:cs="Times New Roman"/>
          <w:color w:val="000000" w:themeColor="text1"/>
        </w:rPr>
        <w:t>The Studies in the Areas Falling within the Organization’s Mandate in Which Our Country is a Part of it or Have Relations with</w:t>
      </w:r>
      <w:bookmarkEnd w:id="358"/>
    </w:p>
    <w:p w14:paraId="7D4A8F13" w14:textId="382C20D1" w:rsidR="003C3FA1" w:rsidRPr="009E1B38" w:rsidRDefault="008A4AF6" w:rsidP="003C3FA1">
      <w:pPr>
        <w:spacing w:before="120" w:after="120"/>
        <w:rPr>
          <w:rFonts w:ascii="Times New Roman" w:hAnsi="Times New Roman"/>
        </w:rPr>
      </w:pPr>
      <w:r w:rsidRPr="009E1B38">
        <w:rPr>
          <w:rFonts w:ascii="Times New Roman" w:hAnsi="Times New Roman"/>
        </w:rPr>
        <w:t>In the committees, working groups, task forces etc. under BSEC, OECD Economic Regulators Network (OECD-NER), IEA, World Trade Organization, Economic Cooperation Organization (ECO), EMRA staff is assigned in order to represent the Authority and the activities of the mentioned organizations are followed.</w:t>
      </w:r>
    </w:p>
    <w:p w14:paraId="4BDAB8A9" w14:textId="1A0A6928" w:rsidR="008A4AF6" w:rsidRPr="009E1B38" w:rsidRDefault="008A4AF6" w:rsidP="008A4AF6">
      <w:pPr>
        <w:spacing w:before="120" w:after="120"/>
        <w:rPr>
          <w:rFonts w:ascii="Times New Roman" w:hAnsi="Times New Roman"/>
        </w:rPr>
      </w:pPr>
      <w:r w:rsidRPr="009E1B38">
        <w:rPr>
          <w:rFonts w:ascii="Times New Roman" w:hAnsi="Times New Roman"/>
        </w:rPr>
        <w:t xml:space="preserve">The reports and information notes submitted by </w:t>
      </w:r>
      <w:r w:rsidR="0082470D" w:rsidRPr="009E1B38">
        <w:rPr>
          <w:rFonts w:ascii="Times New Roman" w:hAnsi="Times New Roman"/>
        </w:rPr>
        <w:t>Türkiye</w:t>
      </w:r>
      <w:r w:rsidRPr="009E1B38">
        <w:rPr>
          <w:rFonts w:ascii="Times New Roman" w:hAnsi="Times New Roman"/>
        </w:rPr>
        <w:t>'s Permanent Representation to the OECD were evaluated and shared with the relevant departments.</w:t>
      </w:r>
    </w:p>
    <w:p w14:paraId="7D4A8F15" w14:textId="34A31D8E" w:rsidR="003C3FA1" w:rsidRPr="009E1B38" w:rsidRDefault="008A4AF6" w:rsidP="008A4AF6">
      <w:pPr>
        <w:spacing w:before="120" w:after="120"/>
        <w:rPr>
          <w:rFonts w:ascii="Times New Roman" w:hAnsi="Times New Roman"/>
        </w:rPr>
      </w:pPr>
      <w:r w:rsidRPr="009E1B38">
        <w:rPr>
          <w:rFonts w:ascii="Times New Roman" w:hAnsi="Times New Roman"/>
        </w:rPr>
        <w:t>The energy working group meeting of the BSEC was held online on December 2, 2021, and the meeting was attended by our experts.</w:t>
      </w:r>
    </w:p>
    <w:p w14:paraId="7D4A8F16" w14:textId="16B6113D" w:rsidR="003C3FA1" w:rsidRPr="009E1B38" w:rsidRDefault="00E4521D" w:rsidP="00E4521D">
      <w:pPr>
        <w:pStyle w:val="Balk2"/>
        <w:ind w:left="142"/>
        <w:rPr>
          <w:rFonts w:cs="Times New Roman"/>
          <w:color w:val="000000" w:themeColor="text1"/>
        </w:rPr>
      </w:pPr>
      <w:bookmarkStart w:id="359" w:name="_Toc113615411"/>
      <w:r w:rsidRPr="009E1B38">
        <w:rPr>
          <w:rFonts w:cs="Times New Roman"/>
        </w:rPr>
        <w:t xml:space="preserve">12.5. </w:t>
      </w:r>
      <w:r w:rsidR="008A4AF6" w:rsidRPr="009E1B38">
        <w:rPr>
          <w:rFonts w:cs="Times New Roman"/>
          <w:color w:val="000000" w:themeColor="text1"/>
        </w:rPr>
        <w:t>Monitoring and Reporting of Developments in International Energy Markets</w:t>
      </w:r>
      <w:bookmarkEnd w:id="359"/>
    </w:p>
    <w:p w14:paraId="6DEBA2FF" w14:textId="029551C8" w:rsidR="003F02B8" w:rsidRPr="009E1B38" w:rsidRDefault="003C3FA1" w:rsidP="003F02B8">
      <w:pPr>
        <w:rPr>
          <w:rFonts w:ascii="Times New Roman" w:hAnsi="Times New Roman"/>
        </w:rPr>
      </w:pPr>
      <w:r w:rsidRPr="009E1B38">
        <w:rPr>
          <w:rFonts w:ascii="Times New Roman" w:hAnsi="Times New Roman"/>
        </w:rPr>
        <w:t xml:space="preserve"> </w:t>
      </w:r>
      <w:r w:rsidR="003F02B8" w:rsidRPr="009E1B38">
        <w:rPr>
          <w:rFonts w:ascii="Times New Roman" w:hAnsi="Times New Roman"/>
        </w:rPr>
        <w:t>Beginning in 2015, the preparation of the “World Energy Agenda” bulletins, which compiled the important news in the foreign press and the reports deemed important by international organizations, continued in 2021 as well. 11 foreign press releases were prepared in 2021. While compiling the news, care was taken to make thematic classification. The news compiled during the year are further classified according to their subjects. On the other hand, reports published by international organizations and submitted to our Authority and international developments conveyed by the Ministry of Foreign Affairs were shared with the relevant units.</w:t>
      </w:r>
    </w:p>
    <w:p w14:paraId="7D4A8F18" w14:textId="1874C1FB" w:rsidR="003C3FA1" w:rsidRPr="009E1B38" w:rsidRDefault="003F02B8" w:rsidP="003C3FA1">
      <w:pPr>
        <w:spacing w:before="120" w:after="120"/>
        <w:rPr>
          <w:rFonts w:ascii="Times New Roman" w:hAnsi="Times New Roman"/>
        </w:rPr>
      </w:pPr>
      <w:r w:rsidRPr="009E1B38">
        <w:rPr>
          <w:rFonts w:ascii="Times New Roman" w:hAnsi="Times New Roman"/>
        </w:rPr>
        <w:t>On the other hand, in 2021;</w:t>
      </w:r>
    </w:p>
    <w:p w14:paraId="55D12328" w14:textId="12E2BF19" w:rsidR="003F02B8" w:rsidRPr="009E1B38" w:rsidRDefault="003F02B8" w:rsidP="003C5E4D">
      <w:pPr>
        <w:numPr>
          <w:ilvl w:val="0"/>
          <w:numId w:val="45"/>
        </w:numPr>
        <w:spacing w:before="120" w:after="120"/>
        <w:contextualSpacing/>
        <w:rPr>
          <w:rFonts w:ascii="Times New Roman" w:hAnsi="Times New Roman"/>
        </w:rPr>
      </w:pPr>
      <w:r w:rsidRPr="009E1B38">
        <w:rPr>
          <w:rFonts w:ascii="Times New Roman" w:hAnsi="Times New Roman"/>
        </w:rPr>
        <w:t xml:space="preserve"> Studies on the reports prepared by the Union for the Mediterranean Gas Platform on various subjects,</w:t>
      </w:r>
    </w:p>
    <w:p w14:paraId="533E9BF5" w14:textId="1F03EA40" w:rsidR="003F02B8" w:rsidRPr="009E1B38" w:rsidRDefault="003F02B8" w:rsidP="003C5E4D">
      <w:pPr>
        <w:numPr>
          <w:ilvl w:val="0"/>
          <w:numId w:val="45"/>
        </w:numPr>
        <w:spacing w:before="120" w:after="120"/>
        <w:contextualSpacing/>
        <w:rPr>
          <w:rFonts w:ascii="Times New Roman" w:hAnsi="Times New Roman"/>
        </w:rPr>
      </w:pPr>
      <w:r w:rsidRPr="009E1B38">
        <w:rPr>
          <w:rFonts w:ascii="Times New Roman" w:hAnsi="Times New Roman"/>
        </w:rPr>
        <w:t>Studies on “Paperless Trade”, which is one of the topics discussed in the ongoing e-commerce negotiations within the WTO,</w:t>
      </w:r>
    </w:p>
    <w:p w14:paraId="675BC513" w14:textId="300F183C" w:rsidR="003F02B8" w:rsidRPr="009E1B38" w:rsidRDefault="003F02B8" w:rsidP="003C5E4D">
      <w:pPr>
        <w:numPr>
          <w:ilvl w:val="0"/>
          <w:numId w:val="45"/>
        </w:numPr>
        <w:spacing w:before="120" w:after="120"/>
        <w:contextualSpacing/>
        <w:rPr>
          <w:rFonts w:ascii="Times New Roman" w:hAnsi="Times New Roman"/>
        </w:rPr>
      </w:pPr>
      <w:r w:rsidRPr="009E1B38">
        <w:rPr>
          <w:rFonts w:ascii="Times New Roman" w:hAnsi="Times New Roman"/>
        </w:rPr>
        <w:t xml:space="preserve">Studies on the project proposal titled "Evaluation of the Establishment of Electric Vehicle Charging Infrastructure to Support the Dissemination of Electric Transportation Technologies in </w:t>
      </w:r>
      <w:r w:rsidR="0082470D" w:rsidRPr="009E1B38">
        <w:rPr>
          <w:rFonts w:ascii="Times New Roman" w:hAnsi="Times New Roman"/>
        </w:rPr>
        <w:t>Türkiye</w:t>
      </w:r>
      <w:r w:rsidRPr="009E1B38">
        <w:rPr>
          <w:rFonts w:ascii="Times New Roman" w:hAnsi="Times New Roman"/>
        </w:rPr>
        <w:t>" prepared by the World Bank,</w:t>
      </w:r>
    </w:p>
    <w:p w14:paraId="03EAFCD8" w14:textId="22BFD27B" w:rsidR="003F02B8" w:rsidRPr="009E1B38" w:rsidRDefault="003F02B8" w:rsidP="003C5E4D">
      <w:pPr>
        <w:numPr>
          <w:ilvl w:val="0"/>
          <w:numId w:val="45"/>
        </w:numPr>
        <w:spacing w:before="120" w:after="120"/>
        <w:contextualSpacing/>
        <w:rPr>
          <w:rFonts w:ascii="Times New Roman" w:hAnsi="Times New Roman"/>
        </w:rPr>
      </w:pPr>
      <w:r w:rsidRPr="009E1B38">
        <w:rPr>
          <w:rFonts w:ascii="Times New Roman" w:hAnsi="Times New Roman"/>
        </w:rPr>
        <w:t>Studies carried out by the World Bank and the Ministry of Energy and Natural Resources on our country's energy transformation and climate change targets and clean energy financing,</w:t>
      </w:r>
    </w:p>
    <w:p w14:paraId="68F29ACC" w14:textId="0B562ED7" w:rsidR="003F02B8" w:rsidRPr="009E1B38" w:rsidRDefault="003F02B8" w:rsidP="003C5E4D">
      <w:pPr>
        <w:numPr>
          <w:ilvl w:val="0"/>
          <w:numId w:val="45"/>
        </w:numPr>
        <w:spacing w:before="120" w:after="120"/>
        <w:contextualSpacing/>
        <w:rPr>
          <w:rFonts w:ascii="Times New Roman" w:hAnsi="Times New Roman"/>
        </w:rPr>
      </w:pPr>
      <w:r w:rsidRPr="009E1B38">
        <w:rPr>
          <w:rFonts w:ascii="Times New Roman" w:hAnsi="Times New Roman"/>
        </w:rPr>
        <w:t>Studies on the draft of the ECO Energy Cooperation Strategy Document,</w:t>
      </w:r>
    </w:p>
    <w:p w14:paraId="3E296405" w14:textId="7EA03B2B" w:rsidR="003F02B8" w:rsidRPr="009E1B38" w:rsidRDefault="003F02B8" w:rsidP="003C5E4D">
      <w:pPr>
        <w:numPr>
          <w:ilvl w:val="0"/>
          <w:numId w:val="45"/>
        </w:numPr>
        <w:spacing w:before="120" w:after="120"/>
        <w:contextualSpacing/>
        <w:rPr>
          <w:rFonts w:ascii="Times New Roman" w:hAnsi="Times New Roman"/>
        </w:rPr>
      </w:pPr>
      <w:r w:rsidRPr="009E1B38">
        <w:rPr>
          <w:rFonts w:ascii="Times New Roman" w:hAnsi="Times New Roman"/>
        </w:rPr>
        <w:t>Preparatory work for the "Energy Transformation" discussion paper on the agenda of the G20 2022 Indonesian Presidency,</w:t>
      </w:r>
    </w:p>
    <w:p w14:paraId="54EEDA79" w14:textId="0E5D477A" w:rsidR="003F02B8" w:rsidRPr="009E1B38" w:rsidRDefault="003F02B8" w:rsidP="003C5E4D">
      <w:pPr>
        <w:numPr>
          <w:ilvl w:val="0"/>
          <w:numId w:val="45"/>
        </w:numPr>
        <w:spacing w:before="120" w:after="120"/>
        <w:contextualSpacing/>
        <w:rPr>
          <w:rFonts w:ascii="Times New Roman" w:hAnsi="Times New Roman"/>
        </w:rPr>
      </w:pPr>
      <w:r w:rsidRPr="009E1B38">
        <w:rPr>
          <w:rFonts w:ascii="Times New Roman" w:hAnsi="Times New Roman"/>
        </w:rPr>
        <w:t>Studies on the 2021-2027 Multi-Year Work Plan prepared by the Clean Hydrogen Partnership secretariat,</w:t>
      </w:r>
    </w:p>
    <w:p w14:paraId="6A4038CF" w14:textId="2D95636D" w:rsidR="003F02B8" w:rsidRPr="009E1B38" w:rsidRDefault="003F02B8" w:rsidP="003C5E4D">
      <w:pPr>
        <w:numPr>
          <w:ilvl w:val="0"/>
          <w:numId w:val="45"/>
        </w:numPr>
        <w:spacing w:before="120" w:after="120"/>
        <w:contextualSpacing/>
        <w:rPr>
          <w:rFonts w:ascii="Times New Roman" w:hAnsi="Times New Roman"/>
        </w:rPr>
      </w:pPr>
      <w:r w:rsidRPr="009E1B38">
        <w:rPr>
          <w:rFonts w:ascii="Times New Roman" w:hAnsi="Times New Roman"/>
        </w:rPr>
        <w:t>Studies on the preparations for the International Renewable Energy Agency (IRENA) 12th General Assembly Meeting,</w:t>
      </w:r>
    </w:p>
    <w:p w14:paraId="4F9195E8" w14:textId="3B724418" w:rsidR="003F02B8" w:rsidRPr="009E1B38" w:rsidRDefault="003F02B8" w:rsidP="003C5E4D">
      <w:pPr>
        <w:numPr>
          <w:ilvl w:val="0"/>
          <w:numId w:val="45"/>
        </w:numPr>
        <w:spacing w:before="120" w:after="120"/>
        <w:contextualSpacing/>
        <w:rPr>
          <w:rFonts w:ascii="Times New Roman" w:hAnsi="Times New Roman"/>
        </w:rPr>
      </w:pPr>
      <w:r w:rsidRPr="009E1B38">
        <w:rPr>
          <w:rFonts w:ascii="Times New Roman" w:hAnsi="Times New Roman"/>
        </w:rPr>
        <w:t>Studies regarding the participation of our country in the "Global Methane Commitment Initiative",</w:t>
      </w:r>
    </w:p>
    <w:p w14:paraId="126DF8E0" w14:textId="78AFD076" w:rsidR="003F02B8" w:rsidRPr="009E1B38" w:rsidRDefault="003F02B8" w:rsidP="003C5E4D">
      <w:pPr>
        <w:numPr>
          <w:ilvl w:val="0"/>
          <w:numId w:val="45"/>
        </w:numPr>
        <w:autoSpaceDE w:val="0"/>
        <w:autoSpaceDN w:val="0"/>
        <w:adjustRightInd w:val="0"/>
        <w:spacing w:before="120" w:after="120" w:line="240" w:lineRule="auto"/>
        <w:contextualSpacing/>
        <w:jc w:val="left"/>
        <w:rPr>
          <w:rFonts w:ascii="Times New Roman" w:hAnsi="Times New Roman"/>
        </w:rPr>
      </w:pPr>
      <w:r w:rsidRPr="009E1B38">
        <w:rPr>
          <w:rFonts w:ascii="Times New Roman" w:hAnsi="Times New Roman"/>
        </w:rPr>
        <w:t xml:space="preserve">VII. The Energy Working Group (ECG) Meeting, which is envisaged to be held within the scope of the </w:t>
      </w:r>
      <w:r w:rsidR="0082470D" w:rsidRPr="009E1B38">
        <w:rPr>
          <w:rFonts w:ascii="Times New Roman" w:hAnsi="Times New Roman"/>
        </w:rPr>
        <w:t>Türkiye</w:t>
      </w:r>
      <w:r w:rsidRPr="009E1B38">
        <w:rPr>
          <w:rFonts w:ascii="Times New Roman" w:hAnsi="Times New Roman"/>
        </w:rPr>
        <w:t>-Pakistan High Level Strategic Cooperation Council (YDSK) Meeting,</w:t>
      </w:r>
    </w:p>
    <w:p w14:paraId="1FF152BD" w14:textId="069EA210" w:rsidR="003F02B8" w:rsidRPr="009E1B38" w:rsidRDefault="003F02B8" w:rsidP="003C5E4D">
      <w:pPr>
        <w:numPr>
          <w:ilvl w:val="0"/>
          <w:numId w:val="45"/>
        </w:numPr>
        <w:autoSpaceDE w:val="0"/>
        <w:autoSpaceDN w:val="0"/>
        <w:adjustRightInd w:val="0"/>
        <w:spacing w:before="120" w:after="120" w:line="240" w:lineRule="auto"/>
        <w:contextualSpacing/>
        <w:jc w:val="left"/>
        <w:rPr>
          <w:rFonts w:ascii="Times New Roman" w:hAnsi="Times New Roman"/>
        </w:rPr>
      </w:pPr>
      <w:r w:rsidRPr="009E1B38">
        <w:rPr>
          <w:rFonts w:ascii="Times New Roman" w:hAnsi="Times New Roman"/>
        </w:rPr>
        <w:t>Turkish-German Energy Partnership efforts,</w:t>
      </w:r>
    </w:p>
    <w:p w14:paraId="07FFDA54" w14:textId="40ACD404" w:rsidR="003F02B8" w:rsidRPr="009E1B38" w:rsidRDefault="0082470D" w:rsidP="003C5E4D">
      <w:pPr>
        <w:numPr>
          <w:ilvl w:val="0"/>
          <w:numId w:val="45"/>
        </w:numPr>
        <w:autoSpaceDE w:val="0"/>
        <w:autoSpaceDN w:val="0"/>
        <w:adjustRightInd w:val="0"/>
        <w:spacing w:before="120" w:after="120" w:line="240" w:lineRule="auto"/>
        <w:contextualSpacing/>
        <w:jc w:val="left"/>
        <w:rPr>
          <w:rFonts w:ascii="Times New Roman" w:hAnsi="Times New Roman"/>
        </w:rPr>
      </w:pPr>
      <w:r w:rsidRPr="009E1B38">
        <w:rPr>
          <w:rFonts w:ascii="Times New Roman" w:hAnsi="Times New Roman"/>
        </w:rPr>
        <w:t>Türkiye</w:t>
      </w:r>
      <w:r w:rsidR="003F02B8" w:rsidRPr="009E1B38">
        <w:rPr>
          <w:rFonts w:ascii="Times New Roman" w:hAnsi="Times New Roman"/>
        </w:rPr>
        <w:t>-Argentina Joint Economic Commission IV. Preparatory work for the Term Meeting,</w:t>
      </w:r>
    </w:p>
    <w:p w14:paraId="7D678ECC" w14:textId="781882E0" w:rsidR="003F02B8" w:rsidRPr="009E1B38" w:rsidRDefault="003F02B8" w:rsidP="003C5E4D">
      <w:pPr>
        <w:numPr>
          <w:ilvl w:val="0"/>
          <w:numId w:val="45"/>
        </w:numPr>
        <w:autoSpaceDE w:val="0"/>
        <w:autoSpaceDN w:val="0"/>
        <w:adjustRightInd w:val="0"/>
        <w:spacing w:before="120" w:after="120" w:line="240" w:lineRule="auto"/>
        <w:contextualSpacing/>
        <w:jc w:val="left"/>
        <w:rPr>
          <w:rFonts w:ascii="Times New Roman" w:hAnsi="Times New Roman"/>
        </w:rPr>
      </w:pPr>
      <w:r w:rsidRPr="009E1B38">
        <w:rPr>
          <w:rFonts w:ascii="Times New Roman" w:hAnsi="Times New Roman"/>
        </w:rPr>
        <w:t xml:space="preserve">Studies on the preparation of </w:t>
      </w:r>
      <w:r w:rsidR="0082470D" w:rsidRPr="009E1B38">
        <w:rPr>
          <w:rFonts w:ascii="Times New Roman" w:hAnsi="Times New Roman"/>
        </w:rPr>
        <w:t>Türkiye</w:t>
      </w:r>
      <w:r w:rsidRPr="009E1B38">
        <w:rPr>
          <w:rFonts w:ascii="Times New Roman" w:hAnsi="Times New Roman"/>
        </w:rPr>
        <w:t>'s Intended Statement of National Contribution (NDC) in the context of climate change,</w:t>
      </w:r>
    </w:p>
    <w:p w14:paraId="08DE107D" w14:textId="4430B0EE" w:rsidR="003F02B8" w:rsidRPr="009E1B38" w:rsidRDefault="003F02B8" w:rsidP="003C5E4D">
      <w:pPr>
        <w:numPr>
          <w:ilvl w:val="0"/>
          <w:numId w:val="45"/>
        </w:numPr>
        <w:autoSpaceDE w:val="0"/>
        <w:autoSpaceDN w:val="0"/>
        <w:adjustRightInd w:val="0"/>
        <w:spacing w:before="120" w:after="120" w:line="240" w:lineRule="auto"/>
        <w:contextualSpacing/>
        <w:jc w:val="left"/>
        <w:rPr>
          <w:rFonts w:ascii="Times New Roman" w:hAnsi="Times New Roman"/>
        </w:rPr>
      </w:pPr>
      <w:r w:rsidRPr="009E1B38">
        <w:rPr>
          <w:rFonts w:ascii="Times New Roman" w:hAnsi="Times New Roman"/>
        </w:rPr>
        <w:t xml:space="preserve">Preparations for the </w:t>
      </w:r>
      <w:r w:rsidR="0082470D" w:rsidRPr="009E1B38">
        <w:rPr>
          <w:rFonts w:ascii="Times New Roman" w:hAnsi="Times New Roman"/>
        </w:rPr>
        <w:t>Türkiye</w:t>
      </w:r>
      <w:r w:rsidRPr="009E1B38">
        <w:rPr>
          <w:rFonts w:ascii="Times New Roman" w:hAnsi="Times New Roman"/>
        </w:rPr>
        <w:t>-Russia 17th Term Joint Economic Commission (KEK) meeting,</w:t>
      </w:r>
    </w:p>
    <w:p w14:paraId="7D4A8F28" w14:textId="60B819F3" w:rsidR="003C3FA1" w:rsidRPr="009E1B38" w:rsidRDefault="003F02B8" w:rsidP="003C5E4D">
      <w:pPr>
        <w:numPr>
          <w:ilvl w:val="0"/>
          <w:numId w:val="45"/>
        </w:numPr>
        <w:autoSpaceDE w:val="0"/>
        <w:autoSpaceDN w:val="0"/>
        <w:adjustRightInd w:val="0"/>
        <w:spacing w:before="120" w:after="120" w:line="240" w:lineRule="auto"/>
        <w:contextualSpacing/>
        <w:jc w:val="left"/>
        <w:rPr>
          <w:rFonts w:ascii="Times New Roman" w:hAnsi="Times New Roman"/>
        </w:rPr>
      </w:pPr>
      <w:r w:rsidRPr="009E1B38">
        <w:rPr>
          <w:rFonts w:ascii="Times New Roman" w:hAnsi="Times New Roman"/>
        </w:rPr>
        <w:t>Contribution was made to the studies regarding the inclusion of our country in the Three Seas Initiative, by giving an opinion.</w:t>
      </w:r>
    </w:p>
    <w:p w14:paraId="7D4A8F29" w14:textId="77777777" w:rsidR="006C56FF" w:rsidRPr="009E1B38" w:rsidRDefault="006C56FF" w:rsidP="002D7BD5">
      <w:pPr>
        <w:rPr>
          <w:rFonts w:ascii="Times New Roman" w:hAnsi="Times New Roman"/>
        </w:rPr>
      </w:pPr>
    </w:p>
    <w:p w14:paraId="7D4A8F2A" w14:textId="77777777" w:rsidR="006C56FF" w:rsidRPr="009E1B38" w:rsidRDefault="006C56FF" w:rsidP="002D7BD5">
      <w:pPr>
        <w:rPr>
          <w:rFonts w:ascii="Times New Roman" w:hAnsi="Times New Roman"/>
        </w:rPr>
      </w:pPr>
    </w:p>
    <w:p w14:paraId="7D4A8F2B" w14:textId="77777777" w:rsidR="006C56FF" w:rsidRPr="009E1B38" w:rsidRDefault="006C56FF" w:rsidP="002D7BD5">
      <w:pPr>
        <w:rPr>
          <w:rFonts w:ascii="Times New Roman" w:hAnsi="Times New Roman"/>
        </w:rPr>
      </w:pPr>
    </w:p>
    <w:p w14:paraId="7D4A8F2C" w14:textId="77777777" w:rsidR="006C56FF" w:rsidRPr="009E1B38" w:rsidRDefault="006C56FF" w:rsidP="002D7BD5">
      <w:pPr>
        <w:rPr>
          <w:rFonts w:ascii="Times New Roman" w:hAnsi="Times New Roman"/>
        </w:rPr>
      </w:pPr>
    </w:p>
    <w:p w14:paraId="7D4A8F2D" w14:textId="77777777" w:rsidR="006C56FF" w:rsidRPr="009E1B38" w:rsidRDefault="006C56FF" w:rsidP="002D7BD5">
      <w:pPr>
        <w:rPr>
          <w:rFonts w:ascii="Times New Roman" w:hAnsi="Times New Roman"/>
        </w:rPr>
      </w:pPr>
    </w:p>
    <w:p w14:paraId="7D4A8F2E" w14:textId="77777777" w:rsidR="006C56FF" w:rsidRPr="009E1B38" w:rsidRDefault="006C56FF" w:rsidP="002D7BD5">
      <w:pPr>
        <w:rPr>
          <w:rFonts w:ascii="Times New Roman" w:hAnsi="Times New Roman"/>
        </w:rPr>
      </w:pPr>
    </w:p>
    <w:p w14:paraId="7D4A8F2F" w14:textId="77777777" w:rsidR="006C56FF" w:rsidRPr="009E1B38" w:rsidRDefault="006C56FF" w:rsidP="002D7BD5">
      <w:pPr>
        <w:rPr>
          <w:rFonts w:ascii="Times New Roman" w:hAnsi="Times New Roman"/>
        </w:rPr>
      </w:pPr>
    </w:p>
    <w:p w14:paraId="7D4A8F30" w14:textId="77777777" w:rsidR="006C56FF" w:rsidRPr="009E1B38" w:rsidRDefault="006C56FF" w:rsidP="002D7BD5">
      <w:pPr>
        <w:rPr>
          <w:rFonts w:ascii="Times New Roman" w:hAnsi="Times New Roman"/>
        </w:rPr>
      </w:pPr>
    </w:p>
    <w:p w14:paraId="7D4A8F31" w14:textId="77777777" w:rsidR="006C56FF" w:rsidRPr="009E1B38" w:rsidRDefault="006C56FF" w:rsidP="002D7BD5">
      <w:pPr>
        <w:rPr>
          <w:rFonts w:ascii="Times New Roman" w:hAnsi="Times New Roman"/>
        </w:rPr>
      </w:pPr>
    </w:p>
    <w:p w14:paraId="7D4A8F32" w14:textId="77777777" w:rsidR="006C56FF" w:rsidRPr="009E1B38" w:rsidRDefault="006C56FF" w:rsidP="002D7BD5">
      <w:pPr>
        <w:rPr>
          <w:rFonts w:ascii="Times New Roman" w:hAnsi="Times New Roman"/>
        </w:rPr>
      </w:pPr>
    </w:p>
    <w:p w14:paraId="7D4A8F33" w14:textId="77777777" w:rsidR="006C56FF" w:rsidRPr="009E1B38" w:rsidRDefault="006C56FF" w:rsidP="002D7BD5">
      <w:pPr>
        <w:rPr>
          <w:rFonts w:ascii="Times New Roman" w:hAnsi="Times New Roman"/>
        </w:rPr>
      </w:pPr>
    </w:p>
    <w:p w14:paraId="7D4A8F34" w14:textId="77777777" w:rsidR="006C56FF" w:rsidRPr="009E1B38" w:rsidRDefault="006C56FF" w:rsidP="002D7BD5">
      <w:pPr>
        <w:rPr>
          <w:rFonts w:ascii="Times New Roman" w:hAnsi="Times New Roman"/>
        </w:rPr>
      </w:pPr>
    </w:p>
    <w:p w14:paraId="7D4A8F35" w14:textId="77777777" w:rsidR="006C56FF" w:rsidRPr="009E1B38" w:rsidRDefault="006C56FF" w:rsidP="002D7BD5">
      <w:pPr>
        <w:rPr>
          <w:rFonts w:ascii="Times New Roman" w:hAnsi="Times New Roman"/>
        </w:rPr>
      </w:pPr>
    </w:p>
    <w:p w14:paraId="7D4A8F36" w14:textId="77777777" w:rsidR="006C56FF" w:rsidRPr="009E1B38" w:rsidRDefault="006C56FF" w:rsidP="002D7BD5">
      <w:pPr>
        <w:rPr>
          <w:rFonts w:ascii="Times New Roman" w:hAnsi="Times New Roman"/>
        </w:rPr>
      </w:pPr>
    </w:p>
    <w:p w14:paraId="7D4A8F37" w14:textId="77777777" w:rsidR="006C56FF" w:rsidRPr="009E1B38" w:rsidRDefault="006C56FF" w:rsidP="002D7BD5">
      <w:pPr>
        <w:rPr>
          <w:rFonts w:ascii="Times New Roman" w:hAnsi="Times New Roman"/>
        </w:rPr>
      </w:pPr>
    </w:p>
    <w:p w14:paraId="7D4A8F38" w14:textId="77777777" w:rsidR="006C56FF" w:rsidRPr="009E1B38" w:rsidRDefault="006C56FF" w:rsidP="002D7BD5">
      <w:pPr>
        <w:rPr>
          <w:rFonts w:ascii="Times New Roman" w:hAnsi="Times New Roman"/>
        </w:rPr>
      </w:pPr>
    </w:p>
    <w:p w14:paraId="7D4A8F39" w14:textId="77777777" w:rsidR="006C56FF" w:rsidRPr="009E1B38" w:rsidRDefault="006C56FF" w:rsidP="002D7BD5">
      <w:pPr>
        <w:rPr>
          <w:rFonts w:ascii="Times New Roman" w:hAnsi="Times New Roman"/>
        </w:rPr>
      </w:pPr>
    </w:p>
    <w:p w14:paraId="7D4A8F3A" w14:textId="77777777" w:rsidR="00DF56DD" w:rsidRPr="009E1B38" w:rsidRDefault="00DF56DD" w:rsidP="002D7BD5">
      <w:pPr>
        <w:rPr>
          <w:rFonts w:ascii="Times New Roman" w:hAnsi="Times New Roman"/>
        </w:rPr>
      </w:pPr>
    </w:p>
    <w:p w14:paraId="7D4A8F3B" w14:textId="77777777" w:rsidR="00D730CF" w:rsidRPr="009E1B38" w:rsidRDefault="00D730CF" w:rsidP="002D7BD5">
      <w:pPr>
        <w:rPr>
          <w:rFonts w:ascii="Times New Roman" w:hAnsi="Times New Roman"/>
        </w:rPr>
      </w:pPr>
    </w:p>
    <w:p w14:paraId="7D4A8F3C" w14:textId="77777777" w:rsidR="00D730CF" w:rsidRPr="009E1B38" w:rsidRDefault="00D730CF" w:rsidP="002D7BD5">
      <w:pPr>
        <w:rPr>
          <w:rFonts w:ascii="Times New Roman" w:hAnsi="Times New Roman"/>
        </w:rPr>
      </w:pPr>
    </w:p>
    <w:p w14:paraId="7D4A8F3D" w14:textId="77777777" w:rsidR="00760BA0" w:rsidRPr="009E1B38" w:rsidRDefault="00760BA0" w:rsidP="002D7BD5">
      <w:pPr>
        <w:rPr>
          <w:rFonts w:ascii="Times New Roman" w:hAnsi="Times New Roman"/>
        </w:rPr>
      </w:pPr>
    </w:p>
    <w:p w14:paraId="1606C9F0" w14:textId="53AC3BA3" w:rsidR="000F7977" w:rsidRPr="009E1B38" w:rsidRDefault="000F7977" w:rsidP="000F7977">
      <w:pPr>
        <w:pStyle w:val="Balk1"/>
        <w:rPr>
          <w:rFonts w:cs="Times New Roman"/>
          <w:szCs w:val="24"/>
        </w:rPr>
      </w:pPr>
      <w:bookmarkStart w:id="360" w:name="_Toc77092338"/>
      <w:bookmarkStart w:id="361" w:name="_Toc113615412"/>
      <w:r w:rsidRPr="009E1B38">
        <w:rPr>
          <w:rFonts w:cs="Times New Roman"/>
          <w:szCs w:val="24"/>
        </w:rPr>
        <w:t>13</w:t>
      </w:r>
      <w:r w:rsidR="00704015" w:rsidRPr="009E1B38">
        <w:rPr>
          <w:rFonts w:cs="Times New Roman"/>
          <w:szCs w:val="24"/>
        </w:rPr>
        <w:t>. HUMAN</w:t>
      </w:r>
      <w:r w:rsidRPr="009E1B38">
        <w:rPr>
          <w:rFonts w:cs="Times New Roman"/>
          <w:szCs w:val="24"/>
        </w:rPr>
        <w:t xml:space="preserve"> RESOURCES AND TRAINING ACTIVITIES</w:t>
      </w:r>
      <w:bookmarkEnd w:id="360"/>
      <w:bookmarkEnd w:id="361"/>
    </w:p>
    <w:p w14:paraId="7C0A10FB" w14:textId="0B1E4995" w:rsidR="00CA26B1" w:rsidRPr="009E1B38" w:rsidRDefault="00CA26B1" w:rsidP="00CA26B1">
      <w:pPr>
        <w:pStyle w:val="Balk2"/>
        <w:rPr>
          <w:rFonts w:cs="Times New Roman"/>
          <w:color w:val="000000" w:themeColor="text1"/>
        </w:rPr>
      </w:pPr>
      <w:bookmarkStart w:id="362" w:name="_Toc77092339"/>
      <w:bookmarkStart w:id="363" w:name="_Toc113615413"/>
      <w:r w:rsidRPr="009E1B38">
        <w:rPr>
          <w:rFonts w:cs="Times New Roman"/>
          <w:color w:val="000000" w:themeColor="text1"/>
        </w:rPr>
        <w:t>13.1</w:t>
      </w:r>
      <w:r w:rsidR="00704015" w:rsidRPr="009E1B38">
        <w:rPr>
          <w:rFonts w:cs="Times New Roman"/>
          <w:color w:val="000000" w:themeColor="text1"/>
        </w:rPr>
        <w:t>. Staff</w:t>
      </w:r>
      <w:r w:rsidRPr="009E1B38">
        <w:rPr>
          <w:rFonts w:cs="Times New Roman"/>
          <w:color w:val="000000" w:themeColor="text1"/>
        </w:rPr>
        <w:t xml:space="preserve"> of the Authority</w:t>
      </w:r>
      <w:bookmarkEnd w:id="362"/>
      <w:bookmarkEnd w:id="363"/>
    </w:p>
    <w:p w14:paraId="010D060C" w14:textId="77777777" w:rsidR="00245D5F" w:rsidRPr="009E1B38" w:rsidRDefault="00245D5F" w:rsidP="00245D5F">
      <w:pPr>
        <w:rPr>
          <w:rFonts w:ascii="Times New Roman" w:hAnsi="Times New Roman"/>
        </w:rPr>
      </w:pPr>
      <w:bookmarkStart w:id="364" w:name="_Hlk99033039"/>
      <w:r w:rsidRPr="009E1B38">
        <w:rPr>
          <w:rFonts w:ascii="Times New Roman" w:hAnsi="Times New Roman"/>
        </w:rPr>
        <w:t xml:space="preserve">The duties required by the services of the Authority are carried out by the personnel employed on a contractual basis with an administrative service contract. The personnel of the Authority are subject to the Law No. 657 on Civil Servants, except for the issues regulated by the Law No. 4628. The Chairman of the Board and the members of the Board and the personnel of the Authority employed with an administrative service contract are deemed to be insured in terms of social security within the scope of subparagraph (c) of the first paragraph of Article 4 of the Social Security and General Health Insurance Law No. 5510, dated 31.05.2006. Social security rights and obligations of the Board Chairman and Board member and the personnel employed with an administrative service contract are regulated in accordance with the provisions of the aforementioned Law, without prejudice to the Provisional Article 4 of the Law No. 5510. With the Decree Law No. 666 published in the Official Gazette dated 02.11.2011 and numbered 28103 (Repeated), pursuant to the Additional Article 11 added to the Decree Law No. 375, it was ensured that the personnel of the Authority were subject to equal title and wage equalization in terms of wages and financial rights, and after 15.01.2012 The personnel appointed to </w:t>
      </w:r>
      <w:r w:rsidRPr="009E1B38">
        <w:rPr>
          <w:rFonts w:ascii="Times New Roman" w:hAnsi="Times New Roman"/>
        </w:rPr>
        <w:lastRenderedPageBreak/>
        <w:t>the staff of the Authority have been subject to the wage and financial rights regime that the peers working in other public Authorities and organizations are subject to.</w:t>
      </w:r>
    </w:p>
    <w:p w14:paraId="7D4A8F41" w14:textId="79AFC9A5" w:rsidR="005747D2" w:rsidRPr="009E1B38" w:rsidRDefault="0082470D" w:rsidP="002F3B01">
      <w:pPr>
        <w:pStyle w:val="Balk5"/>
        <w:jc w:val="center"/>
        <w:rPr>
          <w:rFonts w:ascii="Times New Roman" w:hAnsi="Times New Roman" w:cs="Times New Roman"/>
        </w:rPr>
      </w:pPr>
      <w:bookmarkStart w:id="365" w:name="_Toc107499566"/>
      <w:r w:rsidRPr="009E1B38">
        <w:rPr>
          <w:rFonts w:ascii="Times New Roman" w:hAnsi="Times New Roman" w:cs="Times New Roman"/>
        </w:rPr>
        <w:t>Table</w:t>
      </w:r>
      <w:r w:rsidR="000276C9" w:rsidRPr="009E1B38">
        <w:rPr>
          <w:rFonts w:ascii="Times New Roman" w:hAnsi="Times New Roman" w:cs="Times New Roman"/>
        </w:rPr>
        <w:t xml:space="preserve"> 1</w:t>
      </w:r>
      <w:r w:rsidR="008517CF" w:rsidRPr="009E1B38">
        <w:rPr>
          <w:rFonts w:ascii="Times New Roman" w:hAnsi="Times New Roman" w:cs="Times New Roman"/>
        </w:rPr>
        <w:t>3</w:t>
      </w:r>
      <w:r w:rsidR="00B274AF" w:rsidRPr="009E1B38">
        <w:rPr>
          <w:rFonts w:ascii="Times New Roman" w:hAnsi="Times New Roman" w:cs="Times New Roman"/>
        </w:rPr>
        <w:t xml:space="preserve">.1: </w:t>
      </w:r>
      <w:r w:rsidR="002B3145" w:rsidRPr="009E1B38">
        <w:rPr>
          <w:rFonts w:ascii="Times New Roman" w:hAnsi="Times New Roman" w:cs="Times New Roman"/>
        </w:rPr>
        <w:t>Information on Staff Assigned in 2021</w:t>
      </w:r>
      <w:bookmarkEnd w:id="365"/>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2876"/>
        <w:gridCol w:w="824"/>
        <w:gridCol w:w="604"/>
        <w:gridCol w:w="604"/>
        <w:gridCol w:w="757"/>
        <w:gridCol w:w="604"/>
        <w:gridCol w:w="620"/>
        <w:gridCol w:w="757"/>
        <w:gridCol w:w="757"/>
        <w:gridCol w:w="757"/>
        <w:gridCol w:w="901"/>
      </w:tblGrid>
      <w:tr w:rsidR="00F540CE" w:rsidRPr="009E1B38" w14:paraId="7D4A8F47" w14:textId="77777777" w:rsidTr="00361285">
        <w:trPr>
          <w:trHeight w:val="454"/>
          <w:jc w:val="center"/>
        </w:trPr>
        <w:tc>
          <w:tcPr>
            <w:tcW w:w="1430" w:type="pct"/>
            <w:vMerge w:val="restart"/>
            <w:shd w:val="clear" w:color="auto" w:fill="6E9ECA"/>
            <w:noWrap/>
            <w:vAlign w:val="center"/>
          </w:tcPr>
          <w:bookmarkEnd w:id="364"/>
          <w:p w14:paraId="7D4A8F42" w14:textId="7ADCCB04" w:rsidR="00F540CE" w:rsidRPr="009E1B38" w:rsidRDefault="00747D8E" w:rsidP="00F540CE">
            <w:pPr>
              <w:spacing w:after="0"/>
              <w:rPr>
                <w:rFonts w:ascii="Times New Roman" w:hAnsi="Times New Roman"/>
                <w:b/>
                <w:color w:val="FFFFFF"/>
              </w:rPr>
            </w:pPr>
            <w:r w:rsidRPr="009E1B38">
              <w:rPr>
                <w:rFonts w:ascii="Times New Roman" w:hAnsi="Times New Roman"/>
                <w:b/>
                <w:color w:val="FFFFFF" w:themeColor="background1"/>
              </w:rPr>
              <w:t>TITLE OF CADRES</w:t>
            </w:r>
          </w:p>
        </w:tc>
        <w:tc>
          <w:tcPr>
            <w:tcW w:w="410" w:type="pct"/>
            <w:vMerge w:val="restart"/>
            <w:shd w:val="clear" w:color="auto" w:fill="6E9ECA"/>
            <w:vAlign w:val="center"/>
          </w:tcPr>
          <w:p w14:paraId="7D4A8F43" w14:textId="63CA4266" w:rsidR="00F540CE" w:rsidRPr="009E1B38" w:rsidRDefault="00747D8E" w:rsidP="00F540CE">
            <w:pPr>
              <w:spacing w:after="0"/>
              <w:jc w:val="center"/>
              <w:rPr>
                <w:rFonts w:ascii="Times New Roman" w:hAnsi="Times New Roman"/>
                <w:b/>
                <w:color w:val="FFFFFF"/>
              </w:rPr>
            </w:pPr>
            <w:r w:rsidRPr="009E1B38">
              <w:rPr>
                <w:rFonts w:ascii="Times New Roman" w:hAnsi="Times New Roman"/>
                <w:b/>
                <w:color w:val="FFFFFF" w:themeColor="background1"/>
              </w:rPr>
              <w:br/>
              <w:t>NO</w:t>
            </w:r>
          </w:p>
        </w:tc>
        <w:tc>
          <w:tcPr>
            <w:tcW w:w="1584" w:type="pct"/>
            <w:gridSpan w:val="5"/>
            <w:shd w:val="clear" w:color="auto" w:fill="6E9ECA"/>
            <w:noWrap/>
            <w:vAlign w:val="center"/>
          </w:tcPr>
          <w:p w14:paraId="7D4A8F44" w14:textId="1E664ED3" w:rsidR="00F540CE" w:rsidRPr="009E1B38" w:rsidRDefault="000C3195" w:rsidP="00F540CE">
            <w:pPr>
              <w:spacing w:after="0"/>
              <w:jc w:val="center"/>
              <w:rPr>
                <w:rFonts w:ascii="Times New Roman" w:hAnsi="Times New Roman"/>
                <w:b/>
                <w:color w:val="FFFFFF"/>
              </w:rPr>
            </w:pPr>
            <w:r w:rsidRPr="009E1B38">
              <w:rPr>
                <w:rFonts w:ascii="Times New Roman" w:hAnsi="Times New Roman"/>
                <w:b/>
                <w:color w:val="FFFFFF" w:themeColor="background1"/>
              </w:rPr>
              <w:t>EDUCATION</w:t>
            </w:r>
          </w:p>
        </w:tc>
        <w:tc>
          <w:tcPr>
            <w:tcW w:w="752" w:type="pct"/>
            <w:gridSpan w:val="2"/>
            <w:shd w:val="clear" w:color="auto" w:fill="6E9ECA"/>
            <w:noWrap/>
            <w:vAlign w:val="center"/>
          </w:tcPr>
          <w:p w14:paraId="7D4A8F45" w14:textId="25D39094" w:rsidR="00F540CE" w:rsidRPr="009E1B38" w:rsidRDefault="000C3195" w:rsidP="00F540CE">
            <w:pPr>
              <w:spacing w:after="0"/>
              <w:ind w:right="-157"/>
              <w:jc w:val="center"/>
              <w:rPr>
                <w:rFonts w:ascii="Times New Roman" w:hAnsi="Times New Roman"/>
                <w:b/>
                <w:color w:val="FFFFFF"/>
              </w:rPr>
            </w:pPr>
            <w:r w:rsidRPr="009E1B38">
              <w:rPr>
                <w:rFonts w:ascii="Times New Roman" w:hAnsi="Times New Roman"/>
                <w:b/>
                <w:color w:val="FFFFFF" w:themeColor="background1"/>
              </w:rPr>
              <w:t>GENDER</w:t>
            </w:r>
          </w:p>
        </w:tc>
        <w:tc>
          <w:tcPr>
            <w:tcW w:w="824" w:type="pct"/>
            <w:gridSpan w:val="2"/>
            <w:shd w:val="clear" w:color="auto" w:fill="6E9ECA"/>
            <w:vAlign w:val="center"/>
          </w:tcPr>
          <w:p w14:paraId="7D4A8F46" w14:textId="78FB6489" w:rsidR="00F540CE" w:rsidRPr="009E1B38" w:rsidRDefault="000C3195" w:rsidP="00F540CE">
            <w:pPr>
              <w:spacing w:after="0"/>
              <w:ind w:right="-7"/>
              <w:jc w:val="center"/>
              <w:rPr>
                <w:rFonts w:ascii="Times New Roman" w:hAnsi="Times New Roman"/>
                <w:b/>
                <w:color w:val="FFFFFF"/>
              </w:rPr>
            </w:pPr>
            <w:r w:rsidRPr="009E1B38">
              <w:rPr>
                <w:rFonts w:ascii="Times New Roman" w:hAnsi="Times New Roman"/>
                <w:b/>
                <w:color w:val="FFFFFF" w:themeColor="background1"/>
              </w:rPr>
              <w:t>ASSIGNMENT TYPE</w:t>
            </w:r>
          </w:p>
        </w:tc>
      </w:tr>
      <w:tr w:rsidR="00AF6C0B" w:rsidRPr="009E1B38" w14:paraId="7D4A8F53" w14:textId="77777777" w:rsidTr="00361285">
        <w:trPr>
          <w:trHeight w:val="1644"/>
          <w:jc w:val="center"/>
        </w:trPr>
        <w:tc>
          <w:tcPr>
            <w:tcW w:w="1430" w:type="pct"/>
            <w:vMerge/>
            <w:vAlign w:val="center"/>
          </w:tcPr>
          <w:p w14:paraId="7D4A8F48" w14:textId="77777777" w:rsidR="00F540CE" w:rsidRPr="009E1B38" w:rsidRDefault="00F540CE" w:rsidP="00F540CE">
            <w:pPr>
              <w:spacing w:after="0"/>
              <w:rPr>
                <w:rFonts w:ascii="Times New Roman" w:hAnsi="Times New Roman"/>
                <w:b/>
                <w:color w:val="000000"/>
              </w:rPr>
            </w:pPr>
          </w:p>
        </w:tc>
        <w:tc>
          <w:tcPr>
            <w:tcW w:w="410" w:type="pct"/>
            <w:vMerge/>
            <w:vAlign w:val="center"/>
          </w:tcPr>
          <w:p w14:paraId="7D4A8F49" w14:textId="77777777" w:rsidR="00F540CE" w:rsidRPr="009E1B38" w:rsidRDefault="00F540CE" w:rsidP="00F540CE">
            <w:pPr>
              <w:spacing w:after="0"/>
              <w:jc w:val="center"/>
              <w:rPr>
                <w:rFonts w:ascii="Times New Roman" w:hAnsi="Times New Roman"/>
                <w:b/>
                <w:color w:val="000000"/>
              </w:rPr>
            </w:pPr>
          </w:p>
        </w:tc>
        <w:tc>
          <w:tcPr>
            <w:tcW w:w="300" w:type="pct"/>
            <w:shd w:val="clear" w:color="auto" w:fill="6E9ECA"/>
            <w:noWrap/>
            <w:textDirection w:val="btLr"/>
            <w:vAlign w:val="center"/>
          </w:tcPr>
          <w:p w14:paraId="7D4A8F4A" w14:textId="4EF25B52" w:rsidR="00F540CE" w:rsidRPr="009E1B38" w:rsidRDefault="00D22CA2" w:rsidP="00F540CE">
            <w:pPr>
              <w:spacing w:after="0"/>
              <w:jc w:val="center"/>
              <w:rPr>
                <w:rFonts w:ascii="Times New Roman" w:hAnsi="Times New Roman"/>
                <w:b/>
                <w:color w:val="FFFFFF"/>
              </w:rPr>
            </w:pPr>
            <w:r w:rsidRPr="009E1B38">
              <w:rPr>
                <w:rFonts w:ascii="Times New Roman" w:hAnsi="Times New Roman"/>
                <w:b/>
                <w:color w:val="FFFFFF" w:themeColor="background1"/>
              </w:rPr>
              <w:t>SECONDARY EDUCATION</w:t>
            </w:r>
          </w:p>
        </w:tc>
        <w:tc>
          <w:tcPr>
            <w:tcW w:w="300" w:type="pct"/>
            <w:shd w:val="clear" w:color="auto" w:fill="6E9ECA"/>
            <w:textDirection w:val="btLr"/>
            <w:vAlign w:val="center"/>
          </w:tcPr>
          <w:p w14:paraId="7D4A8F4B" w14:textId="7B8F8C10" w:rsidR="00F540CE" w:rsidRPr="009E1B38" w:rsidRDefault="00D22CA2" w:rsidP="00F540CE">
            <w:pPr>
              <w:spacing w:after="0"/>
              <w:jc w:val="center"/>
              <w:rPr>
                <w:rFonts w:ascii="Times New Roman" w:hAnsi="Times New Roman"/>
                <w:b/>
                <w:color w:val="FFFFFF"/>
              </w:rPr>
            </w:pPr>
            <w:r w:rsidRPr="009E1B38">
              <w:rPr>
                <w:rFonts w:ascii="Times New Roman" w:hAnsi="Times New Roman"/>
                <w:b/>
                <w:color w:val="FFFFFF" w:themeColor="background1"/>
              </w:rPr>
              <w:t>2 YEARS’ UNİVERSITY</w:t>
            </w:r>
          </w:p>
        </w:tc>
        <w:tc>
          <w:tcPr>
            <w:tcW w:w="376" w:type="pct"/>
            <w:shd w:val="clear" w:color="auto" w:fill="6E9ECA"/>
            <w:textDirection w:val="btLr"/>
            <w:vAlign w:val="center"/>
          </w:tcPr>
          <w:p w14:paraId="2C0277F5" w14:textId="77777777" w:rsidR="00D22CA2" w:rsidRPr="009E1B38" w:rsidRDefault="00D22CA2" w:rsidP="003C5E4D">
            <w:pPr>
              <w:pStyle w:val="ListeParagraf"/>
              <w:numPr>
                <w:ilvl w:val="0"/>
                <w:numId w:val="47"/>
              </w:numPr>
              <w:spacing w:after="0"/>
              <w:rPr>
                <w:rFonts w:ascii="Times New Roman" w:hAnsi="Times New Roman"/>
                <w:b/>
                <w:color w:val="FFFFFF" w:themeColor="background1"/>
              </w:rPr>
            </w:pPr>
            <w:r w:rsidRPr="009E1B38">
              <w:rPr>
                <w:rFonts w:ascii="Times New Roman" w:hAnsi="Times New Roman"/>
                <w:b/>
                <w:color w:val="FFFFFF" w:themeColor="background1"/>
              </w:rPr>
              <w:t>YEARS</w:t>
            </w:r>
          </w:p>
          <w:p w14:paraId="7D4A8F4C" w14:textId="75C0B07E" w:rsidR="00F540CE" w:rsidRPr="009E1B38" w:rsidRDefault="00D22CA2" w:rsidP="00F540CE">
            <w:pPr>
              <w:spacing w:after="0"/>
              <w:jc w:val="center"/>
              <w:rPr>
                <w:rFonts w:ascii="Times New Roman" w:hAnsi="Times New Roman"/>
                <w:b/>
                <w:color w:val="FFFFFF"/>
              </w:rPr>
            </w:pPr>
            <w:r w:rsidRPr="009E1B38">
              <w:rPr>
                <w:rFonts w:ascii="Times New Roman" w:hAnsi="Times New Roman"/>
                <w:b/>
                <w:color w:val="FFFFFF" w:themeColor="background1"/>
              </w:rPr>
              <w:t>UNIVERSITY</w:t>
            </w:r>
          </w:p>
        </w:tc>
        <w:tc>
          <w:tcPr>
            <w:tcW w:w="300" w:type="pct"/>
            <w:shd w:val="clear" w:color="auto" w:fill="6E9ECA"/>
            <w:textDirection w:val="btLr"/>
            <w:vAlign w:val="center"/>
          </w:tcPr>
          <w:p w14:paraId="7D4A8F4D" w14:textId="160AA88E" w:rsidR="00F540CE" w:rsidRPr="009E1B38" w:rsidRDefault="00136870" w:rsidP="00F540CE">
            <w:pPr>
              <w:spacing w:after="0"/>
              <w:jc w:val="center"/>
              <w:rPr>
                <w:rFonts w:ascii="Times New Roman" w:hAnsi="Times New Roman"/>
                <w:b/>
                <w:color w:val="FFFFFF"/>
              </w:rPr>
            </w:pPr>
            <w:r w:rsidRPr="009E1B38">
              <w:rPr>
                <w:rFonts w:ascii="Times New Roman" w:hAnsi="Times New Roman"/>
                <w:b/>
                <w:color w:val="FFFFFF" w:themeColor="background1"/>
              </w:rPr>
              <w:t>MASTERS</w:t>
            </w:r>
          </w:p>
        </w:tc>
        <w:tc>
          <w:tcPr>
            <w:tcW w:w="307" w:type="pct"/>
            <w:shd w:val="clear" w:color="auto" w:fill="6E9ECA"/>
            <w:textDirection w:val="btLr"/>
            <w:vAlign w:val="center"/>
          </w:tcPr>
          <w:p w14:paraId="7D4A8F4E" w14:textId="06CD05F4" w:rsidR="00F540CE" w:rsidRPr="009E1B38" w:rsidRDefault="00136870" w:rsidP="00F540CE">
            <w:pPr>
              <w:spacing w:after="0"/>
              <w:jc w:val="center"/>
              <w:rPr>
                <w:rFonts w:ascii="Times New Roman" w:hAnsi="Times New Roman"/>
                <w:b/>
                <w:color w:val="FFFFFF"/>
              </w:rPr>
            </w:pPr>
            <w:r w:rsidRPr="009E1B38">
              <w:rPr>
                <w:rFonts w:ascii="Times New Roman" w:hAnsi="Times New Roman"/>
                <w:b/>
                <w:color w:val="FFFFFF" w:themeColor="background1"/>
              </w:rPr>
              <w:t>DOCTORATE</w:t>
            </w:r>
          </w:p>
        </w:tc>
        <w:tc>
          <w:tcPr>
            <w:tcW w:w="376" w:type="pct"/>
            <w:shd w:val="clear" w:color="auto" w:fill="6E9ECA"/>
            <w:textDirection w:val="btLr"/>
            <w:vAlign w:val="center"/>
          </w:tcPr>
          <w:p w14:paraId="7D4A8F4F" w14:textId="3A23784C" w:rsidR="00F540CE" w:rsidRPr="009E1B38" w:rsidRDefault="00136870" w:rsidP="00F540CE">
            <w:pPr>
              <w:spacing w:after="0"/>
              <w:jc w:val="center"/>
              <w:rPr>
                <w:rFonts w:ascii="Times New Roman" w:hAnsi="Times New Roman"/>
                <w:b/>
                <w:color w:val="FFFFFF"/>
              </w:rPr>
            </w:pPr>
            <w:r w:rsidRPr="009E1B38">
              <w:rPr>
                <w:rFonts w:ascii="Times New Roman" w:hAnsi="Times New Roman"/>
                <w:b/>
                <w:color w:val="FFFFFF" w:themeColor="background1"/>
              </w:rPr>
              <w:t>FEMALE</w:t>
            </w:r>
          </w:p>
        </w:tc>
        <w:tc>
          <w:tcPr>
            <w:tcW w:w="376" w:type="pct"/>
            <w:shd w:val="clear" w:color="auto" w:fill="6E9ECA"/>
            <w:textDirection w:val="btLr"/>
            <w:vAlign w:val="center"/>
          </w:tcPr>
          <w:p w14:paraId="7D4A8F50" w14:textId="66F8E1A5" w:rsidR="00F540CE" w:rsidRPr="009E1B38" w:rsidRDefault="00136870" w:rsidP="00F540CE">
            <w:pPr>
              <w:spacing w:after="0"/>
              <w:jc w:val="center"/>
              <w:rPr>
                <w:rFonts w:ascii="Times New Roman" w:hAnsi="Times New Roman"/>
                <w:b/>
                <w:color w:val="FFFFFF"/>
              </w:rPr>
            </w:pPr>
            <w:r w:rsidRPr="009E1B38">
              <w:rPr>
                <w:rFonts w:ascii="Times New Roman" w:hAnsi="Times New Roman"/>
                <w:b/>
                <w:color w:val="FFFFFF" w:themeColor="background1"/>
              </w:rPr>
              <w:t>MALE</w:t>
            </w:r>
          </w:p>
        </w:tc>
        <w:tc>
          <w:tcPr>
            <w:tcW w:w="376" w:type="pct"/>
            <w:shd w:val="clear" w:color="auto" w:fill="6E9ECA"/>
            <w:textDirection w:val="btLr"/>
            <w:vAlign w:val="center"/>
          </w:tcPr>
          <w:p w14:paraId="7D4A8F51" w14:textId="0325CEF4" w:rsidR="00F540CE" w:rsidRPr="009E1B38" w:rsidRDefault="00136870" w:rsidP="00F540CE">
            <w:pPr>
              <w:spacing w:after="0"/>
              <w:jc w:val="center"/>
              <w:rPr>
                <w:rFonts w:ascii="Times New Roman" w:hAnsi="Times New Roman"/>
                <w:b/>
                <w:color w:val="FFFFFF"/>
              </w:rPr>
            </w:pPr>
            <w:r w:rsidRPr="009E1B38">
              <w:rPr>
                <w:rFonts w:ascii="Times New Roman" w:hAnsi="Times New Roman"/>
                <w:b/>
                <w:color w:val="FFFFFF" w:themeColor="background1"/>
              </w:rPr>
              <w:t>OUTSIDE</w:t>
            </w:r>
          </w:p>
        </w:tc>
        <w:tc>
          <w:tcPr>
            <w:tcW w:w="448" w:type="pct"/>
            <w:shd w:val="clear" w:color="auto" w:fill="6E9ECA"/>
            <w:textDirection w:val="btLr"/>
            <w:vAlign w:val="center"/>
          </w:tcPr>
          <w:p w14:paraId="7D4A8F52" w14:textId="5D2D6118" w:rsidR="00F540CE" w:rsidRPr="009E1B38" w:rsidRDefault="00136870" w:rsidP="00F540CE">
            <w:pPr>
              <w:spacing w:after="0"/>
              <w:jc w:val="center"/>
              <w:rPr>
                <w:rFonts w:ascii="Times New Roman" w:hAnsi="Times New Roman"/>
                <w:b/>
                <w:color w:val="FFFFFF"/>
              </w:rPr>
            </w:pPr>
            <w:r w:rsidRPr="009E1B38">
              <w:rPr>
                <w:rFonts w:ascii="Times New Roman" w:hAnsi="Times New Roman"/>
                <w:b/>
                <w:color w:val="FFFFFF" w:themeColor="background1"/>
              </w:rPr>
              <w:t>TRANSFER</w:t>
            </w:r>
          </w:p>
        </w:tc>
      </w:tr>
      <w:tr w:rsidR="00F540CE" w:rsidRPr="009E1B38" w14:paraId="7D4A8F5F" w14:textId="77777777" w:rsidTr="00361285">
        <w:trPr>
          <w:trHeight w:val="385"/>
          <w:jc w:val="center"/>
        </w:trPr>
        <w:tc>
          <w:tcPr>
            <w:tcW w:w="1430" w:type="pct"/>
            <w:shd w:val="clear" w:color="auto" w:fill="auto"/>
            <w:vAlign w:val="center"/>
          </w:tcPr>
          <w:p w14:paraId="7D4A8F54" w14:textId="2AFA9359" w:rsidR="00F540CE" w:rsidRPr="009E1B38" w:rsidRDefault="002D782E" w:rsidP="00F540CE">
            <w:pPr>
              <w:spacing w:after="0"/>
              <w:jc w:val="left"/>
              <w:rPr>
                <w:rFonts w:ascii="Times New Roman" w:hAnsi="Times New Roman"/>
                <w:color w:val="000000"/>
                <w:sz w:val="24"/>
                <w:szCs w:val="24"/>
              </w:rPr>
            </w:pPr>
            <w:r w:rsidRPr="009E1B38">
              <w:rPr>
                <w:rFonts w:ascii="Times New Roman" w:hAnsi="Times New Roman"/>
                <w:color w:val="000000"/>
                <w:sz w:val="24"/>
                <w:szCs w:val="24"/>
              </w:rPr>
              <w:t>Board Services Deputy Manager</w:t>
            </w:r>
          </w:p>
        </w:tc>
        <w:tc>
          <w:tcPr>
            <w:tcW w:w="410" w:type="pct"/>
            <w:shd w:val="clear" w:color="auto" w:fill="auto"/>
            <w:noWrap/>
            <w:vAlign w:val="center"/>
          </w:tcPr>
          <w:p w14:paraId="7D4A8F5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0" w:type="pct"/>
            <w:shd w:val="clear" w:color="auto" w:fill="auto"/>
            <w:noWrap/>
            <w:vAlign w:val="center"/>
          </w:tcPr>
          <w:p w14:paraId="7D4A8F56" w14:textId="77777777" w:rsidR="00F540CE" w:rsidRPr="009E1B38" w:rsidRDefault="00F540CE" w:rsidP="00F540CE">
            <w:pPr>
              <w:spacing w:after="0"/>
              <w:jc w:val="center"/>
              <w:rPr>
                <w:rFonts w:ascii="Times New Roman" w:hAnsi="Times New Roman"/>
                <w:color w:val="000000"/>
              </w:rPr>
            </w:pPr>
          </w:p>
        </w:tc>
        <w:tc>
          <w:tcPr>
            <w:tcW w:w="300" w:type="pct"/>
            <w:shd w:val="clear" w:color="auto" w:fill="auto"/>
            <w:noWrap/>
            <w:vAlign w:val="center"/>
          </w:tcPr>
          <w:p w14:paraId="7D4A8F57"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5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0" w:type="pct"/>
            <w:shd w:val="clear" w:color="auto" w:fill="auto"/>
            <w:noWrap/>
            <w:vAlign w:val="center"/>
          </w:tcPr>
          <w:p w14:paraId="7D4A8F59" w14:textId="77777777" w:rsidR="00F540CE" w:rsidRPr="009E1B38" w:rsidRDefault="00F540CE" w:rsidP="00F540CE">
            <w:pPr>
              <w:spacing w:after="0"/>
              <w:jc w:val="center"/>
              <w:rPr>
                <w:rFonts w:ascii="Times New Roman" w:hAnsi="Times New Roman"/>
                <w:color w:val="000000"/>
              </w:rPr>
            </w:pPr>
          </w:p>
        </w:tc>
        <w:tc>
          <w:tcPr>
            <w:tcW w:w="307" w:type="pct"/>
            <w:shd w:val="clear" w:color="auto" w:fill="auto"/>
            <w:noWrap/>
            <w:vAlign w:val="center"/>
          </w:tcPr>
          <w:p w14:paraId="7D4A8F5A"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5B"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5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76" w:type="pct"/>
            <w:vAlign w:val="center"/>
          </w:tcPr>
          <w:p w14:paraId="7D4A8F5D" w14:textId="77777777" w:rsidR="00F540CE" w:rsidRPr="009E1B38" w:rsidRDefault="00F540CE" w:rsidP="00F540CE">
            <w:pPr>
              <w:spacing w:after="0"/>
              <w:jc w:val="center"/>
              <w:rPr>
                <w:rFonts w:ascii="Times New Roman" w:hAnsi="Times New Roman"/>
                <w:color w:val="000000"/>
              </w:rPr>
            </w:pPr>
          </w:p>
        </w:tc>
        <w:tc>
          <w:tcPr>
            <w:tcW w:w="448" w:type="pct"/>
            <w:vAlign w:val="center"/>
          </w:tcPr>
          <w:p w14:paraId="7D4A8F5E"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8F6B" w14:textId="77777777" w:rsidTr="00361285">
        <w:trPr>
          <w:trHeight w:val="454"/>
          <w:jc w:val="center"/>
        </w:trPr>
        <w:tc>
          <w:tcPr>
            <w:tcW w:w="1430" w:type="pct"/>
            <w:shd w:val="clear" w:color="auto" w:fill="auto"/>
            <w:vAlign w:val="center"/>
          </w:tcPr>
          <w:p w14:paraId="7D4A8F60" w14:textId="009C2FDD" w:rsidR="00F540CE" w:rsidRPr="009E1B38" w:rsidRDefault="00F80EC2" w:rsidP="00F540CE">
            <w:pPr>
              <w:spacing w:after="0"/>
              <w:rPr>
                <w:rFonts w:ascii="Times New Roman" w:hAnsi="Times New Roman"/>
                <w:color w:val="000000"/>
                <w:sz w:val="24"/>
                <w:szCs w:val="24"/>
              </w:rPr>
            </w:pPr>
            <w:r w:rsidRPr="009E1B38">
              <w:rPr>
                <w:rFonts w:ascii="Times New Roman" w:hAnsi="Times New Roman"/>
                <w:color w:val="000000"/>
                <w:sz w:val="24"/>
                <w:szCs w:val="24"/>
              </w:rPr>
              <w:t>Energy Assistant Specialist</w:t>
            </w:r>
          </w:p>
        </w:tc>
        <w:tc>
          <w:tcPr>
            <w:tcW w:w="410" w:type="pct"/>
            <w:shd w:val="clear" w:color="auto" w:fill="auto"/>
            <w:noWrap/>
            <w:vAlign w:val="center"/>
          </w:tcPr>
          <w:p w14:paraId="7D4A8F6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31</w:t>
            </w:r>
          </w:p>
        </w:tc>
        <w:tc>
          <w:tcPr>
            <w:tcW w:w="300" w:type="pct"/>
            <w:shd w:val="clear" w:color="auto" w:fill="auto"/>
            <w:noWrap/>
            <w:vAlign w:val="center"/>
          </w:tcPr>
          <w:p w14:paraId="7D4A8F62" w14:textId="77777777" w:rsidR="00F540CE" w:rsidRPr="009E1B38" w:rsidRDefault="00F540CE" w:rsidP="00F540CE">
            <w:pPr>
              <w:spacing w:after="0"/>
              <w:jc w:val="center"/>
              <w:rPr>
                <w:rFonts w:ascii="Times New Roman" w:hAnsi="Times New Roman"/>
                <w:color w:val="000000"/>
              </w:rPr>
            </w:pPr>
          </w:p>
        </w:tc>
        <w:tc>
          <w:tcPr>
            <w:tcW w:w="300" w:type="pct"/>
            <w:shd w:val="clear" w:color="auto" w:fill="auto"/>
            <w:noWrap/>
            <w:vAlign w:val="center"/>
          </w:tcPr>
          <w:p w14:paraId="7D4A8F63"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6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31</w:t>
            </w:r>
          </w:p>
        </w:tc>
        <w:tc>
          <w:tcPr>
            <w:tcW w:w="300" w:type="pct"/>
            <w:shd w:val="clear" w:color="auto" w:fill="auto"/>
            <w:noWrap/>
            <w:vAlign w:val="center"/>
          </w:tcPr>
          <w:p w14:paraId="7D4A8F65" w14:textId="77777777" w:rsidR="00F540CE" w:rsidRPr="009E1B38" w:rsidRDefault="00F540CE" w:rsidP="00F540CE">
            <w:pPr>
              <w:spacing w:after="0"/>
              <w:jc w:val="center"/>
              <w:rPr>
                <w:rFonts w:ascii="Times New Roman" w:hAnsi="Times New Roman"/>
                <w:color w:val="000000"/>
              </w:rPr>
            </w:pPr>
          </w:p>
        </w:tc>
        <w:tc>
          <w:tcPr>
            <w:tcW w:w="307" w:type="pct"/>
            <w:shd w:val="clear" w:color="auto" w:fill="auto"/>
            <w:noWrap/>
            <w:vAlign w:val="center"/>
          </w:tcPr>
          <w:p w14:paraId="7D4A8F66"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67"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9</w:t>
            </w:r>
          </w:p>
        </w:tc>
        <w:tc>
          <w:tcPr>
            <w:tcW w:w="376" w:type="pct"/>
            <w:shd w:val="clear" w:color="auto" w:fill="auto"/>
            <w:noWrap/>
            <w:vAlign w:val="center"/>
          </w:tcPr>
          <w:p w14:paraId="7D4A8F6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22</w:t>
            </w:r>
          </w:p>
        </w:tc>
        <w:tc>
          <w:tcPr>
            <w:tcW w:w="376" w:type="pct"/>
            <w:vAlign w:val="center"/>
          </w:tcPr>
          <w:p w14:paraId="7D4A8F6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31</w:t>
            </w:r>
          </w:p>
        </w:tc>
        <w:tc>
          <w:tcPr>
            <w:tcW w:w="448" w:type="pct"/>
            <w:vAlign w:val="center"/>
          </w:tcPr>
          <w:p w14:paraId="7D4A8F6A" w14:textId="77777777" w:rsidR="00F540CE" w:rsidRPr="009E1B38" w:rsidRDefault="00F540CE" w:rsidP="00F540CE">
            <w:pPr>
              <w:spacing w:after="0"/>
              <w:jc w:val="center"/>
              <w:rPr>
                <w:rFonts w:ascii="Times New Roman" w:hAnsi="Times New Roman"/>
                <w:color w:val="000000"/>
              </w:rPr>
            </w:pPr>
          </w:p>
        </w:tc>
      </w:tr>
      <w:tr w:rsidR="00F540CE" w:rsidRPr="009E1B38" w14:paraId="7D4A8F77" w14:textId="77777777" w:rsidTr="00361285">
        <w:trPr>
          <w:trHeight w:val="454"/>
          <w:jc w:val="center"/>
        </w:trPr>
        <w:tc>
          <w:tcPr>
            <w:tcW w:w="1430" w:type="pct"/>
            <w:shd w:val="clear" w:color="auto" w:fill="auto"/>
            <w:vAlign w:val="center"/>
          </w:tcPr>
          <w:p w14:paraId="7D4A8F6C" w14:textId="6F6BC167" w:rsidR="00F540CE" w:rsidRPr="009E1B38" w:rsidRDefault="00B64E4A" w:rsidP="00F540CE">
            <w:pPr>
              <w:spacing w:after="0"/>
              <w:rPr>
                <w:rFonts w:ascii="Times New Roman" w:hAnsi="Times New Roman"/>
                <w:color w:val="000000"/>
                <w:sz w:val="24"/>
                <w:szCs w:val="24"/>
              </w:rPr>
            </w:pPr>
            <w:r w:rsidRPr="009E1B38">
              <w:rPr>
                <w:rFonts w:ascii="Times New Roman" w:hAnsi="Times New Roman"/>
                <w:color w:val="000000"/>
                <w:sz w:val="24"/>
                <w:szCs w:val="24"/>
              </w:rPr>
              <w:t>Lawyer</w:t>
            </w:r>
          </w:p>
        </w:tc>
        <w:tc>
          <w:tcPr>
            <w:tcW w:w="410" w:type="pct"/>
            <w:shd w:val="clear" w:color="auto" w:fill="auto"/>
            <w:noWrap/>
            <w:vAlign w:val="center"/>
          </w:tcPr>
          <w:p w14:paraId="7D4A8F6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0" w:type="pct"/>
            <w:shd w:val="clear" w:color="auto" w:fill="auto"/>
            <w:noWrap/>
            <w:vAlign w:val="center"/>
          </w:tcPr>
          <w:p w14:paraId="7D4A8F6E" w14:textId="77777777" w:rsidR="00F540CE" w:rsidRPr="009E1B38" w:rsidRDefault="00F540CE" w:rsidP="00F540CE">
            <w:pPr>
              <w:spacing w:after="0"/>
              <w:jc w:val="center"/>
              <w:rPr>
                <w:rFonts w:ascii="Times New Roman" w:hAnsi="Times New Roman"/>
                <w:color w:val="000000"/>
              </w:rPr>
            </w:pPr>
          </w:p>
        </w:tc>
        <w:tc>
          <w:tcPr>
            <w:tcW w:w="300" w:type="pct"/>
            <w:shd w:val="clear" w:color="auto" w:fill="auto"/>
            <w:noWrap/>
            <w:vAlign w:val="center"/>
          </w:tcPr>
          <w:p w14:paraId="7D4A8F6F"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70" w14:textId="77777777" w:rsidR="00F540CE" w:rsidRPr="009E1B38" w:rsidRDefault="00F540CE" w:rsidP="00F540CE">
            <w:pPr>
              <w:spacing w:after="0"/>
              <w:jc w:val="center"/>
              <w:rPr>
                <w:rFonts w:ascii="Times New Roman" w:hAnsi="Times New Roman"/>
                <w:color w:val="000000"/>
              </w:rPr>
            </w:pPr>
          </w:p>
        </w:tc>
        <w:tc>
          <w:tcPr>
            <w:tcW w:w="300" w:type="pct"/>
            <w:shd w:val="clear" w:color="auto" w:fill="auto"/>
            <w:noWrap/>
            <w:vAlign w:val="center"/>
          </w:tcPr>
          <w:p w14:paraId="7D4A8F7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7" w:type="pct"/>
            <w:shd w:val="clear" w:color="auto" w:fill="auto"/>
            <w:noWrap/>
            <w:vAlign w:val="center"/>
          </w:tcPr>
          <w:p w14:paraId="7D4A8F72"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73"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76" w:type="pct"/>
            <w:shd w:val="clear" w:color="auto" w:fill="auto"/>
            <w:noWrap/>
            <w:vAlign w:val="center"/>
          </w:tcPr>
          <w:p w14:paraId="7D4A8F74" w14:textId="77777777" w:rsidR="00F540CE" w:rsidRPr="009E1B38" w:rsidRDefault="00F540CE" w:rsidP="00F540CE">
            <w:pPr>
              <w:spacing w:after="0"/>
              <w:jc w:val="center"/>
              <w:rPr>
                <w:rFonts w:ascii="Times New Roman" w:hAnsi="Times New Roman"/>
                <w:color w:val="000000"/>
              </w:rPr>
            </w:pPr>
          </w:p>
        </w:tc>
        <w:tc>
          <w:tcPr>
            <w:tcW w:w="376" w:type="pct"/>
            <w:vAlign w:val="center"/>
          </w:tcPr>
          <w:p w14:paraId="7D4A8F75" w14:textId="77777777" w:rsidR="00F540CE" w:rsidRPr="009E1B38" w:rsidRDefault="00F540CE" w:rsidP="00F540CE">
            <w:pPr>
              <w:spacing w:after="0"/>
              <w:jc w:val="center"/>
              <w:rPr>
                <w:rFonts w:ascii="Times New Roman" w:hAnsi="Times New Roman"/>
                <w:color w:val="000000"/>
              </w:rPr>
            </w:pPr>
          </w:p>
        </w:tc>
        <w:tc>
          <w:tcPr>
            <w:tcW w:w="448" w:type="pct"/>
            <w:vAlign w:val="center"/>
          </w:tcPr>
          <w:p w14:paraId="7D4A8F76"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8F83" w14:textId="77777777" w:rsidTr="00361285">
        <w:trPr>
          <w:trHeight w:val="454"/>
          <w:jc w:val="center"/>
        </w:trPr>
        <w:tc>
          <w:tcPr>
            <w:tcW w:w="1430" w:type="pct"/>
            <w:shd w:val="clear" w:color="auto" w:fill="auto"/>
            <w:vAlign w:val="center"/>
          </w:tcPr>
          <w:p w14:paraId="7D4A8F78" w14:textId="19E00A5D" w:rsidR="00F540CE" w:rsidRPr="009E1B38" w:rsidRDefault="00C443D8" w:rsidP="00905D3D">
            <w:pPr>
              <w:spacing w:after="0"/>
              <w:jc w:val="left"/>
              <w:rPr>
                <w:rFonts w:ascii="Times New Roman" w:hAnsi="Times New Roman"/>
                <w:color w:val="000000"/>
                <w:sz w:val="24"/>
                <w:szCs w:val="24"/>
              </w:rPr>
            </w:pPr>
            <w:r w:rsidRPr="009E1B38">
              <w:rPr>
                <w:rFonts w:ascii="Times New Roman" w:hAnsi="Times New Roman"/>
                <w:color w:val="000000"/>
                <w:sz w:val="24"/>
                <w:szCs w:val="24"/>
              </w:rPr>
              <w:t>Management Serv</w:t>
            </w:r>
            <w:r w:rsidR="00905D3D" w:rsidRPr="009E1B38">
              <w:rPr>
                <w:rFonts w:ascii="Times New Roman" w:hAnsi="Times New Roman"/>
                <w:color w:val="000000"/>
                <w:sz w:val="24"/>
                <w:szCs w:val="24"/>
              </w:rPr>
              <w:t>i</w:t>
            </w:r>
            <w:r w:rsidRPr="009E1B38">
              <w:rPr>
                <w:rFonts w:ascii="Times New Roman" w:hAnsi="Times New Roman"/>
                <w:color w:val="000000"/>
                <w:sz w:val="24"/>
                <w:szCs w:val="24"/>
              </w:rPr>
              <w:t>ces Spe</w:t>
            </w:r>
            <w:r w:rsidR="00905D3D" w:rsidRPr="009E1B38">
              <w:rPr>
                <w:rFonts w:ascii="Times New Roman" w:hAnsi="Times New Roman"/>
                <w:color w:val="000000"/>
                <w:sz w:val="24"/>
                <w:szCs w:val="24"/>
              </w:rPr>
              <w:t>cialist</w:t>
            </w:r>
          </w:p>
        </w:tc>
        <w:tc>
          <w:tcPr>
            <w:tcW w:w="410" w:type="pct"/>
            <w:shd w:val="clear" w:color="auto" w:fill="auto"/>
            <w:noWrap/>
            <w:vAlign w:val="center"/>
          </w:tcPr>
          <w:p w14:paraId="7D4A8F7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300" w:type="pct"/>
            <w:shd w:val="clear" w:color="auto" w:fill="auto"/>
            <w:noWrap/>
            <w:vAlign w:val="center"/>
          </w:tcPr>
          <w:p w14:paraId="7D4A8F7A" w14:textId="77777777" w:rsidR="00F540CE" w:rsidRPr="009E1B38" w:rsidRDefault="00F540CE" w:rsidP="00F540CE">
            <w:pPr>
              <w:spacing w:after="0"/>
              <w:jc w:val="center"/>
              <w:rPr>
                <w:rFonts w:ascii="Times New Roman" w:hAnsi="Times New Roman"/>
                <w:color w:val="000000"/>
              </w:rPr>
            </w:pPr>
          </w:p>
        </w:tc>
        <w:tc>
          <w:tcPr>
            <w:tcW w:w="300" w:type="pct"/>
            <w:shd w:val="clear" w:color="auto" w:fill="auto"/>
            <w:noWrap/>
            <w:vAlign w:val="center"/>
          </w:tcPr>
          <w:p w14:paraId="7D4A8F7B"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7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300" w:type="pct"/>
            <w:shd w:val="clear" w:color="auto" w:fill="auto"/>
            <w:noWrap/>
            <w:vAlign w:val="center"/>
          </w:tcPr>
          <w:p w14:paraId="7D4A8F7D" w14:textId="77777777" w:rsidR="00F540CE" w:rsidRPr="009E1B38" w:rsidRDefault="00F540CE" w:rsidP="00F540CE">
            <w:pPr>
              <w:spacing w:after="0"/>
              <w:jc w:val="center"/>
              <w:rPr>
                <w:rFonts w:ascii="Times New Roman" w:hAnsi="Times New Roman"/>
                <w:color w:val="000000"/>
              </w:rPr>
            </w:pPr>
          </w:p>
        </w:tc>
        <w:tc>
          <w:tcPr>
            <w:tcW w:w="307" w:type="pct"/>
            <w:shd w:val="clear" w:color="auto" w:fill="auto"/>
            <w:noWrap/>
            <w:vAlign w:val="center"/>
          </w:tcPr>
          <w:p w14:paraId="7D4A8F7E"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7F"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376" w:type="pct"/>
            <w:shd w:val="clear" w:color="auto" w:fill="auto"/>
            <w:noWrap/>
            <w:vAlign w:val="center"/>
          </w:tcPr>
          <w:p w14:paraId="7D4A8F80" w14:textId="77777777" w:rsidR="00F540CE" w:rsidRPr="009E1B38" w:rsidRDefault="00F540CE" w:rsidP="00F540CE">
            <w:pPr>
              <w:spacing w:after="0"/>
              <w:jc w:val="center"/>
              <w:rPr>
                <w:rFonts w:ascii="Times New Roman" w:hAnsi="Times New Roman"/>
                <w:color w:val="000000"/>
              </w:rPr>
            </w:pPr>
          </w:p>
        </w:tc>
        <w:tc>
          <w:tcPr>
            <w:tcW w:w="376" w:type="pct"/>
            <w:vAlign w:val="center"/>
          </w:tcPr>
          <w:p w14:paraId="7D4A8F81" w14:textId="77777777" w:rsidR="00F540CE" w:rsidRPr="009E1B38" w:rsidRDefault="00F540CE" w:rsidP="00F540CE">
            <w:pPr>
              <w:spacing w:after="0"/>
              <w:jc w:val="center"/>
              <w:rPr>
                <w:rFonts w:ascii="Times New Roman" w:hAnsi="Times New Roman"/>
                <w:color w:val="000000"/>
              </w:rPr>
            </w:pPr>
          </w:p>
        </w:tc>
        <w:tc>
          <w:tcPr>
            <w:tcW w:w="448" w:type="pct"/>
            <w:vAlign w:val="center"/>
          </w:tcPr>
          <w:p w14:paraId="7D4A8F8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r>
      <w:tr w:rsidR="00F540CE" w:rsidRPr="009E1B38" w14:paraId="7D4A8F8F" w14:textId="77777777" w:rsidTr="00361285">
        <w:trPr>
          <w:trHeight w:val="454"/>
          <w:jc w:val="center"/>
        </w:trPr>
        <w:tc>
          <w:tcPr>
            <w:tcW w:w="1430" w:type="pct"/>
            <w:shd w:val="clear" w:color="auto" w:fill="auto"/>
            <w:vAlign w:val="center"/>
          </w:tcPr>
          <w:p w14:paraId="7D4A8F84" w14:textId="6B471AEF" w:rsidR="00F540CE" w:rsidRPr="009E1B38" w:rsidRDefault="00B64E4A" w:rsidP="00F540CE">
            <w:pPr>
              <w:spacing w:after="0"/>
              <w:rPr>
                <w:rFonts w:ascii="Times New Roman" w:hAnsi="Times New Roman"/>
                <w:color w:val="000000"/>
                <w:sz w:val="24"/>
                <w:szCs w:val="24"/>
              </w:rPr>
            </w:pPr>
            <w:r w:rsidRPr="009E1B38">
              <w:rPr>
                <w:rFonts w:ascii="Times New Roman" w:hAnsi="Times New Roman"/>
                <w:color w:val="000000"/>
                <w:sz w:val="24"/>
                <w:szCs w:val="24"/>
              </w:rPr>
              <w:t>Engineer</w:t>
            </w:r>
          </w:p>
        </w:tc>
        <w:tc>
          <w:tcPr>
            <w:tcW w:w="410" w:type="pct"/>
            <w:shd w:val="clear" w:color="auto" w:fill="auto"/>
            <w:noWrap/>
            <w:vAlign w:val="center"/>
          </w:tcPr>
          <w:p w14:paraId="7D4A8F8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0" w:type="pct"/>
            <w:shd w:val="clear" w:color="auto" w:fill="auto"/>
            <w:noWrap/>
            <w:vAlign w:val="center"/>
          </w:tcPr>
          <w:p w14:paraId="7D4A8F86" w14:textId="77777777" w:rsidR="00F540CE" w:rsidRPr="009E1B38" w:rsidRDefault="00F540CE" w:rsidP="00F540CE">
            <w:pPr>
              <w:spacing w:after="0"/>
              <w:jc w:val="center"/>
              <w:rPr>
                <w:rFonts w:ascii="Times New Roman" w:hAnsi="Times New Roman"/>
                <w:color w:val="000000"/>
              </w:rPr>
            </w:pPr>
          </w:p>
        </w:tc>
        <w:tc>
          <w:tcPr>
            <w:tcW w:w="300" w:type="pct"/>
            <w:shd w:val="clear" w:color="auto" w:fill="auto"/>
            <w:noWrap/>
            <w:vAlign w:val="center"/>
          </w:tcPr>
          <w:p w14:paraId="7D4A8F87"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8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0" w:type="pct"/>
            <w:shd w:val="clear" w:color="auto" w:fill="auto"/>
            <w:noWrap/>
            <w:vAlign w:val="center"/>
          </w:tcPr>
          <w:p w14:paraId="7D4A8F89" w14:textId="77777777" w:rsidR="00F540CE" w:rsidRPr="009E1B38" w:rsidRDefault="00F540CE" w:rsidP="00F540CE">
            <w:pPr>
              <w:spacing w:after="0"/>
              <w:jc w:val="center"/>
              <w:rPr>
                <w:rFonts w:ascii="Times New Roman" w:hAnsi="Times New Roman"/>
                <w:color w:val="000000"/>
              </w:rPr>
            </w:pPr>
          </w:p>
        </w:tc>
        <w:tc>
          <w:tcPr>
            <w:tcW w:w="307" w:type="pct"/>
            <w:shd w:val="clear" w:color="auto" w:fill="auto"/>
            <w:noWrap/>
            <w:vAlign w:val="center"/>
          </w:tcPr>
          <w:p w14:paraId="7D4A8F8A"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8B"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8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76" w:type="pct"/>
            <w:vAlign w:val="center"/>
          </w:tcPr>
          <w:p w14:paraId="7D4A8F8D" w14:textId="77777777" w:rsidR="00F540CE" w:rsidRPr="009E1B38" w:rsidRDefault="00F540CE" w:rsidP="00F540CE">
            <w:pPr>
              <w:spacing w:after="0"/>
              <w:jc w:val="center"/>
              <w:rPr>
                <w:rFonts w:ascii="Times New Roman" w:hAnsi="Times New Roman"/>
                <w:color w:val="000000"/>
              </w:rPr>
            </w:pPr>
          </w:p>
        </w:tc>
        <w:tc>
          <w:tcPr>
            <w:tcW w:w="448" w:type="pct"/>
            <w:vAlign w:val="center"/>
          </w:tcPr>
          <w:p w14:paraId="7D4A8F8E"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8F9B" w14:textId="77777777" w:rsidTr="00361285">
        <w:trPr>
          <w:trHeight w:val="454"/>
          <w:jc w:val="center"/>
        </w:trPr>
        <w:tc>
          <w:tcPr>
            <w:tcW w:w="1430" w:type="pct"/>
            <w:shd w:val="clear" w:color="auto" w:fill="auto"/>
            <w:vAlign w:val="center"/>
          </w:tcPr>
          <w:p w14:paraId="7D4A8F90" w14:textId="7A41F6EF" w:rsidR="00F540CE" w:rsidRPr="009E1B38" w:rsidRDefault="00D16D8A" w:rsidP="00F540CE">
            <w:pPr>
              <w:spacing w:after="0"/>
              <w:rPr>
                <w:rFonts w:ascii="Times New Roman" w:hAnsi="Times New Roman"/>
                <w:color w:val="000000"/>
                <w:sz w:val="24"/>
                <w:szCs w:val="24"/>
              </w:rPr>
            </w:pPr>
            <w:r w:rsidRPr="009E1B38">
              <w:rPr>
                <w:rFonts w:ascii="Times New Roman" w:hAnsi="Times New Roman"/>
                <w:color w:val="000000" w:themeColor="text1"/>
                <w:sz w:val="24"/>
                <w:szCs w:val="24"/>
              </w:rPr>
              <w:t>Administrative Officer</w:t>
            </w:r>
          </w:p>
        </w:tc>
        <w:tc>
          <w:tcPr>
            <w:tcW w:w="410" w:type="pct"/>
            <w:shd w:val="clear" w:color="auto" w:fill="auto"/>
            <w:noWrap/>
            <w:vAlign w:val="center"/>
          </w:tcPr>
          <w:p w14:paraId="7D4A8F9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0" w:type="pct"/>
            <w:shd w:val="clear" w:color="auto" w:fill="auto"/>
            <w:noWrap/>
            <w:vAlign w:val="center"/>
          </w:tcPr>
          <w:p w14:paraId="7D4A8F92" w14:textId="77777777" w:rsidR="00F540CE" w:rsidRPr="009E1B38" w:rsidRDefault="00F540CE" w:rsidP="00F540CE">
            <w:pPr>
              <w:spacing w:after="0"/>
              <w:jc w:val="center"/>
              <w:rPr>
                <w:rFonts w:ascii="Times New Roman" w:hAnsi="Times New Roman"/>
                <w:color w:val="000000"/>
              </w:rPr>
            </w:pPr>
          </w:p>
        </w:tc>
        <w:tc>
          <w:tcPr>
            <w:tcW w:w="300" w:type="pct"/>
            <w:shd w:val="clear" w:color="auto" w:fill="auto"/>
            <w:noWrap/>
            <w:vAlign w:val="center"/>
          </w:tcPr>
          <w:p w14:paraId="7D4A8F93"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94" w14:textId="77777777" w:rsidR="00F540CE" w:rsidRPr="009E1B38" w:rsidRDefault="00F540CE" w:rsidP="00F540CE">
            <w:pPr>
              <w:spacing w:after="0"/>
              <w:jc w:val="center"/>
              <w:rPr>
                <w:rFonts w:ascii="Times New Roman" w:hAnsi="Times New Roman"/>
                <w:color w:val="000000"/>
              </w:rPr>
            </w:pPr>
          </w:p>
        </w:tc>
        <w:tc>
          <w:tcPr>
            <w:tcW w:w="300" w:type="pct"/>
            <w:shd w:val="clear" w:color="auto" w:fill="auto"/>
            <w:noWrap/>
            <w:vAlign w:val="center"/>
          </w:tcPr>
          <w:p w14:paraId="7D4A8F9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7" w:type="pct"/>
            <w:shd w:val="clear" w:color="auto" w:fill="auto"/>
            <w:noWrap/>
            <w:vAlign w:val="center"/>
          </w:tcPr>
          <w:p w14:paraId="7D4A8F96"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97"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9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76" w:type="pct"/>
            <w:vAlign w:val="center"/>
          </w:tcPr>
          <w:p w14:paraId="7D4A8F99" w14:textId="77777777" w:rsidR="00F540CE" w:rsidRPr="009E1B38" w:rsidRDefault="00F540CE" w:rsidP="00F540CE">
            <w:pPr>
              <w:spacing w:after="0"/>
              <w:jc w:val="center"/>
              <w:rPr>
                <w:rFonts w:ascii="Times New Roman" w:hAnsi="Times New Roman"/>
                <w:color w:val="000000"/>
              </w:rPr>
            </w:pPr>
          </w:p>
        </w:tc>
        <w:tc>
          <w:tcPr>
            <w:tcW w:w="448" w:type="pct"/>
            <w:vAlign w:val="center"/>
          </w:tcPr>
          <w:p w14:paraId="7D4A8F9A"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8FA7" w14:textId="77777777" w:rsidTr="00361285">
        <w:trPr>
          <w:trHeight w:val="454"/>
          <w:jc w:val="center"/>
        </w:trPr>
        <w:tc>
          <w:tcPr>
            <w:tcW w:w="1430" w:type="pct"/>
            <w:shd w:val="clear" w:color="auto" w:fill="auto"/>
            <w:vAlign w:val="center"/>
          </w:tcPr>
          <w:p w14:paraId="7D4A8F9C" w14:textId="07F3E528" w:rsidR="00F540CE" w:rsidRPr="009E1B38" w:rsidRDefault="00F540CE" w:rsidP="00F540CE">
            <w:pPr>
              <w:spacing w:after="0"/>
              <w:rPr>
                <w:rFonts w:ascii="Times New Roman" w:hAnsi="Times New Roman"/>
                <w:color w:val="000000"/>
                <w:sz w:val="24"/>
                <w:szCs w:val="24"/>
              </w:rPr>
            </w:pPr>
            <w:r w:rsidRPr="009E1B38">
              <w:rPr>
                <w:rFonts w:ascii="Times New Roman" w:hAnsi="Times New Roman"/>
                <w:color w:val="000000"/>
                <w:sz w:val="24"/>
                <w:szCs w:val="24"/>
              </w:rPr>
              <w:t>Te</w:t>
            </w:r>
            <w:r w:rsidR="00D16D8A" w:rsidRPr="009E1B38">
              <w:rPr>
                <w:rFonts w:ascii="Times New Roman" w:hAnsi="Times New Roman"/>
                <w:color w:val="000000"/>
                <w:sz w:val="24"/>
                <w:szCs w:val="24"/>
              </w:rPr>
              <w:t>chnician</w:t>
            </w:r>
          </w:p>
        </w:tc>
        <w:tc>
          <w:tcPr>
            <w:tcW w:w="410" w:type="pct"/>
            <w:shd w:val="clear" w:color="auto" w:fill="auto"/>
            <w:noWrap/>
            <w:vAlign w:val="center"/>
          </w:tcPr>
          <w:p w14:paraId="7D4A8F9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0" w:type="pct"/>
            <w:shd w:val="clear" w:color="auto" w:fill="auto"/>
            <w:noWrap/>
            <w:vAlign w:val="center"/>
          </w:tcPr>
          <w:p w14:paraId="7D4A8F9E"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0" w:type="pct"/>
            <w:shd w:val="clear" w:color="auto" w:fill="auto"/>
            <w:noWrap/>
            <w:vAlign w:val="center"/>
          </w:tcPr>
          <w:p w14:paraId="7D4A8F9F"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A0" w14:textId="77777777" w:rsidR="00F540CE" w:rsidRPr="009E1B38" w:rsidRDefault="00F540CE" w:rsidP="00F540CE">
            <w:pPr>
              <w:spacing w:after="0"/>
              <w:jc w:val="center"/>
              <w:rPr>
                <w:rFonts w:ascii="Times New Roman" w:hAnsi="Times New Roman"/>
                <w:color w:val="000000"/>
              </w:rPr>
            </w:pPr>
          </w:p>
        </w:tc>
        <w:tc>
          <w:tcPr>
            <w:tcW w:w="300" w:type="pct"/>
            <w:shd w:val="clear" w:color="auto" w:fill="auto"/>
            <w:noWrap/>
            <w:vAlign w:val="center"/>
          </w:tcPr>
          <w:p w14:paraId="7D4A8FA1" w14:textId="77777777" w:rsidR="00F540CE" w:rsidRPr="009E1B38" w:rsidRDefault="00F540CE" w:rsidP="00F540CE">
            <w:pPr>
              <w:spacing w:after="0"/>
              <w:jc w:val="center"/>
              <w:rPr>
                <w:rFonts w:ascii="Times New Roman" w:hAnsi="Times New Roman"/>
                <w:color w:val="000000"/>
              </w:rPr>
            </w:pPr>
          </w:p>
        </w:tc>
        <w:tc>
          <w:tcPr>
            <w:tcW w:w="307" w:type="pct"/>
            <w:shd w:val="clear" w:color="auto" w:fill="auto"/>
            <w:noWrap/>
            <w:vAlign w:val="center"/>
          </w:tcPr>
          <w:p w14:paraId="7D4A8FA2"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A3"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A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76" w:type="pct"/>
            <w:vAlign w:val="center"/>
          </w:tcPr>
          <w:p w14:paraId="7D4A8FA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448" w:type="pct"/>
            <w:vAlign w:val="center"/>
          </w:tcPr>
          <w:p w14:paraId="7D4A8FA6" w14:textId="77777777" w:rsidR="00F540CE" w:rsidRPr="009E1B38" w:rsidRDefault="00F540CE" w:rsidP="00F540CE">
            <w:pPr>
              <w:spacing w:after="0"/>
              <w:jc w:val="center"/>
              <w:rPr>
                <w:rFonts w:ascii="Times New Roman" w:hAnsi="Times New Roman"/>
                <w:color w:val="000000"/>
              </w:rPr>
            </w:pPr>
          </w:p>
        </w:tc>
      </w:tr>
      <w:tr w:rsidR="00F540CE" w:rsidRPr="009E1B38" w14:paraId="7D4A8FB3" w14:textId="77777777" w:rsidTr="00361285">
        <w:trPr>
          <w:trHeight w:val="454"/>
          <w:jc w:val="center"/>
        </w:trPr>
        <w:tc>
          <w:tcPr>
            <w:tcW w:w="1430" w:type="pct"/>
            <w:shd w:val="clear" w:color="auto" w:fill="auto"/>
            <w:vAlign w:val="center"/>
          </w:tcPr>
          <w:p w14:paraId="7D4A8FA8" w14:textId="36FEE112" w:rsidR="00F540CE" w:rsidRPr="009E1B38" w:rsidRDefault="00F540CE" w:rsidP="00F540CE">
            <w:pPr>
              <w:spacing w:after="0"/>
              <w:rPr>
                <w:rFonts w:ascii="Times New Roman" w:hAnsi="Times New Roman"/>
                <w:b/>
                <w:color w:val="000000"/>
                <w:sz w:val="24"/>
                <w:szCs w:val="24"/>
              </w:rPr>
            </w:pPr>
            <w:r w:rsidRPr="009E1B38">
              <w:rPr>
                <w:rFonts w:ascii="Times New Roman" w:hAnsi="Times New Roman"/>
                <w:b/>
                <w:color w:val="000000"/>
                <w:sz w:val="24"/>
                <w:szCs w:val="24"/>
              </w:rPr>
              <w:t>T</w:t>
            </w:r>
            <w:r w:rsidR="00361285" w:rsidRPr="009E1B38">
              <w:rPr>
                <w:rFonts w:ascii="Times New Roman" w:hAnsi="Times New Roman"/>
                <w:b/>
                <w:color w:val="000000"/>
                <w:sz w:val="24"/>
                <w:szCs w:val="24"/>
              </w:rPr>
              <w:t>o</w:t>
            </w:r>
            <w:r w:rsidR="00747D8E" w:rsidRPr="009E1B38">
              <w:rPr>
                <w:rFonts w:ascii="Times New Roman" w:hAnsi="Times New Roman"/>
                <w:b/>
                <w:color w:val="000000"/>
                <w:sz w:val="24"/>
                <w:szCs w:val="24"/>
              </w:rPr>
              <w:t>tal</w:t>
            </w:r>
          </w:p>
        </w:tc>
        <w:tc>
          <w:tcPr>
            <w:tcW w:w="410" w:type="pct"/>
            <w:shd w:val="clear" w:color="auto" w:fill="auto"/>
            <w:noWrap/>
            <w:vAlign w:val="center"/>
          </w:tcPr>
          <w:p w14:paraId="7D4A8FA9"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38</w:t>
            </w:r>
          </w:p>
        </w:tc>
        <w:tc>
          <w:tcPr>
            <w:tcW w:w="300" w:type="pct"/>
            <w:shd w:val="clear" w:color="auto" w:fill="auto"/>
            <w:noWrap/>
            <w:vAlign w:val="center"/>
          </w:tcPr>
          <w:p w14:paraId="7D4A8FAA"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1</w:t>
            </w:r>
          </w:p>
        </w:tc>
        <w:tc>
          <w:tcPr>
            <w:tcW w:w="300" w:type="pct"/>
            <w:shd w:val="clear" w:color="auto" w:fill="auto"/>
            <w:noWrap/>
            <w:vAlign w:val="center"/>
          </w:tcPr>
          <w:p w14:paraId="7D4A8FAB" w14:textId="77777777" w:rsidR="00F540CE" w:rsidRPr="009E1B38" w:rsidRDefault="00F540CE" w:rsidP="00F540CE">
            <w:pPr>
              <w:spacing w:after="0"/>
              <w:jc w:val="center"/>
              <w:rPr>
                <w:rFonts w:ascii="Times New Roman" w:hAnsi="Times New Roman"/>
                <w:b/>
                <w:color w:val="000000"/>
              </w:rPr>
            </w:pPr>
          </w:p>
        </w:tc>
        <w:tc>
          <w:tcPr>
            <w:tcW w:w="376" w:type="pct"/>
            <w:shd w:val="clear" w:color="auto" w:fill="auto"/>
            <w:noWrap/>
            <w:vAlign w:val="center"/>
          </w:tcPr>
          <w:p w14:paraId="7D4A8FAC"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35</w:t>
            </w:r>
          </w:p>
        </w:tc>
        <w:tc>
          <w:tcPr>
            <w:tcW w:w="300" w:type="pct"/>
            <w:shd w:val="clear" w:color="auto" w:fill="auto"/>
            <w:noWrap/>
            <w:vAlign w:val="center"/>
          </w:tcPr>
          <w:p w14:paraId="7D4A8FAD"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2</w:t>
            </w:r>
          </w:p>
        </w:tc>
        <w:tc>
          <w:tcPr>
            <w:tcW w:w="307" w:type="pct"/>
            <w:shd w:val="clear" w:color="auto" w:fill="auto"/>
            <w:noWrap/>
            <w:vAlign w:val="center"/>
          </w:tcPr>
          <w:p w14:paraId="7D4A8FAE" w14:textId="77777777" w:rsidR="00F540CE" w:rsidRPr="009E1B38" w:rsidRDefault="00F540CE" w:rsidP="00F540CE">
            <w:pPr>
              <w:spacing w:after="0"/>
              <w:jc w:val="center"/>
              <w:rPr>
                <w:rFonts w:ascii="Times New Roman" w:hAnsi="Times New Roman"/>
                <w:b/>
                <w:color w:val="000000"/>
              </w:rPr>
            </w:pPr>
          </w:p>
        </w:tc>
        <w:tc>
          <w:tcPr>
            <w:tcW w:w="376" w:type="pct"/>
            <w:shd w:val="clear" w:color="auto" w:fill="auto"/>
            <w:noWrap/>
            <w:vAlign w:val="center"/>
          </w:tcPr>
          <w:p w14:paraId="7D4A8FAF"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12</w:t>
            </w:r>
          </w:p>
        </w:tc>
        <w:tc>
          <w:tcPr>
            <w:tcW w:w="376" w:type="pct"/>
            <w:shd w:val="clear" w:color="auto" w:fill="auto"/>
            <w:noWrap/>
            <w:vAlign w:val="center"/>
          </w:tcPr>
          <w:p w14:paraId="7D4A8FB0"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26</w:t>
            </w:r>
          </w:p>
        </w:tc>
        <w:tc>
          <w:tcPr>
            <w:tcW w:w="376" w:type="pct"/>
            <w:vAlign w:val="center"/>
          </w:tcPr>
          <w:p w14:paraId="7D4A8FB1"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32</w:t>
            </w:r>
          </w:p>
        </w:tc>
        <w:tc>
          <w:tcPr>
            <w:tcW w:w="448" w:type="pct"/>
            <w:vAlign w:val="center"/>
          </w:tcPr>
          <w:p w14:paraId="7D4A8FB2"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6</w:t>
            </w:r>
          </w:p>
        </w:tc>
      </w:tr>
    </w:tbl>
    <w:p w14:paraId="0DBB7BD9" w14:textId="77777777" w:rsidR="00361285" w:rsidRPr="009E1B38" w:rsidRDefault="00361285" w:rsidP="00361285">
      <w:pPr>
        <w:rPr>
          <w:rFonts w:ascii="Times New Roman" w:hAnsi="Times New Roman"/>
        </w:rPr>
      </w:pPr>
      <w:r w:rsidRPr="009E1B38">
        <w:rPr>
          <w:rFonts w:ascii="Times New Roman" w:hAnsi="Times New Roman"/>
        </w:rPr>
        <w:t>*Excluding permanent staff members.</w:t>
      </w:r>
    </w:p>
    <w:p w14:paraId="7D4A8FB5" w14:textId="77777777" w:rsidR="006C56FF" w:rsidRPr="009E1B38" w:rsidRDefault="006C56FF">
      <w:pPr>
        <w:rPr>
          <w:rFonts w:ascii="Times New Roman" w:eastAsiaTheme="majorEastAsia" w:hAnsi="Times New Roman"/>
          <w:b/>
        </w:rPr>
      </w:pPr>
    </w:p>
    <w:p w14:paraId="7D4A8FB6" w14:textId="77777777" w:rsidR="00992142" w:rsidRPr="009E1B38" w:rsidRDefault="00992142">
      <w:pPr>
        <w:rPr>
          <w:rFonts w:ascii="Times New Roman" w:eastAsiaTheme="majorEastAsia" w:hAnsi="Times New Roman"/>
          <w:b/>
        </w:rPr>
      </w:pPr>
    </w:p>
    <w:p w14:paraId="7D4A8FB7" w14:textId="77777777" w:rsidR="00992142" w:rsidRPr="009E1B38" w:rsidRDefault="00992142">
      <w:pPr>
        <w:rPr>
          <w:rFonts w:ascii="Times New Roman" w:eastAsiaTheme="majorEastAsia" w:hAnsi="Times New Roman"/>
          <w:b/>
        </w:rPr>
      </w:pPr>
    </w:p>
    <w:p w14:paraId="7D4A8FB8" w14:textId="77777777" w:rsidR="00760BA0" w:rsidRPr="009E1B38" w:rsidRDefault="00760BA0">
      <w:pPr>
        <w:rPr>
          <w:rFonts w:ascii="Times New Roman" w:eastAsiaTheme="majorEastAsia" w:hAnsi="Times New Roman"/>
          <w:b/>
        </w:rPr>
      </w:pPr>
    </w:p>
    <w:p w14:paraId="7D4A8FB9" w14:textId="501F5FAC" w:rsidR="005747D2" w:rsidRPr="009E1B38" w:rsidRDefault="0082470D" w:rsidP="002F3B01">
      <w:pPr>
        <w:pStyle w:val="Balk5"/>
        <w:jc w:val="center"/>
        <w:rPr>
          <w:rFonts w:ascii="Times New Roman" w:hAnsi="Times New Roman" w:cs="Times New Roman"/>
        </w:rPr>
      </w:pPr>
      <w:bookmarkStart w:id="366" w:name="_Toc107499567"/>
      <w:r w:rsidRPr="009E1B38">
        <w:rPr>
          <w:rFonts w:ascii="Times New Roman" w:hAnsi="Times New Roman" w:cs="Times New Roman"/>
        </w:rPr>
        <w:t>Table</w:t>
      </w:r>
      <w:r w:rsidR="000276C9" w:rsidRPr="009E1B38">
        <w:rPr>
          <w:rFonts w:ascii="Times New Roman" w:hAnsi="Times New Roman" w:cs="Times New Roman"/>
        </w:rPr>
        <w:t xml:space="preserve"> 1</w:t>
      </w:r>
      <w:r w:rsidR="008517CF" w:rsidRPr="009E1B38">
        <w:rPr>
          <w:rFonts w:ascii="Times New Roman" w:hAnsi="Times New Roman" w:cs="Times New Roman"/>
        </w:rPr>
        <w:t>3</w:t>
      </w:r>
      <w:r w:rsidR="00B20C7B" w:rsidRPr="009E1B38">
        <w:rPr>
          <w:rFonts w:ascii="Times New Roman" w:hAnsi="Times New Roman" w:cs="Times New Roman"/>
        </w:rPr>
        <w:t xml:space="preserve">.2: </w:t>
      </w:r>
      <w:r w:rsidR="005F56FA" w:rsidRPr="009E1B38">
        <w:rPr>
          <w:rFonts w:ascii="Times New Roman" w:hAnsi="Times New Roman" w:cs="Times New Roman"/>
        </w:rPr>
        <w:t>Information on the Staff who Left the Authority in 2021</w:t>
      </w:r>
      <w:bookmarkEnd w:id="366"/>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70" w:type="dxa"/>
          <w:right w:w="70" w:type="dxa"/>
        </w:tblCellMar>
        <w:tblLook w:val="0000" w:firstRow="0" w:lastRow="0" w:firstColumn="0" w:lastColumn="0" w:noHBand="0" w:noVBand="0"/>
      </w:tblPr>
      <w:tblGrid>
        <w:gridCol w:w="2796"/>
        <w:gridCol w:w="627"/>
        <w:gridCol w:w="451"/>
        <w:gridCol w:w="451"/>
        <w:gridCol w:w="757"/>
        <w:gridCol w:w="451"/>
        <w:gridCol w:w="451"/>
        <w:gridCol w:w="491"/>
        <w:gridCol w:w="495"/>
        <w:gridCol w:w="451"/>
        <w:gridCol w:w="451"/>
        <w:gridCol w:w="455"/>
        <w:gridCol w:w="475"/>
        <w:gridCol w:w="569"/>
        <w:gridCol w:w="690"/>
      </w:tblGrid>
      <w:tr w:rsidR="00F540CE" w:rsidRPr="009E1B38" w14:paraId="7D4A8FC0" w14:textId="77777777" w:rsidTr="00937AB5">
        <w:trPr>
          <w:trHeight w:val="352"/>
        </w:trPr>
        <w:tc>
          <w:tcPr>
            <w:tcW w:w="1390" w:type="pct"/>
            <w:vMerge w:val="restart"/>
            <w:shd w:val="clear" w:color="auto" w:fill="6E9ECA"/>
            <w:noWrap/>
            <w:vAlign w:val="center"/>
          </w:tcPr>
          <w:p w14:paraId="7D4A8FBA" w14:textId="77777777" w:rsidR="00F540CE" w:rsidRPr="009E1B38" w:rsidRDefault="00F540CE" w:rsidP="006A2FC2">
            <w:pPr>
              <w:spacing w:after="0"/>
              <w:rPr>
                <w:rFonts w:ascii="Times New Roman" w:hAnsi="Times New Roman"/>
                <w:b/>
                <w:color w:val="FFFFFF" w:themeColor="background1"/>
              </w:rPr>
            </w:pPr>
          </w:p>
          <w:p w14:paraId="7D4A8FBB" w14:textId="6F061671" w:rsidR="00F540CE" w:rsidRPr="009E1B38" w:rsidRDefault="006A2FC2" w:rsidP="00F540CE">
            <w:pPr>
              <w:spacing w:after="0"/>
              <w:jc w:val="center"/>
              <w:rPr>
                <w:rFonts w:ascii="Times New Roman" w:hAnsi="Times New Roman"/>
                <w:b/>
                <w:color w:val="FFFFFF"/>
              </w:rPr>
            </w:pPr>
            <w:r w:rsidRPr="009E1B38">
              <w:rPr>
                <w:rFonts w:ascii="Times New Roman" w:hAnsi="Times New Roman"/>
                <w:b/>
                <w:color w:val="FFFFFF" w:themeColor="background1"/>
              </w:rPr>
              <w:t>TITLES OF CADRES</w:t>
            </w:r>
          </w:p>
        </w:tc>
        <w:tc>
          <w:tcPr>
            <w:tcW w:w="312" w:type="pct"/>
            <w:vMerge w:val="restart"/>
            <w:shd w:val="clear" w:color="auto" w:fill="6E9ECA"/>
            <w:vAlign w:val="center"/>
          </w:tcPr>
          <w:p w14:paraId="7D4A8FBC" w14:textId="7A0E2D03" w:rsidR="00F540CE" w:rsidRPr="009E1B38" w:rsidRDefault="006A2FC2" w:rsidP="00F540CE">
            <w:pPr>
              <w:spacing w:after="0"/>
              <w:jc w:val="center"/>
              <w:rPr>
                <w:rFonts w:ascii="Times New Roman" w:hAnsi="Times New Roman"/>
                <w:b/>
                <w:color w:val="FFFFFF"/>
              </w:rPr>
            </w:pPr>
            <w:r w:rsidRPr="009E1B38">
              <w:rPr>
                <w:rFonts w:ascii="Times New Roman" w:hAnsi="Times New Roman"/>
                <w:b/>
                <w:color w:val="FFFFFF" w:themeColor="background1"/>
              </w:rPr>
              <w:br/>
              <w:t>NO</w:t>
            </w:r>
          </w:p>
        </w:tc>
        <w:tc>
          <w:tcPr>
            <w:tcW w:w="1272" w:type="pct"/>
            <w:gridSpan w:val="5"/>
            <w:shd w:val="clear" w:color="auto" w:fill="6E9ECA"/>
            <w:noWrap/>
            <w:vAlign w:val="center"/>
          </w:tcPr>
          <w:p w14:paraId="7D4A8FBD" w14:textId="6F70D4A1" w:rsidR="00F540CE" w:rsidRPr="009E1B38" w:rsidRDefault="006A2FC2" w:rsidP="00F540CE">
            <w:pPr>
              <w:spacing w:after="0"/>
              <w:jc w:val="center"/>
              <w:rPr>
                <w:rFonts w:ascii="Times New Roman" w:hAnsi="Times New Roman"/>
                <w:b/>
                <w:color w:val="FFFFFF"/>
              </w:rPr>
            </w:pPr>
            <w:r w:rsidRPr="009E1B38">
              <w:rPr>
                <w:rFonts w:ascii="Times New Roman" w:hAnsi="Times New Roman"/>
                <w:b/>
                <w:color w:val="FFFFFF" w:themeColor="background1"/>
              </w:rPr>
              <w:t>EDUCATION</w:t>
            </w:r>
          </w:p>
        </w:tc>
        <w:tc>
          <w:tcPr>
            <w:tcW w:w="490" w:type="pct"/>
            <w:gridSpan w:val="2"/>
            <w:shd w:val="clear" w:color="auto" w:fill="6E9ECA"/>
            <w:noWrap/>
            <w:vAlign w:val="center"/>
          </w:tcPr>
          <w:p w14:paraId="7D4A8FBE" w14:textId="6F39F19B" w:rsidR="00F540CE" w:rsidRPr="009E1B38" w:rsidRDefault="006A2FC2" w:rsidP="00F540CE">
            <w:pPr>
              <w:spacing w:after="0"/>
              <w:ind w:right="-157"/>
              <w:rPr>
                <w:rFonts w:ascii="Times New Roman" w:hAnsi="Times New Roman"/>
                <w:b/>
                <w:color w:val="FFFFFF"/>
              </w:rPr>
            </w:pPr>
            <w:r w:rsidRPr="009E1B38">
              <w:rPr>
                <w:rFonts w:ascii="Times New Roman" w:hAnsi="Times New Roman"/>
                <w:b/>
                <w:color w:val="FFFFFF" w:themeColor="background1"/>
              </w:rPr>
              <w:t>GENDER</w:t>
            </w:r>
          </w:p>
        </w:tc>
        <w:tc>
          <w:tcPr>
            <w:tcW w:w="1537" w:type="pct"/>
            <w:gridSpan w:val="6"/>
            <w:shd w:val="clear" w:color="auto" w:fill="6E9ECA"/>
            <w:vAlign w:val="center"/>
          </w:tcPr>
          <w:p w14:paraId="7D4A8FBF" w14:textId="3DFE1034" w:rsidR="00F540CE" w:rsidRPr="009E1B38" w:rsidRDefault="006A2FC2" w:rsidP="00F540CE">
            <w:pPr>
              <w:spacing w:after="0"/>
              <w:ind w:right="-157"/>
              <w:jc w:val="center"/>
              <w:rPr>
                <w:rFonts w:ascii="Times New Roman" w:hAnsi="Times New Roman"/>
                <w:b/>
                <w:color w:val="FFFFFF"/>
              </w:rPr>
            </w:pPr>
            <w:r w:rsidRPr="009E1B38">
              <w:rPr>
                <w:rFonts w:ascii="Times New Roman" w:hAnsi="Times New Roman"/>
                <w:b/>
                <w:color w:val="FFFFFF" w:themeColor="background1"/>
              </w:rPr>
              <w:t>LEAVING REASON</w:t>
            </w:r>
          </w:p>
        </w:tc>
      </w:tr>
      <w:tr w:rsidR="00B76498" w:rsidRPr="009E1B38" w14:paraId="7D4A8FD0" w14:textId="77777777" w:rsidTr="00937AB5">
        <w:trPr>
          <w:trHeight w:val="1737"/>
        </w:trPr>
        <w:tc>
          <w:tcPr>
            <w:tcW w:w="1390" w:type="pct"/>
            <w:vMerge/>
            <w:shd w:val="clear" w:color="auto" w:fill="6E9ECA"/>
            <w:vAlign w:val="center"/>
          </w:tcPr>
          <w:p w14:paraId="7D4A8FC1" w14:textId="77777777" w:rsidR="00F540CE" w:rsidRPr="009E1B38" w:rsidRDefault="00F540CE" w:rsidP="00F540CE">
            <w:pPr>
              <w:spacing w:after="0"/>
              <w:rPr>
                <w:rFonts w:ascii="Times New Roman" w:hAnsi="Times New Roman"/>
                <w:b/>
                <w:color w:val="FFFFFF"/>
              </w:rPr>
            </w:pPr>
          </w:p>
        </w:tc>
        <w:tc>
          <w:tcPr>
            <w:tcW w:w="312" w:type="pct"/>
            <w:vMerge/>
            <w:shd w:val="clear" w:color="auto" w:fill="6E9ECA"/>
            <w:vAlign w:val="center"/>
          </w:tcPr>
          <w:p w14:paraId="7D4A8FC2" w14:textId="77777777" w:rsidR="00F540CE" w:rsidRPr="009E1B38" w:rsidRDefault="00F540CE" w:rsidP="00F540CE">
            <w:pPr>
              <w:spacing w:after="0"/>
              <w:rPr>
                <w:rFonts w:ascii="Times New Roman" w:hAnsi="Times New Roman"/>
                <w:b/>
                <w:color w:val="FFFFFF"/>
              </w:rPr>
            </w:pPr>
          </w:p>
        </w:tc>
        <w:tc>
          <w:tcPr>
            <w:tcW w:w="224" w:type="pct"/>
            <w:shd w:val="clear" w:color="auto" w:fill="6E9ECA"/>
            <w:noWrap/>
            <w:textDirection w:val="btLr"/>
            <w:vAlign w:val="center"/>
          </w:tcPr>
          <w:p w14:paraId="7D4A8FC3" w14:textId="0898F9A5"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SECONDARY EDUCATION</w:t>
            </w:r>
          </w:p>
        </w:tc>
        <w:tc>
          <w:tcPr>
            <w:tcW w:w="224" w:type="pct"/>
            <w:shd w:val="clear" w:color="auto" w:fill="6E9ECA"/>
            <w:textDirection w:val="btLr"/>
          </w:tcPr>
          <w:p w14:paraId="7D4A8FC4" w14:textId="7D8BEC43"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2 YEARS’ UNIVERSITY</w:t>
            </w:r>
          </w:p>
        </w:tc>
        <w:tc>
          <w:tcPr>
            <w:tcW w:w="376" w:type="pct"/>
            <w:shd w:val="clear" w:color="auto" w:fill="6E9ECA"/>
            <w:textDirection w:val="btLr"/>
            <w:vAlign w:val="center"/>
          </w:tcPr>
          <w:p w14:paraId="52C10C7C" w14:textId="77777777" w:rsidR="00D64EE6" w:rsidRPr="009E1B38" w:rsidRDefault="00D64EE6" w:rsidP="003C5E4D">
            <w:pPr>
              <w:pStyle w:val="ListeParagraf"/>
              <w:numPr>
                <w:ilvl w:val="0"/>
                <w:numId w:val="48"/>
              </w:numPr>
              <w:spacing w:after="0"/>
              <w:rPr>
                <w:rFonts w:ascii="Times New Roman" w:hAnsi="Times New Roman"/>
                <w:b/>
                <w:color w:val="FFFFFF" w:themeColor="background1"/>
              </w:rPr>
            </w:pPr>
            <w:r w:rsidRPr="009E1B38">
              <w:rPr>
                <w:rFonts w:ascii="Times New Roman" w:hAnsi="Times New Roman"/>
                <w:b/>
                <w:color w:val="FFFFFF" w:themeColor="background1"/>
              </w:rPr>
              <w:t>YEARS’</w:t>
            </w:r>
          </w:p>
          <w:p w14:paraId="7D4A8FC5" w14:textId="5308C065"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UNIVERSITY</w:t>
            </w:r>
          </w:p>
        </w:tc>
        <w:tc>
          <w:tcPr>
            <w:tcW w:w="224" w:type="pct"/>
            <w:shd w:val="clear" w:color="auto" w:fill="6E9ECA"/>
            <w:textDirection w:val="btLr"/>
            <w:vAlign w:val="center"/>
          </w:tcPr>
          <w:p w14:paraId="7D4A8FC6" w14:textId="0560876A"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MASTERS</w:t>
            </w:r>
          </w:p>
        </w:tc>
        <w:tc>
          <w:tcPr>
            <w:tcW w:w="224" w:type="pct"/>
            <w:shd w:val="clear" w:color="auto" w:fill="6E9ECA"/>
            <w:textDirection w:val="btLr"/>
          </w:tcPr>
          <w:p w14:paraId="7D4A8FC7" w14:textId="6A0D7F5C"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DOCTORATE</w:t>
            </w:r>
          </w:p>
        </w:tc>
        <w:tc>
          <w:tcPr>
            <w:tcW w:w="244" w:type="pct"/>
            <w:shd w:val="clear" w:color="auto" w:fill="6E9ECA"/>
            <w:textDirection w:val="btLr"/>
          </w:tcPr>
          <w:p w14:paraId="7D4A8FC8" w14:textId="691D32CA"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FEMALE</w:t>
            </w:r>
          </w:p>
        </w:tc>
        <w:tc>
          <w:tcPr>
            <w:tcW w:w="246" w:type="pct"/>
            <w:shd w:val="clear" w:color="auto" w:fill="6E9ECA"/>
            <w:textDirection w:val="btLr"/>
          </w:tcPr>
          <w:p w14:paraId="7D4A8FC9" w14:textId="44DF397D"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MALE</w:t>
            </w:r>
          </w:p>
        </w:tc>
        <w:tc>
          <w:tcPr>
            <w:tcW w:w="224" w:type="pct"/>
            <w:shd w:val="clear" w:color="auto" w:fill="6E9ECA"/>
            <w:textDirection w:val="btLr"/>
          </w:tcPr>
          <w:p w14:paraId="7D4A8FCA" w14:textId="0F874E16"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RESIGNED</w:t>
            </w:r>
          </w:p>
        </w:tc>
        <w:tc>
          <w:tcPr>
            <w:tcW w:w="224" w:type="pct"/>
            <w:shd w:val="clear" w:color="auto" w:fill="6E9ECA"/>
            <w:textDirection w:val="btLr"/>
          </w:tcPr>
          <w:p w14:paraId="7D4A8FCB" w14:textId="17CB8C12"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RETIRED</w:t>
            </w:r>
          </w:p>
        </w:tc>
        <w:tc>
          <w:tcPr>
            <w:tcW w:w="226" w:type="pct"/>
            <w:shd w:val="clear" w:color="auto" w:fill="6E9ECA"/>
            <w:textDirection w:val="btLr"/>
            <w:vAlign w:val="center"/>
          </w:tcPr>
          <w:p w14:paraId="7D4A8FCC" w14:textId="22E4FA65"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TRANSFERRED</w:t>
            </w:r>
          </w:p>
        </w:tc>
        <w:tc>
          <w:tcPr>
            <w:tcW w:w="236" w:type="pct"/>
            <w:shd w:val="clear" w:color="auto" w:fill="6E9ECA"/>
            <w:textDirection w:val="btLr"/>
          </w:tcPr>
          <w:p w14:paraId="7D4A8FCD" w14:textId="0EBB8662"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EXPULLED</w:t>
            </w:r>
          </w:p>
        </w:tc>
        <w:tc>
          <w:tcPr>
            <w:tcW w:w="283" w:type="pct"/>
            <w:shd w:val="clear" w:color="auto" w:fill="6E9ECA"/>
            <w:textDirection w:val="btLr"/>
          </w:tcPr>
          <w:p w14:paraId="7D4A8FCE" w14:textId="01550426" w:rsidR="00F540CE" w:rsidRPr="009E1B38" w:rsidRDefault="00D64EE6" w:rsidP="00F540CE">
            <w:pPr>
              <w:spacing w:after="0"/>
              <w:jc w:val="center"/>
              <w:rPr>
                <w:rFonts w:ascii="Times New Roman" w:hAnsi="Times New Roman"/>
                <w:b/>
                <w:color w:val="FFFFFF"/>
              </w:rPr>
            </w:pPr>
            <w:r w:rsidRPr="009E1B38">
              <w:rPr>
                <w:rFonts w:ascii="Times New Roman" w:hAnsi="Times New Roman"/>
                <w:b/>
                <w:color w:val="FFFFFF" w:themeColor="background1"/>
              </w:rPr>
              <w:t>DEEMED RESIGNED</w:t>
            </w:r>
          </w:p>
        </w:tc>
        <w:tc>
          <w:tcPr>
            <w:tcW w:w="343" w:type="pct"/>
            <w:shd w:val="clear" w:color="auto" w:fill="6E9ECA"/>
            <w:textDirection w:val="btLr"/>
          </w:tcPr>
          <w:p w14:paraId="7D4A8FCF" w14:textId="26FF6B1A" w:rsidR="00F540CE" w:rsidRPr="009E1B38" w:rsidRDefault="0010645D" w:rsidP="00F540CE">
            <w:pPr>
              <w:spacing w:after="0"/>
              <w:jc w:val="center"/>
              <w:rPr>
                <w:rFonts w:ascii="Times New Roman" w:hAnsi="Times New Roman"/>
                <w:b/>
                <w:color w:val="FFFFFF"/>
              </w:rPr>
            </w:pPr>
            <w:r w:rsidRPr="009E1B38">
              <w:rPr>
                <w:rFonts w:ascii="Times New Roman" w:hAnsi="Times New Roman"/>
                <w:b/>
                <w:color w:val="FFFFFF"/>
              </w:rPr>
              <w:t>DEATH</w:t>
            </w:r>
          </w:p>
        </w:tc>
      </w:tr>
      <w:tr w:rsidR="00F540CE" w:rsidRPr="009E1B38" w14:paraId="7D4A8FE0" w14:textId="77777777" w:rsidTr="00937AB5">
        <w:trPr>
          <w:trHeight w:val="397"/>
        </w:trPr>
        <w:tc>
          <w:tcPr>
            <w:tcW w:w="1390" w:type="pct"/>
            <w:shd w:val="clear" w:color="auto" w:fill="auto"/>
            <w:noWrap/>
            <w:vAlign w:val="bottom"/>
          </w:tcPr>
          <w:p w14:paraId="7D4A8FD1" w14:textId="2048F484" w:rsidR="00F540CE" w:rsidRPr="009E1B38" w:rsidRDefault="00542352" w:rsidP="00F540CE">
            <w:pPr>
              <w:spacing w:after="0"/>
              <w:rPr>
                <w:rFonts w:ascii="Times New Roman" w:hAnsi="Times New Roman"/>
                <w:color w:val="000000"/>
              </w:rPr>
            </w:pPr>
            <w:r w:rsidRPr="009E1B38">
              <w:rPr>
                <w:rFonts w:ascii="Times New Roman" w:hAnsi="Times New Roman"/>
                <w:color w:val="000000"/>
              </w:rPr>
              <w:t>Head of Tariffs Department</w:t>
            </w:r>
          </w:p>
        </w:tc>
        <w:tc>
          <w:tcPr>
            <w:tcW w:w="312" w:type="pct"/>
            <w:shd w:val="clear" w:color="auto" w:fill="auto"/>
            <w:noWrap/>
            <w:vAlign w:val="center"/>
          </w:tcPr>
          <w:p w14:paraId="7D4A8FD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8FD3"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8FD4"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D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8FD6"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8FD7" w14:textId="77777777" w:rsidR="00F540CE" w:rsidRPr="009E1B38" w:rsidRDefault="00F540CE" w:rsidP="00F540CE">
            <w:pPr>
              <w:spacing w:after="0"/>
              <w:jc w:val="center"/>
              <w:rPr>
                <w:rFonts w:ascii="Times New Roman" w:hAnsi="Times New Roman"/>
                <w:color w:val="000000"/>
              </w:rPr>
            </w:pPr>
          </w:p>
        </w:tc>
        <w:tc>
          <w:tcPr>
            <w:tcW w:w="244" w:type="pct"/>
            <w:shd w:val="clear" w:color="auto" w:fill="auto"/>
            <w:noWrap/>
            <w:vAlign w:val="center"/>
          </w:tcPr>
          <w:p w14:paraId="7D4A8FD8" w14:textId="77777777" w:rsidR="00F540CE" w:rsidRPr="009E1B38" w:rsidRDefault="00F540CE" w:rsidP="00F540CE">
            <w:pPr>
              <w:spacing w:after="0"/>
              <w:jc w:val="center"/>
              <w:rPr>
                <w:rFonts w:ascii="Times New Roman" w:hAnsi="Times New Roman"/>
                <w:color w:val="000000"/>
              </w:rPr>
            </w:pPr>
          </w:p>
        </w:tc>
        <w:tc>
          <w:tcPr>
            <w:tcW w:w="246" w:type="pct"/>
            <w:shd w:val="clear" w:color="auto" w:fill="auto"/>
            <w:noWrap/>
            <w:vAlign w:val="center"/>
          </w:tcPr>
          <w:p w14:paraId="7D4A8FD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vAlign w:val="center"/>
          </w:tcPr>
          <w:p w14:paraId="7D4A8FDA"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vAlign w:val="center"/>
          </w:tcPr>
          <w:p w14:paraId="7D4A8FDB" w14:textId="77777777" w:rsidR="00F540CE" w:rsidRPr="009E1B38" w:rsidRDefault="00F540CE" w:rsidP="00F540CE">
            <w:pPr>
              <w:spacing w:after="0"/>
              <w:jc w:val="center"/>
              <w:rPr>
                <w:rFonts w:ascii="Times New Roman" w:hAnsi="Times New Roman"/>
                <w:color w:val="000000"/>
              </w:rPr>
            </w:pPr>
          </w:p>
        </w:tc>
        <w:tc>
          <w:tcPr>
            <w:tcW w:w="226" w:type="pct"/>
            <w:vAlign w:val="center"/>
          </w:tcPr>
          <w:p w14:paraId="7D4A8FDC" w14:textId="77777777" w:rsidR="00F540CE" w:rsidRPr="009E1B38" w:rsidRDefault="00F540CE" w:rsidP="00F540CE">
            <w:pPr>
              <w:spacing w:after="0"/>
              <w:jc w:val="center"/>
              <w:rPr>
                <w:rFonts w:ascii="Times New Roman" w:hAnsi="Times New Roman"/>
                <w:color w:val="000000"/>
              </w:rPr>
            </w:pPr>
          </w:p>
        </w:tc>
        <w:tc>
          <w:tcPr>
            <w:tcW w:w="236" w:type="pct"/>
            <w:vAlign w:val="center"/>
          </w:tcPr>
          <w:p w14:paraId="7D4A8FDD" w14:textId="77777777" w:rsidR="00F540CE" w:rsidRPr="009E1B38" w:rsidRDefault="00F540CE" w:rsidP="00F540CE">
            <w:pPr>
              <w:spacing w:after="0"/>
              <w:jc w:val="center"/>
              <w:rPr>
                <w:rFonts w:ascii="Times New Roman" w:hAnsi="Times New Roman"/>
                <w:color w:val="000000"/>
              </w:rPr>
            </w:pPr>
          </w:p>
        </w:tc>
        <w:tc>
          <w:tcPr>
            <w:tcW w:w="283" w:type="pct"/>
          </w:tcPr>
          <w:p w14:paraId="7D4A8FDE" w14:textId="77777777" w:rsidR="00F540CE" w:rsidRPr="009E1B38" w:rsidRDefault="00F540CE" w:rsidP="00F540CE">
            <w:pPr>
              <w:spacing w:after="0"/>
              <w:jc w:val="center"/>
              <w:rPr>
                <w:rFonts w:ascii="Times New Roman" w:hAnsi="Times New Roman"/>
                <w:color w:val="000000"/>
              </w:rPr>
            </w:pPr>
          </w:p>
        </w:tc>
        <w:tc>
          <w:tcPr>
            <w:tcW w:w="343" w:type="pct"/>
          </w:tcPr>
          <w:p w14:paraId="7D4A8FDF" w14:textId="77777777" w:rsidR="00F540CE" w:rsidRPr="009E1B38" w:rsidRDefault="00F540CE" w:rsidP="00F540CE">
            <w:pPr>
              <w:spacing w:after="0"/>
              <w:jc w:val="center"/>
              <w:rPr>
                <w:rFonts w:ascii="Times New Roman" w:hAnsi="Times New Roman"/>
                <w:color w:val="000000"/>
              </w:rPr>
            </w:pPr>
          </w:p>
        </w:tc>
      </w:tr>
      <w:tr w:rsidR="00F540CE" w:rsidRPr="009E1B38" w14:paraId="7D4A8FF0" w14:textId="77777777" w:rsidTr="00937AB5">
        <w:trPr>
          <w:trHeight w:val="397"/>
        </w:trPr>
        <w:tc>
          <w:tcPr>
            <w:tcW w:w="1390" w:type="pct"/>
            <w:shd w:val="clear" w:color="auto" w:fill="auto"/>
            <w:vAlign w:val="bottom"/>
          </w:tcPr>
          <w:p w14:paraId="7D4A8FE1" w14:textId="4422AE1D" w:rsidR="00F540CE" w:rsidRPr="009E1B38" w:rsidRDefault="00542352" w:rsidP="00F540CE">
            <w:pPr>
              <w:spacing w:after="0"/>
              <w:rPr>
                <w:rFonts w:ascii="Times New Roman" w:hAnsi="Times New Roman"/>
                <w:color w:val="000000"/>
              </w:rPr>
            </w:pPr>
            <w:r w:rsidRPr="009E1B38">
              <w:rPr>
                <w:rFonts w:ascii="Times New Roman" w:hAnsi="Times New Roman"/>
                <w:color w:val="000000"/>
              </w:rPr>
              <w:t>Head of Strategy Development Department</w:t>
            </w:r>
          </w:p>
        </w:tc>
        <w:tc>
          <w:tcPr>
            <w:tcW w:w="312" w:type="pct"/>
            <w:shd w:val="clear" w:color="auto" w:fill="auto"/>
            <w:noWrap/>
            <w:vAlign w:val="center"/>
          </w:tcPr>
          <w:p w14:paraId="7D4A8FE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8FE3"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8FE4"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E5"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8FE6"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8FE7" w14:textId="77777777" w:rsidR="00F540CE" w:rsidRPr="009E1B38" w:rsidRDefault="00F540CE" w:rsidP="00F540CE">
            <w:pPr>
              <w:spacing w:after="0"/>
              <w:jc w:val="center"/>
              <w:rPr>
                <w:rFonts w:ascii="Times New Roman" w:hAnsi="Times New Roman"/>
                <w:color w:val="000000"/>
              </w:rPr>
            </w:pPr>
          </w:p>
        </w:tc>
        <w:tc>
          <w:tcPr>
            <w:tcW w:w="244" w:type="pct"/>
            <w:shd w:val="clear" w:color="auto" w:fill="auto"/>
            <w:noWrap/>
            <w:vAlign w:val="center"/>
          </w:tcPr>
          <w:p w14:paraId="7D4A8FE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46" w:type="pct"/>
            <w:shd w:val="clear" w:color="auto" w:fill="auto"/>
            <w:noWrap/>
            <w:vAlign w:val="center"/>
          </w:tcPr>
          <w:p w14:paraId="7D4A8FE9" w14:textId="77777777" w:rsidR="00F540CE" w:rsidRPr="009E1B38" w:rsidRDefault="00F540CE" w:rsidP="00F540CE">
            <w:pPr>
              <w:spacing w:after="0"/>
              <w:jc w:val="center"/>
              <w:rPr>
                <w:rFonts w:ascii="Times New Roman" w:hAnsi="Times New Roman"/>
                <w:color w:val="000000"/>
              </w:rPr>
            </w:pPr>
          </w:p>
        </w:tc>
        <w:tc>
          <w:tcPr>
            <w:tcW w:w="224" w:type="pct"/>
            <w:vAlign w:val="center"/>
          </w:tcPr>
          <w:p w14:paraId="7D4A8FEA"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vAlign w:val="center"/>
          </w:tcPr>
          <w:p w14:paraId="7D4A8FEB" w14:textId="77777777" w:rsidR="00F540CE" w:rsidRPr="009E1B38" w:rsidRDefault="00F540CE" w:rsidP="00F540CE">
            <w:pPr>
              <w:spacing w:after="0"/>
              <w:jc w:val="center"/>
              <w:rPr>
                <w:rFonts w:ascii="Times New Roman" w:hAnsi="Times New Roman"/>
                <w:color w:val="000000"/>
              </w:rPr>
            </w:pPr>
          </w:p>
        </w:tc>
        <w:tc>
          <w:tcPr>
            <w:tcW w:w="226" w:type="pct"/>
            <w:vAlign w:val="center"/>
          </w:tcPr>
          <w:p w14:paraId="7D4A8FEC" w14:textId="77777777" w:rsidR="00F540CE" w:rsidRPr="009E1B38" w:rsidRDefault="00F540CE" w:rsidP="00F540CE">
            <w:pPr>
              <w:spacing w:after="0"/>
              <w:jc w:val="center"/>
              <w:rPr>
                <w:rFonts w:ascii="Times New Roman" w:hAnsi="Times New Roman"/>
                <w:color w:val="000000"/>
              </w:rPr>
            </w:pPr>
          </w:p>
        </w:tc>
        <w:tc>
          <w:tcPr>
            <w:tcW w:w="236" w:type="pct"/>
            <w:vAlign w:val="center"/>
          </w:tcPr>
          <w:p w14:paraId="7D4A8FED" w14:textId="77777777" w:rsidR="00F540CE" w:rsidRPr="009E1B38" w:rsidRDefault="00F540CE" w:rsidP="00F540CE">
            <w:pPr>
              <w:spacing w:after="0"/>
              <w:jc w:val="center"/>
              <w:rPr>
                <w:rFonts w:ascii="Times New Roman" w:hAnsi="Times New Roman"/>
                <w:color w:val="000000"/>
              </w:rPr>
            </w:pPr>
          </w:p>
        </w:tc>
        <w:tc>
          <w:tcPr>
            <w:tcW w:w="283" w:type="pct"/>
          </w:tcPr>
          <w:p w14:paraId="7D4A8FEE" w14:textId="77777777" w:rsidR="00F540CE" w:rsidRPr="009E1B38" w:rsidRDefault="00F540CE" w:rsidP="00F540CE">
            <w:pPr>
              <w:spacing w:after="0"/>
              <w:jc w:val="center"/>
              <w:rPr>
                <w:rFonts w:ascii="Times New Roman" w:hAnsi="Times New Roman"/>
                <w:color w:val="000000"/>
              </w:rPr>
            </w:pPr>
          </w:p>
        </w:tc>
        <w:tc>
          <w:tcPr>
            <w:tcW w:w="343" w:type="pct"/>
          </w:tcPr>
          <w:p w14:paraId="7D4A8FEF" w14:textId="77777777" w:rsidR="00F540CE" w:rsidRPr="009E1B38" w:rsidRDefault="00F540CE" w:rsidP="00F540CE">
            <w:pPr>
              <w:spacing w:after="0"/>
              <w:jc w:val="center"/>
              <w:rPr>
                <w:rFonts w:ascii="Times New Roman" w:hAnsi="Times New Roman"/>
                <w:color w:val="000000"/>
              </w:rPr>
            </w:pPr>
          </w:p>
        </w:tc>
      </w:tr>
      <w:tr w:rsidR="00F540CE" w:rsidRPr="009E1B38" w14:paraId="7D4A9000" w14:textId="77777777" w:rsidTr="00937AB5">
        <w:trPr>
          <w:trHeight w:val="397"/>
        </w:trPr>
        <w:tc>
          <w:tcPr>
            <w:tcW w:w="1390" w:type="pct"/>
            <w:shd w:val="clear" w:color="auto" w:fill="auto"/>
            <w:noWrap/>
            <w:vAlign w:val="bottom"/>
          </w:tcPr>
          <w:p w14:paraId="7D4A8FF1" w14:textId="42935767" w:rsidR="00F540CE" w:rsidRPr="009E1B38" w:rsidRDefault="00542352" w:rsidP="00F540CE">
            <w:pPr>
              <w:spacing w:after="0"/>
              <w:rPr>
                <w:rFonts w:ascii="Times New Roman" w:hAnsi="Times New Roman"/>
                <w:color w:val="000000"/>
              </w:rPr>
            </w:pPr>
            <w:r w:rsidRPr="009E1B38">
              <w:rPr>
                <w:rFonts w:ascii="Times New Roman" w:hAnsi="Times New Roman"/>
                <w:color w:val="000000"/>
              </w:rPr>
              <w:t>Vice President</w:t>
            </w:r>
          </w:p>
        </w:tc>
        <w:tc>
          <w:tcPr>
            <w:tcW w:w="312" w:type="pct"/>
            <w:shd w:val="clear" w:color="auto" w:fill="auto"/>
            <w:noWrap/>
            <w:vAlign w:val="center"/>
          </w:tcPr>
          <w:p w14:paraId="7D4A8FF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8FF3"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8FF4"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8FF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8FF6"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8FF7" w14:textId="77777777" w:rsidR="00F540CE" w:rsidRPr="009E1B38" w:rsidRDefault="00F540CE" w:rsidP="00F540CE">
            <w:pPr>
              <w:spacing w:after="0"/>
              <w:jc w:val="center"/>
              <w:rPr>
                <w:rFonts w:ascii="Times New Roman" w:hAnsi="Times New Roman"/>
                <w:color w:val="000000"/>
              </w:rPr>
            </w:pPr>
          </w:p>
        </w:tc>
        <w:tc>
          <w:tcPr>
            <w:tcW w:w="244" w:type="pct"/>
            <w:shd w:val="clear" w:color="auto" w:fill="auto"/>
            <w:noWrap/>
            <w:vAlign w:val="center"/>
          </w:tcPr>
          <w:p w14:paraId="7D4A8FF8" w14:textId="77777777" w:rsidR="00F540CE" w:rsidRPr="009E1B38" w:rsidRDefault="00F540CE" w:rsidP="00F540CE">
            <w:pPr>
              <w:spacing w:after="0"/>
              <w:jc w:val="center"/>
              <w:rPr>
                <w:rFonts w:ascii="Times New Roman" w:hAnsi="Times New Roman"/>
                <w:color w:val="000000"/>
              </w:rPr>
            </w:pPr>
          </w:p>
        </w:tc>
        <w:tc>
          <w:tcPr>
            <w:tcW w:w="246" w:type="pct"/>
            <w:shd w:val="clear" w:color="auto" w:fill="auto"/>
            <w:noWrap/>
            <w:vAlign w:val="center"/>
          </w:tcPr>
          <w:p w14:paraId="7D4A8FF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vAlign w:val="center"/>
          </w:tcPr>
          <w:p w14:paraId="7D4A8FFA" w14:textId="77777777" w:rsidR="00F540CE" w:rsidRPr="009E1B38" w:rsidRDefault="00F540CE" w:rsidP="00F540CE">
            <w:pPr>
              <w:spacing w:after="0"/>
              <w:jc w:val="center"/>
              <w:rPr>
                <w:rFonts w:ascii="Times New Roman" w:hAnsi="Times New Roman"/>
                <w:color w:val="000000"/>
              </w:rPr>
            </w:pPr>
          </w:p>
        </w:tc>
        <w:tc>
          <w:tcPr>
            <w:tcW w:w="224" w:type="pct"/>
            <w:vAlign w:val="center"/>
          </w:tcPr>
          <w:p w14:paraId="7D4A8FFB" w14:textId="77777777" w:rsidR="00F540CE" w:rsidRPr="009E1B38" w:rsidRDefault="00F540CE" w:rsidP="00F540CE">
            <w:pPr>
              <w:spacing w:after="0"/>
              <w:jc w:val="center"/>
              <w:rPr>
                <w:rFonts w:ascii="Times New Roman" w:hAnsi="Times New Roman"/>
                <w:color w:val="000000"/>
              </w:rPr>
            </w:pPr>
          </w:p>
        </w:tc>
        <w:tc>
          <w:tcPr>
            <w:tcW w:w="226" w:type="pct"/>
            <w:vAlign w:val="center"/>
          </w:tcPr>
          <w:p w14:paraId="7D4A8FF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36" w:type="pct"/>
            <w:vAlign w:val="center"/>
          </w:tcPr>
          <w:p w14:paraId="7D4A8FFD" w14:textId="77777777" w:rsidR="00F540CE" w:rsidRPr="009E1B38" w:rsidRDefault="00F540CE" w:rsidP="00F540CE">
            <w:pPr>
              <w:spacing w:after="0"/>
              <w:jc w:val="center"/>
              <w:rPr>
                <w:rFonts w:ascii="Times New Roman" w:hAnsi="Times New Roman"/>
                <w:color w:val="000000"/>
              </w:rPr>
            </w:pPr>
          </w:p>
        </w:tc>
        <w:tc>
          <w:tcPr>
            <w:tcW w:w="283" w:type="pct"/>
          </w:tcPr>
          <w:p w14:paraId="7D4A8FFE" w14:textId="77777777" w:rsidR="00F540CE" w:rsidRPr="009E1B38" w:rsidRDefault="00F540CE" w:rsidP="00F540CE">
            <w:pPr>
              <w:spacing w:after="0"/>
              <w:jc w:val="center"/>
              <w:rPr>
                <w:rFonts w:ascii="Times New Roman" w:hAnsi="Times New Roman"/>
                <w:color w:val="000000"/>
              </w:rPr>
            </w:pPr>
          </w:p>
        </w:tc>
        <w:tc>
          <w:tcPr>
            <w:tcW w:w="343" w:type="pct"/>
          </w:tcPr>
          <w:p w14:paraId="7D4A8FFF" w14:textId="77777777" w:rsidR="00F540CE" w:rsidRPr="009E1B38" w:rsidRDefault="00F540CE" w:rsidP="00F540CE">
            <w:pPr>
              <w:spacing w:after="0"/>
              <w:jc w:val="center"/>
              <w:rPr>
                <w:rFonts w:ascii="Times New Roman" w:hAnsi="Times New Roman"/>
                <w:color w:val="000000"/>
              </w:rPr>
            </w:pPr>
          </w:p>
        </w:tc>
      </w:tr>
      <w:tr w:rsidR="00F540CE" w:rsidRPr="009E1B38" w14:paraId="7D4A9010" w14:textId="77777777" w:rsidTr="00937AB5">
        <w:trPr>
          <w:trHeight w:val="397"/>
        </w:trPr>
        <w:tc>
          <w:tcPr>
            <w:tcW w:w="1390" w:type="pct"/>
            <w:shd w:val="clear" w:color="auto" w:fill="auto"/>
            <w:vAlign w:val="bottom"/>
          </w:tcPr>
          <w:p w14:paraId="7D4A9001" w14:textId="20D33E85" w:rsidR="00F540CE" w:rsidRPr="009E1B38" w:rsidRDefault="003F3F88" w:rsidP="00F540CE">
            <w:pPr>
              <w:spacing w:after="0"/>
              <w:rPr>
                <w:rFonts w:ascii="Times New Roman" w:hAnsi="Times New Roman"/>
                <w:color w:val="000000"/>
              </w:rPr>
            </w:pPr>
            <w:r w:rsidRPr="009E1B38">
              <w:rPr>
                <w:rFonts w:ascii="Times New Roman" w:hAnsi="Times New Roman"/>
                <w:color w:val="000000"/>
              </w:rPr>
              <w:lastRenderedPageBreak/>
              <w:t xml:space="preserve">Group </w:t>
            </w:r>
            <w:r w:rsidR="00257228" w:rsidRPr="009E1B38">
              <w:rPr>
                <w:rFonts w:ascii="Times New Roman" w:hAnsi="Times New Roman"/>
                <w:color w:val="000000"/>
              </w:rPr>
              <w:t>Head</w:t>
            </w:r>
          </w:p>
        </w:tc>
        <w:tc>
          <w:tcPr>
            <w:tcW w:w="312" w:type="pct"/>
            <w:shd w:val="clear" w:color="auto" w:fill="auto"/>
            <w:noWrap/>
            <w:vAlign w:val="center"/>
          </w:tcPr>
          <w:p w14:paraId="7D4A900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224" w:type="pct"/>
            <w:shd w:val="clear" w:color="auto" w:fill="auto"/>
            <w:noWrap/>
            <w:vAlign w:val="center"/>
          </w:tcPr>
          <w:p w14:paraId="7D4A9003"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04"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900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9006"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9007" w14:textId="77777777" w:rsidR="00F540CE" w:rsidRPr="009E1B38" w:rsidRDefault="00F540CE" w:rsidP="00F540CE">
            <w:pPr>
              <w:spacing w:after="0"/>
              <w:jc w:val="center"/>
              <w:rPr>
                <w:rFonts w:ascii="Times New Roman" w:hAnsi="Times New Roman"/>
                <w:color w:val="000000"/>
              </w:rPr>
            </w:pPr>
          </w:p>
        </w:tc>
        <w:tc>
          <w:tcPr>
            <w:tcW w:w="244" w:type="pct"/>
            <w:shd w:val="clear" w:color="auto" w:fill="auto"/>
            <w:noWrap/>
            <w:vAlign w:val="center"/>
          </w:tcPr>
          <w:p w14:paraId="7D4A9008" w14:textId="77777777" w:rsidR="00F540CE" w:rsidRPr="009E1B38" w:rsidRDefault="00F540CE" w:rsidP="00F540CE">
            <w:pPr>
              <w:spacing w:after="0"/>
              <w:jc w:val="center"/>
              <w:rPr>
                <w:rFonts w:ascii="Times New Roman" w:hAnsi="Times New Roman"/>
                <w:color w:val="000000"/>
              </w:rPr>
            </w:pPr>
          </w:p>
        </w:tc>
        <w:tc>
          <w:tcPr>
            <w:tcW w:w="246" w:type="pct"/>
            <w:shd w:val="clear" w:color="auto" w:fill="auto"/>
            <w:noWrap/>
            <w:vAlign w:val="center"/>
          </w:tcPr>
          <w:p w14:paraId="7D4A900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224" w:type="pct"/>
            <w:vAlign w:val="center"/>
          </w:tcPr>
          <w:p w14:paraId="7D4A900A"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224" w:type="pct"/>
            <w:vAlign w:val="center"/>
          </w:tcPr>
          <w:p w14:paraId="7D4A900B" w14:textId="77777777" w:rsidR="00F540CE" w:rsidRPr="009E1B38" w:rsidRDefault="00F540CE" w:rsidP="00F540CE">
            <w:pPr>
              <w:spacing w:after="0"/>
              <w:jc w:val="center"/>
              <w:rPr>
                <w:rFonts w:ascii="Times New Roman" w:hAnsi="Times New Roman"/>
                <w:color w:val="000000"/>
              </w:rPr>
            </w:pPr>
          </w:p>
        </w:tc>
        <w:tc>
          <w:tcPr>
            <w:tcW w:w="226" w:type="pct"/>
            <w:vAlign w:val="center"/>
          </w:tcPr>
          <w:p w14:paraId="7D4A900C" w14:textId="77777777" w:rsidR="00F540CE" w:rsidRPr="009E1B38" w:rsidRDefault="00F540CE" w:rsidP="00F540CE">
            <w:pPr>
              <w:spacing w:after="0"/>
              <w:jc w:val="center"/>
              <w:rPr>
                <w:rFonts w:ascii="Times New Roman" w:hAnsi="Times New Roman"/>
                <w:color w:val="000000"/>
              </w:rPr>
            </w:pPr>
          </w:p>
        </w:tc>
        <w:tc>
          <w:tcPr>
            <w:tcW w:w="236" w:type="pct"/>
            <w:vAlign w:val="center"/>
          </w:tcPr>
          <w:p w14:paraId="7D4A900D" w14:textId="77777777" w:rsidR="00F540CE" w:rsidRPr="009E1B38" w:rsidRDefault="00F540CE" w:rsidP="00F540CE">
            <w:pPr>
              <w:spacing w:after="0"/>
              <w:jc w:val="center"/>
              <w:rPr>
                <w:rFonts w:ascii="Times New Roman" w:hAnsi="Times New Roman"/>
                <w:color w:val="000000"/>
              </w:rPr>
            </w:pPr>
          </w:p>
        </w:tc>
        <w:tc>
          <w:tcPr>
            <w:tcW w:w="283" w:type="pct"/>
          </w:tcPr>
          <w:p w14:paraId="7D4A900E" w14:textId="77777777" w:rsidR="00F540CE" w:rsidRPr="009E1B38" w:rsidRDefault="00F540CE" w:rsidP="00F540CE">
            <w:pPr>
              <w:spacing w:after="0"/>
              <w:jc w:val="center"/>
              <w:rPr>
                <w:rFonts w:ascii="Times New Roman" w:hAnsi="Times New Roman"/>
                <w:color w:val="000000"/>
              </w:rPr>
            </w:pPr>
          </w:p>
        </w:tc>
        <w:tc>
          <w:tcPr>
            <w:tcW w:w="343" w:type="pct"/>
          </w:tcPr>
          <w:p w14:paraId="7D4A900F" w14:textId="77777777" w:rsidR="00F540CE" w:rsidRPr="009E1B38" w:rsidRDefault="00F540CE" w:rsidP="00F540CE">
            <w:pPr>
              <w:spacing w:after="0"/>
              <w:jc w:val="center"/>
              <w:rPr>
                <w:rFonts w:ascii="Times New Roman" w:hAnsi="Times New Roman"/>
                <w:color w:val="000000"/>
              </w:rPr>
            </w:pPr>
          </w:p>
        </w:tc>
      </w:tr>
      <w:tr w:rsidR="00F540CE" w:rsidRPr="009E1B38" w14:paraId="7D4A9020" w14:textId="77777777" w:rsidTr="00937AB5">
        <w:trPr>
          <w:trHeight w:val="397"/>
        </w:trPr>
        <w:tc>
          <w:tcPr>
            <w:tcW w:w="1390" w:type="pct"/>
            <w:shd w:val="clear" w:color="auto" w:fill="auto"/>
            <w:vAlign w:val="bottom"/>
          </w:tcPr>
          <w:p w14:paraId="7D4A9011" w14:textId="06FF96B7" w:rsidR="00F540CE" w:rsidRPr="009E1B38" w:rsidRDefault="00257228" w:rsidP="00F540CE">
            <w:pPr>
              <w:spacing w:after="0"/>
              <w:rPr>
                <w:rFonts w:ascii="Times New Roman" w:hAnsi="Times New Roman"/>
                <w:color w:val="000000"/>
              </w:rPr>
            </w:pPr>
            <w:r w:rsidRPr="009E1B38">
              <w:rPr>
                <w:rFonts w:ascii="Times New Roman" w:hAnsi="Times New Roman"/>
                <w:color w:val="000000"/>
              </w:rPr>
              <w:t>Energy Expert</w:t>
            </w:r>
          </w:p>
        </w:tc>
        <w:tc>
          <w:tcPr>
            <w:tcW w:w="312" w:type="pct"/>
            <w:shd w:val="clear" w:color="auto" w:fill="auto"/>
            <w:noWrap/>
            <w:vAlign w:val="center"/>
          </w:tcPr>
          <w:p w14:paraId="7D4A901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5</w:t>
            </w:r>
          </w:p>
        </w:tc>
        <w:tc>
          <w:tcPr>
            <w:tcW w:w="224" w:type="pct"/>
            <w:shd w:val="clear" w:color="auto" w:fill="auto"/>
            <w:noWrap/>
            <w:vAlign w:val="center"/>
          </w:tcPr>
          <w:p w14:paraId="7D4A9013"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14"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901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c>
          <w:tcPr>
            <w:tcW w:w="224" w:type="pct"/>
            <w:shd w:val="clear" w:color="auto" w:fill="auto"/>
            <w:noWrap/>
            <w:vAlign w:val="center"/>
          </w:tcPr>
          <w:p w14:paraId="7D4A9016"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224" w:type="pct"/>
            <w:shd w:val="clear" w:color="auto" w:fill="auto"/>
            <w:noWrap/>
            <w:vAlign w:val="center"/>
          </w:tcPr>
          <w:p w14:paraId="7D4A9017" w14:textId="77777777" w:rsidR="00F540CE" w:rsidRPr="009E1B38" w:rsidRDefault="00F540CE" w:rsidP="00F540CE">
            <w:pPr>
              <w:spacing w:after="0"/>
              <w:jc w:val="center"/>
              <w:rPr>
                <w:rFonts w:ascii="Times New Roman" w:hAnsi="Times New Roman"/>
                <w:color w:val="000000"/>
              </w:rPr>
            </w:pPr>
          </w:p>
        </w:tc>
        <w:tc>
          <w:tcPr>
            <w:tcW w:w="244" w:type="pct"/>
            <w:shd w:val="clear" w:color="auto" w:fill="auto"/>
            <w:noWrap/>
            <w:vAlign w:val="center"/>
          </w:tcPr>
          <w:p w14:paraId="7D4A901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46" w:type="pct"/>
            <w:shd w:val="clear" w:color="auto" w:fill="auto"/>
            <w:noWrap/>
            <w:vAlign w:val="center"/>
          </w:tcPr>
          <w:p w14:paraId="7D4A901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4</w:t>
            </w:r>
          </w:p>
        </w:tc>
        <w:tc>
          <w:tcPr>
            <w:tcW w:w="224" w:type="pct"/>
            <w:vAlign w:val="center"/>
          </w:tcPr>
          <w:p w14:paraId="7D4A901A"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vAlign w:val="center"/>
          </w:tcPr>
          <w:p w14:paraId="7D4A901B"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6" w:type="pct"/>
            <w:vAlign w:val="center"/>
          </w:tcPr>
          <w:p w14:paraId="7D4A901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c>
          <w:tcPr>
            <w:tcW w:w="236" w:type="pct"/>
            <w:vAlign w:val="center"/>
          </w:tcPr>
          <w:p w14:paraId="7D4A901D" w14:textId="77777777" w:rsidR="00F540CE" w:rsidRPr="009E1B38" w:rsidRDefault="00F540CE" w:rsidP="00F540CE">
            <w:pPr>
              <w:spacing w:after="0"/>
              <w:jc w:val="center"/>
              <w:rPr>
                <w:rFonts w:ascii="Times New Roman" w:hAnsi="Times New Roman"/>
                <w:color w:val="000000"/>
              </w:rPr>
            </w:pPr>
          </w:p>
        </w:tc>
        <w:tc>
          <w:tcPr>
            <w:tcW w:w="283" w:type="pct"/>
          </w:tcPr>
          <w:p w14:paraId="7D4A901E" w14:textId="77777777" w:rsidR="00F540CE" w:rsidRPr="009E1B38" w:rsidRDefault="00F540CE" w:rsidP="00F540CE">
            <w:pPr>
              <w:spacing w:after="0"/>
              <w:jc w:val="center"/>
              <w:rPr>
                <w:rFonts w:ascii="Times New Roman" w:hAnsi="Times New Roman"/>
                <w:color w:val="000000"/>
              </w:rPr>
            </w:pPr>
          </w:p>
        </w:tc>
        <w:tc>
          <w:tcPr>
            <w:tcW w:w="343" w:type="pct"/>
          </w:tcPr>
          <w:p w14:paraId="7D4A901F" w14:textId="77777777" w:rsidR="00F540CE" w:rsidRPr="009E1B38" w:rsidRDefault="00F540CE" w:rsidP="00F540CE">
            <w:pPr>
              <w:spacing w:after="0"/>
              <w:jc w:val="center"/>
              <w:rPr>
                <w:rFonts w:ascii="Times New Roman" w:hAnsi="Times New Roman"/>
                <w:color w:val="000000"/>
              </w:rPr>
            </w:pPr>
          </w:p>
        </w:tc>
      </w:tr>
      <w:tr w:rsidR="00F540CE" w:rsidRPr="009E1B38" w14:paraId="7D4A9030" w14:textId="77777777" w:rsidTr="00937AB5">
        <w:trPr>
          <w:trHeight w:val="397"/>
        </w:trPr>
        <w:tc>
          <w:tcPr>
            <w:tcW w:w="1390" w:type="pct"/>
            <w:shd w:val="clear" w:color="auto" w:fill="auto"/>
            <w:vAlign w:val="bottom"/>
          </w:tcPr>
          <w:p w14:paraId="7D4A9021" w14:textId="6CA25A61" w:rsidR="00F540CE" w:rsidRPr="009E1B38" w:rsidRDefault="003F3F88" w:rsidP="00F540CE">
            <w:pPr>
              <w:spacing w:after="0"/>
              <w:rPr>
                <w:rFonts w:ascii="Times New Roman" w:hAnsi="Times New Roman"/>
                <w:color w:val="000000"/>
              </w:rPr>
            </w:pPr>
            <w:r w:rsidRPr="009E1B38">
              <w:rPr>
                <w:rFonts w:ascii="Times New Roman" w:hAnsi="Times New Roman"/>
                <w:color w:val="000000"/>
              </w:rPr>
              <w:t>Energy Specialist</w:t>
            </w:r>
          </w:p>
        </w:tc>
        <w:tc>
          <w:tcPr>
            <w:tcW w:w="312" w:type="pct"/>
            <w:shd w:val="clear" w:color="auto" w:fill="auto"/>
            <w:noWrap/>
            <w:vAlign w:val="center"/>
          </w:tcPr>
          <w:p w14:paraId="7D4A902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4</w:t>
            </w:r>
          </w:p>
        </w:tc>
        <w:tc>
          <w:tcPr>
            <w:tcW w:w="224" w:type="pct"/>
            <w:shd w:val="clear" w:color="auto" w:fill="auto"/>
            <w:noWrap/>
            <w:vAlign w:val="center"/>
          </w:tcPr>
          <w:p w14:paraId="7D4A9023"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24"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902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4</w:t>
            </w:r>
          </w:p>
        </w:tc>
        <w:tc>
          <w:tcPr>
            <w:tcW w:w="224" w:type="pct"/>
            <w:shd w:val="clear" w:color="auto" w:fill="auto"/>
            <w:noWrap/>
            <w:vAlign w:val="center"/>
          </w:tcPr>
          <w:p w14:paraId="7D4A9026"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27" w14:textId="77777777" w:rsidR="00F540CE" w:rsidRPr="009E1B38" w:rsidRDefault="00F540CE" w:rsidP="00F540CE">
            <w:pPr>
              <w:spacing w:after="0"/>
              <w:jc w:val="center"/>
              <w:rPr>
                <w:rFonts w:ascii="Times New Roman" w:hAnsi="Times New Roman"/>
                <w:color w:val="000000"/>
              </w:rPr>
            </w:pPr>
          </w:p>
        </w:tc>
        <w:tc>
          <w:tcPr>
            <w:tcW w:w="244" w:type="pct"/>
            <w:shd w:val="clear" w:color="auto" w:fill="auto"/>
            <w:noWrap/>
            <w:vAlign w:val="center"/>
          </w:tcPr>
          <w:p w14:paraId="7D4A902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46" w:type="pct"/>
            <w:shd w:val="clear" w:color="auto" w:fill="auto"/>
            <w:noWrap/>
            <w:vAlign w:val="center"/>
          </w:tcPr>
          <w:p w14:paraId="7D4A902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c>
          <w:tcPr>
            <w:tcW w:w="224" w:type="pct"/>
            <w:vAlign w:val="center"/>
          </w:tcPr>
          <w:p w14:paraId="7D4A902A"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vAlign w:val="center"/>
          </w:tcPr>
          <w:p w14:paraId="7D4A902B" w14:textId="77777777" w:rsidR="00F540CE" w:rsidRPr="009E1B38" w:rsidRDefault="00F540CE" w:rsidP="00F540CE">
            <w:pPr>
              <w:spacing w:after="0"/>
              <w:jc w:val="center"/>
              <w:rPr>
                <w:rFonts w:ascii="Times New Roman" w:hAnsi="Times New Roman"/>
                <w:color w:val="000000"/>
              </w:rPr>
            </w:pPr>
          </w:p>
        </w:tc>
        <w:tc>
          <w:tcPr>
            <w:tcW w:w="226" w:type="pct"/>
            <w:vAlign w:val="center"/>
          </w:tcPr>
          <w:p w14:paraId="7D4A902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c>
          <w:tcPr>
            <w:tcW w:w="236" w:type="pct"/>
            <w:vAlign w:val="center"/>
          </w:tcPr>
          <w:p w14:paraId="7D4A902D" w14:textId="77777777" w:rsidR="00F540CE" w:rsidRPr="009E1B38" w:rsidRDefault="00F540CE" w:rsidP="00F540CE">
            <w:pPr>
              <w:spacing w:after="0"/>
              <w:jc w:val="center"/>
              <w:rPr>
                <w:rFonts w:ascii="Times New Roman" w:hAnsi="Times New Roman"/>
                <w:color w:val="000000"/>
              </w:rPr>
            </w:pPr>
          </w:p>
        </w:tc>
        <w:tc>
          <w:tcPr>
            <w:tcW w:w="283" w:type="pct"/>
          </w:tcPr>
          <w:p w14:paraId="7D4A902E" w14:textId="77777777" w:rsidR="00F540CE" w:rsidRPr="009E1B38" w:rsidRDefault="00F540CE" w:rsidP="00F540CE">
            <w:pPr>
              <w:spacing w:after="0"/>
              <w:jc w:val="center"/>
              <w:rPr>
                <w:rFonts w:ascii="Times New Roman" w:hAnsi="Times New Roman"/>
                <w:color w:val="000000"/>
              </w:rPr>
            </w:pPr>
          </w:p>
        </w:tc>
        <w:tc>
          <w:tcPr>
            <w:tcW w:w="343" w:type="pct"/>
          </w:tcPr>
          <w:p w14:paraId="7D4A902F" w14:textId="77777777" w:rsidR="00F540CE" w:rsidRPr="009E1B38" w:rsidRDefault="00F540CE" w:rsidP="00F540CE">
            <w:pPr>
              <w:spacing w:after="0"/>
              <w:jc w:val="center"/>
              <w:rPr>
                <w:rFonts w:ascii="Times New Roman" w:hAnsi="Times New Roman"/>
                <w:color w:val="000000"/>
              </w:rPr>
            </w:pPr>
          </w:p>
        </w:tc>
      </w:tr>
      <w:tr w:rsidR="00F540CE" w:rsidRPr="009E1B38" w14:paraId="7D4A9040" w14:textId="77777777" w:rsidTr="00937AB5">
        <w:trPr>
          <w:trHeight w:val="397"/>
        </w:trPr>
        <w:tc>
          <w:tcPr>
            <w:tcW w:w="1390" w:type="pct"/>
            <w:shd w:val="clear" w:color="auto" w:fill="auto"/>
            <w:vAlign w:val="bottom"/>
          </w:tcPr>
          <w:p w14:paraId="7D4A9031" w14:textId="496A4F1D" w:rsidR="00F540CE" w:rsidRPr="009E1B38" w:rsidRDefault="003F3F88" w:rsidP="003F3F88">
            <w:pPr>
              <w:spacing w:after="0"/>
              <w:jc w:val="left"/>
              <w:rPr>
                <w:rFonts w:ascii="Times New Roman" w:hAnsi="Times New Roman"/>
                <w:color w:val="000000"/>
              </w:rPr>
            </w:pPr>
            <w:r w:rsidRPr="009E1B38">
              <w:rPr>
                <w:rFonts w:ascii="Times New Roman" w:hAnsi="Times New Roman"/>
                <w:color w:val="000000"/>
              </w:rPr>
              <w:t>Management Services Specialist</w:t>
            </w:r>
          </w:p>
        </w:tc>
        <w:tc>
          <w:tcPr>
            <w:tcW w:w="312" w:type="pct"/>
            <w:shd w:val="clear" w:color="auto" w:fill="auto"/>
            <w:noWrap/>
            <w:vAlign w:val="center"/>
          </w:tcPr>
          <w:p w14:paraId="7D4A903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5</w:t>
            </w:r>
          </w:p>
        </w:tc>
        <w:tc>
          <w:tcPr>
            <w:tcW w:w="224" w:type="pct"/>
            <w:shd w:val="clear" w:color="auto" w:fill="auto"/>
            <w:noWrap/>
            <w:vAlign w:val="center"/>
          </w:tcPr>
          <w:p w14:paraId="7D4A9033"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34"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903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5</w:t>
            </w:r>
          </w:p>
        </w:tc>
        <w:tc>
          <w:tcPr>
            <w:tcW w:w="224" w:type="pct"/>
            <w:shd w:val="clear" w:color="auto" w:fill="auto"/>
            <w:noWrap/>
            <w:vAlign w:val="center"/>
          </w:tcPr>
          <w:p w14:paraId="7D4A9036"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37" w14:textId="77777777" w:rsidR="00F540CE" w:rsidRPr="009E1B38" w:rsidRDefault="00F540CE" w:rsidP="00F540CE">
            <w:pPr>
              <w:spacing w:after="0"/>
              <w:jc w:val="center"/>
              <w:rPr>
                <w:rFonts w:ascii="Times New Roman" w:hAnsi="Times New Roman"/>
                <w:color w:val="000000"/>
              </w:rPr>
            </w:pPr>
          </w:p>
        </w:tc>
        <w:tc>
          <w:tcPr>
            <w:tcW w:w="244" w:type="pct"/>
            <w:shd w:val="clear" w:color="auto" w:fill="auto"/>
            <w:noWrap/>
            <w:vAlign w:val="center"/>
          </w:tcPr>
          <w:p w14:paraId="7D4A903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246" w:type="pct"/>
            <w:shd w:val="clear" w:color="auto" w:fill="auto"/>
            <w:noWrap/>
            <w:vAlign w:val="center"/>
          </w:tcPr>
          <w:p w14:paraId="7D4A903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c>
          <w:tcPr>
            <w:tcW w:w="224" w:type="pct"/>
            <w:vAlign w:val="center"/>
          </w:tcPr>
          <w:p w14:paraId="7D4A903A" w14:textId="77777777" w:rsidR="00F540CE" w:rsidRPr="009E1B38" w:rsidRDefault="00F540CE" w:rsidP="00F540CE">
            <w:pPr>
              <w:spacing w:after="0"/>
              <w:jc w:val="center"/>
              <w:rPr>
                <w:rFonts w:ascii="Times New Roman" w:hAnsi="Times New Roman"/>
                <w:color w:val="000000"/>
              </w:rPr>
            </w:pPr>
          </w:p>
        </w:tc>
        <w:tc>
          <w:tcPr>
            <w:tcW w:w="224" w:type="pct"/>
            <w:vAlign w:val="center"/>
          </w:tcPr>
          <w:p w14:paraId="7D4A903B"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4</w:t>
            </w:r>
          </w:p>
        </w:tc>
        <w:tc>
          <w:tcPr>
            <w:tcW w:w="226" w:type="pct"/>
            <w:vAlign w:val="center"/>
          </w:tcPr>
          <w:p w14:paraId="7D4A903C" w14:textId="77777777" w:rsidR="00F540CE" w:rsidRPr="009E1B38" w:rsidRDefault="00F540CE" w:rsidP="00F540CE">
            <w:pPr>
              <w:spacing w:after="0"/>
              <w:jc w:val="center"/>
              <w:rPr>
                <w:rFonts w:ascii="Times New Roman" w:hAnsi="Times New Roman"/>
                <w:color w:val="000000"/>
              </w:rPr>
            </w:pPr>
          </w:p>
        </w:tc>
        <w:tc>
          <w:tcPr>
            <w:tcW w:w="236" w:type="pct"/>
            <w:vAlign w:val="center"/>
          </w:tcPr>
          <w:p w14:paraId="7D4A903D" w14:textId="77777777" w:rsidR="00F540CE" w:rsidRPr="009E1B38" w:rsidRDefault="00F540CE" w:rsidP="00F540CE">
            <w:pPr>
              <w:spacing w:after="0"/>
              <w:jc w:val="center"/>
              <w:rPr>
                <w:rFonts w:ascii="Times New Roman" w:hAnsi="Times New Roman"/>
                <w:color w:val="000000"/>
              </w:rPr>
            </w:pPr>
          </w:p>
        </w:tc>
        <w:tc>
          <w:tcPr>
            <w:tcW w:w="283" w:type="pct"/>
          </w:tcPr>
          <w:p w14:paraId="7D4A903E" w14:textId="77777777" w:rsidR="00F540CE" w:rsidRPr="009E1B38" w:rsidRDefault="00F540CE" w:rsidP="00F540CE">
            <w:pPr>
              <w:spacing w:after="0"/>
              <w:jc w:val="center"/>
              <w:rPr>
                <w:rFonts w:ascii="Times New Roman" w:hAnsi="Times New Roman"/>
                <w:color w:val="000000"/>
              </w:rPr>
            </w:pPr>
          </w:p>
        </w:tc>
        <w:tc>
          <w:tcPr>
            <w:tcW w:w="343" w:type="pct"/>
          </w:tcPr>
          <w:p w14:paraId="7D4A903F"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050" w14:textId="77777777" w:rsidTr="00937AB5">
        <w:trPr>
          <w:trHeight w:val="397"/>
        </w:trPr>
        <w:tc>
          <w:tcPr>
            <w:tcW w:w="1390" w:type="pct"/>
            <w:shd w:val="clear" w:color="auto" w:fill="auto"/>
            <w:vAlign w:val="bottom"/>
          </w:tcPr>
          <w:p w14:paraId="7D4A9041" w14:textId="69E2DB4A" w:rsidR="00F540CE" w:rsidRPr="009E1B38" w:rsidRDefault="00587F44" w:rsidP="00F540CE">
            <w:pPr>
              <w:spacing w:after="0"/>
              <w:rPr>
                <w:rFonts w:ascii="Times New Roman" w:hAnsi="Times New Roman"/>
                <w:color w:val="000000"/>
              </w:rPr>
            </w:pPr>
            <w:r w:rsidRPr="009E1B38">
              <w:rPr>
                <w:rFonts w:ascii="Times New Roman" w:hAnsi="Times New Roman"/>
                <w:color w:val="000000"/>
              </w:rPr>
              <w:t>Engineer</w:t>
            </w:r>
          </w:p>
        </w:tc>
        <w:tc>
          <w:tcPr>
            <w:tcW w:w="312" w:type="pct"/>
            <w:shd w:val="clear" w:color="auto" w:fill="auto"/>
            <w:noWrap/>
            <w:vAlign w:val="center"/>
          </w:tcPr>
          <w:p w14:paraId="7D4A904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9043"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44"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904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9046"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47" w14:textId="77777777" w:rsidR="00F540CE" w:rsidRPr="009E1B38" w:rsidRDefault="00F540CE" w:rsidP="00F540CE">
            <w:pPr>
              <w:spacing w:after="0"/>
              <w:jc w:val="center"/>
              <w:rPr>
                <w:rFonts w:ascii="Times New Roman" w:hAnsi="Times New Roman"/>
                <w:color w:val="000000"/>
              </w:rPr>
            </w:pPr>
          </w:p>
        </w:tc>
        <w:tc>
          <w:tcPr>
            <w:tcW w:w="244" w:type="pct"/>
            <w:shd w:val="clear" w:color="auto" w:fill="auto"/>
            <w:noWrap/>
            <w:vAlign w:val="center"/>
          </w:tcPr>
          <w:p w14:paraId="7D4A9048" w14:textId="77777777" w:rsidR="00F540CE" w:rsidRPr="009E1B38" w:rsidRDefault="00F540CE" w:rsidP="00F540CE">
            <w:pPr>
              <w:spacing w:after="0"/>
              <w:jc w:val="center"/>
              <w:rPr>
                <w:rFonts w:ascii="Times New Roman" w:hAnsi="Times New Roman"/>
                <w:color w:val="000000"/>
              </w:rPr>
            </w:pPr>
          </w:p>
        </w:tc>
        <w:tc>
          <w:tcPr>
            <w:tcW w:w="246" w:type="pct"/>
            <w:shd w:val="clear" w:color="auto" w:fill="auto"/>
            <w:noWrap/>
            <w:vAlign w:val="center"/>
          </w:tcPr>
          <w:p w14:paraId="7D4A904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vAlign w:val="center"/>
          </w:tcPr>
          <w:p w14:paraId="7D4A904A" w14:textId="77777777" w:rsidR="00F540CE" w:rsidRPr="009E1B38" w:rsidRDefault="00F540CE" w:rsidP="00F540CE">
            <w:pPr>
              <w:spacing w:after="0"/>
              <w:jc w:val="center"/>
              <w:rPr>
                <w:rFonts w:ascii="Times New Roman" w:hAnsi="Times New Roman"/>
                <w:color w:val="000000"/>
              </w:rPr>
            </w:pPr>
          </w:p>
        </w:tc>
        <w:tc>
          <w:tcPr>
            <w:tcW w:w="224" w:type="pct"/>
            <w:vAlign w:val="center"/>
          </w:tcPr>
          <w:p w14:paraId="7D4A904B"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6" w:type="pct"/>
            <w:vAlign w:val="center"/>
          </w:tcPr>
          <w:p w14:paraId="7D4A904C" w14:textId="77777777" w:rsidR="00F540CE" w:rsidRPr="009E1B38" w:rsidRDefault="00F540CE" w:rsidP="00F540CE">
            <w:pPr>
              <w:spacing w:after="0"/>
              <w:jc w:val="center"/>
              <w:rPr>
                <w:rFonts w:ascii="Times New Roman" w:hAnsi="Times New Roman"/>
                <w:color w:val="000000"/>
              </w:rPr>
            </w:pPr>
          </w:p>
        </w:tc>
        <w:tc>
          <w:tcPr>
            <w:tcW w:w="236" w:type="pct"/>
            <w:vAlign w:val="center"/>
          </w:tcPr>
          <w:p w14:paraId="7D4A904D" w14:textId="77777777" w:rsidR="00F540CE" w:rsidRPr="009E1B38" w:rsidRDefault="00F540CE" w:rsidP="00F540CE">
            <w:pPr>
              <w:spacing w:after="0"/>
              <w:jc w:val="center"/>
              <w:rPr>
                <w:rFonts w:ascii="Times New Roman" w:hAnsi="Times New Roman"/>
                <w:color w:val="000000"/>
              </w:rPr>
            </w:pPr>
          </w:p>
        </w:tc>
        <w:tc>
          <w:tcPr>
            <w:tcW w:w="283" w:type="pct"/>
          </w:tcPr>
          <w:p w14:paraId="7D4A904E" w14:textId="77777777" w:rsidR="00F540CE" w:rsidRPr="009E1B38" w:rsidRDefault="00F540CE" w:rsidP="00F540CE">
            <w:pPr>
              <w:spacing w:after="0"/>
              <w:jc w:val="center"/>
              <w:rPr>
                <w:rFonts w:ascii="Times New Roman" w:hAnsi="Times New Roman"/>
                <w:color w:val="000000"/>
              </w:rPr>
            </w:pPr>
          </w:p>
        </w:tc>
        <w:tc>
          <w:tcPr>
            <w:tcW w:w="343" w:type="pct"/>
          </w:tcPr>
          <w:p w14:paraId="7D4A904F" w14:textId="77777777" w:rsidR="00F540CE" w:rsidRPr="009E1B38" w:rsidRDefault="00F540CE" w:rsidP="00F540CE">
            <w:pPr>
              <w:spacing w:after="0"/>
              <w:jc w:val="center"/>
              <w:rPr>
                <w:rFonts w:ascii="Times New Roman" w:hAnsi="Times New Roman"/>
                <w:color w:val="000000"/>
              </w:rPr>
            </w:pPr>
          </w:p>
        </w:tc>
      </w:tr>
      <w:tr w:rsidR="00F540CE" w:rsidRPr="009E1B38" w14:paraId="7D4A9060" w14:textId="77777777" w:rsidTr="00937AB5">
        <w:trPr>
          <w:trHeight w:val="397"/>
        </w:trPr>
        <w:tc>
          <w:tcPr>
            <w:tcW w:w="1390" w:type="pct"/>
            <w:shd w:val="clear" w:color="auto" w:fill="auto"/>
            <w:vAlign w:val="bottom"/>
          </w:tcPr>
          <w:p w14:paraId="7D4A9051" w14:textId="6FF56245" w:rsidR="00F540CE" w:rsidRPr="009E1B38" w:rsidRDefault="00A64466" w:rsidP="00F540CE">
            <w:pPr>
              <w:spacing w:after="0"/>
              <w:rPr>
                <w:rFonts w:ascii="Times New Roman" w:hAnsi="Times New Roman"/>
                <w:color w:val="000000"/>
              </w:rPr>
            </w:pPr>
            <w:r w:rsidRPr="009E1B38">
              <w:rPr>
                <w:rFonts w:ascii="Times New Roman" w:hAnsi="Times New Roman"/>
                <w:color w:val="000000" w:themeColor="text1"/>
              </w:rPr>
              <w:t>Administrative Officer</w:t>
            </w:r>
          </w:p>
        </w:tc>
        <w:tc>
          <w:tcPr>
            <w:tcW w:w="312" w:type="pct"/>
            <w:shd w:val="clear" w:color="auto" w:fill="auto"/>
            <w:noWrap/>
            <w:vAlign w:val="center"/>
          </w:tcPr>
          <w:p w14:paraId="7D4A905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9053"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54"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905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9056"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57" w14:textId="77777777" w:rsidR="00F540CE" w:rsidRPr="009E1B38" w:rsidRDefault="00F540CE" w:rsidP="00F540CE">
            <w:pPr>
              <w:spacing w:after="0"/>
              <w:jc w:val="center"/>
              <w:rPr>
                <w:rFonts w:ascii="Times New Roman" w:hAnsi="Times New Roman"/>
                <w:color w:val="000000"/>
              </w:rPr>
            </w:pPr>
          </w:p>
        </w:tc>
        <w:tc>
          <w:tcPr>
            <w:tcW w:w="244" w:type="pct"/>
            <w:shd w:val="clear" w:color="auto" w:fill="auto"/>
            <w:noWrap/>
            <w:vAlign w:val="center"/>
          </w:tcPr>
          <w:p w14:paraId="7D4A905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46" w:type="pct"/>
            <w:shd w:val="clear" w:color="auto" w:fill="auto"/>
            <w:noWrap/>
            <w:vAlign w:val="center"/>
          </w:tcPr>
          <w:p w14:paraId="7D4A9059" w14:textId="77777777" w:rsidR="00F540CE" w:rsidRPr="009E1B38" w:rsidRDefault="00F540CE" w:rsidP="00F540CE">
            <w:pPr>
              <w:spacing w:after="0"/>
              <w:jc w:val="center"/>
              <w:rPr>
                <w:rFonts w:ascii="Times New Roman" w:hAnsi="Times New Roman"/>
                <w:color w:val="000000"/>
              </w:rPr>
            </w:pPr>
          </w:p>
        </w:tc>
        <w:tc>
          <w:tcPr>
            <w:tcW w:w="224" w:type="pct"/>
            <w:vAlign w:val="center"/>
          </w:tcPr>
          <w:p w14:paraId="7D4A905A"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vAlign w:val="center"/>
          </w:tcPr>
          <w:p w14:paraId="7D4A905B" w14:textId="77777777" w:rsidR="00F540CE" w:rsidRPr="009E1B38" w:rsidRDefault="00F540CE" w:rsidP="00F540CE">
            <w:pPr>
              <w:spacing w:after="0"/>
              <w:jc w:val="center"/>
              <w:rPr>
                <w:rFonts w:ascii="Times New Roman" w:hAnsi="Times New Roman"/>
                <w:color w:val="000000"/>
              </w:rPr>
            </w:pPr>
          </w:p>
        </w:tc>
        <w:tc>
          <w:tcPr>
            <w:tcW w:w="226" w:type="pct"/>
            <w:vAlign w:val="center"/>
          </w:tcPr>
          <w:p w14:paraId="7D4A905C" w14:textId="77777777" w:rsidR="00F540CE" w:rsidRPr="009E1B38" w:rsidRDefault="00F540CE" w:rsidP="00F540CE">
            <w:pPr>
              <w:spacing w:after="0"/>
              <w:jc w:val="center"/>
              <w:rPr>
                <w:rFonts w:ascii="Times New Roman" w:hAnsi="Times New Roman"/>
                <w:color w:val="000000"/>
              </w:rPr>
            </w:pPr>
          </w:p>
        </w:tc>
        <w:tc>
          <w:tcPr>
            <w:tcW w:w="236" w:type="pct"/>
            <w:vAlign w:val="center"/>
          </w:tcPr>
          <w:p w14:paraId="7D4A905D" w14:textId="77777777" w:rsidR="00F540CE" w:rsidRPr="009E1B38" w:rsidRDefault="00F540CE" w:rsidP="00F540CE">
            <w:pPr>
              <w:spacing w:after="0"/>
              <w:jc w:val="center"/>
              <w:rPr>
                <w:rFonts w:ascii="Times New Roman" w:hAnsi="Times New Roman"/>
                <w:color w:val="000000"/>
              </w:rPr>
            </w:pPr>
          </w:p>
        </w:tc>
        <w:tc>
          <w:tcPr>
            <w:tcW w:w="283" w:type="pct"/>
          </w:tcPr>
          <w:p w14:paraId="7D4A905E" w14:textId="77777777" w:rsidR="00F540CE" w:rsidRPr="009E1B38" w:rsidRDefault="00F540CE" w:rsidP="00F540CE">
            <w:pPr>
              <w:spacing w:after="0"/>
              <w:jc w:val="center"/>
              <w:rPr>
                <w:rFonts w:ascii="Times New Roman" w:hAnsi="Times New Roman"/>
                <w:color w:val="000000"/>
              </w:rPr>
            </w:pPr>
          </w:p>
        </w:tc>
        <w:tc>
          <w:tcPr>
            <w:tcW w:w="343" w:type="pct"/>
          </w:tcPr>
          <w:p w14:paraId="7D4A905F" w14:textId="77777777" w:rsidR="00F540CE" w:rsidRPr="009E1B38" w:rsidRDefault="00F540CE" w:rsidP="00F540CE">
            <w:pPr>
              <w:spacing w:after="0"/>
              <w:jc w:val="center"/>
              <w:rPr>
                <w:rFonts w:ascii="Times New Roman" w:hAnsi="Times New Roman"/>
                <w:color w:val="000000"/>
              </w:rPr>
            </w:pPr>
          </w:p>
        </w:tc>
      </w:tr>
      <w:tr w:rsidR="00F540CE" w:rsidRPr="009E1B38" w14:paraId="7D4A9070" w14:textId="77777777" w:rsidTr="00937AB5">
        <w:trPr>
          <w:trHeight w:val="397"/>
        </w:trPr>
        <w:tc>
          <w:tcPr>
            <w:tcW w:w="1390" w:type="pct"/>
            <w:shd w:val="clear" w:color="auto" w:fill="auto"/>
            <w:vAlign w:val="bottom"/>
          </w:tcPr>
          <w:p w14:paraId="7D4A9061" w14:textId="4DC2FC09" w:rsidR="00F540CE" w:rsidRPr="009E1B38" w:rsidRDefault="00587F44" w:rsidP="00F540CE">
            <w:pPr>
              <w:spacing w:after="0"/>
              <w:rPr>
                <w:rFonts w:ascii="Times New Roman" w:hAnsi="Times New Roman"/>
                <w:color w:val="000000"/>
              </w:rPr>
            </w:pPr>
            <w:r w:rsidRPr="009E1B38">
              <w:rPr>
                <w:rFonts w:ascii="Times New Roman" w:hAnsi="Times New Roman"/>
                <w:color w:val="000000"/>
              </w:rPr>
              <w:t>Communication Officer</w:t>
            </w:r>
          </w:p>
        </w:tc>
        <w:tc>
          <w:tcPr>
            <w:tcW w:w="312" w:type="pct"/>
            <w:shd w:val="clear" w:color="auto" w:fill="auto"/>
            <w:noWrap/>
            <w:vAlign w:val="center"/>
          </w:tcPr>
          <w:p w14:paraId="7D4A906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9063"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64"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906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9066"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67" w14:textId="77777777" w:rsidR="00F540CE" w:rsidRPr="009E1B38" w:rsidRDefault="00F540CE" w:rsidP="00F540CE">
            <w:pPr>
              <w:spacing w:after="0"/>
              <w:jc w:val="center"/>
              <w:rPr>
                <w:rFonts w:ascii="Times New Roman" w:hAnsi="Times New Roman"/>
                <w:color w:val="000000"/>
              </w:rPr>
            </w:pPr>
          </w:p>
        </w:tc>
        <w:tc>
          <w:tcPr>
            <w:tcW w:w="244" w:type="pct"/>
            <w:shd w:val="clear" w:color="auto" w:fill="auto"/>
            <w:noWrap/>
            <w:vAlign w:val="center"/>
          </w:tcPr>
          <w:p w14:paraId="7D4A906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46" w:type="pct"/>
            <w:shd w:val="clear" w:color="auto" w:fill="auto"/>
            <w:noWrap/>
            <w:vAlign w:val="center"/>
          </w:tcPr>
          <w:p w14:paraId="7D4A9069" w14:textId="77777777" w:rsidR="00F540CE" w:rsidRPr="009E1B38" w:rsidRDefault="00F540CE" w:rsidP="00F540CE">
            <w:pPr>
              <w:spacing w:after="0"/>
              <w:jc w:val="center"/>
              <w:rPr>
                <w:rFonts w:ascii="Times New Roman" w:hAnsi="Times New Roman"/>
                <w:color w:val="000000"/>
              </w:rPr>
            </w:pPr>
          </w:p>
        </w:tc>
        <w:tc>
          <w:tcPr>
            <w:tcW w:w="224" w:type="pct"/>
            <w:vAlign w:val="center"/>
          </w:tcPr>
          <w:p w14:paraId="7D4A906A" w14:textId="77777777" w:rsidR="00F540CE" w:rsidRPr="009E1B38" w:rsidRDefault="00F540CE" w:rsidP="00F540CE">
            <w:pPr>
              <w:spacing w:after="0"/>
              <w:jc w:val="center"/>
              <w:rPr>
                <w:rFonts w:ascii="Times New Roman" w:hAnsi="Times New Roman"/>
                <w:color w:val="000000"/>
              </w:rPr>
            </w:pPr>
          </w:p>
        </w:tc>
        <w:tc>
          <w:tcPr>
            <w:tcW w:w="224" w:type="pct"/>
            <w:vAlign w:val="center"/>
          </w:tcPr>
          <w:p w14:paraId="7D4A906B"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6" w:type="pct"/>
            <w:vAlign w:val="center"/>
          </w:tcPr>
          <w:p w14:paraId="7D4A906C" w14:textId="77777777" w:rsidR="00F540CE" w:rsidRPr="009E1B38" w:rsidRDefault="00F540CE" w:rsidP="00F540CE">
            <w:pPr>
              <w:spacing w:after="0"/>
              <w:jc w:val="center"/>
              <w:rPr>
                <w:rFonts w:ascii="Times New Roman" w:hAnsi="Times New Roman"/>
                <w:color w:val="000000"/>
              </w:rPr>
            </w:pPr>
          </w:p>
        </w:tc>
        <w:tc>
          <w:tcPr>
            <w:tcW w:w="236" w:type="pct"/>
            <w:vAlign w:val="center"/>
          </w:tcPr>
          <w:p w14:paraId="7D4A906D" w14:textId="77777777" w:rsidR="00F540CE" w:rsidRPr="009E1B38" w:rsidRDefault="00F540CE" w:rsidP="00F540CE">
            <w:pPr>
              <w:spacing w:after="0"/>
              <w:jc w:val="center"/>
              <w:rPr>
                <w:rFonts w:ascii="Times New Roman" w:hAnsi="Times New Roman"/>
                <w:color w:val="000000"/>
              </w:rPr>
            </w:pPr>
          </w:p>
        </w:tc>
        <w:tc>
          <w:tcPr>
            <w:tcW w:w="283" w:type="pct"/>
          </w:tcPr>
          <w:p w14:paraId="7D4A906E" w14:textId="77777777" w:rsidR="00F540CE" w:rsidRPr="009E1B38" w:rsidRDefault="00F540CE" w:rsidP="00F540CE">
            <w:pPr>
              <w:spacing w:after="0"/>
              <w:jc w:val="center"/>
              <w:rPr>
                <w:rFonts w:ascii="Times New Roman" w:hAnsi="Times New Roman"/>
                <w:color w:val="000000"/>
              </w:rPr>
            </w:pPr>
          </w:p>
        </w:tc>
        <w:tc>
          <w:tcPr>
            <w:tcW w:w="343" w:type="pct"/>
          </w:tcPr>
          <w:p w14:paraId="7D4A906F" w14:textId="77777777" w:rsidR="00F540CE" w:rsidRPr="009E1B38" w:rsidRDefault="00F540CE" w:rsidP="00F540CE">
            <w:pPr>
              <w:spacing w:after="0"/>
              <w:jc w:val="center"/>
              <w:rPr>
                <w:rFonts w:ascii="Times New Roman" w:hAnsi="Times New Roman"/>
                <w:color w:val="000000"/>
              </w:rPr>
            </w:pPr>
          </w:p>
        </w:tc>
      </w:tr>
      <w:tr w:rsidR="00F540CE" w:rsidRPr="009E1B38" w14:paraId="7D4A9080" w14:textId="77777777" w:rsidTr="00937AB5">
        <w:trPr>
          <w:trHeight w:val="397"/>
        </w:trPr>
        <w:tc>
          <w:tcPr>
            <w:tcW w:w="1390" w:type="pct"/>
            <w:shd w:val="clear" w:color="auto" w:fill="auto"/>
            <w:vAlign w:val="bottom"/>
          </w:tcPr>
          <w:p w14:paraId="7D4A9071" w14:textId="5CA3B135" w:rsidR="00F540CE" w:rsidRPr="009E1B38" w:rsidRDefault="00587F44" w:rsidP="00F540CE">
            <w:pPr>
              <w:spacing w:after="0"/>
              <w:rPr>
                <w:rFonts w:ascii="Times New Roman" w:hAnsi="Times New Roman"/>
                <w:color w:val="000000"/>
              </w:rPr>
            </w:pPr>
            <w:r w:rsidRPr="009E1B38">
              <w:rPr>
                <w:rFonts w:ascii="Times New Roman" w:hAnsi="Times New Roman"/>
                <w:color w:val="000000"/>
              </w:rPr>
              <w:t>Driver</w:t>
            </w:r>
          </w:p>
        </w:tc>
        <w:tc>
          <w:tcPr>
            <w:tcW w:w="312" w:type="pct"/>
            <w:shd w:val="clear" w:color="auto" w:fill="auto"/>
            <w:noWrap/>
            <w:vAlign w:val="center"/>
          </w:tcPr>
          <w:p w14:paraId="7D4A907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9073"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shd w:val="clear" w:color="auto" w:fill="auto"/>
            <w:noWrap/>
            <w:vAlign w:val="center"/>
          </w:tcPr>
          <w:p w14:paraId="7D4A9074" w14:textId="77777777" w:rsidR="00F540CE" w:rsidRPr="009E1B38" w:rsidRDefault="00F540CE" w:rsidP="00F540CE">
            <w:pPr>
              <w:spacing w:after="0"/>
              <w:jc w:val="center"/>
              <w:rPr>
                <w:rFonts w:ascii="Times New Roman" w:hAnsi="Times New Roman"/>
                <w:color w:val="000000"/>
              </w:rPr>
            </w:pPr>
          </w:p>
        </w:tc>
        <w:tc>
          <w:tcPr>
            <w:tcW w:w="376" w:type="pct"/>
            <w:shd w:val="clear" w:color="auto" w:fill="auto"/>
            <w:noWrap/>
            <w:vAlign w:val="center"/>
          </w:tcPr>
          <w:p w14:paraId="7D4A9075"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76" w14:textId="77777777" w:rsidR="00F540CE" w:rsidRPr="009E1B38" w:rsidRDefault="00F540CE" w:rsidP="00F540CE">
            <w:pPr>
              <w:spacing w:after="0"/>
              <w:jc w:val="center"/>
              <w:rPr>
                <w:rFonts w:ascii="Times New Roman" w:hAnsi="Times New Roman"/>
                <w:color w:val="000000"/>
              </w:rPr>
            </w:pPr>
          </w:p>
        </w:tc>
        <w:tc>
          <w:tcPr>
            <w:tcW w:w="224" w:type="pct"/>
            <w:shd w:val="clear" w:color="auto" w:fill="auto"/>
            <w:noWrap/>
            <w:vAlign w:val="center"/>
          </w:tcPr>
          <w:p w14:paraId="7D4A9077" w14:textId="77777777" w:rsidR="00F540CE" w:rsidRPr="009E1B38" w:rsidRDefault="00F540CE" w:rsidP="00F540CE">
            <w:pPr>
              <w:spacing w:after="0"/>
              <w:jc w:val="center"/>
              <w:rPr>
                <w:rFonts w:ascii="Times New Roman" w:hAnsi="Times New Roman"/>
                <w:color w:val="000000"/>
              </w:rPr>
            </w:pPr>
          </w:p>
        </w:tc>
        <w:tc>
          <w:tcPr>
            <w:tcW w:w="244" w:type="pct"/>
            <w:shd w:val="clear" w:color="auto" w:fill="auto"/>
            <w:noWrap/>
            <w:vAlign w:val="center"/>
          </w:tcPr>
          <w:p w14:paraId="7D4A9078" w14:textId="77777777" w:rsidR="00F540CE" w:rsidRPr="009E1B38" w:rsidRDefault="00F540CE" w:rsidP="00F540CE">
            <w:pPr>
              <w:spacing w:after="0"/>
              <w:jc w:val="center"/>
              <w:rPr>
                <w:rFonts w:ascii="Times New Roman" w:hAnsi="Times New Roman"/>
                <w:color w:val="000000"/>
              </w:rPr>
            </w:pPr>
          </w:p>
        </w:tc>
        <w:tc>
          <w:tcPr>
            <w:tcW w:w="246" w:type="pct"/>
            <w:shd w:val="clear" w:color="auto" w:fill="auto"/>
            <w:noWrap/>
            <w:vAlign w:val="center"/>
          </w:tcPr>
          <w:p w14:paraId="7D4A907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4" w:type="pct"/>
            <w:vAlign w:val="center"/>
          </w:tcPr>
          <w:p w14:paraId="7D4A907A" w14:textId="77777777" w:rsidR="00F540CE" w:rsidRPr="009E1B38" w:rsidRDefault="00F540CE" w:rsidP="00F540CE">
            <w:pPr>
              <w:spacing w:after="0"/>
              <w:jc w:val="center"/>
              <w:rPr>
                <w:rFonts w:ascii="Times New Roman" w:hAnsi="Times New Roman"/>
                <w:color w:val="000000"/>
              </w:rPr>
            </w:pPr>
          </w:p>
        </w:tc>
        <w:tc>
          <w:tcPr>
            <w:tcW w:w="224" w:type="pct"/>
            <w:vAlign w:val="center"/>
          </w:tcPr>
          <w:p w14:paraId="7D4A907B"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26" w:type="pct"/>
            <w:vAlign w:val="center"/>
          </w:tcPr>
          <w:p w14:paraId="7D4A907C" w14:textId="77777777" w:rsidR="00F540CE" w:rsidRPr="009E1B38" w:rsidRDefault="00F540CE" w:rsidP="00F540CE">
            <w:pPr>
              <w:spacing w:after="0"/>
              <w:jc w:val="center"/>
              <w:rPr>
                <w:rFonts w:ascii="Times New Roman" w:hAnsi="Times New Roman"/>
                <w:color w:val="000000"/>
              </w:rPr>
            </w:pPr>
          </w:p>
        </w:tc>
        <w:tc>
          <w:tcPr>
            <w:tcW w:w="236" w:type="pct"/>
            <w:vAlign w:val="center"/>
          </w:tcPr>
          <w:p w14:paraId="7D4A907D" w14:textId="77777777" w:rsidR="00F540CE" w:rsidRPr="009E1B38" w:rsidRDefault="00F540CE" w:rsidP="00F540CE">
            <w:pPr>
              <w:spacing w:after="0"/>
              <w:jc w:val="center"/>
              <w:rPr>
                <w:rFonts w:ascii="Times New Roman" w:hAnsi="Times New Roman"/>
                <w:color w:val="000000"/>
              </w:rPr>
            </w:pPr>
          </w:p>
        </w:tc>
        <w:tc>
          <w:tcPr>
            <w:tcW w:w="283" w:type="pct"/>
          </w:tcPr>
          <w:p w14:paraId="7D4A907E" w14:textId="77777777" w:rsidR="00F540CE" w:rsidRPr="009E1B38" w:rsidRDefault="00F540CE" w:rsidP="00F540CE">
            <w:pPr>
              <w:spacing w:after="0"/>
              <w:jc w:val="center"/>
              <w:rPr>
                <w:rFonts w:ascii="Times New Roman" w:hAnsi="Times New Roman"/>
                <w:color w:val="000000"/>
              </w:rPr>
            </w:pPr>
          </w:p>
        </w:tc>
        <w:tc>
          <w:tcPr>
            <w:tcW w:w="343" w:type="pct"/>
          </w:tcPr>
          <w:p w14:paraId="7D4A907F" w14:textId="77777777" w:rsidR="00F540CE" w:rsidRPr="009E1B38" w:rsidRDefault="00F540CE" w:rsidP="00F540CE">
            <w:pPr>
              <w:spacing w:after="0"/>
              <w:jc w:val="center"/>
              <w:rPr>
                <w:rFonts w:ascii="Times New Roman" w:hAnsi="Times New Roman"/>
                <w:color w:val="000000"/>
              </w:rPr>
            </w:pPr>
          </w:p>
        </w:tc>
      </w:tr>
      <w:tr w:rsidR="00F540CE" w:rsidRPr="009E1B38" w14:paraId="7D4A9090" w14:textId="77777777" w:rsidTr="00937AB5">
        <w:trPr>
          <w:trHeight w:val="397"/>
        </w:trPr>
        <w:tc>
          <w:tcPr>
            <w:tcW w:w="1390" w:type="pct"/>
            <w:shd w:val="clear" w:color="auto" w:fill="auto"/>
            <w:vAlign w:val="bottom"/>
          </w:tcPr>
          <w:p w14:paraId="7D4A9081" w14:textId="0BB810B4" w:rsidR="00F540CE" w:rsidRPr="009E1B38" w:rsidRDefault="00F540CE" w:rsidP="00F540CE">
            <w:pPr>
              <w:spacing w:after="0"/>
              <w:rPr>
                <w:rFonts w:ascii="Times New Roman" w:hAnsi="Times New Roman"/>
                <w:b/>
              </w:rPr>
            </w:pPr>
            <w:r w:rsidRPr="009E1B38">
              <w:rPr>
                <w:rFonts w:ascii="Times New Roman" w:hAnsi="Times New Roman"/>
                <w:b/>
              </w:rPr>
              <w:t>T</w:t>
            </w:r>
            <w:r w:rsidR="00E5684D" w:rsidRPr="009E1B38">
              <w:rPr>
                <w:rFonts w:ascii="Times New Roman" w:hAnsi="Times New Roman"/>
                <w:b/>
              </w:rPr>
              <w:t>OTAL</w:t>
            </w:r>
          </w:p>
        </w:tc>
        <w:tc>
          <w:tcPr>
            <w:tcW w:w="312" w:type="pct"/>
            <w:shd w:val="clear" w:color="auto" w:fill="auto"/>
            <w:noWrap/>
            <w:vAlign w:val="center"/>
          </w:tcPr>
          <w:p w14:paraId="7D4A9082" w14:textId="77777777" w:rsidR="00F540CE" w:rsidRPr="009E1B38" w:rsidRDefault="00F540CE" w:rsidP="00F540CE">
            <w:pPr>
              <w:spacing w:after="0"/>
              <w:jc w:val="center"/>
              <w:rPr>
                <w:rFonts w:ascii="Times New Roman" w:hAnsi="Times New Roman"/>
                <w:b/>
              </w:rPr>
            </w:pPr>
            <w:r w:rsidRPr="009E1B38">
              <w:rPr>
                <w:rFonts w:ascii="Times New Roman" w:hAnsi="Times New Roman"/>
                <w:b/>
              </w:rPr>
              <w:t>23</w:t>
            </w:r>
          </w:p>
        </w:tc>
        <w:tc>
          <w:tcPr>
            <w:tcW w:w="224" w:type="pct"/>
            <w:shd w:val="clear" w:color="auto" w:fill="auto"/>
            <w:noWrap/>
            <w:vAlign w:val="center"/>
          </w:tcPr>
          <w:p w14:paraId="7D4A9083" w14:textId="77777777" w:rsidR="00F540CE" w:rsidRPr="009E1B38" w:rsidRDefault="00F540CE" w:rsidP="00F540CE">
            <w:pPr>
              <w:spacing w:after="0"/>
              <w:jc w:val="center"/>
              <w:rPr>
                <w:rFonts w:ascii="Times New Roman" w:hAnsi="Times New Roman"/>
                <w:b/>
              </w:rPr>
            </w:pPr>
            <w:r w:rsidRPr="009E1B38">
              <w:rPr>
                <w:rFonts w:ascii="Times New Roman" w:hAnsi="Times New Roman"/>
                <w:b/>
              </w:rPr>
              <w:t>1</w:t>
            </w:r>
          </w:p>
        </w:tc>
        <w:tc>
          <w:tcPr>
            <w:tcW w:w="224" w:type="pct"/>
            <w:shd w:val="clear" w:color="auto" w:fill="auto"/>
            <w:noWrap/>
            <w:vAlign w:val="center"/>
          </w:tcPr>
          <w:p w14:paraId="7D4A9084" w14:textId="77777777" w:rsidR="00F540CE" w:rsidRPr="009E1B38" w:rsidRDefault="00F540CE" w:rsidP="00F540CE">
            <w:pPr>
              <w:spacing w:after="0"/>
              <w:jc w:val="center"/>
              <w:rPr>
                <w:rFonts w:ascii="Times New Roman" w:hAnsi="Times New Roman"/>
                <w:b/>
              </w:rPr>
            </w:pPr>
          </w:p>
        </w:tc>
        <w:tc>
          <w:tcPr>
            <w:tcW w:w="376" w:type="pct"/>
            <w:shd w:val="clear" w:color="auto" w:fill="auto"/>
            <w:noWrap/>
            <w:vAlign w:val="center"/>
          </w:tcPr>
          <w:p w14:paraId="7D4A9085" w14:textId="77777777" w:rsidR="00F540CE" w:rsidRPr="009E1B38" w:rsidRDefault="00F540CE" w:rsidP="00F540CE">
            <w:pPr>
              <w:spacing w:after="0"/>
              <w:jc w:val="center"/>
              <w:rPr>
                <w:rFonts w:ascii="Times New Roman" w:hAnsi="Times New Roman"/>
                <w:b/>
              </w:rPr>
            </w:pPr>
            <w:r w:rsidRPr="009E1B38">
              <w:rPr>
                <w:rFonts w:ascii="Times New Roman" w:hAnsi="Times New Roman"/>
                <w:b/>
              </w:rPr>
              <w:t>18</w:t>
            </w:r>
          </w:p>
        </w:tc>
        <w:tc>
          <w:tcPr>
            <w:tcW w:w="224" w:type="pct"/>
            <w:shd w:val="clear" w:color="auto" w:fill="auto"/>
            <w:noWrap/>
            <w:vAlign w:val="center"/>
          </w:tcPr>
          <w:p w14:paraId="7D4A9086" w14:textId="77777777" w:rsidR="00F540CE" w:rsidRPr="009E1B38" w:rsidRDefault="00F540CE" w:rsidP="00F540CE">
            <w:pPr>
              <w:spacing w:after="0"/>
              <w:jc w:val="center"/>
              <w:rPr>
                <w:rFonts w:ascii="Times New Roman" w:hAnsi="Times New Roman"/>
                <w:b/>
              </w:rPr>
            </w:pPr>
            <w:r w:rsidRPr="009E1B38">
              <w:rPr>
                <w:rFonts w:ascii="Times New Roman" w:hAnsi="Times New Roman"/>
                <w:b/>
              </w:rPr>
              <w:t>4</w:t>
            </w:r>
          </w:p>
        </w:tc>
        <w:tc>
          <w:tcPr>
            <w:tcW w:w="224" w:type="pct"/>
            <w:shd w:val="clear" w:color="auto" w:fill="auto"/>
            <w:noWrap/>
            <w:vAlign w:val="center"/>
          </w:tcPr>
          <w:p w14:paraId="7D4A9087" w14:textId="77777777" w:rsidR="00F540CE" w:rsidRPr="009E1B38" w:rsidRDefault="00F540CE" w:rsidP="00F540CE">
            <w:pPr>
              <w:spacing w:after="0"/>
              <w:jc w:val="center"/>
              <w:rPr>
                <w:rFonts w:ascii="Times New Roman" w:hAnsi="Times New Roman"/>
                <w:b/>
              </w:rPr>
            </w:pPr>
          </w:p>
        </w:tc>
        <w:tc>
          <w:tcPr>
            <w:tcW w:w="244" w:type="pct"/>
            <w:shd w:val="clear" w:color="auto" w:fill="auto"/>
            <w:noWrap/>
            <w:vAlign w:val="center"/>
          </w:tcPr>
          <w:p w14:paraId="7D4A9088" w14:textId="77777777" w:rsidR="00F540CE" w:rsidRPr="009E1B38" w:rsidRDefault="00F540CE" w:rsidP="00F540CE">
            <w:pPr>
              <w:spacing w:after="0"/>
              <w:jc w:val="center"/>
              <w:rPr>
                <w:rFonts w:ascii="Times New Roman" w:hAnsi="Times New Roman"/>
                <w:b/>
              </w:rPr>
            </w:pPr>
            <w:r w:rsidRPr="009E1B38">
              <w:rPr>
                <w:rFonts w:ascii="Times New Roman" w:hAnsi="Times New Roman"/>
                <w:b/>
              </w:rPr>
              <w:t>7</w:t>
            </w:r>
          </w:p>
        </w:tc>
        <w:tc>
          <w:tcPr>
            <w:tcW w:w="246" w:type="pct"/>
            <w:shd w:val="clear" w:color="auto" w:fill="auto"/>
            <w:noWrap/>
            <w:vAlign w:val="center"/>
          </w:tcPr>
          <w:p w14:paraId="7D4A9089" w14:textId="77777777" w:rsidR="00F540CE" w:rsidRPr="009E1B38" w:rsidRDefault="00F540CE" w:rsidP="00F540CE">
            <w:pPr>
              <w:spacing w:after="0"/>
              <w:jc w:val="center"/>
              <w:rPr>
                <w:rFonts w:ascii="Times New Roman" w:hAnsi="Times New Roman"/>
                <w:b/>
              </w:rPr>
            </w:pPr>
            <w:r w:rsidRPr="009E1B38">
              <w:rPr>
                <w:rFonts w:ascii="Times New Roman" w:hAnsi="Times New Roman"/>
                <w:b/>
              </w:rPr>
              <w:t>16</w:t>
            </w:r>
          </w:p>
        </w:tc>
        <w:tc>
          <w:tcPr>
            <w:tcW w:w="224" w:type="pct"/>
            <w:vAlign w:val="center"/>
          </w:tcPr>
          <w:p w14:paraId="7D4A908A" w14:textId="77777777" w:rsidR="00F540CE" w:rsidRPr="009E1B38" w:rsidRDefault="00F540CE" w:rsidP="00F540CE">
            <w:pPr>
              <w:spacing w:after="0"/>
              <w:jc w:val="center"/>
              <w:rPr>
                <w:rFonts w:ascii="Times New Roman" w:hAnsi="Times New Roman"/>
                <w:b/>
              </w:rPr>
            </w:pPr>
            <w:r w:rsidRPr="009E1B38">
              <w:rPr>
                <w:rFonts w:ascii="Times New Roman" w:hAnsi="Times New Roman"/>
                <w:b/>
              </w:rPr>
              <w:t>7</w:t>
            </w:r>
          </w:p>
        </w:tc>
        <w:tc>
          <w:tcPr>
            <w:tcW w:w="224" w:type="pct"/>
            <w:vAlign w:val="center"/>
          </w:tcPr>
          <w:p w14:paraId="7D4A908B" w14:textId="77777777" w:rsidR="00F540CE" w:rsidRPr="009E1B38" w:rsidRDefault="00F540CE" w:rsidP="00F540CE">
            <w:pPr>
              <w:spacing w:after="0"/>
              <w:jc w:val="center"/>
              <w:rPr>
                <w:rFonts w:ascii="Times New Roman" w:hAnsi="Times New Roman"/>
                <w:b/>
              </w:rPr>
            </w:pPr>
            <w:r w:rsidRPr="009E1B38">
              <w:rPr>
                <w:rFonts w:ascii="Times New Roman" w:hAnsi="Times New Roman"/>
                <w:b/>
              </w:rPr>
              <w:t>8</w:t>
            </w:r>
          </w:p>
        </w:tc>
        <w:tc>
          <w:tcPr>
            <w:tcW w:w="226" w:type="pct"/>
            <w:vAlign w:val="center"/>
          </w:tcPr>
          <w:p w14:paraId="7D4A908C" w14:textId="77777777" w:rsidR="00F540CE" w:rsidRPr="009E1B38" w:rsidRDefault="00F540CE" w:rsidP="00F540CE">
            <w:pPr>
              <w:spacing w:after="0"/>
              <w:jc w:val="center"/>
              <w:rPr>
                <w:rFonts w:ascii="Times New Roman" w:hAnsi="Times New Roman"/>
                <w:b/>
              </w:rPr>
            </w:pPr>
            <w:r w:rsidRPr="009E1B38">
              <w:rPr>
                <w:rFonts w:ascii="Times New Roman" w:hAnsi="Times New Roman"/>
                <w:b/>
              </w:rPr>
              <w:t>7</w:t>
            </w:r>
          </w:p>
        </w:tc>
        <w:tc>
          <w:tcPr>
            <w:tcW w:w="236" w:type="pct"/>
            <w:vAlign w:val="center"/>
          </w:tcPr>
          <w:p w14:paraId="7D4A908D" w14:textId="77777777" w:rsidR="00F540CE" w:rsidRPr="009E1B38" w:rsidRDefault="00F540CE" w:rsidP="00F540CE">
            <w:pPr>
              <w:spacing w:after="0"/>
              <w:jc w:val="center"/>
              <w:rPr>
                <w:rFonts w:ascii="Times New Roman" w:hAnsi="Times New Roman"/>
                <w:b/>
              </w:rPr>
            </w:pPr>
          </w:p>
        </w:tc>
        <w:tc>
          <w:tcPr>
            <w:tcW w:w="283" w:type="pct"/>
            <w:vAlign w:val="center"/>
          </w:tcPr>
          <w:p w14:paraId="7D4A908E" w14:textId="77777777" w:rsidR="00F540CE" w:rsidRPr="009E1B38" w:rsidRDefault="00F540CE" w:rsidP="00F540CE">
            <w:pPr>
              <w:spacing w:after="0"/>
              <w:jc w:val="center"/>
              <w:rPr>
                <w:rFonts w:ascii="Times New Roman" w:hAnsi="Times New Roman"/>
                <w:b/>
              </w:rPr>
            </w:pPr>
          </w:p>
        </w:tc>
        <w:tc>
          <w:tcPr>
            <w:tcW w:w="343" w:type="pct"/>
            <w:vAlign w:val="center"/>
          </w:tcPr>
          <w:p w14:paraId="7D4A908F" w14:textId="77777777" w:rsidR="00F540CE" w:rsidRPr="009E1B38" w:rsidRDefault="00F540CE" w:rsidP="00F540CE">
            <w:pPr>
              <w:spacing w:after="0"/>
              <w:jc w:val="center"/>
              <w:rPr>
                <w:rFonts w:ascii="Times New Roman" w:hAnsi="Times New Roman"/>
                <w:b/>
              </w:rPr>
            </w:pPr>
            <w:r w:rsidRPr="009E1B38">
              <w:rPr>
                <w:rFonts w:ascii="Times New Roman" w:hAnsi="Times New Roman"/>
                <w:b/>
              </w:rPr>
              <w:t>1</w:t>
            </w:r>
          </w:p>
        </w:tc>
      </w:tr>
    </w:tbl>
    <w:p w14:paraId="24C79BE5" w14:textId="77777777" w:rsidR="00937AB5" w:rsidRPr="009E1B38" w:rsidRDefault="00937AB5" w:rsidP="00937AB5">
      <w:pPr>
        <w:spacing w:after="0"/>
        <w:rPr>
          <w:rFonts w:ascii="Times New Roman" w:hAnsi="Times New Roman"/>
        </w:rPr>
      </w:pPr>
      <w:r w:rsidRPr="009E1B38">
        <w:rPr>
          <w:rFonts w:ascii="Times New Roman" w:hAnsi="Times New Roman"/>
        </w:rPr>
        <w:t>*Excluding permanent staff members.</w:t>
      </w:r>
    </w:p>
    <w:p w14:paraId="7D4A9092" w14:textId="77777777" w:rsidR="008F5245" w:rsidRPr="009E1B38" w:rsidRDefault="008F5245" w:rsidP="00A02EDE">
      <w:pPr>
        <w:spacing w:after="0"/>
        <w:rPr>
          <w:rFonts w:ascii="Times New Roman" w:hAnsi="Times New Roman"/>
        </w:rPr>
      </w:pPr>
    </w:p>
    <w:p w14:paraId="7D4A9093" w14:textId="0465441E" w:rsidR="00F540CE" w:rsidRPr="009E1B38" w:rsidRDefault="00797C6C" w:rsidP="00760BA0">
      <w:pPr>
        <w:rPr>
          <w:rFonts w:ascii="Times New Roman" w:hAnsi="Times New Roman"/>
        </w:rPr>
      </w:pPr>
      <w:r w:rsidRPr="009E1B38">
        <w:rPr>
          <w:rFonts w:ascii="Times New Roman" w:hAnsi="Times New Roman"/>
        </w:rPr>
        <w:t>Table 13.3 provides information on the cadre titles and numbers of the Authority and the 521 permanent personnel employed as of the end of 2021.</w:t>
      </w:r>
      <w:bookmarkStart w:id="367" w:name="_Toc416447626"/>
      <w:bookmarkStart w:id="368" w:name="_Toc442441777"/>
    </w:p>
    <w:p w14:paraId="7D4A9094" w14:textId="225E90C5" w:rsidR="005747D2" w:rsidRPr="009E1B38" w:rsidRDefault="0082470D" w:rsidP="002F3B01">
      <w:pPr>
        <w:pStyle w:val="Balk5"/>
        <w:jc w:val="center"/>
        <w:rPr>
          <w:rFonts w:ascii="Times New Roman" w:hAnsi="Times New Roman" w:cs="Times New Roman"/>
        </w:rPr>
      </w:pPr>
      <w:bookmarkStart w:id="369" w:name="_Toc107499568"/>
      <w:bookmarkEnd w:id="367"/>
      <w:bookmarkEnd w:id="368"/>
      <w:r w:rsidRPr="009E1B38">
        <w:rPr>
          <w:rFonts w:ascii="Times New Roman" w:hAnsi="Times New Roman" w:cs="Times New Roman"/>
        </w:rPr>
        <w:t>Table</w:t>
      </w:r>
      <w:r w:rsidR="005747D2" w:rsidRPr="009E1B38">
        <w:rPr>
          <w:rFonts w:ascii="Times New Roman" w:hAnsi="Times New Roman" w:cs="Times New Roman"/>
        </w:rPr>
        <w:t xml:space="preserve"> </w:t>
      </w:r>
      <w:r w:rsidR="000276C9" w:rsidRPr="009E1B38">
        <w:rPr>
          <w:rFonts w:ascii="Times New Roman" w:hAnsi="Times New Roman" w:cs="Times New Roman"/>
        </w:rPr>
        <w:t>1</w:t>
      </w:r>
      <w:r w:rsidR="008517CF" w:rsidRPr="009E1B38">
        <w:rPr>
          <w:rFonts w:ascii="Times New Roman" w:hAnsi="Times New Roman" w:cs="Times New Roman"/>
        </w:rPr>
        <w:t>3</w:t>
      </w:r>
      <w:r w:rsidR="005747D2" w:rsidRPr="009E1B38">
        <w:rPr>
          <w:rFonts w:ascii="Times New Roman" w:hAnsi="Times New Roman" w:cs="Times New Roman"/>
        </w:rPr>
        <w:t xml:space="preserve">.3:  </w:t>
      </w:r>
      <w:r w:rsidR="00CC3849" w:rsidRPr="009E1B38">
        <w:rPr>
          <w:rFonts w:ascii="Times New Roman" w:hAnsi="Times New Roman" w:cs="Times New Roman"/>
        </w:rPr>
        <w:t>Distribution of Cadres</w:t>
      </w:r>
      <w:bookmarkEnd w:id="369"/>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70" w:type="dxa"/>
          <w:right w:w="70" w:type="dxa"/>
        </w:tblCellMar>
        <w:tblLook w:val="0000" w:firstRow="0" w:lastRow="0" w:firstColumn="0" w:lastColumn="0" w:noHBand="0" w:noVBand="0"/>
      </w:tblPr>
      <w:tblGrid>
        <w:gridCol w:w="3115"/>
        <w:gridCol w:w="1118"/>
        <w:gridCol w:w="1314"/>
        <w:gridCol w:w="551"/>
        <w:gridCol w:w="551"/>
        <w:gridCol w:w="551"/>
        <w:gridCol w:w="551"/>
        <w:gridCol w:w="551"/>
        <w:gridCol w:w="656"/>
        <w:gridCol w:w="594"/>
        <w:gridCol w:w="509"/>
      </w:tblGrid>
      <w:tr w:rsidR="00F540CE" w:rsidRPr="009E1B38" w14:paraId="7D4A909A" w14:textId="77777777" w:rsidTr="00257228">
        <w:trPr>
          <w:trHeight w:val="227"/>
          <w:tblHeader/>
        </w:trPr>
        <w:tc>
          <w:tcPr>
            <w:tcW w:w="1559" w:type="pct"/>
            <w:vMerge w:val="restart"/>
            <w:shd w:val="clear" w:color="auto" w:fill="6E9ECA"/>
            <w:noWrap/>
            <w:vAlign w:val="center"/>
          </w:tcPr>
          <w:p w14:paraId="7D4A9095" w14:textId="36D51A82" w:rsidR="00F540CE" w:rsidRPr="009E1B38" w:rsidRDefault="005C3FAA" w:rsidP="00F540CE">
            <w:pPr>
              <w:spacing w:after="0"/>
              <w:jc w:val="center"/>
              <w:rPr>
                <w:rFonts w:ascii="Times New Roman" w:hAnsi="Times New Roman"/>
                <w:b/>
                <w:color w:val="FFFFFF"/>
              </w:rPr>
            </w:pPr>
            <w:r w:rsidRPr="009E1B38">
              <w:rPr>
                <w:rFonts w:ascii="Times New Roman" w:hAnsi="Times New Roman"/>
                <w:b/>
                <w:color w:val="FFFFFF" w:themeColor="background1"/>
              </w:rPr>
              <w:t>TITLES OF CADERES</w:t>
            </w:r>
          </w:p>
        </w:tc>
        <w:tc>
          <w:tcPr>
            <w:tcW w:w="518" w:type="pct"/>
            <w:vMerge w:val="restart"/>
            <w:shd w:val="clear" w:color="auto" w:fill="6E9ECA"/>
            <w:vAlign w:val="center"/>
          </w:tcPr>
          <w:p w14:paraId="7D4A9096" w14:textId="0AF81CF4" w:rsidR="00F540CE" w:rsidRPr="009E1B38" w:rsidRDefault="005C3FAA" w:rsidP="00F540CE">
            <w:pPr>
              <w:spacing w:after="0"/>
              <w:jc w:val="center"/>
              <w:rPr>
                <w:rFonts w:ascii="Times New Roman" w:hAnsi="Times New Roman"/>
                <w:b/>
                <w:color w:val="FFFFFF"/>
              </w:rPr>
            </w:pPr>
            <w:r w:rsidRPr="009E1B38">
              <w:rPr>
                <w:rFonts w:ascii="Times New Roman" w:hAnsi="Times New Roman"/>
                <w:b/>
                <w:color w:val="FFFFFF" w:themeColor="background1"/>
              </w:rPr>
              <w:t>NUMBER OF TOTAL CADRES</w:t>
            </w:r>
          </w:p>
        </w:tc>
        <w:tc>
          <w:tcPr>
            <w:tcW w:w="591" w:type="pct"/>
            <w:vMerge w:val="restart"/>
            <w:shd w:val="clear" w:color="auto" w:fill="6E9ECA"/>
            <w:vAlign w:val="center"/>
          </w:tcPr>
          <w:p w14:paraId="7D4A9097" w14:textId="7A243995" w:rsidR="00F540CE" w:rsidRPr="009E1B38" w:rsidRDefault="005C3FAA" w:rsidP="00F540CE">
            <w:pPr>
              <w:spacing w:after="0"/>
              <w:jc w:val="center"/>
              <w:rPr>
                <w:rFonts w:ascii="Times New Roman" w:hAnsi="Times New Roman"/>
                <w:b/>
                <w:color w:val="FFFFFF"/>
              </w:rPr>
            </w:pPr>
            <w:r w:rsidRPr="009E1B38">
              <w:rPr>
                <w:rFonts w:ascii="Times New Roman" w:hAnsi="Times New Roman"/>
                <w:b/>
                <w:color w:val="FFFFFF" w:themeColor="background1"/>
              </w:rPr>
              <w:t>NUMBER OF OCCUPIED CADRES</w:t>
            </w:r>
          </w:p>
        </w:tc>
        <w:tc>
          <w:tcPr>
            <w:tcW w:w="1761" w:type="pct"/>
            <w:gridSpan w:val="6"/>
            <w:shd w:val="clear" w:color="auto" w:fill="6E9ECA"/>
            <w:vAlign w:val="center"/>
          </w:tcPr>
          <w:p w14:paraId="7D4A9098" w14:textId="42744AE8" w:rsidR="00F540CE" w:rsidRPr="009E1B38" w:rsidRDefault="005C3FAA" w:rsidP="00F540CE">
            <w:pPr>
              <w:spacing w:after="0"/>
              <w:jc w:val="center"/>
              <w:rPr>
                <w:rFonts w:ascii="Times New Roman" w:hAnsi="Times New Roman"/>
                <w:b/>
                <w:color w:val="FFFFFF"/>
              </w:rPr>
            </w:pPr>
            <w:r w:rsidRPr="009E1B38">
              <w:rPr>
                <w:rFonts w:ascii="Times New Roman" w:hAnsi="Times New Roman"/>
                <w:b/>
                <w:color w:val="FFFFFF" w:themeColor="background1"/>
              </w:rPr>
              <w:t>EDUCATIONAL BACKGROUND</w:t>
            </w:r>
          </w:p>
        </w:tc>
        <w:tc>
          <w:tcPr>
            <w:tcW w:w="570" w:type="pct"/>
            <w:gridSpan w:val="2"/>
            <w:shd w:val="clear" w:color="auto" w:fill="6E9ECA"/>
            <w:noWrap/>
            <w:vAlign w:val="center"/>
          </w:tcPr>
          <w:p w14:paraId="7D4A9099" w14:textId="4B62EFB1" w:rsidR="00F540CE" w:rsidRPr="009E1B38" w:rsidRDefault="005C3FAA" w:rsidP="00F540CE">
            <w:pPr>
              <w:spacing w:after="0"/>
              <w:jc w:val="center"/>
              <w:rPr>
                <w:rFonts w:ascii="Times New Roman" w:hAnsi="Times New Roman"/>
                <w:b/>
                <w:color w:val="FFFFFF"/>
              </w:rPr>
            </w:pPr>
            <w:r w:rsidRPr="009E1B38">
              <w:rPr>
                <w:rFonts w:ascii="Times New Roman" w:hAnsi="Times New Roman"/>
                <w:b/>
                <w:color w:val="FFFFFF" w:themeColor="background1"/>
              </w:rPr>
              <w:t>GENDER</w:t>
            </w:r>
          </w:p>
        </w:tc>
      </w:tr>
      <w:tr w:rsidR="007A04E5" w:rsidRPr="009E1B38" w14:paraId="7D4A90A6" w14:textId="77777777" w:rsidTr="00257228">
        <w:trPr>
          <w:trHeight w:val="1549"/>
          <w:tblHeader/>
        </w:trPr>
        <w:tc>
          <w:tcPr>
            <w:tcW w:w="1559" w:type="pct"/>
            <w:vMerge/>
            <w:shd w:val="clear" w:color="auto" w:fill="6E9ECA"/>
            <w:vAlign w:val="center"/>
          </w:tcPr>
          <w:p w14:paraId="7D4A909B" w14:textId="77777777" w:rsidR="00F540CE" w:rsidRPr="009E1B38" w:rsidRDefault="00F540CE" w:rsidP="00F540CE">
            <w:pPr>
              <w:spacing w:after="0"/>
              <w:rPr>
                <w:rFonts w:ascii="Times New Roman" w:hAnsi="Times New Roman"/>
                <w:b/>
                <w:color w:val="FFFFFF"/>
              </w:rPr>
            </w:pPr>
          </w:p>
        </w:tc>
        <w:tc>
          <w:tcPr>
            <w:tcW w:w="518" w:type="pct"/>
            <w:vMerge/>
            <w:shd w:val="clear" w:color="auto" w:fill="6E9ECA"/>
            <w:vAlign w:val="center"/>
          </w:tcPr>
          <w:p w14:paraId="7D4A909C" w14:textId="77777777" w:rsidR="00F540CE" w:rsidRPr="009E1B38" w:rsidRDefault="00F540CE" w:rsidP="00F540CE">
            <w:pPr>
              <w:spacing w:after="0"/>
              <w:jc w:val="center"/>
              <w:rPr>
                <w:rFonts w:ascii="Times New Roman" w:hAnsi="Times New Roman"/>
                <w:b/>
                <w:color w:val="FFFFFF"/>
              </w:rPr>
            </w:pPr>
          </w:p>
        </w:tc>
        <w:tc>
          <w:tcPr>
            <w:tcW w:w="591" w:type="pct"/>
            <w:vMerge/>
            <w:shd w:val="clear" w:color="auto" w:fill="6E9ECA"/>
            <w:vAlign w:val="center"/>
          </w:tcPr>
          <w:p w14:paraId="7D4A909D" w14:textId="77777777" w:rsidR="00F540CE" w:rsidRPr="009E1B38" w:rsidRDefault="00F540CE" w:rsidP="00F540CE">
            <w:pPr>
              <w:spacing w:after="0"/>
              <w:jc w:val="center"/>
              <w:rPr>
                <w:rFonts w:ascii="Times New Roman" w:hAnsi="Times New Roman"/>
                <w:b/>
                <w:color w:val="FFFFFF"/>
              </w:rPr>
            </w:pPr>
          </w:p>
        </w:tc>
        <w:tc>
          <w:tcPr>
            <w:tcW w:w="285" w:type="pct"/>
            <w:shd w:val="clear" w:color="auto" w:fill="6E9ECA"/>
            <w:noWrap/>
            <w:textDirection w:val="btLr"/>
            <w:vAlign w:val="center"/>
          </w:tcPr>
          <w:p w14:paraId="7D4A909E" w14:textId="47AA811B" w:rsidR="00F540CE" w:rsidRPr="009E1B38" w:rsidRDefault="0019479B" w:rsidP="00F540CE">
            <w:pPr>
              <w:spacing w:after="0"/>
              <w:jc w:val="center"/>
              <w:rPr>
                <w:rFonts w:ascii="Times New Roman" w:hAnsi="Times New Roman"/>
                <w:b/>
                <w:color w:val="FFFFFF"/>
              </w:rPr>
            </w:pPr>
            <w:r w:rsidRPr="009E1B38">
              <w:rPr>
                <w:rFonts w:ascii="Times New Roman" w:hAnsi="Times New Roman"/>
                <w:b/>
                <w:color w:val="FFFFFF" w:themeColor="background1"/>
              </w:rPr>
              <w:t>PRIMARY SCHOOL</w:t>
            </w:r>
          </w:p>
        </w:tc>
        <w:tc>
          <w:tcPr>
            <w:tcW w:w="285" w:type="pct"/>
            <w:shd w:val="clear" w:color="auto" w:fill="6E9ECA"/>
            <w:textDirection w:val="btLr"/>
            <w:vAlign w:val="center"/>
          </w:tcPr>
          <w:p w14:paraId="7D4A909F" w14:textId="559740AB" w:rsidR="00F540CE" w:rsidRPr="009E1B38" w:rsidRDefault="0019479B" w:rsidP="00F540CE">
            <w:pPr>
              <w:spacing w:after="0"/>
              <w:jc w:val="center"/>
              <w:rPr>
                <w:rFonts w:ascii="Times New Roman" w:hAnsi="Times New Roman"/>
                <w:b/>
                <w:color w:val="FFFFFF"/>
              </w:rPr>
            </w:pPr>
            <w:r w:rsidRPr="009E1B38">
              <w:rPr>
                <w:rFonts w:ascii="Times New Roman" w:hAnsi="Times New Roman"/>
                <w:b/>
                <w:color w:val="FFFFFF" w:themeColor="background1"/>
              </w:rPr>
              <w:t>SECONDARY SCHOOL</w:t>
            </w:r>
          </w:p>
        </w:tc>
        <w:tc>
          <w:tcPr>
            <w:tcW w:w="285" w:type="pct"/>
            <w:shd w:val="clear" w:color="auto" w:fill="6E9ECA"/>
            <w:textDirection w:val="btLr"/>
            <w:vAlign w:val="center"/>
          </w:tcPr>
          <w:p w14:paraId="7D4A90A0" w14:textId="4D2B5824" w:rsidR="00F540CE" w:rsidRPr="009E1B38" w:rsidRDefault="0019479B" w:rsidP="00F540CE">
            <w:pPr>
              <w:spacing w:after="0"/>
              <w:jc w:val="center"/>
              <w:rPr>
                <w:rFonts w:ascii="Times New Roman" w:hAnsi="Times New Roman"/>
                <w:b/>
                <w:color w:val="FFFFFF"/>
              </w:rPr>
            </w:pPr>
            <w:r w:rsidRPr="009E1B38">
              <w:rPr>
                <w:rFonts w:ascii="Times New Roman" w:hAnsi="Times New Roman"/>
                <w:b/>
                <w:color w:val="FFFFFF" w:themeColor="background1"/>
              </w:rPr>
              <w:t>ASSOCIATE’S DEFREE</w:t>
            </w:r>
          </w:p>
        </w:tc>
        <w:tc>
          <w:tcPr>
            <w:tcW w:w="285" w:type="pct"/>
            <w:shd w:val="clear" w:color="auto" w:fill="6E9ECA"/>
            <w:textDirection w:val="btLr"/>
            <w:vAlign w:val="center"/>
          </w:tcPr>
          <w:p w14:paraId="7D4A90A1" w14:textId="659FE00F" w:rsidR="00F540CE" w:rsidRPr="009E1B38" w:rsidRDefault="0019479B" w:rsidP="00F540CE">
            <w:pPr>
              <w:spacing w:after="0"/>
              <w:jc w:val="center"/>
              <w:rPr>
                <w:rFonts w:ascii="Times New Roman" w:hAnsi="Times New Roman"/>
                <w:b/>
                <w:color w:val="FFFFFF"/>
              </w:rPr>
            </w:pPr>
            <w:r w:rsidRPr="009E1B38">
              <w:rPr>
                <w:rFonts w:ascii="Times New Roman" w:hAnsi="Times New Roman"/>
                <w:b/>
                <w:color w:val="FFFFFF" w:themeColor="background1"/>
              </w:rPr>
              <w:t>BACHELOR’S DEGREE</w:t>
            </w:r>
          </w:p>
        </w:tc>
        <w:tc>
          <w:tcPr>
            <w:tcW w:w="285" w:type="pct"/>
            <w:shd w:val="clear" w:color="auto" w:fill="6E9ECA"/>
            <w:textDirection w:val="btLr"/>
            <w:vAlign w:val="center"/>
          </w:tcPr>
          <w:p w14:paraId="7D4A90A2" w14:textId="2144D124" w:rsidR="00F540CE" w:rsidRPr="009E1B38" w:rsidRDefault="0019479B" w:rsidP="00F540CE">
            <w:pPr>
              <w:spacing w:after="0"/>
              <w:jc w:val="center"/>
              <w:rPr>
                <w:rFonts w:ascii="Times New Roman" w:hAnsi="Times New Roman"/>
                <w:b/>
                <w:color w:val="FFFFFF"/>
              </w:rPr>
            </w:pPr>
            <w:r w:rsidRPr="009E1B38">
              <w:rPr>
                <w:rFonts w:ascii="Times New Roman" w:hAnsi="Times New Roman"/>
                <w:b/>
                <w:color w:val="FFFFFF" w:themeColor="background1"/>
              </w:rPr>
              <w:t>MASTERS</w:t>
            </w:r>
          </w:p>
        </w:tc>
        <w:tc>
          <w:tcPr>
            <w:tcW w:w="337" w:type="pct"/>
            <w:shd w:val="clear" w:color="auto" w:fill="6E9ECA"/>
            <w:textDirection w:val="btLr"/>
            <w:vAlign w:val="center"/>
          </w:tcPr>
          <w:p w14:paraId="7D4A90A3" w14:textId="007C7D84" w:rsidR="00F540CE" w:rsidRPr="009E1B38" w:rsidRDefault="0019479B" w:rsidP="00F540CE">
            <w:pPr>
              <w:spacing w:after="0"/>
              <w:jc w:val="center"/>
              <w:rPr>
                <w:rFonts w:ascii="Times New Roman" w:hAnsi="Times New Roman"/>
                <w:b/>
                <w:color w:val="FFFFFF"/>
              </w:rPr>
            </w:pPr>
            <w:r w:rsidRPr="009E1B38">
              <w:rPr>
                <w:rFonts w:ascii="Times New Roman" w:hAnsi="Times New Roman"/>
                <w:b/>
                <w:color w:val="FFFFFF" w:themeColor="background1"/>
              </w:rPr>
              <w:t>DOCTORATE</w:t>
            </w:r>
          </w:p>
        </w:tc>
        <w:tc>
          <w:tcPr>
            <w:tcW w:w="306" w:type="pct"/>
            <w:shd w:val="clear" w:color="auto" w:fill="6E9ECA"/>
            <w:textDirection w:val="btLr"/>
            <w:vAlign w:val="center"/>
          </w:tcPr>
          <w:p w14:paraId="7D4A90A4" w14:textId="542AAD88" w:rsidR="00F540CE" w:rsidRPr="009E1B38" w:rsidRDefault="0019479B" w:rsidP="00F540CE">
            <w:pPr>
              <w:spacing w:after="0"/>
              <w:jc w:val="center"/>
              <w:rPr>
                <w:rFonts w:ascii="Times New Roman" w:hAnsi="Times New Roman"/>
                <w:b/>
                <w:color w:val="FFFFFF"/>
              </w:rPr>
            </w:pPr>
            <w:r w:rsidRPr="009E1B38">
              <w:rPr>
                <w:rFonts w:ascii="Times New Roman" w:hAnsi="Times New Roman"/>
                <w:b/>
                <w:color w:val="FFFFFF" w:themeColor="background1"/>
              </w:rPr>
              <w:t>FEMALE</w:t>
            </w:r>
          </w:p>
        </w:tc>
        <w:tc>
          <w:tcPr>
            <w:tcW w:w="264" w:type="pct"/>
            <w:shd w:val="clear" w:color="auto" w:fill="6E9ECA"/>
            <w:textDirection w:val="btLr"/>
            <w:vAlign w:val="center"/>
          </w:tcPr>
          <w:p w14:paraId="7D4A90A5" w14:textId="101F9B4F" w:rsidR="00F540CE" w:rsidRPr="009E1B38" w:rsidRDefault="0019479B" w:rsidP="00F540CE">
            <w:pPr>
              <w:spacing w:after="0"/>
              <w:jc w:val="center"/>
              <w:rPr>
                <w:rFonts w:ascii="Times New Roman" w:hAnsi="Times New Roman"/>
                <w:b/>
                <w:color w:val="FFFFFF"/>
              </w:rPr>
            </w:pPr>
            <w:r w:rsidRPr="009E1B38">
              <w:rPr>
                <w:rFonts w:ascii="Times New Roman" w:hAnsi="Times New Roman"/>
                <w:b/>
                <w:color w:val="FFFFFF" w:themeColor="background1"/>
              </w:rPr>
              <w:t>MALE</w:t>
            </w:r>
          </w:p>
        </w:tc>
      </w:tr>
      <w:tr w:rsidR="00F540CE" w:rsidRPr="009E1B38" w14:paraId="7D4A90B2" w14:textId="77777777" w:rsidTr="00257228">
        <w:trPr>
          <w:trHeight w:val="227"/>
        </w:trPr>
        <w:tc>
          <w:tcPr>
            <w:tcW w:w="1559" w:type="pct"/>
            <w:shd w:val="clear" w:color="auto" w:fill="auto"/>
            <w:noWrap/>
            <w:vAlign w:val="center"/>
          </w:tcPr>
          <w:p w14:paraId="7D4A90A7" w14:textId="00D6AEC4" w:rsidR="00F540CE" w:rsidRPr="009E1B38" w:rsidRDefault="00D915D2" w:rsidP="00F540CE">
            <w:pPr>
              <w:spacing w:after="0"/>
              <w:rPr>
                <w:rFonts w:ascii="Times New Roman" w:hAnsi="Times New Roman"/>
                <w:color w:val="000000"/>
              </w:rPr>
            </w:pPr>
            <w:r w:rsidRPr="009E1B38">
              <w:rPr>
                <w:rFonts w:ascii="Times New Roman" w:hAnsi="Times New Roman"/>
                <w:color w:val="000000" w:themeColor="text1"/>
              </w:rPr>
              <w:t>Vice President</w:t>
            </w:r>
          </w:p>
        </w:tc>
        <w:tc>
          <w:tcPr>
            <w:tcW w:w="518" w:type="pct"/>
            <w:shd w:val="clear" w:color="auto" w:fill="auto"/>
            <w:noWrap/>
            <w:vAlign w:val="center"/>
          </w:tcPr>
          <w:p w14:paraId="7D4A90A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c>
          <w:tcPr>
            <w:tcW w:w="591" w:type="pct"/>
            <w:shd w:val="clear" w:color="auto" w:fill="auto"/>
            <w:noWrap/>
            <w:vAlign w:val="center"/>
          </w:tcPr>
          <w:p w14:paraId="7D4A90A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c>
          <w:tcPr>
            <w:tcW w:w="285" w:type="pct"/>
            <w:shd w:val="clear" w:color="auto" w:fill="auto"/>
            <w:noWrap/>
            <w:vAlign w:val="center"/>
          </w:tcPr>
          <w:p w14:paraId="7D4A90AA"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0AB"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0AC"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0A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285" w:type="pct"/>
            <w:shd w:val="clear" w:color="auto" w:fill="auto"/>
            <w:noWrap/>
            <w:vAlign w:val="center"/>
          </w:tcPr>
          <w:p w14:paraId="7D4A90AE"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37" w:type="pct"/>
            <w:shd w:val="clear" w:color="auto" w:fill="auto"/>
            <w:noWrap/>
            <w:vAlign w:val="center"/>
          </w:tcPr>
          <w:p w14:paraId="7D4A90AF"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0B0"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0B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r>
      <w:tr w:rsidR="00F540CE" w:rsidRPr="009E1B38" w14:paraId="7D4A90BE" w14:textId="77777777" w:rsidTr="00257228">
        <w:trPr>
          <w:trHeight w:val="227"/>
        </w:trPr>
        <w:tc>
          <w:tcPr>
            <w:tcW w:w="1559" w:type="pct"/>
            <w:shd w:val="clear" w:color="auto" w:fill="auto"/>
            <w:vAlign w:val="center"/>
          </w:tcPr>
          <w:p w14:paraId="7D4A90B3" w14:textId="6BB0DF85" w:rsidR="00F540CE" w:rsidRPr="009E1B38" w:rsidRDefault="007C5272" w:rsidP="000C3C67">
            <w:pPr>
              <w:spacing w:after="0"/>
              <w:jc w:val="left"/>
              <w:rPr>
                <w:rFonts w:ascii="Times New Roman" w:hAnsi="Times New Roman"/>
                <w:color w:val="000000"/>
              </w:rPr>
            </w:pPr>
            <w:r w:rsidRPr="009E1B38">
              <w:rPr>
                <w:rFonts w:ascii="Times New Roman" w:hAnsi="Times New Roman"/>
                <w:color w:val="000000" w:themeColor="text1"/>
              </w:rPr>
              <w:t>Head of Information Technology Department</w:t>
            </w:r>
          </w:p>
        </w:tc>
        <w:tc>
          <w:tcPr>
            <w:tcW w:w="518" w:type="pct"/>
            <w:shd w:val="clear" w:color="auto" w:fill="auto"/>
            <w:vAlign w:val="center"/>
          </w:tcPr>
          <w:p w14:paraId="7D4A90B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0B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B6"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0B7"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0B8"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0B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BA"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0BB"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0BC"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0B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0CA" w14:textId="77777777" w:rsidTr="00257228">
        <w:trPr>
          <w:trHeight w:val="227"/>
        </w:trPr>
        <w:tc>
          <w:tcPr>
            <w:tcW w:w="1559" w:type="pct"/>
            <w:shd w:val="clear" w:color="auto" w:fill="auto"/>
            <w:vAlign w:val="center"/>
          </w:tcPr>
          <w:p w14:paraId="7D4A90BF" w14:textId="1425F275" w:rsidR="00F540CE" w:rsidRPr="009E1B38" w:rsidRDefault="000C3C67" w:rsidP="00F540CE">
            <w:pPr>
              <w:autoSpaceDE w:val="0"/>
              <w:autoSpaceDN w:val="0"/>
              <w:adjustRightInd w:val="0"/>
              <w:spacing w:after="0" w:line="240" w:lineRule="auto"/>
              <w:rPr>
                <w:rFonts w:ascii="Times New Roman" w:hAnsi="Times New Roman"/>
                <w:color w:val="000000"/>
              </w:rPr>
            </w:pPr>
            <w:r w:rsidRPr="009E1B38">
              <w:rPr>
                <w:rFonts w:ascii="Times New Roman" w:hAnsi="Times New Roman"/>
                <w:color w:val="000000" w:themeColor="text1"/>
              </w:rPr>
              <w:t>Head of Audit Department</w:t>
            </w:r>
          </w:p>
        </w:tc>
        <w:tc>
          <w:tcPr>
            <w:tcW w:w="518" w:type="pct"/>
            <w:shd w:val="clear" w:color="auto" w:fill="auto"/>
            <w:vAlign w:val="center"/>
          </w:tcPr>
          <w:p w14:paraId="7D4A90C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0C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C2"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0C3"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0C4"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0C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C6"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0C7"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0C8"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0C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0D6" w14:textId="77777777" w:rsidTr="00257228">
        <w:trPr>
          <w:trHeight w:val="227"/>
        </w:trPr>
        <w:tc>
          <w:tcPr>
            <w:tcW w:w="1559" w:type="pct"/>
            <w:shd w:val="clear" w:color="auto" w:fill="auto"/>
            <w:vAlign w:val="center"/>
          </w:tcPr>
          <w:p w14:paraId="7D4A90CB" w14:textId="20D1F8B5" w:rsidR="00F540CE" w:rsidRPr="009E1B38" w:rsidRDefault="000C3C67" w:rsidP="00F540CE">
            <w:pPr>
              <w:autoSpaceDE w:val="0"/>
              <w:autoSpaceDN w:val="0"/>
              <w:adjustRightInd w:val="0"/>
              <w:spacing w:after="0" w:line="240" w:lineRule="auto"/>
              <w:rPr>
                <w:rFonts w:ascii="Times New Roman" w:hAnsi="Times New Roman"/>
                <w:color w:val="000000"/>
              </w:rPr>
            </w:pPr>
            <w:r w:rsidRPr="009E1B38">
              <w:rPr>
                <w:rFonts w:ascii="Times New Roman" w:hAnsi="Times New Roman"/>
                <w:color w:val="000000"/>
              </w:rPr>
              <w:t>Head of Natural Gas Market Department</w:t>
            </w:r>
          </w:p>
        </w:tc>
        <w:tc>
          <w:tcPr>
            <w:tcW w:w="518" w:type="pct"/>
            <w:shd w:val="clear" w:color="auto" w:fill="auto"/>
            <w:vAlign w:val="center"/>
          </w:tcPr>
          <w:p w14:paraId="7D4A90C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0C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CE"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0CF"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0D0"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0D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D2"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0D3"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0D4"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0D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0E2" w14:textId="77777777" w:rsidTr="00257228">
        <w:trPr>
          <w:trHeight w:val="227"/>
        </w:trPr>
        <w:tc>
          <w:tcPr>
            <w:tcW w:w="1559" w:type="pct"/>
            <w:shd w:val="clear" w:color="auto" w:fill="auto"/>
            <w:vAlign w:val="center"/>
          </w:tcPr>
          <w:p w14:paraId="7D4A90D7" w14:textId="1AE7F9C7" w:rsidR="00F540CE" w:rsidRPr="009E1B38" w:rsidRDefault="00E270E7" w:rsidP="00F540CE">
            <w:pPr>
              <w:autoSpaceDE w:val="0"/>
              <w:autoSpaceDN w:val="0"/>
              <w:adjustRightInd w:val="0"/>
              <w:spacing w:after="0" w:line="240" w:lineRule="auto"/>
              <w:rPr>
                <w:rFonts w:ascii="Times New Roman" w:hAnsi="Times New Roman"/>
                <w:color w:val="000000"/>
              </w:rPr>
            </w:pPr>
            <w:r w:rsidRPr="009E1B38">
              <w:rPr>
                <w:rFonts w:ascii="Times New Roman" w:hAnsi="Times New Roman"/>
                <w:color w:val="000000"/>
              </w:rPr>
              <w:t>Head of Electricity Market Department</w:t>
            </w:r>
          </w:p>
        </w:tc>
        <w:tc>
          <w:tcPr>
            <w:tcW w:w="518" w:type="pct"/>
            <w:shd w:val="clear" w:color="auto" w:fill="auto"/>
            <w:vAlign w:val="center"/>
          </w:tcPr>
          <w:p w14:paraId="7D4A90D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0D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DA"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0DB"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0DC"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0D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DE"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0DF"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0E0"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0E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0EE" w14:textId="77777777" w:rsidTr="00257228">
        <w:trPr>
          <w:trHeight w:val="227"/>
        </w:trPr>
        <w:tc>
          <w:tcPr>
            <w:tcW w:w="1559" w:type="pct"/>
            <w:shd w:val="clear" w:color="auto" w:fill="auto"/>
            <w:vAlign w:val="center"/>
          </w:tcPr>
          <w:p w14:paraId="7D4A90E3" w14:textId="69E121EE" w:rsidR="00F540CE" w:rsidRPr="009E1B38" w:rsidRDefault="009F5ACB" w:rsidP="00F540CE">
            <w:pPr>
              <w:spacing w:after="0"/>
              <w:rPr>
                <w:rFonts w:ascii="Times New Roman" w:hAnsi="Times New Roman"/>
                <w:color w:val="000000"/>
              </w:rPr>
            </w:pPr>
            <w:r w:rsidRPr="009E1B38">
              <w:rPr>
                <w:rFonts w:ascii="Times New Roman" w:hAnsi="Times New Roman"/>
                <w:color w:val="000000" w:themeColor="text1"/>
              </w:rPr>
              <w:t>Head of Energy Conversion Department</w:t>
            </w:r>
          </w:p>
        </w:tc>
        <w:tc>
          <w:tcPr>
            <w:tcW w:w="518" w:type="pct"/>
            <w:shd w:val="clear" w:color="auto" w:fill="auto"/>
            <w:vAlign w:val="center"/>
          </w:tcPr>
          <w:p w14:paraId="7D4A90E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0E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E6"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0E7"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0E8"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0E9"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0EA"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37" w:type="pct"/>
            <w:shd w:val="clear" w:color="auto" w:fill="auto"/>
            <w:noWrap/>
            <w:vAlign w:val="center"/>
          </w:tcPr>
          <w:p w14:paraId="7D4A90EB"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0EC"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0E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0FA" w14:textId="77777777" w:rsidTr="00257228">
        <w:trPr>
          <w:trHeight w:val="227"/>
        </w:trPr>
        <w:tc>
          <w:tcPr>
            <w:tcW w:w="1559" w:type="pct"/>
            <w:shd w:val="clear" w:color="auto" w:fill="auto"/>
            <w:vAlign w:val="center"/>
          </w:tcPr>
          <w:p w14:paraId="7D4A90EF" w14:textId="5C533B5E" w:rsidR="00F540CE" w:rsidRPr="009E1B38" w:rsidRDefault="009F5ACB" w:rsidP="00F540CE">
            <w:pPr>
              <w:autoSpaceDE w:val="0"/>
              <w:autoSpaceDN w:val="0"/>
              <w:adjustRightInd w:val="0"/>
              <w:spacing w:after="0" w:line="240" w:lineRule="auto"/>
              <w:rPr>
                <w:rFonts w:ascii="Times New Roman" w:hAnsi="Times New Roman"/>
                <w:color w:val="000000"/>
              </w:rPr>
            </w:pPr>
            <w:r w:rsidRPr="009E1B38">
              <w:rPr>
                <w:rFonts w:ascii="Times New Roman" w:hAnsi="Times New Roman"/>
                <w:color w:val="000000" w:themeColor="text1"/>
              </w:rPr>
              <w:t>Head of Legal Department</w:t>
            </w:r>
          </w:p>
        </w:tc>
        <w:tc>
          <w:tcPr>
            <w:tcW w:w="518" w:type="pct"/>
            <w:shd w:val="clear" w:color="auto" w:fill="auto"/>
            <w:vAlign w:val="center"/>
          </w:tcPr>
          <w:p w14:paraId="7D4A90F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0F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F2"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0F3"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0F4"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0F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F6"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0F7"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0F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64" w:type="pct"/>
            <w:shd w:val="clear" w:color="auto" w:fill="auto"/>
            <w:noWrap/>
            <w:vAlign w:val="center"/>
          </w:tcPr>
          <w:p w14:paraId="7D4A90F9" w14:textId="77777777" w:rsidR="00F540CE" w:rsidRPr="009E1B38" w:rsidRDefault="00F540CE" w:rsidP="00F540CE">
            <w:pPr>
              <w:spacing w:after="0"/>
              <w:jc w:val="center"/>
              <w:rPr>
                <w:rFonts w:ascii="Times New Roman" w:hAnsi="Times New Roman"/>
                <w:color w:val="000000"/>
              </w:rPr>
            </w:pPr>
          </w:p>
        </w:tc>
      </w:tr>
      <w:tr w:rsidR="00F540CE" w:rsidRPr="009E1B38" w14:paraId="7D4A9106" w14:textId="77777777" w:rsidTr="00257228">
        <w:trPr>
          <w:trHeight w:val="227"/>
        </w:trPr>
        <w:tc>
          <w:tcPr>
            <w:tcW w:w="1559" w:type="pct"/>
            <w:shd w:val="clear" w:color="auto" w:fill="auto"/>
            <w:vAlign w:val="center"/>
          </w:tcPr>
          <w:p w14:paraId="7D4A90FB" w14:textId="489989FC" w:rsidR="00F540CE" w:rsidRPr="009E1B38" w:rsidRDefault="000068AA" w:rsidP="00F540CE">
            <w:pPr>
              <w:spacing w:after="0"/>
              <w:jc w:val="left"/>
              <w:rPr>
                <w:rFonts w:ascii="Times New Roman" w:hAnsi="Times New Roman"/>
                <w:color w:val="000000"/>
              </w:rPr>
            </w:pPr>
            <w:r w:rsidRPr="009E1B38">
              <w:rPr>
                <w:rFonts w:ascii="Times New Roman" w:hAnsi="Times New Roman"/>
                <w:color w:val="000000" w:themeColor="text1"/>
              </w:rPr>
              <w:t>Head of Human Resources and Support Services Department</w:t>
            </w:r>
          </w:p>
        </w:tc>
        <w:tc>
          <w:tcPr>
            <w:tcW w:w="518" w:type="pct"/>
            <w:shd w:val="clear" w:color="auto" w:fill="auto"/>
            <w:vAlign w:val="center"/>
          </w:tcPr>
          <w:p w14:paraId="7D4A90F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0F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0FE"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0FF"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00"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0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02"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03"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04"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0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112" w14:textId="77777777" w:rsidTr="00257228">
        <w:trPr>
          <w:trHeight w:val="227"/>
        </w:trPr>
        <w:tc>
          <w:tcPr>
            <w:tcW w:w="1559" w:type="pct"/>
            <w:shd w:val="clear" w:color="auto" w:fill="auto"/>
            <w:vAlign w:val="center"/>
          </w:tcPr>
          <w:p w14:paraId="7D4A9107" w14:textId="536A3AE8" w:rsidR="00F540CE" w:rsidRPr="009E1B38" w:rsidRDefault="00182FE2" w:rsidP="00F540CE">
            <w:pPr>
              <w:autoSpaceDE w:val="0"/>
              <w:autoSpaceDN w:val="0"/>
              <w:adjustRightInd w:val="0"/>
              <w:spacing w:after="0" w:line="240" w:lineRule="auto"/>
              <w:rPr>
                <w:rFonts w:ascii="Times New Roman" w:hAnsi="Times New Roman"/>
                <w:color w:val="000000"/>
              </w:rPr>
            </w:pPr>
            <w:r w:rsidRPr="009E1B38">
              <w:rPr>
                <w:rFonts w:ascii="Times New Roman" w:hAnsi="Times New Roman"/>
                <w:color w:val="000000" w:themeColor="text1"/>
              </w:rPr>
              <w:t>Head of Expropriation Department</w:t>
            </w:r>
          </w:p>
        </w:tc>
        <w:tc>
          <w:tcPr>
            <w:tcW w:w="518" w:type="pct"/>
            <w:shd w:val="clear" w:color="auto" w:fill="auto"/>
            <w:vAlign w:val="center"/>
          </w:tcPr>
          <w:p w14:paraId="7D4A910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0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0A"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0B"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0C"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0D"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0E"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0F"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6" w:type="pct"/>
            <w:shd w:val="clear" w:color="auto" w:fill="auto"/>
            <w:noWrap/>
            <w:vAlign w:val="center"/>
          </w:tcPr>
          <w:p w14:paraId="7D4A9110"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1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11E" w14:textId="77777777" w:rsidTr="00257228">
        <w:trPr>
          <w:trHeight w:val="227"/>
        </w:trPr>
        <w:tc>
          <w:tcPr>
            <w:tcW w:w="1559" w:type="pct"/>
            <w:shd w:val="clear" w:color="auto" w:fill="auto"/>
            <w:vAlign w:val="center"/>
          </w:tcPr>
          <w:p w14:paraId="7D4A9113" w14:textId="3771DFC1" w:rsidR="00F540CE" w:rsidRPr="009E1B38" w:rsidRDefault="005E13D9" w:rsidP="00F540CE">
            <w:pPr>
              <w:autoSpaceDE w:val="0"/>
              <w:autoSpaceDN w:val="0"/>
              <w:adjustRightInd w:val="0"/>
              <w:spacing w:after="0" w:line="240" w:lineRule="auto"/>
              <w:rPr>
                <w:rFonts w:ascii="Times New Roman" w:hAnsi="Times New Roman"/>
                <w:color w:val="000000"/>
              </w:rPr>
            </w:pPr>
            <w:r w:rsidRPr="009E1B38">
              <w:rPr>
                <w:rFonts w:ascii="Times New Roman" w:hAnsi="Times New Roman"/>
                <w:color w:val="000000" w:themeColor="text1"/>
              </w:rPr>
              <w:t>Head of Petroleum Market Department</w:t>
            </w:r>
          </w:p>
        </w:tc>
        <w:tc>
          <w:tcPr>
            <w:tcW w:w="518" w:type="pct"/>
            <w:shd w:val="clear" w:color="auto" w:fill="auto"/>
            <w:vAlign w:val="center"/>
          </w:tcPr>
          <w:p w14:paraId="7D4A911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1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16"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17"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18"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1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1A"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1B"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1C"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1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12A" w14:textId="77777777" w:rsidTr="00257228">
        <w:trPr>
          <w:trHeight w:val="227"/>
        </w:trPr>
        <w:tc>
          <w:tcPr>
            <w:tcW w:w="1559" w:type="pct"/>
            <w:shd w:val="clear" w:color="auto" w:fill="auto"/>
            <w:vAlign w:val="center"/>
          </w:tcPr>
          <w:p w14:paraId="7D4A911F" w14:textId="6D0BC9E1" w:rsidR="00F540CE" w:rsidRPr="009E1B38" w:rsidRDefault="005E13D9" w:rsidP="00F540CE">
            <w:pPr>
              <w:autoSpaceDE w:val="0"/>
              <w:autoSpaceDN w:val="0"/>
              <w:adjustRightInd w:val="0"/>
              <w:spacing w:after="0" w:line="240" w:lineRule="auto"/>
              <w:rPr>
                <w:rFonts w:ascii="Times New Roman" w:hAnsi="Times New Roman"/>
                <w:color w:val="000000"/>
              </w:rPr>
            </w:pPr>
            <w:r w:rsidRPr="009E1B38">
              <w:rPr>
                <w:rFonts w:ascii="Times New Roman" w:hAnsi="Times New Roman"/>
                <w:color w:val="000000" w:themeColor="text1"/>
              </w:rPr>
              <w:t>Head of LPG Market Department</w:t>
            </w:r>
          </w:p>
        </w:tc>
        <w:tc>
          <w:tcPr>
            <w:tcW w:w="518" w:type="pct"/>
            <w:shd w:val="clear" w:color="auto" w:fill="auto"/>
            <w:vAlign w:val="center"/>
          </w:tcPr>
          <w:p w14:paraId="7D4A912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2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22"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23"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24"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2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26"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27"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28"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2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136" w14:textId="77777777" w:rsidTr="00257228">
        <w:trPr>
          <w:trHeight w:val="227"/>
        </w:trPr>
        <w:tc>
          <w:tcPr>
            <w:tcW w:w="1559" w:type="pct"/>
            <w:shd w:val="clear" w:color="auto" w:fill="auto"/>
            <w:vAlign w:val="center"/>
          </w:tcPr>
          <w:p w14:paraId="7D4A912B" w14:textId="69C32249" w:rsidR="00F540CE" w:rsidRPr="009E1B38" w:rsidRDefault="005E13D9" w:rsidP="00F540CE">
            <w:pPr>
              <w:autoSpaceDE w:val="0"/>
              <w:autoSpaceDN w:val="0"/>
              <w:adjustRightInd w:val="0"/>
              <w:spacing w:after="0" w:line="240" w:lineRule="auto"/>
              <w:rPr>
                <w:rFonts w:ascii="Times New Roman" w:hAnsi="Times New Roman"/>
                <w:color w:val="000000"/>
              </w:rPr>
            </w:pPr>
            <w:r w:rsidRPr="009E1B38">
              <w:rPr>
                <w:rFonts w:ascii="Times New Roman" w:hAnsi="Times New Roman"/>
                <w:color w:val="000000" w:themeColor="text1"/>
              </w:rPr>
              <w:t>Head of Strategy Development Market Department</w:t>
            </w:r>
          </w:p>
        </w:tc>
        <w:tc>
          <w:tcPr>
            <w:tcW w:w="518" w:type="pct"/>
            <w:shd w:val="clear" w:color="auto" w:fill="auto"/>
            <w:vAlign w:val="center"/>
          </w:tcPr>
          <w:p w14:paraId="7D4A912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2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2E"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2F"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30"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31"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3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37" w:type="pct"/>
            <w:shd w:val="clear" w:color="auto" w:fill="auto"/>
            <w:noWrap/>
            <w:vAlign w:val="center"/>
          </w:tcPr>
          <w:p w14:paraId="7D4A9133"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34"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3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142" w14:textId="77777777" w:rsidTr="00257228">
        <w:trPr>
          <w:trHeight w:val="227"/>
        </w:trPr>
        <w:tc>
          <w:tcPr>
            <w:tcW w:w="1559" w:type="pct"/>
            <w:shd w:val="clear" w:color="auto" w:fill="auto"/>
            <w:vAlign w:val="center"/>
          </w:tcPr>
          <w:p w14:paraId="7D4A9137" w14:textId="31306926" w:rsidR="00F540CE" w:rsidRPr="009E1B38" w:rsidRDefault="005E13D9" w:rsidP="00F540CE">
            <w:pPr>
              <w:autoSpaceDE w:val="0"/>
              <w:autoSpaceDN w:val="0"/>
              <w:adjustRightInd w:val="0"/>
              <w:spacing w:after="0" w:line="240" w:lineRule="auto"/>
              <w:rPr>
                <w:rFonts w:ascii="Times New Roman" w:hAnsi="Times New Roman"/>
                <w:color w:val="000000"/>
              </w:rPr>
            </w:pPr>
            <w:r w:rsidRPr="009E1B38">
              <w:rPr>
                <w:rFonts w:ascii="Times New Roman" w:hAnsi="Times New Roman"/>
                <w:color w:val="000000" w:themeColor="text1"/>
              </w:rPr>
              <w:t>Head of Tariffs Market Department</w:t>
            </w:r>
          </w:p>
        </w:tc>
        <w:tc>
          <w:tcPr>
            <w:tcW w:w="518" w:type="pct"/>
            <w:shd w:val="clear" w:color="auto" w:fill="auto"/>
            <w:vAlign w:val="center"/>
          </w:tcPr>
          <w:p w14:paraId="7D4A913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3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3A"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3B"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3C"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3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3E"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3F"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40"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4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14E" w14:textId="77777777" w:rsidTr="00257228">
        <w:trPr>
          <w:trHeight w:val="227"/>
        </w:trPr>
        <w:tc>
          <w:tcPr>
            <w:tcW w:w="1559" w:type="pct"/>
            <w:shd w:val="clear" w:color="auto" w:fill="auto"/>
            <w:vAlign w:val="center"/>
          </w:tcPr>
          <w:p w14:paraId="7D4A9143" w14:textId="66B8A71B" w:rsidR="00F540CE" w:rsidRPr="009E1B38" w:rsidRDefault="0044606E" w:rsidP="00F540CE">
            <w:pPr>
              <w:spacing w:after="0"/>
              <w:rPr>
                <w:rFonts w:ascii="Times New Roman" w:hAnsi="Times New Roman"/>
                <w:color w:val="000000"/>
              </w:rPr>
            </w:pPr>
            <w:bookmarkStart w:id="370" w:name="_Hlk316290716"/>
            <w:bookmarkStart w:id="371" w:name="_Hlk351368486"/>
            <w:r w:rsidRPr="009E1B38">
              <w:rPr>
                <w:rFonts w:ascii="Times New Roman" w:hAnsi="Times New Roman"/>
                <w:color w:val="000000" w:themeColor="text1"/>
              </w:rPr>
              <w:lastRenderedPageBreak/>
              <w:t>President Advisor</w:t>
            </w:r>
          </w:p>
        </w:tc>
        <w:tc>
          <w:tcPr>
            <w:tcW w:w="518" w:type="pct"/>
            <w:shd w:val="clear" w:color="auto" w:fill="auto"/>
            <w:vAlign w:val="center"/>
          </w:tcPr>
          <w:p w14:paraId="7D4A914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19</w:t>
            </w:r>
          </w:p>
        </w:tc>
        <w:tc>
          <w:tcPr>
            <w:tcW w:w="591" w:type="pct"/>
            <w:shd w:val="clear" w:color="auto" w:fill="auto"/>
            <w:noWrap/>
            <w:vAlign w:val="center"/>
          </w:tcPr>
          <w:p w14:paraId="7D4A914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8</w:t>
            </w:r>
          </w:p>
        </w:tc>
        <w:tc>
          <w:tcPr>
            <w:tcW w:w="285" w:type="pct"/>
            <w:shd w:val="clear" w:color="auto" w:fill="auto"/>
            <w:noWrap/>
            <w:vAlign w:val="center"/>
          </w:tcPr>
          <w:p w14:paraId="7D4A9146"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47"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48"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4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6</w:t>
            </w:r>
          </w:p>
        </w:tc>
        <w:tc>
          <w:tcPr>
            <w:tcW w:w="285" w:type="pct"/>
            <w:shd w:val="clear" w:color="auto" w:fill="auto"/>
            <w:noWrap/>
            <w:vAlign w:val="center"/>
          </w:tcPr>
          <w:p w14:paraId="7D4A914A"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337" w:type="pct"/>
            <w:shd w:val="clear" w:color="auto" w:fill="auto"/>
            <w:noWrap/>
            <w:vAlign w:val="center"/>
          </w:tcPr>
          <w:p w14:paraId="7D4A914B"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4C"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4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8</w:t>
            </w:r>
          </w:p>
        </w:tc>
      </w:tr>
      <w:tr w:rsidR="00F540CE" w:rsidRPr="009E1B38" w14:paraId="7D4A915A" w14:textId="77777777" w:rsidTr="00257228">
        <w:trPr>
          <w:trHeight w:val="227"/>
        </w:trPr>
        <w:tc>
          <w:tcPr>
            <w:tcW w:w="1559" w:type="pct"/>
            <w:shd w:val="clear" w:color="auto" w:fill="auto"/>
            <w:vAlign w:val="center"/>
          </w:tcPr>
          <w:p w14:paraId="7D4A914F" w14:textId="7E8F373A" w:rsidR="00F540CE" w:rsidRPr="009E1B38" w:rsidRDefault="00257228" w:rsidP="00F540CE">
            <w:pPr>
              <w:spacing w:after="0"/>
              <w:rPr>
                <w:rFonts w:ascii="Times New Roman" w:hAnsi="Times New Roman"/>
                <w:color w:val="000000"/>
              </w:rPr>
            </w:pPr>
            <w:r w:rsidRPr="009E1B38">
              <w:rPr>
                <w:rFonts w:ascii="Times New Roman" w:hAnsi="Times New Roman"/>
                <w:color w:val="000000" w:themeColor="text1"/>
              </w:rPr>
              <w:t>Press and Public Relations Counsellor</w:t>
            </w:r>
          </w:p>
        </w:tc>
        <w:tc>
          <w:tcPr>
            <w:tcW w:w="518" w:type="pct"/>
            <w:shd w:val="clear" w:color="auto" w:fill="auto"/>
            <w:vAlign w:val="center"/>
          </w:tcPr>
          <w:p w14:paraId="7D4A915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5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w:t>
            </w:r>
          </w:p>
        </w:tc>
        <w:tc>
          <w:tcPr>
            <w:tcW w:w="285" w:type="pct"/>
            <w:shd w:val="clear" w:color="auto" w:fill="auto"/>
            <w:noWrap/>
            <w:vAlign w:val="center"/>
          </w:tcPr>
          <w:p w14:paraId="7D4A9152"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53"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54"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55"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56"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57"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58"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59" w14:textId="77777777" w:rsidR="00F540CE" w:rsidRPr="009E1B38" w:rsidRDefault="00F540CE" w:rsidP="00F540CE">
            <w:pPr>
              <w:spacing w:after="0"/>
              <w:jc w:val="center"/>
              <w:rPr>
                <w:rFonts w:ascii="Times New Roman" w:hAnsi="Times New Roman"/>
                <w:color w:val="000000"/>
              </w:rPr>
            </w:pPr>
          </w:p>
        </w:tc>
      </w:tr>
      <w:tr w:rsidR="00F540CE" w:rsidRPr="009E1B38" w14:paraId="7D4A9166" w14:textId="77777777" w:rsidTr="00257228">
        <w:trPr>
          <w:trHeight w:val="227"/>
        </w:trPr>
        <w:tc>
          <w:tcPr>
            <w:tcW w:w="1559" w:type="pct"/>
            <w:shd w:val="clear" w:color="auto" w:fill="auto"/>
            <w:vAlign w:val="center"/>
          </w:tcPr>
          <w:p w14:paraId="7D4A915B" w14:textId="05368093" w:rsidR="00F540CE" w:rsidRPr="009E1B38" w:rsidRDefault="00257228" w:rsidP="00F540CE">
            <w:pPr>
              <w:spacing w:after="0"/>
              <w:rPr>
                <w:rFonts w:ascii="Times New Roman" w:hAnsi="Times New Roman"/>
                <w:color w:val="000000"/>
              </w:rPr>
            </w:pPr>
            <w:r w:rsidRPr="009E1B38">
              <w:rPr>
                <w:rFonts w:ascii="Times New Roman" w:hAnsi="Times New Roman"/>
                <w:color w:val="000000"/>
              </w:rPr>
              <w:t>Group Head</w:t>
            </w:r>
          </w:p>
        </w:tc>
        <w:tc>
          <w:tcPr>
            <w:tcW w:w="518" w:type="pct"/>
            <w:shd w:val="clear" w:color="auto" w:fill="auto"/>
            <w:vAlign w:val="center"/>
          </w:tcPr>
          <w:p w14:paraId="7D4A915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72</w:t>
            </w:r>
          </w:p>
        </w:tc>
        <w:tc>
          <w:tcPr>
            <w:tcW w:w="591" w:type="pct"/>
            <w:shd w:val="clear" w:color="auto" w:fill="auto"/>
            <w:noWrap/>
            <w:vAlign w:val="center"/>
          </w:tcPr>
          <w:p w14:paraId="7D4A915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61</w:t>
            </w:r>
          </w:p>
        </w:tc>
        <w:tc>
          <w:tcPr>
            <w:tcW w:w="285" w:type="pct"/>
            <w:shd w:val="clear" w:color="auto" w:fill="auto"/>
            <w:noWrap/>
            <w:vAlign w:val="center"/>
          </w:tcPr>
          <w:p w14:paraId="7D4A915E"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5F"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60"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6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32</w:t>
            </w:r>
          </w:p>
        </w:tc>
        <w:tc>
          <w:tcPr>
            <w:tcW w:w="285" w:type="pct"/>
            <w:shd w:val="clear" w:color="auto" w:fill="auto"/>
            <w:noWrap/>
            <w:vAlign w:val="center"/>
          </w:tcPr>
          <w:p w14:paraId="7D4A916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24</w:t>
            </w:r>
          </w:p>
        </w:tc>
        <w:tc>
          <w:tcPr>
            <w:tcW w:w="337" w:type="pct"/>
            <w:shd w:val="clear" w:color="auto" w:fill="auto"/>
            <w:noWrap/>
            <w:vAlign w:val="center"/>
          </w:tcPr>
          <w:p w14:paraId="7D4A9163"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5</w:t>
            </w:r>
          </w:p>
        </w:tc>
        <w:tc>
          <w:tcPr>
            <w:tcW w:w="306" w:type="pct"/>
            <w:shd w:val="clear" w:color="auto" w:fill="auto"/>
            <w:noWrap/>
            <w:vAlign w:val="center"/>
          </w:tcPr>
          <w:p w14:paraId="7D4A916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12</w:t>
            </w:r>
          </w:p>
        </w:tc>
        <w:tc>
          <w:tcPr>
            <w:tcW w:w="264" w:type="pct"/>
            <w:shd w:val="clear" w:color="auto" w:fill="auto"/>
            <w:noWrap/>
            <w:vAlign w:val="center"/>
          </w:tcPr>
          <w:p w14:paraId="7D4A916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49</w:t>
            </w:r>
          </w:p>
        </w:tc>
      </w:tr>
      <w:tr w:rsidR="00F540CE" w:rsidRPr="009E1B38" w14:paraId="7D4A9172" w14:textId="77777777" w:rsidTr="00257228">
        <w:trPr>
          <w:trHeight w:val="227"/>
        </w:trPr>
        <w:tc>
          <w:tcPr>
            <w:tcW w:w="1559" w:type="pct"/>
            <w:shd w:val="clear" w:color="auto" w:fill="auto"/>
            <w:vAlign w:val="center"/>
          </w:tcPr>
          <w:p w14:paraId="7D4A9167" w14:textId="58C6BE5C" w:rsidR="00F540CE" w:rsidRPr="009E1B38" w:rsidRDefault="00735F1A" w:rsidP="00F540CE">
            <w:pPr>
              <w:spacing w:after="0"/>
              <w:rPr>
                <w:rFonts w:ascii="Times New Roman" w:hAnsi="Times New Roman"/>
                <w:color w:val="000000"/>
              </w:rPr>
            </w:pPr>
            <w:r w:rsidRPr="009E1B38">
              <w:rPr>
                <w:rFonts w:ascii="Times New Roman" w:hAnsi="Times New Roman"/>
                <w:color w:val="000000" w:themeColor="text1"/>
              </w:rPr>
              <w:t>Executive Assistant for the President</w:t>
            </w:r>
          </w:p>
        </w:tc>
        <w:tc>
          <w:tcPr>
            <w:tcW w:w="518" w:type="pct"/>
            <w:shd w:val="clear" w:color="auto" w:fill="auto"/>
            <w:vAlign w:val="center"/>
          </w:tcPr>
          <w:p w14:paraId="7D4A916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6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6A"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6B"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6C"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6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6E"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6F"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70"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7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17E" w14:textId="77777777" w:rsidTr="00257228">
        <w:trPr>
          <w:trHeight w:val="227"/>
        </w:trPr>
        <w:tc>
          <w:tcPr>
            <w:tcW w:w="1559" w:type="pct"/>
            <w:shd w:val="clear" w:color="auto" w:fill="auto"/>
            <w:vAlign w:val="center"/>
          </w:tcPr>
          <w:p w14:paraId="7D4A9173" w14:textId="663F6A26" w:rsidR="00F540CE" w:rsidRPr="009E1B38" w:rsidRDefault="00A3610F" w:rsidP="00F540CE">
            <w:pPr>
              <w:spacing w:after="0"/>
              <w:rPr>
                <w:rFonts w:ascii="Times New Roman" w:hAnsi="Times New Roman"/>
                <w:color w:val="000000"/>
              </w:rPr>
            </w:pPr>
            <w:r w:rsidRPr="009E1B38">
              <w:rPr>
                <w:rFonts w:ascii="Times New Roman" w:hAnsi="Times New Roman"/>
                <w:color w:val="000000" w:themeColor="text1"/>
              </w:rPr>
              <w:t>Liaison Office Manager</w:t>
            </w:r>
          </w:p>
        </w:tc>
        <w:tc>
          <w:tcPr>
            <w:tcW w:w="518" w:type="pct"/>
            <w:shd w:val="clear" w:color="auto" w:fill="auto"/>
            <w:vAlign w:val="center"/>
          </w:tcPr>
          <w:p w14:paraId="7D4A917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7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w:t>
            </w:r>
          </w:p>
        </w:tc>
        <w:tc>
          <w:tcPr>
            <w:tcW w:w="285" w:type="pct"/>
            <w:shd w:val="clear" w:color="auto" w:fill="auto"/>
            <w:noWrap/>
            <w:vAlign w:val="center"/>
          </w:tcPr>
          <w:p w14:paraId="7D4A9176"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77"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78"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79"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7A"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7B"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7C"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7D" w14:textId="77777777" w:rsidR="00F540CE" w:rsidRPr="009E1B38" w:rsidRDefault="00F540CE" w:rsidP="00F540CE">
            <w:pPr>
              <w:spacing w:after="0"/>
              <w:jc w:val="center"/>
              <w:rPr>
                <w:rFonts w:ascii="Times New Roman" w:hAnsi="Times New Roman"/>
                <w:color w:val="000000"/>
              </w:rPr>
            </w:pPr>
          </w:p>
        </w:tc>
      </w:tr>
      <w:tr w:rsidR="00F540CE" w:rsidRPr="009E1B38" w14:paraId="7D4A918A" w14:textId="77777777" w:rsidTr="00257228">
        <w:trPr>
          <w:trHeight w:val="227"/>
        </w:trPr>
        <w:tc>
          <w:tcPr>
            <w:tcW w:w="1559" w:type="pct"/>
            <w:shd w:val="clear" w:color="auto" w:fill="auto"/>
            <w:vAlign w:val="center"/>
          </w:tcPr>
          <w:p w14:paraId="7D4A917F" w14:textId="0B7BBFB3" w:rsidR="00F540CE" w:rsidRPr="009E1B38" w:rsidRDefault="000F7B34" w:rsidP="00F540CE">
            <w:pPr>
              <w:spacing w:after="0"/>
              <w:rPr>
                <w:rFonts w:ascii="Times New Roman" w:hAnsi="Times New Roman"/>
                <w:color w:val="000000"/>
              </w:rPr>
            </w:pPr>
            <w:r w:rsidRPr="009E1B38">
              <w:rPr>
                <w:rFonts w:ascii="Times New Roman" w:hAnsi="Times New Roman"/>
                <w:color w:val="000000" w:themeColor="text1"/>
              </w:rPr>
              <w:t>Board Services Manager</w:t>
            </w:r>
          </w:p>
        </w:tc>
        <w:tc>
          <w:tcPr>
            <w:tcW w:w="518" w:type="pct"/>
            <w:shd w:val="clear" w:color="auto" w:fill="auto"/>
            <w:vAlign w:val="center"/>
          </w:tcPr>
          <w:p w14:paraId="7D4A918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8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82"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83"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84"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8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86"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87"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8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64" w:type="pct"/>
            <w:shd w:val="clear" w:color="auto" w:fill="auto"/>
            <w:noWrap/>
            <w:vAlign w:val="center"/>
          </w:tcPr>
          <w:p w14:paraId="7D4A9189" w14:textId="77777777" w:rsidR="00F540CE" w:rsidRPr="009E1B38" w:rsidRDefault="00F540CE" w:rsidP="00F540CE">
            <w:pPr>
              <w:spacing w:after="0"/>
              <w:jc w:val="center"/>
              <w:rPr>
                <w:rFonts w:ascii="Times New Roman" w:hAnsi="Times New Roman"/>
                <w:color w:val="000000"/>
              </w:rPr>
            </w:pPr>
          </w:p>
        </w:tc>
      </w:tr>
      <w:tr w:rsidR="00F540CE" w:rsidRPr="009E1B38" w14:paraId="7D4A9196" w14:textId="77777777" w:rsidTr="00257228">
        <w:trPr>
          <w:trHeight w:val="227"/>
        </w:trPr>
        <w:tc>
          <w:tcPr>
            <w:tcW w:w="1559" w:type="pct"/>
            <w:shd w:val="clear" w:color="auto" w:fill="auto"/>
            <w:vAlign w:val="center"/>
          </w:tcPr>
          <w:p w14:paraId="7D4A918B" w14:textId="289D6E0F" w:rsidR="00F540CE" w:rsidRPr="009E1B38" w:rsidRDefault="00066183" w:rsidP="00F540CE">
            <w:pPr>
              <w:spacing w:after="0"/>
              <w:jc w:val="left"/>
              <w:rPr>
                <w:rFonts w:ascii="Times New Roman" w:hAnsi="Times New Roman"/>
                <w:color w:val="000000"/>
              </w:rPr>
            </w:pPr>
            <w:r w:rsidRPr="009E1B38">
              <w:rPr>
                <w:rFonts w:ascii="Times New Roman" w:hAnsi="Times New Roman"/>
                <w:color w:val="000000" w:themeColor="text1"/>
              </w:rPr>
              <w:t>Board Services Deputy Manager</w:t>
            </w:r>
          </w:p>
        </w:tc>
        <w:tc>
          <w:tcPr>
            <w:tcW w:w="518" w:type="pct"/>
            <w:shd w:val="clear" w:color="auto" w:fill="auto"/>
            <w:vAlign w:val="center"/>
          </w:tcPr>
          <w:p w14:paraId="7D4A918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8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8E"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8F"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90"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9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92"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93"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94"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9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1A2" w14:textId="77777777" w:rsidTr="00257228">
        <w:trPr>
          <w:trHeight w:val="227"/>
        </w:trPr>
        <w:tc>
          <w:tcPr>
            <w:tcW w:w="1559" w:type="pct"/>
            <w:shd w:val="clear" w:color="auto" w:fill="auto"/>
            <w:vAlign w:val="center"/>
          </w:tcPr>
          <w:p w14:paraId="7D4A9197" w14:textId="3C9EE880" w:rsidR="00F540CE" w:rsidRPr="009E1B38" w:rsidRDefault="00D43C8A" w:rsidP="00F540CE">
            <w:pPr>
              <w:spacing w:after="0"/>
              <w:rPr>
                <w:rFonts w:ascii="Times New Roman" w:hAnsi="Times New Roman"/>
                <w:color w:val="000000"/>
              </w:rPr>
            </w:pPr>
            <w:r w:rsidRPr="009E1B38">
              <w:rPr>
                <w:rFonts w:ascii="Times New Roman" w:hAnsi="Times New Roman"/>
                <w:color w:val="000000" w:themeColor="text1"/>
              </w:rPr>
              <w:t>Assistant Private Secretary</w:t>
            </w:r>
          </w:p>
        </w:tc>
        <w:tc>
          <w:tcPr>
            <w:tcW w:w="518" w:type="pct"/>
            <w:shd w:val="clear" w:color="auto" w:fill="auto"/>
            <w:vAlign w:val="center"/>
          </w:tcPr>
          <w:p w14:paraId="7D4A919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9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w:t>
            </w:r>
          </w:p>
        </w:tc>
        <w:tc>
          <w:tcPr>
            <w:tcW w:w="285" w:type="pct"/>
            <w:shd w:val="clear" w:color="auto" w:fill="auto"/>
            <w:noWrap/>
            <w:vAlign w:val="center"/>
          </w:tcPr>
          <w:p w14:paraId="7D4A919A"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9B"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9C"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9D"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9E"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9F"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A0"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A1" w14:textId="77777777" w:rsidR="00F540CE" w:rsidRPr="009E1B38" w:rsidRDefault="00F540CE" w:rsidP="00F540CE">
            <w:pPr>
              <w:spacing w:after="0"/>
              <w:jc w:val="center"/>
              <w:rPr>
                <w:rFonts w:ascii="Times New Roman" w:hAnsi="Times New Roman"/>
                <w:color w:val="000000"/>
              </w:rPr>
            </w:pPr>
          </w:p>
        </w:tc>
      </w:tr>
      <w:tr w:rsidR="00F540CE" w:rsidRPr="009E1B38" w14:paraId="7D4A91AE" w14:textId="77777777" w:rsidTr="00257228">
        <w:trPr>
          <w:trHeight w:val="227"/>
        </w:trPr>
        <w:tc>
          <w:tcPr>
            <w:tcW w:w="1559" w:type="pct"/>
            <w:shd w:val="clear" w:color="auto" w:fill="auto"/>
            <w:vAlign w:val="center"/>
          </w:tcPr>
          <w:p w14:paraId="7D4A91A3" w14:textId="65C8847E" w:rsidR="00F540CE" w:rsidRPr="009E1B38" w:rsidRDefault="00D43C8A" w:rsidP="00F540CE">
            <w:pPr>
              <w:spacing w:after="0"/>
              <w:rPr>
                <w:rFonts w:ascii="Times New Roman" w:hAnsi="Times New Roman"/>
                <w:color w:val="000000"/>
              </w:rPr>
            </w:pPr>
            <w:r w:rsidRPr="009E1B38">
              <w:rPr>
                <w:rFonts w:ascii="Times New Roman" w:hAnsi="Times New Roman"/>
                <w:color w:val="000000"/>
              </w:rPr>
              <w:t>Energy Expert</w:t>
            </w:r>
          </w:p>
        </w:tc>
        <w:tc>
          <w:tcPr>
            <w:tcW w:w="518" w:type="pct"/>
            <w:shd w:val="clear" w:color="auto" w:fill="auto"/>
            <w:vAlign w:val="center"/>
          </w:tcPr>
          <w:p w14:paraId="7D4A91A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281</w:t>
            </w:r>
          </w:p>
        </w:tc>
        <w:tc>
          <w:tcPr>
            <w:tcW w:w="591" w:type="pct"/>
            <w:shd w:val="clear" w:color="auto" w:fill="auto"/>
            <w:noWrap/>
            <w:vAlign w:val="center"/>
          </w:tcPr>
          <w:p w14:paraId="7D4A91A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171</w:t>
            </w:r>
          </w:p>
        </w:tc>
        <w:tc>
          <w:tcPr>
            <w:tcW w:w="285" w:type="pct"/>
            <w:shd w:val="clear" w:color="auto" w:fill="auto"/>
            <w:noWrap/>
            <w:vAlign w:val="center"/>
          </w:tcPr>
          <w:p w14:paraId="7D4A91A6"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A7"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A8"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A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133</w:t>
            </w:r>
          </w:p>
        </w:tc>
        <w:tc>
          <w:tcPr>
            <w:tcW w:w="285" w:type="pct"/>
            <w:shd w:val="clear" w:color="auto" w:fill="auto"/>
            <w:noWrap/>
            <w:vAlign w:val="center"/>
          </w:tcPr>
          <w:p w14:paraId="7D4A91AA"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34</w:t>
            </w:r>
          </w:p>
        </w:tc>
        <w:tc>
          <w:tcPr>
            <w:tcW w:w="337" w:type="pct"/>
            <w:shd w:val="clear" w:color="auto" w:fill="auto"/>
            <w:noWrap/>
            <w:vAlign w:val="center"/>
          </w:tcPr>
          <w:p w14:paraId="7D4A91AB"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4</w:t>
            </w:r>
          </w:p>
        </w:tc>
        <w:tc>
          <w:tcPr>
            <w:tcW w:w="306" w:type="pct"/>
            <w:shd w:val="clear" w:color="auto" w:fill="auto"/>
            <w:noWrap/>
            <w:vAlign w:val="center"/>
          </w:tcPr>
          <w:p w14:paraId="7D4A91A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57</w:t>
            </w:r>
          </w:p>
        </w:tc>
        <w:tc>
          <w:tcPr>
            <w:tcW w:w="264" w:type="pct"/>
            <w:shd w:val="clear" w:color="auto" w:fill="auto"/>
            <w:noWrap/>
            <w:vAlign w:val="center"/>
          </w:tcPr>
          <w:p w14:paraId="7D4A91A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114</w:t>
            </w:r>
          </w:p>
        </w:tc>
      </w:tr>
      <w:tr w:rsidR="00F540CE" w:rsidRPr="009E1B38" w14:paraId="7D4A91BA" w14:textId="77777777" w:rsidTr="00257228">
        <w:trPr>
          <w:trHeight w:val="227"/>
        </w:trPr>
        <w:tc>
          <w:tcPr>
            <w:tcW w:w="1559" w:type="pct"/>
            <w:shd w:val="clear" w:color="auto" w:fill="auto"/>
            <w:vAlign w:val="center"/>
          </w:tcPr>
          <w:p w14:paraId="7D4A91AF" w14:textId="39A98FAA" w:rsidR="00F540CE" w:rsidRPr="009E1B38" w:rsidRDefault="00D43C8A" w:rsidP="00F540CE">
            <w:pPr>
              <w:spacing w:after="0"/>
              <w:rPr>
                <w:rFonts w:ascii="Times New Roman" w:hAnsi="Times New Roman"/>
                <w:color w:val="000000"/>
              </w:rPr>
            </w:pPr>
            <w:r w:rsidRPr="009E1B38">
              <w:rPr>
                <w:rFonts w:ascii="Times New Roman" w:hAnsi="Times New Roman"/>
                <w:color w:val="000000"/>
              </w:rPr>
              <w:t>Assistant Energy Expert</w:t>
            </w:r>
          </w:p>
        </w:tc>
        <w:tc>
          <w:tcPr>
            <w:tcW w:w="518" w:type="pct"/>
            <w:shd w:val="clear" w:color="auto" w:fill="auto"/>
            <w:vAlign w:val="center"/>
          </w:tcPr>
          <w:p w14:paraId="7D4A91B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131</w:t>
            </w:r>
          </w:p>
        </w:tc>
        <w:tc>
          <w:tcPr>
            <w:tcW w:w="591" w:type="pct"/>
            <w:shd w:val="clear" w:color="auto" w:fill="auto"/>
            <w:noWrap/>
            <w:vAlign w:val="center"/>
          </w:tcPr>
          <w:p w14:paraId="7D4A91B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44</w:t>
            </w:r>
          </w:p>
        </w:tc>
        <w:tc>
          <w:tcPr>
            <w:tcW w:w="285" w:type="pct"/>
            <w:shd w:val="clear" w:color="auto" w:fill="auto"/>
            <w:noWrap/>
            <w:vAlign w:val="center"/>
          </w:tcPr>
          <w:p w14:paraId="7D4A91B2"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B3"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B4"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B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44</w:t>
            </w:r>
          </w:p>
        </w:tc>
        <w:tc>
          <w:tcPr>
            <w:tcW w:w="285" w:type="pct"/>
            <w:shd w:val="clear" w:color="auto" w:fill="auto"/>
            <w:noWrap/>
            <w:vAlign w:val="center"/>
          </w:tcPr>
          <w:p w14:paraId="7D4A91B6"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B7"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B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15</w:t>
            </w:r>
          </w:p>
        </w:tc>
        <w:tc>
          <w:tcPr>
            <w:tcW w:w="264" w:type="pct"/>
            <w:shd w:val="clear" w:color="auto" w:fill="auto"/>
            <w:noWrap/>
            <w:vAlign w:val="center"/>
          </w:tcPr>
          <w:p w14:paraId="7D4A91B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29</w:t>
            </w:r>
          </w:p>
        </w:tc>
      </w:tr>
      <w:tr w:rsidR="00F540CE" w:rsidRPr="009E1B38" w14:paraId="7D4A91C6" w14:textId="77777777" w:rsidTr="00257228">
        <w:trPr>
          <w:trHeight w:val="227"/>
        </w:trPr>
        <w:tc>
          <w:tcPr>
            <w:tcW w:w="1559" w:type="pct"/>
            <w:shd w:val="clear" w:color="auto" w:fill="auto"/>
            <w:vAlign w:val="center"/>
          </w:tcPr>
          <w:p w14:paraId="7D4A91BB" w14:textId="291DB1C9" w:rsidR="00F540CE" w:rsidRPr="009E1B38" w:rsidRDefault="00D43C8A" w:rsidP="00F540CE">
            <w:pPr>
              <w:spacing w:after="0"/>
              <w:rPr>
                <w:rFonts w:ascii="Times New Roman" w:hAnsi="Times New Roman"/>
                <w:color w:val="000000"/>
              </w:rPr>
            </w:pPr>
            <w:r w:rsidRPr="009E1B38">
              <w:rPr>
                <w:rFonts w:ascii="Times New Roman" w:hAnsi="Times New Roman"/>
                <w:color w:val="000000"/>
              </w:rPr>
              <w:t>Lawyer</w:t>
            </w:r>
          </w:p>
        </w:tc>
        <w:tc>
          <w:tcPr>
            <w:tcW w:w="518" w:type="pct"/>
            <w:shd w:val="clear" w:color="auto" w:fill="auto"/>
            <w:vAlign w:val="center"/>
          </w:tcPr>
          <w:p w14:paraId="7D4A91B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25</w:t>
            </w:r>
          </w:p>
        </w:tc>
        <w:tc>
          <w:tcPr>
            <w:tcW w:w="591" w:type="pct"/>
            <w:shd w:val="clear" w:color="auto" w:fill="auto"/>
            <w:noWrap/>
            <w:vAlign w:val="center"/>
          </w:tcPr>
          <w:p w14:paraId="7D4A91B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24</w:t>
            </w:r>
          </w:p>
        </w:tc>
        <w:tc>
          <w:tcPr>
            <w:tcW w:w="285" w:type="pct"/>
            <w:shd w:val="clear" w:color="auto" w:fill="auto"/>
            <w:noWrap/>
            <w:vAlign w:val="center"/>
          </w:tcPr>
          <w:p w14:paraId="7D4A91BE"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BF"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C0"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C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19</w:t>
            </w:r>
          </w:p>
        </w:tc>
        <w:tc>
          <w:tcPr>
            <w:tcW w:w="285" w:type="pct"/>
            <w:shd w:val="clear" w:color="auto" w:fill="auto"/>
            <w:noWrap/>
            <w:vAlign w:val="center"/>
          </w:tcPr>
          <w:p w14:paraId="7D4A91C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5</w:t>
            </w:r>
          </w:p>
        </w:tc>
        <w:tc>
          <w:tcPr>
            <w:tcW w:w="337" w:type="pct"/>
            <w:shd w:val="clear" w:color="auto" w:fill="auto"/>
            <w:noWrap/>
            <w:vAlign w:val="center"/>
          </w:tcPr>
          <w:p w14:paraId="7D4A91C3"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C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23</w:t>
            </w:r>
          </w:p>
        </w:tc>
        <w:tc>
          <w:tcPr>
            <w:tcW w:w="264" w:type="pct"/>
            <w:shd w:val="clear" w:color="auto" w:fill="auto"/>
            <w:noWrap/>
            <w:vAlign w:val="center"/>
          </w:tcPr>
          <w:p w14:paraId="7D4A91C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1D2" w14:textId="77777777" w:rsidTr="00257228">
        <w:trPr>
          <w:trHeight w:val="227"/>
        </w:trPr>
        <w:tc>
          <w:tcPr>
            <w:tcW w:w="1559" w:type="pct"/>
            <w:shd w:val="clear" w:color="auto" w:fill="auto"/>
            <w:vAlign w:val="center"/>
          </w:tcPr>
          <w:p w14:paraId="7D4A91C7" w14:textId="50FA4416" w:rsidR="00F540CE" w:rsidRPr="009E1B38" w:rsidRDefault="00D43C8A" w:rsidP="00F540CE">
            <w:pPr>
              <w:spacing w:after="0"/>
              <w:rPr>
                <w:rFonts w:ascii="Times New Roman" w:hAnsi="Times New Roman"/>
                <w:color w:val="000000"/>
              </w:rPr>
            </w:pPr>
            <w:r w:rsidRPr="009E1B38">
              <w:rPr>
                <w:rFonts w:ascii="Times New Roman" w:hAnsi="Times New Roman"/>
                <w:color w:val="000000"/>
              </w:rPr>
              <w:t>Administ</w:t>
            </w:r>
            <w:r w:rsidR="00401043" w:rsidRPr="009E1B38">
              <w:rPr>
                <w:rFonts w:ascii="Times New Roman" w:hAnsi="Times New Roman"/>
                <w:color w:val="000000"/>
              </w:rPr>
              <w:t>rative Services Expert</w:t>
            </w:r>
          </w:p>
        </w:tc>
        <w:tc>
          <w:tcPr>
            <w:tcW w:w="518" w:type="pct"/>
            <w:shd w:val="clear" w:color="auto" w:fill="auto"/>
            <w:vAlign w:val="center"/>
          </w:tcPr>
          <w:p w14:paraId="7D4A91C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94</w:t>
            </w:r>
          </w:p>
        </w:tc>
        <w:tc>
          <w:tcPr>
            <w:tcW w:w="591" w:type="pct"/>
            <w:shd w:val="clear" w:color="auto" w:fill="auto"/>
            <w:noWrap/>
            <w:vAlign w:val="center"/>
          </w:tcPr>
          <w:p w14:paraId="7D4A91C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81</w:t>
            </w:r>
          </w:p>
        </w:tc>
        <w:tc>
          <w:tcPr>
            <w:tcW w:w="285" w:type="pct"/>
            <w:shd w:val="clear" w:color="auto" w:fill="auto"/>
            <w:noWrap/>
            <w:vAlign w:val="center"/>
          </w:tcPr>
          <w:p w14:paraId="7D4A91CA"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CB"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CC"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C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61</w:t>
            </w:r>
          </w:p>
        </w:tc>
        <w:tc>
          <w:tcPr>
            <w:tcW w:w="285" w:type="pct"/>
            <w:shd w:val="clear" w:color="auto" w:fill="auto"/>
            <w:noWrap/>
            <w:vAlign w:val="center"/>
          </w:tcPr>
          <w:p w14:paraId="7D4A91CE"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20</w:t>
            </w:r>
          </w:p>
        </w:tc>
        <w:tc>
          <w:tcPr>
            <w:tcW w:w="337" w:type="pct"/>
            <w:shd w:val="clear" w:color="auto" w:fill="auto"/>
            <w:noWrap/>
            <w:vAlign w:val="center"/>
          </w:tcPr>
          <w:p w14:paraId="7D4A91CF"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D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44</w:t>
            </w:r>
          </w:p>
        </w:tc>
        <w:tc>
          <w:tcPr>
            <w:tcW w:w="264" w:type="pct"/>
            <w:shd w:val="clear" w:color="auto" w:fill="auto"/>
            <w:noWrap/>
            <w:vAlign w:val="center"/>
          </w:tcPr>
          <w:p w14:paraId="7D4A91D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37</w:t>
            </w:r>
          </w:p>
        </w:tc>
      </w:tr>
      <w:tr w:rsidR="00F540CE" w:rsidRPr="009E1B38" w14:paraId="7D4A91DE" w14:textId="77777777" w:rsidTr="00257228">
        <w:trPr>
          <w:trHeight w:val="227"/>
        </w:trPr>
        <w:tc>
          <w:tcPr>
            <w:tcW w:w="1559" w:type="pct"/>
            <w:shd w:val="clear" w:color="auto" w:fill="auto"/>
            <w:vAlign w:val="center"/>
          </w:tcPr>
          <w:p w14:paraId="7D4A91D3" w14:textId="2181B459" w:rsidR="00F540CE" w:rsidRPr="009E1B38" w:rsidRDefault="00401043" w:rsidP="00F540CE">
            <w:pPr>
              <w:spacing w:after="0"/>
              <w:rPr>
                <w:rFonts w:ascii="Times New Roman" w:hAnsi="Times New Roman"/>
                <w:color w:val="000000"/>
              </w:rPr>
            </w:pPr>
            <w:r w:rsidRPr="009E1B38">
              <w:rPr>
                <w:rFonts w:ascii="Times New Roman" w:hAnsi="Times New Roman"/>
                <w:color w:val="000000"/>
              </w:rPr>
              <w:t>Doctor</w:t>
            </w:r>
          </w:p>
        </w:tc>
        <w:tc>
          <w:tcPr>
            <w:tcW w:w="518" w:type="pct"/>
            <w:shd w:val="clear" w:color="auto" w:fill="auto"/>
            <w:vAlign w:val="center"/>
          </w:tcPr>
          <w:p w14:paraId="7D4A91D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D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w:t>
            </w:r>
          </w:p>
        </w:tc>
        <w:tc>
          <w:tcPr>
            <w:tcW w:w="285" w:type="pct"/>
            <w:shd w:val="clear" w:color="auto" w:fill="auto"/>
            <w:noWrap/>
            <w:vAlign w:val="center"/>
          </w:tcPr>
          <w:p w14:paraId="7D4A91D6"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1D7"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D8"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D9"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DA"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DB"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DC"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1DD" w14:textId="77777777" w:rsidR="00F540CE" w:rsidRPr="009E1B38" w:rsidRDefault="00F540CE" w:rsidP="00F540CE">
            <w:pPr>
              <w:spacing w:after="0"/>
              <w:jc w:val="center"/>
              <w:rPr>
                <w:rFonts w:ascii="Times New Roman" w:hAnsi="Times New Roman"/>
                <w:color w:val="000000"/>
              </w:rPr>
            </w:pPr>
          </w:p>
        </w:tc>
      </w:tr>
      <w:tr w:rsidR="00F540CE" w:rsidRPr="009E1B38" w14:paraId="7D4A91EA" w14:textId="77777777" w:rsidTr="00257228">
        <w:trPr>
          <w:trHeight w:val="227"/>
        </w:trPr>
        <w:tc>
          <w:tcPr>
            <w:tcW w:w="1559" w:type="pct"/>
            <w:shd w:val="clear" w:color="auto" w:fill="auto"/>
            <w:vAlign w:val="center"/>
          </w:tcPr>
          <w:p w14:paraId="7D4A91DF" w14:textId="298E581D" w:rsidR="00F540CE" w:rsidRPr="009E1B38" w:rsidRDefault="00401043" w:rsidP="00F540CE">
            <w:pPr>
              <w:spacing w:after="0"/>
              <w:rPr>
                <w:rFonts w:ascii="Times New Roman" w:hAnsi="Times New Roman"/>
                <w:color w:val="000000"/>
              </w:rPr>
            </w:pPr>
            <w:r w:rsidRPr="009E1B38">
              <w:rPr>
                <w:rFonts w:ascii="Times New Roman" w:hAnsi="Times New Roman"/>
                <w:color w:val="000000"/>
              </w:rPr>
              <w:t>Architect</w:t>
            </w:r>
          </w:p>
        </w:tc>
        <w:tc>
          <w:tcPr>
            <w:tcW w:w="518" w:type="pct"/>
            <w:shd w:val="clear" w:color="auto" w:fill="auto"/>
            <w:vAlign w:val="center"/>
          </w:tcPr>
          <w:p w14:paraId="7D4A91E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1E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E2" w14:textId="77777777" w:rsidR="00F540CE" w:rsidRPr="009E1B38" w:rsidRDefault="00F540CE" w:rsidP="00F540CE">
            <w:pPr>
              <w:spacing w:after="0"/>
              <w:jc w:val="center"/>
              <w:rPr>
                <w:rFonts w:ascii="Times New Roman" w:hAnsi="Times New Roman"/>
                <w:b/>
                <w:color w:val="000000"/>
              </w:rPr>
            </w:pPr>
          </w:p>
        </w:tc>
        <w:tc>
          <w:tcPr>
            <w:tcW w:w="285" w:type="pct"/>
            <w:vAlign w:val="center"/>
          </w:tcPr>
          <w:p w14:paraId="7D4A91E3" w14:textId="77777777" w:rsidR="00F540CE" w:rsidRPr="009E1B38" w:rsidRDefault="00F540CE" w:rsidP="00F540CE">
            <w:pPr>
              <w:spacing w:after="0"/>
              <w:jc w:val="center"/>
              <w:rPr>
                <w:rFonts w:ascii="Times New Roman" w:hAnsi="Times New Roman"/>
                <w:b/>
                <w:color w:val="000000"/>
                <w:highlight w:val="yellow"/>
              </w:rPr>
            </w:pPr>
          </w:p>
        </w:tc>
        <w:tc>
          <w:tcPr>
            <w:tcW w:w="285" w:type="pct"/>
            <w:shd w:val="clear" w:color="auto" w:fill="auto"/>
            <w:noWrap/>
            <w:vAlign w:val="center"/>
          </w:tcPr>
          <w:p w14:paraId="7D4A91E4" w14:textId="77777777" w:rsidR="00F540CE" w:rsidRPr="009E1B38" w:rsidRDefault="00F540CE" w:rsidP="00F540CE">
            <w:pPr>
              <w:spacing w:after="0"/>
              <w:jc w:val="center"/>
              <w:rPr>
                <w:rFonts w:ascii="Times New Roman" w:hAnsi="Times New Roman"/>
                <w:b/>
                <w:color w:val="000000"/>
              </w:rPr>
            </w:pPr>
          </w:p>
        </w:tc>
        <w:tc>
          <w:tcPr>
            <w:tcW w:w="285" w:type="pct"/>
            <w:shd w:val="clear" w:color="auto" w:fill="auto"/>
            <w:noWrap/>
            <w:vAlign w:val="center"/>
          </w:tcPr>
          <w:p w14:paraId="7D4A91E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1E6"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1E7"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1E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64" w:type="pct"/>
            <w:shd w:val="clear" w:color="auto" w:fill="auto"/>
            <w:noWrap/>
            <w:vAlign w:val="center"/>
          </w:tcPr>
          <w:p w14:paraId="7D4A91E9" w14:textId="77777777" w:rsidR="00F540CE" w:rsidRPr="009E1B38" w:rsidRDefault="00F540CE" w:rsidP="00F540CE">
            <w:pPr>
              <w:spacing w:after="0"/>
              <w:jc w:val="center"/>
              <w:rPr>
                <w:rFonts w:ascii="Times New Roman" w:hAnsi="Times New Roman"/>
                <w:b/>
                <w:color w:val="000000"/>
              </w:rPr>
            </w:pPr>
          </w:p>
        </w:tc>
      </w:tr>
      <w:tr w:rsidR="00F540CE" w:rsidRPr="009E1B38" w14:paraId="7D4A91F6" w14:textId="77777777" w:rsidTr="00257228">
        <w:trPr>
          <w:trHeight w:val="227"/>
        </w:trPr>
        <w:tc>
          <w:tcPr>
            <w:tcW w:w="1559" w:type="pct"/>
            <w:shd w:val="clear" w:color="auto" w:fill="auto"/>
            <w:vAlign w:val="center"/>
          </w:tcPr>
          <w:p w14:paraId="7D4A91EB" w14:textId="558D8BE5" w:rsidR="00F540CE" w:rsidRPr="009E1B38" w:rsidRDefault="00401043" w:rsidP="00F540CE">
            <w:pPr>
              <w:spacing w:after="0"/>
              <w:rPr>
                <w:rFonts w:ascii="Times New Roman" w:hAnsi="Times New Roman"/>
                <w:color w:val="000000"/>
              </w:rPr>
            </w:pPr>
            <w:r w:rsidRPr="009E1B38">
              <w:rPr>
                <w:rFonts w:ascii="Times New Roman" w:hAnsi="Times New Roman"/>
                <w:color w:val="000000"/>
              </w:rPr>
              <w:t>Engineer</w:t>
            </w:r>
          </w:p>
        </w:tc>
        <w:tc>
          <w:tcPr>
            <w:tcW w:w="518" w:type="pct"/>
            <w:shd w:val="clear" w:color="auto" w:fill="auto"/>
            <w:vAlign w:val="center"/>
          </w:tcPr>
          <w:p w14:paraId="7D4A91E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20</w:t>
            </w:r>
          </w:p>
        </w:tc>
        <w:tc>
          <w:tcPr>
            <w:tcW w:w="591" w:type="pct"/>
            <w:shd w:val="clear" w:color="auto" w:fill="auto"/>
            <w:noWrap/>
            <w:vAlign w:val="center"/>
          </w:tcPr>
          <w:p w14:paraId="7D4A91E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19</w:t>
            </w:r>
          </w:p>
        </w:tc>
        <w:tc>
          <w:tcPr>
            <w:tcW w:w="285" w:type="pct"/>
            <w:shd w:val="clear" w:color="auto" w:fill="auto"/>
            <w:noWrap/>
            <w:vAlign w:val="center"/>
          </w:tcPr>
          <w:p w14:paraId="7D4A91EE" w14:textId="77777777" w:rsidR="00F540CE" w:rsidRPr="009E1B38" w:rsidRDefault="00F540CE" w:rsidP="00F540CE">
            <w:pPr>
              <w:spacing w:after="0"/>
              <w:jc w:val="center"/>
              <w:rPr>
                <w:rFonts w:ascii="Times New Roman" w:hAnsi="Times New Roman"/>
                <w:b/>
                <w:color w:val="000000"/>
              </w:rPr>
            </w:pPr>
          </w:p>
        </w:tc>
        <w:tc>
          <w:tcPr>
            <w:tcW w:w="285" w:type="pct"/>
            <w:vAlign w:val="center"/>
          </w:tcPr>
          <w:p w14:paraId="7D4A91EF"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1F0"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1F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14</w:t>
            </w:r>
          </w:p>
        </w:tc>
        <w:tc>
          <w:tcPr>
            <w:tcW w:w="285" w:type="pct"/>
            <w:shd w:val="clear" w:color="auto" w:fill="auto"/>
            <w:noWrap/>
            <w:vAlign w:val="center"/>
          </w:tcPr>
          <w:p w14:paraId="7D4A91F2"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4</w:t>
            </w:r>
          </w:p>
        </w:tc>
        <w:tc>
          <w:tcPr>
            <w:tcW w:w="337" w:type="pct"/>
            <w:shd w:val="clear" w:color="auto" w:fill="auto"/>
            <w:noWrap/>
            <w:vAlign w:val="center"/>
          </w:tcPr>
          <w:p w14:paraId="7D4A91F3"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06" w:type="pct"/>
            <w:shd w:val="clear" w:color="auto" w:fill="auto"/>
            <w:noWrap/>
            <w:vAlign w:val="center"/>
          </w:tcPr>
          <w:p w14:paraId="7D4A91F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5</w:t>
            </w:r>
          </w:p>
        </w:tc>
        <w:tc>
          <w:tcPr>
            <w:tcW w:w="264" w:type="pct"/>
            <w:shd w:val="clear" w:color="auto" w:fill="auto"/>
            <w:noWrap/>
            <w:vAlign w:val="center"/>
          </w:tcPr>
          <w:p w14:paraId="7D4A91F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14</w:t>
            </w:r>
          </w:p>
        </w:tc>
      </w:tr>
      <w:tr w:rsidR="00F540CE" w:rsidRPr="009E1B38" w14:paraId="7D4A9202" w14:textId="77777777" w:rsidTr="00257228">
        <w:trPr>
          <w:trHeight w:val="227"/>
        </w:trPr>
        <w:tc>
          <w:tcPr>
            <w:tcW w:w="1559" w:type="pct"/>
            <w:shd w:val="clear" w:color="auto" w:fill="auto"/>
            <w:vAlign w:val="center"/>
          </w:tcPr>
          <w:p w14:paraId="7D4A91F7" w14:textId="15B7BA29" w:rsidR="00F540CE" w:rsidRPr="009E1B38" w:rsidRDefault="003D011C" w:rsidP="00F540CE">
            <w:pPr>
              <w:spacing w:after="0"/>
              <w:rPr>
                <w:rFonts w:ascii="Times New Roman" w:hAnsi="Times New Roman"/>
                <w:color w:val="000000"/>
              </w:rPr>
            </w:pPr>
            <w:r w:rsidRPr="009E1B38">
              <w:rPr>
                <w:rFonts w:ascii="Times New Roman" w:hAnsi="Times New Roman"/>
                <w:color w:val="000000" w:themeColor="text1"/>
              </w:rPr>
              <w:t>Interpreter-Translator</w:t>
            </w:r>
          </w:p>
        </w:tc>
        <w:tc>
          <w:tcPr>
            <w:tcW w:w="518" w:type="pct"/>
            <w:shd w:val="clear" w:color="auto" w:fill="auto"/>
            <w:vAlign w:val="center"/>
          </w:tcPr>
          <w:p w14:paraId="7D4A91F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591" w:type="pct"/>
            <w:shd w:val="clear" w:color="auto" w:fill="auto"/>
            <w:noWrap/>
            <w:vAlign w:val="center"/>
          </w:tcPr>
          <w:p w14:paraId="7D4A91F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w:t>
            </w:r>
          </w:p>
        </w:tc>
        <w:tc>
          <w:tcPr>
            <w:tcW w:w="285" w:type="pct"/>
            <w:shd w:val="clear" w:color="auto" w:fill="auto"/>
            <w:noWrap/>
            <w:vAlign w:val="center"/>
          </w:tcPr>
          <w:p w14:paraId="7D4A91FA" w14:textId="77777777" w:rsidR="00F540CE" w:rsidRPr="009E1B38" w:rsidRDefault="00F540CE" w:rsidP="00F540CE">
            <w:pPr>
              <w:spacing w:after="0"/>
              <w:jc w:val="center"/>
              <w:rPr>
                <w:rFonts w:ascii="Times New Roman" w:hAnsi="Times New Roman"/>
                <w:b/>
                <w:color w:val="000000"/>
              </w:rPr>
            </w:pPr>
          </w:p>
        </w:tc>
        <w:tc>
          <w:tcPr>
            <w:tcW w:w="285" w:type="pct"/>
            <w:vAlign w:val="center"/>
          </w:tcPr>
          <w:p w14:paraId="7D4A91FB" w14:textId="77777777" w:rsidR="00F540CE" w:rsidRPr="009E1B38" w:rsidRDefault="00F540CE" w:rsidP="00F540CE">
            <w:pPr>
              <w:spacing w:after="0"/>
              <w:jc w:val="center"/>
              <w:rPr>
                <w:rFonts w:ascii="Times New Roman" w:hAnsi="Times New Roman"/>
                <w:b/>
                <w:color w:val="000000"/>
                <w:highlight w:val="yellow"/>
              </w:rPr>
            </w:pPr>
          </w:p>
        </w:tc>
        <w:tc>
          <w:tcPr>
            <w:tcW w:w="285" w:type="pct"/>
            <w:shd w:val="clear" w:color="auto" w:fill="auto"/>
            <w:noWrap/>
            <w:vAlign w:val="center"/>
          </w:tcPr>
          <w:p w14:paraId="7D4A91FC" w14:textId="77777777" w:rsidR="00F540CE" w:rsidRPr="009E1B38" w:rsidRDefault="00F540CE" w:rsidP="00F540CE">
            <w:pPr>
              <w:spacing w:after="0"/>
              <w:jc w:val="center"/>
              <w:rPr>
                <w:rFonts w:ascii="Times New Roman" w:hAnsi="Times New Roman"/>
                <w:b/>
                <w:color w:val="000000"/>
              </w:rPr>
            </w:pPr>
          </w:p>
        </w:tc>
        <w:tc>
          <w:tcPr>
            <w:tcW w:w="285" w:type="pct"/>
            <w:shd w:val="clear" w:color="auto" w:fill="auto"/>
            <w:noWrap/>
            <w:vAlign w:val="center"/>
          </w:tcPr>
          <w:p w14:paraId="7D4A91FD" w14:textId="77777777" w:rsidR="00F540CE" w:rsidRPr="009E1B38" w:rsidRDefault="00F540CE" w:rsidP="00F540CE">
            <w:pPr>
              <w:spacing w:after="0"/>
              <w:jc w:val="center"/>
              <w:rPr>
                <w:rFonts w:ascii="Times New Roman" w:hAnsi="Times New Roman"/>
                <w:b/>
                <w:color w:val="000000"/>
              </w:rPr>
            </w:pPr>
          </w:p>
        </w:tc>
        <w:tc>
          <w:tcPr>
            <w:tcW w:w="285" w:type="pct"/>
            <w:shd w:val="clear" w:color="auto" w:fill="auto"/>
            <w:noWrap/>
            <w:vAlign w:val="center"/>
          </w:tcPr>
          <w:p w14:paraId="7D4A91FE" w14:textId="77777777" w:rsidR="00F540CE" w:rsidRPr="009E1B38" w:rsidRDefault="00F540CE" w:rsidP="00F540CE">
            <w:pPr>
              <w:spacing w:after="0"/>
              <w:jc w:val="center"/>
              <w:rPr>
                <w:rFonts w:ascii="Times New Roman" w:hAnsi="Times New Roman"/>
                <w:b/>
                <w:color w:val="000000"/>
              </w:rPr>
            </w:pPr>
          </w:p>
        </w:tc>
        <w:tc>
          <w:tcPr>
            <w:tcW w:w="337" w:type="pct"/>
            <w:shd w:val="clear" w:color="auto" w:fill="auto"/>
            <w:noWrap/>
            <w:vAlign w:val="center"/>
          </w:tcPr>
          <w:p w14:paraId="7D4A91FF" w14:textId="77777777" w:rsidR="00F540CE" w:rsidRPr="009E1B38" w:rsidRDefault="00F540CE" w:rsidP="00F540CE">
            <w:pPr>
              <w:spacing w:after="0"/>
              <w:jc w:val="center"/>
              <w:rPr>
                <w:rFonts w:ascii="Times New Roman" w:hAnsi="Times New Roman"/>
                <w:b/>
                <w:color w:val="000000"/>
              </w:rPr>
            </w:pPr>
          </w:p>
        </w:tc>
        <w:tc>
          <w:tcPr>
            <w:tcW w:w="306" w:type="pct"/>
            <w:shd w:val="clear" w:color="auto" w:fill="auto"/>
            <w:noWrap/>
            <w:vAlign w:val="center"/>
          </w:tcPr>
          <w:p w14:paraId="7D4A9200" w14:textId="77777777" w:rsidR="00F540CE" w:rsidRPr="009E1B38" w:rsidRDefault="00F540CE" w:rsidP="00F540CE">
            <w:pPr>
              <w:spacing w:after="0"/>
              <w:jc w:val="center"/>
              <w:rPr>
                <w:rFonts w:ascii="Times New Roman" w:hAnsi="Times New Roman"/>
                <w:b/>
                <w:color w:val="000000"/>
              </w:rPr>
            </w:pPr>
          </w:p>
        </w:tc>
        <w:tc>
          <w:tcPr>
            <w:tcW w:w="264" w:type="pct"/>
            <w:shd w:val="clear" w:color="auto" w:fill="auto"/>
            <w:noWrap/>
            <w:vAlign w:val="center"/>
          </w:tcPr>
          <w:p w14:paraId="7D4A9201" w14:textId="77777777" w:rsidR="00F540CE" w:rsidRPr="009E1B38" w:rsidRDefault="00F540CE" w:rsidP="00F540CE">
            <w:pPr>
              <w:spacing w:after="0"/>
              <w:jc w:val="center"/>
              <w:rPr>
                <w:rFonts w:ascii="Times New Roman" w:hAnsi="Times New Roman"/>
                <w:b/>
                <w:color w:val="000000"/>
              </w:rPr>
            </w:pPr>
          </w:p>
        </w:tc>
      </w:tr>
      <w:tr w:rsidR="00F540CE" w:rsidRPr="009E1B38" w14:paraId="7D4A920E" w14:textId="77777777" w:rsidTr="00257228">
        <w:trPr>
          <w:trHeight w:val="227"/>
        </w:trPr>
        <w:tc>
          <w:tcPr>
            <w:tcW w:w="1559" w:type="pct"/>
            <w:shd w:val="clear" w:color="auto" w:fill="auto"/>
            <w:vAlign w:val="center"/>
          </w:tcPr>
          <w:p w14:paraId="7D4A9203" w14:textId="6D4DAD45" w:rsidR="00F540CE" w:rsidRPr="009E1B38" w:rsidRDefault="003D011C" w:rsidP="00F540CE">
            <w:pPr>
              <w:spacing w:after="0"/>
              <w:rPr>
                <w:rFonts w:ascii="Times New Roman" w:hAnsi="Times New Roman"/>
                <w:color w:val="000000"/>
              </w:rPr>
            </w:pPr>
            <w:r w:rsidRPr="009E1B38">
              <w:rPr>
                <w:rFonts w:ascii="Times New Roman" w:hAnsi="Times New Roman"/>
                <w:color w:val="000000"/>
              </w:rPr>
              <w:t>Researcher</w:t>
            </w:r>
          </w:p>
        </w:tc>
        <w:tc>
          <w:tcPr>
            <w:tcW w:w="518" w:type="pct"/>
            <w:shd w:val="clear" w:color="auto" w:fill="auto"/>
            <w:vAlign w:val="center"/>
          </w:tcPr>
          <w:p w14:paraId="7D4A920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20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w:t>
            </w:r>
          </w:p>
        </w:tc>
        <w:tc>
          <w:tcPr>
            <w:tcW w:w="285" w:type="pct"/>
            <w:shd w:val="clear" w:color="auto" w:fill="auto"/>
            <w:noWrap/>
            <w:vAlign w:val="center"/>
          </w:tcPr>
          <w:p w14:paraId="7D4A9206" w14:textId="77777777" w:rsidR="00F540CE" w:rsidRPr="009E1B38" w:rsidRDefault="00F540CE" w:rsidP="00F540CE">
            <w:pPr>
              <w:spacing w:after="0"/>
              <w:jc w:val="center"/>
              <w:rPr>
                <w:rFonts w:ascii="Times New Roman" w:hAnsi="Times New Roman"/>
                <w:b/>
                <w:color w:val="000000"/>
              </w:rPr>
            </w:pPr>
          </w:p>
        </w:tc>
        <w:tc>
          <w:tcPr>
            <w:tcW w:w="285" w:type="pct"/>
            <w:vAlign w:val="center"/>
          </w:tcPr>
          <w:p w14:paraId="7D4A9207" w14:textId="77777777" w:rsidR="00F540CE" w:rsidRPr="009E1B38" w:rsidRDefault="00F540CE" w:rsidP="00F540CE">
            <w:pPr>
              <w:spacing w:after="0"/>
              <w:jc w:val="center"/>
              <w:rPr>
                <w:rFonts w:ascii="Times New Roman" w:hAnsi="Times New Roman"/>
                <w:b/>
                <w:color w:val="000000"/>
                <w:highlight w:val="yellow"/>
              </w:rPr>
            </w:pPr>
          </w:p>
        </w:tc>
        <w:tc>
          <w:tcPr>
            <w:tcW w:w="285" w:type="pct"/>
            <w:shd w:val="clear" w:color="auto" w:fill="auto"/>
            <w:noWrap/>
            <w:vAlign w:val="center"/>
          </w:tcPr>
          <w:p w14:paraId="7D4A9208" w14:textId="77777777" w:rsidR="00F540CE" w:rsidRPr="009E1B38" w:rsidRDefault="00F540CE" w:rsidP="00F540CE">
            <w:pPr>
              <w:spacing w:after="0"/>
              <w:jc w:val="center"/>
              <w:rPr>
                <w:rFonts w:ascii="Times New Roman" w:hAnsi="Times New Roman"/>
                <w:b/>
                <w:color w:val="000000"/>
              </w:rPr>
            </w:pPr>
          </w:p>
        </w:tc>
        <w:tc>
          <w:tcPr>
            <w:tcW w:w="285" w:type="pct"/>
            <w:shd w:val="clear" w:color="auto" w:fill="auto"/>
            <w:noWrap/>
            <w:vAlign w:val="center"/>
          </w:tcPr>
          <w:p w14:paraId="7D4A9209" w14:textId="77777777" w:rsidR="00F540CE" w:rsidRPr="009E1B38" w:rsidRDefault="00F540CE" w:rsidP="00F540CE">
            <w:pPr>
              <w:spacing w:after="0"/>
              <w:jc w:val="center"/>
              <w:rPr>
                <w:rFonts w:ascii="Times New Roman" w:hAnsi="Times New Roman"/>
                <w:b/>
                <w:color w:val="000000"/>
              </w:rPr>
            </w:pPr>
          </w:p>
        </w:tc>
        <w:tc>
          <w:tcPr>
            <w:tcW w:w="285" w:type="pct"/>
            <w:shd w:val="clear" w:color="auto" w:fill="auto"/>
            <w:noWrap/>
            <w:vAlign w:val="center"/>
          </w:tcPr>
          <w:p w14:paraId="7D4A920A" w14:textId="77777777" w:rsidR="00F540CE" w:rsidRPr="009E1B38" w:rsidRDefault="00F540CE" w:rsidP="00F540CE">
            <w:pPr>
              <w:spacing w:after="0"/>
              <w:jc w:val="center"/>
              <w:rPr>
                <w:rFonts w:ascii="Times New Roman" w:hAnsi="Times New Roman"/>
                <w:b/>
                <w:color w:val="000000"/>
              </w:rPr>
            </w:pPr>
          </w:p>
        </w:tc>
        <w:tc>
          <w:tcPr>
            <w:tcW w:w="337" w:type="pct"/>
            <w:shd w:val="clear" w:color="auto" w:fill="auto"/>
            <w:noWrap/>
            <w:vAlign w:val="center"/>
          </w:tcPr>
          <w:p w14:paraId="7D4A920B" w14:textId="77777777" w:rsidR="00F540CE" w:rsidRPr="009E1B38" w:rsidRDefault="00F540CE" w:rsidP="00F540CE">
            <w:pPr>
              <w:spacing w:after="0"/>
              <w:jc w:val="center"/>
              <w:rPr>
                <w:rFonts w:ascii="Times New Roman" w:hAnsi="Times New Roman"/>
                <w:b/>
                <w:color w:val="000000"/>
              </w:rPr>
            </w:pPr>
          </w:p>
        </w:tc>
        <w:tc>
          <w:tcPr>
            <w:tcW w:w="306" w:type="pct"/>
            <w:shd w:val="clear" w:color="auto" w:fill="auto"/>
            <w:noWrap/>
            <w:vAlign w:val="center"/>
          </w:tcPr>
          <w:p w14:paraId="7D4A920C" w14:textId="77777777" w:rsidR="00F540CE" w:rsidRPr="009E1B38" w:rsidRDefault="00F540CE" w:rsidP="00F540CE">
            <w:pPr>
              <w:spacing w:after="0"/>
              <w:jc w:val="center"/>
              <w:rPr>
                <w:rFonts w:ascii="Times New Roman" w:hAnsi="Times New Roman"/>
                <w:b/>
                <w:color w:val="000000"/>
              </w:rPr>
            </w:pPr>
          </w:p>
        </w:tc>
        <w:tc>
          <w:tcPr>
            <w:tcW w:w="264" w:type="pct"/>
            <w:shd w:val="clear" w:color="auto" w:fill="auto"/>
            <w:noWrap/>
            <w:vAlign w:val="center"/>
          </w:tcPr>
          <w:p w14:paraId="7D4A920D" w14:textId="77777777" w:rsidR="00F540CE" w:rsidRPr="009E1B38" w:rsidRDefault="00F540CE" w:rsidP="00F540CE">
            <w:pPr>
              <w:spacing w:after="0"/>
              <w:jc w:val="center"/>
              <w:rPr>
                <w:rFonts w:ascii="Times New Roman" w:hAnsi="Times New Roman"/>
                <w:b/>
                <w:color w:val="000000"/>
              </w:rPr>
            </w:pPr>
          </w:p>
        </w:tc>
      </w:tr>
      <w:tr w:rsidR="00F540CE" w:rsidRPr="009E1B38" w14:paraId="7D4A921A" w14:textId="77777777" w:rsidTr="00257228">
        <w:trPr>
          <w:trHeight w:val="227"/>
        </w:trPr>
        <w:tc>
          <w:tcPr>
            <w:tcW w:w="1559" w:type="pct"/>
            <w:shd w:val="clear" w:color="auto" w:fill="auto"/>
            <w:vAlign w:val="center"/>
          </w:tcPr>
          <w:p w14:paraId="7D4A920F" w14:textId="1BB8AD1D" w:rsidR="00F540CE" w:rsidRPr="009E1B38" w:rsidRDefault="003D011C" w:rsidP="00F540CE">
            <w:pPr>
              <w:spacing w:after="0"/>
              <w:rPr>
                <w:rFonts w:ascii="Times New Roman" w:hAnsi="Times New Roman"/>
                <w:color w:val="000000"/>
              </w:rPr>
            </w:pPr>
            <w:r w:rsidRPr="009E1B38">
              <w:rPr>
                <w:rFonts w:ascii="Times New Roman" w:hAnsi="Times New Roman"/>
                <w:color w:val="000000"/>
              </w:rPr>
              <w:t>Analyzer</w:t>
            </w:r>
          </w:p>
        </w:tc>
        <w:tc>
          <w:tcPr>
            <w:tcW w:w="518" w:type="pct"/>
            <w:shd w:val="clear" w:color="auto" w:fill="auto"/>
            <w:vAlign w:val="center"/>
          </w:tcPr>
          <w:p w14:paraId="7D4A921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8</w:t>
            </w:r>
          </w:p>
        </w:tc>
        <w:tc>
          <w:tcPr>
            <w:tcW w:w="591" w:type="pct"/>
            <w:shd w:val="clear" w:color="auto" w:fill="auto"/>
            <w:noWrap/>
            <w:vAlign w:val="center"/>
          </w:tcPr>
          <w:p w14:paraId="7D4A921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c>
          <w:tcPr>
            <w:tcW w:w="285" w:type="pct"/>
            <w:shd w:val="clear" w:color="auto" w:fill="auto"/>
            <w:noWrap/>
            <w:vAlign w:val="center"/>
          </w:tcPr>
          <w:p w14:paraId="7D4A9212"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213"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214"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21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285" w:type="pct"/>
            <w:shd w:val="clear" w:color="auto" w:fill="auto"/>
            <w:noWrap/>
            <w:vAlign w:val="center"/>
          </w:tcPr>
          <w:p w14:paraId="7D4A9216"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337" w:type="pct"/>
            <w:shd w:val="clear" w:color="auto" w:fill="auto"/>
            <w:noWrap/>
            <w:vAlign w:val="center"/>
          </w:tcPr>
          <w:p w14:paraId="7D4A9217"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218"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21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r>
      <w:tr w:rsidR="00F540CE" w:rsidRPr="009E1B38" w14:paraId="7D4A9226" w14:textId="77777777" w:rsidTr="00257228">
        <w:trPr>
          <w:trHeight w:val="227"/>
        </w:trPr>
        <w:tc>
          <w:tcPr>
            <w:tcW w:w="1559" w:type="pct"/>
            <w:shd w:val="clear" w:color="auto" w:fill="auto"/>
            <w:vAlign w:val="center"/>
          </w:tcPr>
          <w:p w14:paraId="7D4A921B" w14:textId="54CC9C0C" w:rsidR="00F540CE" w:rsidRPr="009E1B38" w:rsidRDefault="00257228" w:rsidP="00F540CE">
            <w:pPr>
              <w:spacing w:after="0"/>
              <w:rPr>
                <w:rFonts w:ascii="Times New Roman" w:hAnsi="Times New Roman"/>
                <w:color w:val="000000"/>
              </w:rPr>
            </w:pPr>
            <w:r w:rsidRPr="009E1B38">
              <w:rPr>
                <w:rFonts w:ascii="Times New Roman" w:hAnsi="Times New Roman"/>
                <w:color w:val="000000"/>
              </w:rPr>
              <w:t>Program</w:t>
            </w:r>
            <w:r w:rsidR="003D011C" w:rsidRPr="009E1B38">
              <w:rPr>
                <w:rFonts w:ascii="Times New Roman" w:hAnsi="Times New Roman"/>
                <w:color w:val="000000"/>
              </w:rPr>
              <w:t>mer</w:t>
            </w:r>
          </w:p>
        </w:tc>
        <w:tc>
          <w:tcPr>
            <w:tcW w:w="518" w:type="pct"/>
            <w:shd w:val="clear" w:color="auto" w:fill="auto"/>
            <w:vAlign w:val="center"/>
          </w:tcPr>
          <w:p w14:paraId="7D4A921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6</w:t>
            </w:r>
          </w:p>
        </w:tc>
        <w:tc>
          <w:tcPr>
            <w:tcW w:w="591" w:type="pct"/>
            <w:shd w:val="clear" w:color="auto" w:fill="auto"/>
            <w:noWrap/>
            <w:vAlign w:val="center"/>
          </w:tcPr>
          <w:p w14:paraId="7D4A921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w:t>
            </w:r>
          </w:p>
        </w:tc>
        <w:tc>
          <w:tcPr>
            <w:tcW w:w="285" w:type="pct"/>
            <w:shd w:val="clear" w:color="auto" w:fill="auto"/>
            <w:noWrap/>
            <w:vAlign w:val="center"/>
          </w:tcPr>
          <w:p w14:paraId="7D4A921E"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21F"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220"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221"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222"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223"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224"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225" w14:textId="77777777" w:rsidR="00F540CE" w:rsidRPr="009E1B38" w:rsidRDefault="00F540CE" w:rsidP="00F540CE">
            <w:pPr>
              <w:spacing w:after="0"/>
              <w:jc w:val="center"/>
              <w:rPr>
                <w:rFonts w:ascii="Times New Roman" w:hAnsi="Times New Roman"/>
                <w:color w:val="000000"/>
              </w:rPr>
            </w:pPr>
          </w:p>
        </w:tc>
      </w:tr>
      <w:tr w:rsidR="00F540CE" w:rsidRPr="009E1B38" w14:paraId="7D4A9232" w14:textId="77777777" w:rsidTr="00257228">
        <w:trPr>
          <w:trHeight w:val="227"/>
        </w:trPr>
        <w:tc>
          <w:tcPr>
            <w:tcW w:w="1559" w:type="pct"/>
            <w:shd w:val="clear" w:color="auto" w:fill="auto"/>
            <w:vAlign w:val="center"/>
          </w:tcPr>
          <w:p w14:paraId="7D4A9227" w14:textId="285EC99A" w:rsidR="00F540CE" w:rsidRPr="009E1B38" w:rsidRDefault="003D011C" w:rsidP="00F540CE">
            <w:pPr>
              <w:spacing w:after="0"/>
              <w:rPr>
                <w:rFonts w:ascii="Times New Roman" w:hAnsi="Times New Roman"/>
                <w:color w:val="000000"/>
              </w:rPr>
            </w:pPr>
            <w:r w:rsidRPr="009E1B38">
              <w:rPr>
                <w:rFonts w:ascii="Times New Roman" w:hAnsi="Times New Roman"/>
                <w:color w:val="000000"/>
              </w:rPr>
              <w:t>Nurse</w:t>
            </w:r>
          </w:p>
        </w:tc>
        <w:tc>
          <w:tcPr>
            <w:tcW w:w="518" w:type="pct"/>
            <w:shd w:val="clear" w:color="auto" w:fill="auto"/>
            <w:vAlign w:val="center"/>
          </w:tcPr>
          <w:p w14:paraId="7D4A922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22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22A"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22B"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22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22D"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22E"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22F"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23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64" w:type="pct"/>
            <w:shd w:val="clear" w:color="auto" w:fill="auto"/>
            <w:noWrap/>
            <w:vAlign w:val="center"/>
          </w:tcPr>
          <w:p w14:paraId="7D4A9231" w14:textId="77777777" w:rsidR="00F540CE" w:rsidRPr="009E1B38" w:rsidRDefault="00F540CE" w:rsidP="00F540CE">
            <w:pPr>
              <w:spacing w:after="0"/>
              <w:jc w:val="center"/>
              <w:rPr>
                <w:rFonts w:ascii="Times New Roman" w:hAnsi="Times New Roman"/>
                <w:color w:val="000000"/>
              </w:rPr>
            </w:pPr>
          </w:p>
        </w:tc>
      </w:tr>
      <w:tr w:rsidR="00F540CE" w:rsidRPr="009E1B38" w14:paraId="7D4A923E" w14:textId="77777777" w:rsidTr="00257228">
        <w:trPr>
          <w:trHeight w:val="227"/>
        </w:trPr>
        <w:tc>
          <w:tcPr>
            <w:tcW w:w="1559" w:type="pct"/>
            <w:shd w:val="clear" w:color="auto" w:fill="auto"/>
            <w:vAlign w:val="center"/>
          </w:tcPr>
          <w:p w14:paraId="7D4A9233" w14:textId="404225BC" w:rsidR="00F540CE" w:rsidRPr="009E1B38" w:rsidRDefault="003D011C" w:rsidP="00F540CE">
            <w:pPr>
              <w:spacing w:after="0"/>
              <w:rPr>
                <w:rFonts w:ascii="Times New Roman" w:hAnsi="Times New Roman"/>
                <w:color w:val="000000"/>
              </w:rPr>
            </w:pPr>
            <w:r w:rsidRPr="009E1B38">
              <w:rPr>
                <w:rFonts w:ascii="Times New Roman" w:hAnsi="Times New Roman"/>
                <w:color w:val="000000"/>
              </w:rPr>
              <w:t>Administrative Officer</w:t>
            </w:r>
          </w:p>
        </w:tc>
        <w:tc>
          <w:tcPr>
            <w:tcW w:w="518" w:type="pct"/>
            <w:shd w:val="clear" w:color="auto" w:fill="auto"/>
            <w:vAlign w:val="center"/>
          </w:tcPr>
          <w:p w14:paraId="7D4A923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79</w:t>
            </w:r>
          </w:p>
        </w:tc>
        <w:tc>
          <w:tcPr>
            <w:tcW w:w="591" w:type="pct"/>
            <w:shd w:val="clear" w:color="auto" w:fill="auto"/>
            <w:noWrap/>
            <w:vAlign w:val="center"/>
          </w:tcPr>
          <w:p w14:paraId="7D4A923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62</w:t>
            </w:r>
          </w:p>
        </w:tc>
        <w:tc>
          <w:tcPr>
            <w:tcW w:w="285" w:type="pct"/>
            <w:shd w:val="clear" w:color="auto" w:fill="auto"/>
            <w:noWrap/>
            <w:vAlign w:val="center"/>
          </w:tcPr>
          <w:p w14:paraId="7D4A9236"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237"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8</w:t>
            </w:r>
          </w:p>
        </w:tc>
        <w:tc>
          <w:tcPr>
            <w:tcW w:w="285" w:type="pct"/>
            <w:shd w:val="clear" w:color="auto" w:fill="auto"/>
            <w:noWrap/>
            <w:vAlign w:val="center"/>
          </w:tcPr>
          <w:p w14:paraId="7D4A923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10</w:t>
            </w:r>
          </w:p>
        </w:tc>
        <w:tc>
          <w:tcPr>
            <w:tcW w:w="285" w:type="pct"/>
            <w:shd w:val="clear" w:color="auto" w:fill="auto"/>
            <w:noWrap/>
            <w:vAlign w:val="center"/>
          </w:tcPr>
          <w:p w14:paraId="7D4A923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39</w:t>
            </w:r>
          </w:p>
        </w:tc>
        <w:tc>
          <w:tcPr>
            <w:tcW w:w="285" w:type="pct"/>
            <w:shd w:val="clear" w:color="auto" w:fill="auto"/>
            <w:noWrap/>
            <w:vAlign w:val="center"/>
          </w:tcPr>
          <w:p w14:paraId="7D4A923A"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5</w:t>
            </w:r>
          </w:p>
        </w:tc>
        <w:tc>
          <w:tcPr>
            <w:tcW w:w="337" w:type="pct"/>
            <w:shd w:val="clear" w:color="auto" w:fill="auto"/>
            <w:noWrap/>
            <w:vAlign w:val="center"/>
          </w:tcPr>
          <w:p w14:paraId="7D4A923B"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23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38</w:t>
            </w:r>
          </w:p>
        </w:tc>
        <w:tc>
          <w:tcPr>
            <w:tcW w:w="264" w:type="pct"/>
            <w:shd w:val="clear" w:color="auto" w:fill="auto"/>
            <w:noWrap/>
            <w:vAlign w:val="center"/>
          </w:tcPr>
          <w:p w14:paraId="7D4A923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24</w:t>
            </w:r>
          </w:p>
        </w:tc>
      </w:tr>
      <w:tr w:rsidR="00F540CE" w:rsidRPr="009E1B38" w14:paraId="7D4A924A" w14:textId="77777777" w:rsidTr="00257228">
        <w:trPr>
          <w:trHeight w:val="227"/>
        </w:trPr>
        <w:tc>
          <w:tcPr>
            <w:tcW w:w="1559" w:type="pct"/>
            <w:shd w:val="clear" w:color="auto" w:fill="auto"/>
            <w:vAlign w:val="center"/>
          </w:tcPr>
          <w:p w14:paraId="7D4A923F" w14:textId="1DBC299D" w:rsidR="00F540CE" w:rsidRPr="009E1B38" w:rsidRDefault="003D011C" w:rsidP="00F540CE">
            <w:pPr>
              <w:spacing w:after="0"/>
              <w:rPr>
                <w:rFonts w:ascii="Times New Roman" w:hAnsi="Times New Roman"/>
                <w:color w:val="000000"/>
              </w:rPr>
            </w:pPr>
            <w:r w:rsidRPr="009E1B38">
              <w:rPr>
                <w:rFonts w:ascii="Times New Roman" w:hAnsi="Times New Roman"/>
                <w:color w:val="000000"/>
              </w:rPr>
              <w:t>Communi</w:t>
            </w:r>
            <w:r w:rsidR="004A724E" w:rsidRPr="009E1B38">
              <w:rPr>
                <w:rFonts w:ascii="Times New Roman" w:hAnsi="Times New Roman"/>
                <w:color w:val="000000"/>
              </w:rPr>
              <w:t>cation Officer</w:t>
            </w:r>
          </w:p>
        </w:tc>
        <w:tc>
          <w:tcPr>
            <w:tcW w:w="518" w:type="pct"/>
            <w:shd w:val="clear" w:color="auto" w:fill="auto"/>
            <w:vAlign w:val="center"/>
          </w:tcPr>
          <w:p w14:paraId="7D4A924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20</w:t>
            </w:r>
          </w:p>
        </w:tc>
        <w:tc>
          <w:tcPr>
            <w:tcW w:w="591" w:type="pct"/>
            <w:shd w:val="clear" w:color="auto" w:fill="auto"/>
            <w:noWrap/>
            <w:vAlign w:val="center"/>
          </w:tcPr>
          <w:p w14:paraId="7D4A924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15</w:t>
            </w:r>
          </w:p>
        </w:tc>
        <w:tc>
          <w:tcPr>
            <w:tcW w:w="285" w:type="pct"/>
            <w:shd w:val="clear" w:color="auto" w:fill="auto"/>
            <w:noWrap/>
            <w:vAlign w:val="center"/>
          </w:tcPr>
          <w:p w14:paraId="7D4A9242"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243"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285" w:type="pct"/>
            <w:shd w:val="clear" w:color="auto" w:fill="auto"/>
            <w:noWrap/>
            <w:vAlign w:val="center"/>
          </w:tcPr>
          <w:p w14:paraId="7D4A9244"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24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13</w:t>
            </w:r>
          </w:p>
        </w:tc>
        <w:tc>
          <w:tcPr>
            <w:tcW w:w="285" w:type="pct"/>
            <w:shd w:val="clear" w:color="auto" w:fill="auto"/>
            <w:noWrap/>
            <w:vAlign w:val="center"/>
          </w:tcPr>
          <w:p w14:paraId="7D4A9246"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247"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24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15</w:t>
            </w:r>
          </w:p>
        </w:tc>
        <w:tc>
          <w:tcPr>
            <w:tcW w:w="264" w:type="pct"/>
            <w:shd w:val="clear" w:color="auto" w:fill="auto"/>
            <w:noWrap/>
            <w:vAlign w:val="center"/>
          </w:tcPr>
          <w:p w14:paraId="7D4A9249" w14:textId="77777777" w:rsidR="00F540CE" w:rsidRPr="009E1B38" w:rsidRDefault="00F540CE" w:rsidP="00F540CE">
            <w:pPr>
              <w:spacing w:after="0"/>
              <w:jc w:val="center"/>
              <w:rPr>
                <w:rFonts w:ascii="Times New Roman" w:hAnsi="Times New Roman"/>
                <w:color w:val="000000"/>
              </w:rPr>
            </w:pPr>
          </w:p>
        </w:tc>
      </w:tr>
      <w:bookmarkEnd w:id="370"/>
      <w:tr w:rsidR="00F540CE" w:rsidRPr="009E1B38" w14:paraId="7D4A9256" w14:textId="77777777" w:rsidTr="00257228">
        <w:trPr>
          <w:trHeight w:val="227"/>
        </w:trPr>
        <w:tc>
          <w:tcPr>
            <w:tcW w:w="1559" w:type="pct"/>
            <w:shd w:val="clear" w:color="auto" w:fill="auto"/>
            <w:vAlign w:val="center"/>
          </w:tcPr>
          <w:p w14:paraId="7D4A924B" w14:textId="31FE2FF9" w:rsidR="00F540CE" w:rsidRPr="009E1B38" w:rsidRDefault="00257228" w:rsidP="00F540CE">
            <w:pPr>
              <w:spacing w:after="0"/>
              <w:rPr>
                <w:rFonts w:ascii="Times New Roman" w:hAnsi="Times New Roman"/>
                <w:color w:val="000000"/>
              </w:rPr>
            </w:pPr>
            <w:r w:rsidRPr="009E1B38">
              <w:rPr>
                <w:rFonts w:ascii="Times New Roman" w:hAnsi="Times New Roman"/>
                <w:color w:val="000000"/>
              </w:rPr>
              <w:t>D</w:t>
            </w:r>
            <w:r w:rsidR="004A724E" w:rsidRPr="009E1B38">
              <w:rPr>
                <w:rFonts w:ascii="Times New Roman" w:hAnsi="Times New Roman"/>
                <w:color w:val="000000"/>
              </w:rPr>
              <w:t>eliveryman</w:t>
            </w:r>
          </w:p>
        </w:tc>
        <w:tc>
          <w:tcPr>
            <w:tcW w:w="518" w:type="pct"/>
            <w:shd w:val="clear" w:color="auto" w:fill="auto"/>
            <w:vAlign w:val="center"/>
          </w:tcPr>
          <w:p w14:paraId="7D4A924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591" w:type="pct"/>
            <w:shd w:val="clear" w:color="auto" w:fill="auto"/>
            <w:noWrap/>
            <w:vAlign w:val="center"/>
          </w:tcPr>
          <w:p w14:paraId="7D4A924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24E"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24F"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250"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25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252"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253"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254"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25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262" w14:textId="77777777" w:rsidTr="00257228">
        <w:trPr>
          <w:trHeight w:val="227"/>
        </w:trPr>
        <w:tc>
          <w:tcPr>
            <w:tcW w:w="1559" w:type="pct"/>
            <w:shd w:val="clear" w:color="auto" w:fill="auto"/>
            <w:vAlign w:val="center"/>
          </w:tcPr>
          <w:p w14:paraId="7D4A9257" w14:textId="058039E9" w:rsidR="00F540CE" w:rsidRPr="009E1B38" w:rsidRDefault="004A724E" w:rsidP="00F540CE">
            <w:pPr>
              <w:spacing w:after="0"/>
              <w:rPr>
                <w:rFonts w:ascii="Times New Roman" w:hAnsi="Times New Roman"/>
                <w:color w:val="000000"/>
              </w:rPr>
            </w:pPr>
            <w:r w:rsidRPr="009E1B38">
              <w:rPr>
                <w:rFonts w:ascii="Times New Roman" w:hAnsi="Times New Roman"/>
                <w:color w:val="000000"/>
              </w:rPr>
              <w:t>Librarian</w:t>
            </w:r>
          </w:p>
        </w:tc>
        <w:tc>
          <w:tcPr>
            <w:tcW w:w="518" w:type="pct"/>
            <w:shd w:val="clear" w:color="auto" w:fill="auto"/>
            <w:vAlign w:val="center"/>
          </w:tcPr>
          <w:p w14:paraId="7D4A925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591" w:type="pct"/>
            <w:shd w:val="clear" w:color="auto" w:fill="auto"/>
            <w:noWrap/>
            <w:vAlign w:val="center"/>
          </w:tcPr>
          <w:p w14:paraId="7D4A925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w:t>
            </w:r>
          </w:p>
        </w:tc>
        <w:tc>
          <w:tcPr>
            <w:tcW w:w="285" w:type="pct"/>
            <w:shd w:val="clear" w:color="auto" w:fill="auto"/>
            <w:noWrap/>
            <w:vAlign w:val="center"/>
          </w:tcPr>
          <w:p w14:paraId="7D4A925A"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25B"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25C"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25D"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25E"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25F"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260"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261" w14:textId="77777777" w:rsidR="00F540CE" w:rsidRPr="009E1B38" w:rsidRDefault="00F540CE" w:rsidP="00F540CE">
            <w:pPr>
              <w:spacing w:after="0"/>
              <w:jc w:val="center"/>
              <w:rPr>
                <w:rFonts w:ascii="Times New Roman" w:hAnsi="Times New Roman"/>
                <w:color w:val="000000"/>
              </w:rPr>
            </w:pPr>
          </w:p>
        </w:tc>
      </w:tr>
      <w:tr w:rsidR="00F540CE" w:rsidRPr="009E1B38" w14:paraId="7D4A926E" w14:textId="77777777" w:rsidTr="00257228">
        <w:trPr>
          <w:trHeight w:val="227"/>
        </w:trPr>
        <w:tc>
          <w:tcPr>
            <w:tcW w:w="1559" w:type="pct"/>
            <w:shd w:val="clear" w:color="auto" w:fill="auto"/>
            <w:vAlign w:val="center"/>
          </w:tcPr>
          <w:p w14:paraId="7D4A9263" w14:textId="04B5BE95" w:rsidR="00F540CE" w:rsidRPr="009E1B38" w:rsidRDefault="00460E7F" w:rsidP="00F540CE">
            <w:pPr>
              <w:spacing w:after="0"/>
              <w:rPr>
                <w:rFonts w:ascii="Times New Roman" w:hAnsi="Times New Roman"/>
                <w:color w:val="000000"/>
              </w:rPr>
            </w:pPr>
            <w:r w:rsidRPr="009E1B38">
              <w:rPr>
                <w:rFonts w:ascii="Times New Roman" w:hAnsi="Times New Roman"/>
                <w:color w:val="000000"/>
              </w:rPr>
              <w:t>Mechanic</w:t>
            </w:r>
          </w:p>
        </w:tc>
        <w:tc>
          <w:tcPr>
            <w:tcW w:w="518" w:type="pct"/>
            <w:shd w:val="clear" w:color="auto" w:fill="auto"/>
            <w:vAlign w:val="center"/>
          </w:tcPr>
          <w:p w14:paraId="7D4A926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4</w:t>
            </w:r>
          </w:p>
        </w:tc>
        <w:tc>
          <w:tcPr>
            <w:tcW w:w="591" w:type="pct"/>
            <w:shd w:val="clear" w:color="auto" w:fill="auto"/>
            <w:noWrap/>
            <w:vAlign w:val="center"/>
          </w:tcPr>
          <w:p w14:paraId="7D4A926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266"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267" w14:textId="77777777" w:rsidR="00F540CE" w:rsidRPr="009E1B38" w:rsidRDefault="00F540CE" w:rsidP="00F540CE">
            <w:pPr>
              <w:spacing w:after="0"/>
              <w:jc w:val="center"/>
              <w:rPr>
                <w:rFonts w:ascii="Times New Roman" w:hAnsi="Times New Roman"/>
                <w:color w:val="000000"/>
                <w:highlight w:val="yellow"/>
              </w:rPr>
            </w:pPr>
          </w:p>
        </w:tc>
        <w:tc>
          <w:tcPr>
            <w:tcW w:w="285" w:type="pct"/>
            <w:shd w:val="clear" w:color="auto" w:fill="auto"/>
            <w:noWrap/>
            <w:vAlign w:val="center"/>
          </w:tcPr>
          <w:p w14:paraId="7D4A9268"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269" w14:textId="77777777" w:rsidR="00F540CE" w:rsidRPr="009E1B38" w:rsidRDefault="00F540CE" w:rsidP="00F540CE">
            <w:pPr>
              <w:spacing w:after="0"/>
              <w:jc w:val="center"/>
              <w:rPr>
                <w:rFonts w:ascii="Times New Roman" w:hAnsi="Times New Roman"/>
                <w:color w:val="000000"/>
              </w:rPr>
            </w:pPr>
          </w:p>
        </w:tc>
        <w:tc>
          <w:tcPr>
            <w:tcW w:w="285" w:type="pct"/>
            <w:shd w:val="clear" w:color="auto" w:fill="auto"/>
            <w:noWrap/>
            <w:vAlign w:val="center"/>
          </w:tcPr>
          <w:p w14:paraId="7D4A926A"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26B"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26C"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26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r>
      <w:tr w:rsidR="00F540CE" w:rsidRPr="009E1B38" w14:paraId="7D4A927A" w14:textId="77777777" w:rsidTr="00257228">
        <w:trPr>
          <w:trHeight w:val="227"/>
        </w:trPr>
        <w:tc>
          <w:tcPr>
            <w:tcW w:w="1559" w:type="pct"/>
            <w:shd w:val="clear" w:color="auto" w:fill="auto"/>
            <w:vAlign w:val="center"/>
          </w:tcPr>
          <w:p w14:paraId="7D4A926F" w14:textId="169701DB" w:rsidR="00F540CE" w:rsidRPr="009E1B38" w:rsidRDefault="00257228" w:rsidP="00F540CE">
            <w:pPr>
              <w:spacing w:after="0"/>
              <w:rPr>
                <w:rFonts w:ascii="Times New Roman" w:hAnsi="Times New Roman"/>
                <w:color w:val="000000"/>
              </w:rPr>
            </w:pPr>
            <w:r w:rsidRPr="009E1B38">
              <w:rPr>
                <w:rFonts w:ascii="Times New Roman" w:hAnsi="Times New Roman"/>
                <w:color w:val="000000"/>
              </w:rPr>
              <w:t>Te</w:t>
            </w:r>
            <w:r w:rsidR="00460E7F" w:rsidRPr="009E1B38">
              <w:rPr>
                <w:rFonts w:ascii="Times New Roman" w:hAnsi="Times New Roman"/>
                <w:color w:val="000000"/>
              </w:rPr>
              <w:t>chnician</w:t>
            </w:r>
          </w:p>
        </w:tc>
        <w:tc>
          <w:tcPr>
            <w:tcW w:w="518" w:type="pct"/>
            <w:shd w:val="clear" w:color="auto" w:fill="auto"/>
            <w:vAlign w:val="center"/>
          </w:tcPr>
          <w:p w14:paraId="7D4A927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10</w:t>
            </w:r>
          </w:p>
        </w:tc>
        <w:tc>
          <w:tcPr>
            <w:tcW w:w="591" w:type="pct"/>
            <w:shd w:val="clear" w:color="auto" w:fill="auto"/>
            <w:noWrap/>
            <w:vAlign w:val="center"/>
          </w:tcPr>
          <w:p w14:paraId="7D4A927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5</w:t>
            </w:r>
          </w:p>
        </w:tc>
        <w:tc>
          <w:tcPr>
            <w:tcW w:w="285" w:type="pct"/>
            <w:shd w:val="clear" w:color="auto" w:fill="auto"/>
            <w:noWrap/>
            <w:vAlign w:val="center"/>
          </w:tcPr>
          <w:p w14:paraId="7D4A9272"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273"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c>
          <w:tcPr>
            <w:tcW w:w="285" w:type="pct"/>
            <w:shd w:val="clear" w:color="auto" w:fill="auto"/>
            <w:noWrap/>
            <w:vAlign w:val="center"/>
          </w:tcPr>
          <w:p w14:paraId="7D4A9274"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27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276"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277"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278"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279"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5</w:t>
            </w:r>
          </w:p>
        </w:tc>
      </w:tr>
      <w:tr w:rsidR="00F540CE" w:rsidRPr="009E1B38" w14:paraId="7D4A9286" w14:textId="77777777" w:rsidTr="00257228">
        <w:trPr>
          <w:trHeight w:val="227"/>
        </w:trPr>
        <w:tc>
          <w:tcPr>
            <w:tcW w:w="1559" w:type="pct"/>
            <w:shd w:val="clear" w:color="auto" w:fill="auto"/>
            <w:vAlign w:val="center"/>
          </w:tcPr>
          <w:p w14:paraId="7D4A927B" w14:textId="76486C11" w:rsidR="00F540CE" w:rsidRPr="009E1B38" w:rsidRDefault="00460E7F" w:rsidP="00F540CE">
            <w:pPr>
              <w:spacing w:after="0"/>
              <w:rPr>
                <w:rFonts w:ascii="Times New Roman" w:hAnsi="Times New Roman"/>
                <w:color w:val="000000"/>
              </w:rPr>
            </w:pPr>
            <w:r w:rsidRPr="009E1B38">
              <w:rPr>
                <w:rFonts w:ascii="Times New Roman" w:hAnsi="Times New Roman"/>
                <w:color w:val="000000"/>
              </w:rPr>
              <w:t>Driver</w:t>
            </w:r>
          </w:p>
        </w:tc>
        <w:tc>
          <w:tcPr>
            <w:tcW w:w="518" w:type="pct"/>
            <w:shd w:val="clear" w:color="auto" w:fill="auto"/>
            <w:vAlign w:val="center"/>
          </w:tcPr>
          <w:p w14:paraId="7D4A927C"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10</w:t>
            </w:r>
          </w:p>
        </w:tc>
        <w:tc>
          <w:tcPr>
            <w:tcW w:w="591" w:type="pct"/>
            <w:shd w:val="clear" w:color="auto" w:fill="auto"/>
            <w:noWrap/>
            <w:vAlign w:val="center"/>
          </w:tcPr>
          <w:p w14:paraId="7D4A927D"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6</w:t>
            </w:r>
          </w:p>
        </w:tc>
        <w:tc>
          <w:tcPr>
            <w:tcW w:w="285" w:type="pct"/>
            <w:shd w:val="clear" w:color="auto" w:fill="auto"/>
            <w:noWrap/>
            <w:vAlign w:val="center"/>
          </w:tcPr>
          <w:p w14:paraId="7D4A927E" w14:textId="77777777" w:rsidR="00F540CE" w:rsidRPr="009E1B38" w:rsidRDefault="00F540CE" w:rsidP="00F540CE">
            <w:pPr>
              <w:spacing w:after="0"/>
              <w:jc w:val="center"/>
              <w:rPr>
                <w:rFonts w:ascii="Times New Roman" w:hAnsi="Times New Roman"/>
                <w:color w:val="000000"/>
              </w:rPr>
            </w:pPr>
          </w:p>
        </w:tc>
        <w:tc>
          <w:tcPr>
            <w:tcW w:w="285" w:type="pct"/>
            <w:vAlign w:val="center"/>
          </w:tcPr>
          <w:p w14:paraId="7D4A927F"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2</w:t>
            </w:r>
          </w:p>
        </w:tc>
        <w:tc>
          <w:tcPr>
            <w:tcW w:w="285" w:type="pct"/>
            <w:shd w:val="clear" w:color="auto" w:fill="auto"/>
            <w:noWrap/>
            <w:vAlign w:val="center"/>
          </w:tcPr>
          <w:p w14:paraId="7D4A9280"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1</w:t>
            </w:r>
          </w:p>
        </w:tc>
        <w:tc>
          <w:tcPr>
            <w:tcW w:w="285" w:type="pct"/>
            <w:shd w:val="clear" w:color="auto" w:fill="auto"/>
            <w:noWrap/>
            <w:vAlign w:val="center"/>
          </w:tcPr>
          <w:p w14:paraId="7D4A9281"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3</w:t>
            </w:r>
          </w:p>
        </w:tc>
        <w:tc>
          <w:tcPr>
            <w:tcW w:w="285" w:type="pct"/>
            <w:shd w:val="clear" w:color="auto" w:fill="auto"/>
            <w:noWrap/>
            <w:vAlign w:val="center"/>
          </w:tcPr>
          <w:p w14:paraId="7D4A9282" w14:textId="77777777" w:rsidR="00F540CE" w:rsidRPr="009E1B38" w:rsidRDefault="00F540CE" w:rsidP="00F540CE">
            <w:pPr>
              <w:spacing w:after="0"/>
              <w:jc w:val="center"/>
              <w:rPr>
                <w:rFonts w:ascii="Times New Roman" w:hAnsi="Times New Roman"/>
                <w:color w:val="000000"/>
              </w:rPr>
            </w:pPr>
          </w:p>
        </w:tc>
        <w:tc>
          <w:tcPr>
            <w:tcW w:w="337" w:type="pct"/>
            <w:shd w:val="clear" w:color="auto" w:fill="auto"/>
            <w:noWrap/>
            <w:vAlign w:val="center"/>
          </w:tcPr>
          <w:p w14:paraId="7D4A9283" w14:textId="77777777" w:rsidR="00F540CE" w:rsidRPr="009E1B38" w:rsidRDefault="00F540CE" w:rsidP="00F540CE">
            <w:pPr>
              <w:spacing w:after="0"/>
              <w:jc w:val="center"/>
              <w:rPr>
                <w:rFonts w:ascii="Times New Roman" w:hAnsi="Times New Roman"/>
                <w:color w:val="000000"/>
              </w:rPr>
            </w:pPr>
          </w:p>
        </w:tc>
        <w:tc>
          <w:tcPr>
            <w:tcW w:w="306" w:type="pct"/>
            <w:shd w:val="clear" w:color="auto" w:fill="auto"/>
            <w:noWrap/>
            <w:vAlign w:val="center"/>
          </w:tcPr>
          <w:p w14:paraId="7D4A9284" w14:textId="77777777" w:rsidR="00F540CE" w:rsidRPr="009E1B38" w:rsidRDefault="00F540CE" w:rsidP="00F540CE">
            <w:pPr>
              <w:spacing w:after="0"/>
              <w:jc w:val="center"/>
              <w:rPr>
                <w:rFonts w:ascii="Times New Roman" w:hAnsi="Times New Roman"/>
                <w:color w:val="000000"/>
              </w:rPr>
            </w:pPr>
          </w:p>
        </w:tc>
        <w:tc>
          <w:tcPr>
            <w:tcW w:w="264" w:type="pct"/>
            <w:shd w:val="clear" w:color="auto" w:fill="auto"/>
            <w:noWrap/>
            <w:vAlign w:val="center"/>
          </w:tcPr>
          <w:p w14:paraId="7D4A9285" w14:textId="77777777" w:rsidR="00F540CE" w:rsidRPr="009E1B38" w:rsidRDefault="00F540CE" w:rsidP="00F540CE">
            <w:pPr>
              <w:spacing w:after="0"/>
              <w:jc w:val="center"/>
              <w:rPr>
                <w:rFonts w:ascii="Times New Roman" w:hAnsi="Times New Roman"/>
                <w:color w:val="000000"/>
              </w:rPr>
            </w:pPr>
            <w:r w:rsidRPr="009E1B38">
              <w:rPr>
                <w:rFonts w:ascii="Times New Roman" w:hAnsi="Times New Roman"/>
                <w:color w:val="000000"/>
              </w:rPr>
              <w:t>6</w:t>
            </w:r>
          </w:p>
        </w:tc>
      </w:tr>
      <w:bookmarkEnd w:id="371"/>
      <w:tr w:rsidR="00F540CE" w:rsidRPr="009E1B38" w14:paraId="7D4A9292" w14:textId="77777777" w:rsidTr="00257228">
        <w:trPr>
          <w:trHeight w:val="227"/>
        </w:trPr>
        <w:tc>
          <w:tcPr>
            <w:tcW w:w="1559" w:type="pct"/>
            <w:shd w:val="clear" w:color="auto" w:fill="auto"/>
            <w:vAlign w:val="center"/>
          </w:tcPr>
          <w:p w14:paraId="7D4A9287" w14:textId="60E2711E" w:rsidR="00F540CE" w:rsidRPr="009E1B38" w:rsidRDefault="00257228" w:rsidP="00F540CE">
            <w:pPr>
              <w:spacing w:after="0"/>
              <w:rPr>
                <w:rFonts w:ascii="Times New Roman" w:hAnsi="Times New Roman"/>
                <w:b/>
                <w:color w:val="000000"/>
              </w:rPr>
            </w:pPr>
            <w:r w:rsidRPr="009E1B38">
              <w:rPr>
                <w:rFonts w:ascii="Times New Roman" w:hAnsi="Times New Roman"/>
                <w:b/>
                <w:color w:val="000000"/>
              </w:rPr>
              <w:t>TO</w:t>
            </w:r>
            <w:r w:rsidR="00460E7F" w:rsidRPr="009E1B38">
              <w:rPr>
                <w:rFonts w:ascii="Times New Roman" w:hAnsi="Times New Roman"/>
                <w:b/>
                <w:color w:val="000000"/>
              </w:rPr>
              <w:t>TAL</w:t>
            </w:r>
          </w:p>
        </w:tc>
        <w:tc>
          <w:tcPr>
            <w:tcW w:w="518" w:type="pct"/>
            <w:shd w:val="clear" w:color="auto" w:fill="auto"/>
            <w:vAlign w:val="center"/>
          </w:tcPr>
          <w:p w14:paraId="7D4A9288"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829</w:t>
            </w:r>
          </w:p>
        </w:tc>
        <w:tc>
          <w:tcPr>
            <w:tcW w:w="591" w:type="pct"/>
            <w:shd w:val="clear" w:color="auto" w:fill="auto"/>
            <w:noWrap/>
            <w:vAlign w:val="center"/>
          </w:tcPr>
          <w:p w14:paraId="7D4A9289"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521</w:t>
            </w:r>
          </w:p>
        </w:tc>
        <w:tc>
          <w:tcPr>
            <w:tcW w:w="285" w:type="pct"/>
            <w:shd w:val="clear" w:color="auto" w:fill="auto"/>
            <w:noWrap/>
            <w:vAlign w:val="center"/>
          </w:tcPr>
          <w:p w14:paraId="7D4A928A"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0</w:t>
            </w:r>
          </w:p>
        </w:tc>
        <w:tc>
          <w:tcPr>
            <w:tcW w:w="285" w:type="pct"/>
            <w:vAlign w:val="center"/>
          </w:tcPr>
          <w:p w14:paraId="7D4A928B"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15</w:t>
            </w:r>
          </w:p>
        </w:tc>
        <w:tc>
          <w:tcPr>
            <w:tcW w:w="285" w:type="pct"/>
            <w:shd w:val="clear" w:color="auto" w:fill="auto"/>
            <w:noWrap/>
            <w:vAlign w:val="center"/>
          </w:tcPr>
          <w:p w14:paraId="7D4A928C"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14</w:t>
            </w:r>
          </w:p>
        </w:tc>
        <w:tc>
          <w:tcPr>
            <w:tcW w:w="285" w:type="pct"/>
            <w:shd w:val="clear" w:color="auto" w:fill="auto"/>
            <w:noWrap/>
            <w:vAlign w:val="center"/>
          </w:tcPr>
          <w:p w14:paraId="7D4A928D"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383</w:t>
            </w:r>
          </w:p>
        </w:tc>
        <w:tc>
          <w:tcPr>
            <w:tcW w:w="285" w:type="pct"/>
            <w:shd w:val="clear" w:color="auto" w:fill="auto"/>
            <w:noWrap/>
            <w:vAlign w:val="center"/>
          </w:tcPr>
          <w:p w14:paraId="7D4A928E"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98</w:t>
            </w:r>
          </w:p>
        </w:tc>
        <w:tc>
          <w:tcPr>
            <w:tcW w:w="337" w:type="pct"/>
            <w:shd w:val="clear" w:color="auto" w:fill="auto"/>
            <w:noWrap/>
            <w:vAlign w:val="center"/>
          </w:tcPr>
          <w:p w14:paraId="7D4A928F"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11</w:t>
            </w:r>
          </w:p>
        </w:tc>
        <w:tc>
          <w:tcPr>
            <w:tcW w:w="306" w:type="pct"/>
            <w:shd w:val="clear" w:color="auto" w:fill="auto"/>
            <w:noWrap/>
            <w:vAlign w:val="center"/>
          </w:tcPr>
          <w:p w14:paraId="7D4A9290"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213</w:t>
            </w:r>
          </w:p>
        </w:tc>
        <w:tc>
          <w:tcPr>
            <w:tcW w:w="264" w:type="pct"/>
            <w:shd w:val="clear" w:color="auto" w:fill="auto"/>
            <w:noWrap/>
            <w:vAlign w:val="center"/>
          </w:tcPr>
          <w:p w14:paraId="7D4A9291" w14:textId="77777777" w:rsidR="00F540CE" w:rsidRPr="009E1B38" w:rsidRDefault="00F540CE" w:rsidP="00F540CE">
            <w:pPr>
              <w:spacing w:after="0"/>
              <w:jc w:val="center"/>
              <w:rPr>
                <w:rFonts w:ascii="Times New Roman" w:hAnsi="Times New Roman"/>
                <w:b/>
                <w:color w:val="000000"/>
              </w:rPr>
            </w:pPr>
            <w:r w:rsidRPr="009E1B38">
              <w:rPr>
                <w:rFonts w:ascii="Times New Roman" w:hAnsi="Times New Roman"/>
                <w:b/>
                <w:color w:val="000000"/>
              </w:rPr>
              <w:t>308</w:t>
            </w:r>
          </w:p>
        </w:tc>
      </w:tr>
    </w:tbl>
    <w:p w14:paraId="501D6D57" w14:textId="77777777" w:rsidR="00010B2E" w:rsidRPr="009E1B38" w:rsidRDefault="00010B2E" w:rsidP="00010B2E">
      <w:pPr>
        <w:spacing w:after="0"/>
        <w:rPr>
          <w:rFonts w:ascii="Times New Roman" w:hAnsi="Times New Roman"/>
        </w:rPr>
      </w:pPr>
      <w:r w:rsidRPr="009E1B38">
        <w:rPr>
          <w:rFonts w:ascii="Times New Roman" w:hAnsi="Times New Roman"/>
        </w:rPr>
        <w:t>*Excluding permanent staff members.</w:t>
      </w:r>
    </w:p>
    <w:p w14:paraId="13F87315" w14:textId="77777777" w:rsidR="00010B2E" w:rsidRPr="009E1B38" w:rsidRDefault="00010B2E" w:rsidP="00010B2E">
      <w:pPr>
        <w:spacing w:before="120"/>
        <w:rPr>
          <w:rFonts w:ascii="Times New Roman" w:hAnsi="Times New Roman"/>
        </w:rPr>
      </w:pPr>
      <w:r w:rsidRPr="009E1B38">
        <w:rPr>
          <w:rFonts w:ascii="Times New Roman" w:hAnsi="Times New Roman"/>
        </w:rPr>
        <w:t>The change in the number of personnel of the Authority over the years is shown in Table 13.4.</w:t>
      </w:r>
    </w:p>
    <w:p w14:paraId="7D4A9295" w14:textId="410AF2B8" w:rsidR="005747D2" w:rsidRPr="009E1B38" w:rsidRDefault="0082470D" w:rsidP="002F3B01">
      <w:pPr>
        <w:pStyle w:val="Balk5"/>
        <w:jc w:val="center"/>
        <w:rPr>
          <w:rFonts w:ascii="Times New Roman" w:hAnsi="Times New Roman" w:cs="Times New Roman"/>
        </w:rPr>
      </w:pPr>
      <w:bookmarkStart w:id="372" w:name="_Toc107499569"/>
      <w:r w:rsidRPr="009E1B38">
        <w:rPr>
          <w:rFonts w:ascii="Times New Roman" w:hAnsi="Times New Roman" w:cs="Times New Roman"/>
          <w:sz w:val="24"/>
          <w:szCs w:val="24"/>
        </w:rPr>
        <w:t>Table</w:t>
      </w:r>
      <w:r w:rsidR="005747D2" w:rsidRPr="009E1B38">
        <w:rPr>
          <w:rFonts w:ascii="Times New Roman" w:hAnsi="Times New Roman" w:cs="Times New Roman"/>
          <w:sz w:val="24"/>
          <w:szCs w:val="24"/>
        </w:rPr>
        <w:t xml:space="preserve"> </w:t>
      </w:r>
      <w:r w:rsidR="000276C9" w:rsidRPr="009E1B38">
        <w:rPr>
          <w:rFonts w:ascii="Times New Roman" w:hAnsi="Times New Roman" w:cs="Times New Roman"/>
        </w:rPr>
        <w:t>1</w:t>
      </w:r>
      <w:r w:rsidR="008517CF" w:rsidRPr="009E1B38">
        <w:rPr>
          <w:rFonts w:ascii="Times New Roman" w:hAnsi="Times New Roman" w:cs="Times New Roman"/>
        </w:rPr>
        <w:t>3</w:t>
      </w:r>
      <w:r w:rsidR="005747D2" w:rsidRPr="009E1B38">
        <w:rPr>
          <w:rFonts w:ascii="Times New Roman" w:hAnsi="Times New Roman" w:cs="Times New Roman"/>
        </w:rPr>
        <w:t xml:space="preserve">.4:  </w:t>
      </w:r>
      <w:r w:rsidR="0090545D" w:rsidRPr="009E1B38">
        <w:rPr>
          <w:rFonts w:ascii="Times New Roman" w:hAnsi="Times New Roman" w:cs="Times New Roman"/>
        </w:rPr>
        <w:t>Number of Employees by Years</w:t>
      </w:r>
      <w:bookmarkEnd w:id="372"/>
    </w:p>
    <w:tbl>
      <w:tblPr>
        <w:tblW w:w="5217" w:type="pct"/>
        <w:tblInd w:w="-43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1323"/>
        <w:gridCol w:w="516"/>
        <w:gridCol w:w="516"/>
        <w:gridCol w:w="516"/>
        <w:gridCol w:w="516"/>
        <w:gridCol w:w="516"/>
        <w:gridCol w:w="516"/>
        <w:gridCol w:w="516"/>
        <w:gridCol w:w="516"/>
        <w:gridCol w:w="516"/>
        <w:gridCol w:w="516"/>
        <w:gridCol w:w="516"/>
        <w:gridCol w:w="516"/>
        <w:gridCol w:w="516"/>
        <w:gridCol w:w="516"/>
        <w:gridCol w:w="516"/>
        <w:gridCol w:w="516"/>
        <w:gridCol w:w="516"/>
        <w:gridCol w:w="516"/>
      </w:tblGrid>
      <w:tr w:rsidR="00762391" w:rsidRPr="009E1B38" w14:paraId="7D4A92A9" w14:textId="77777777" w:rsidTr="00BF116C">
        <w:trPr>
          <w:cantSplit/>
          <w:trHeight w:val="1134"/>
        </w:trPr>
        <w:tc>
          <w:tcPr>
            <w:tcW w:w="528" w:type="pct"/>
            <w:shd w:val="clear" w:color="auto" w:fill="6E9ECA"/>
            <w:vAlign w:val="center"/>
            <w:hideMark/>
          </w:tcPr>
          <w:p w14:paraId="7D4A9296" w14:textId="0A48A608" w:rsidR="00566252" w:rsidRPr="009E1B38" w:rsidRDefault="00566252" w:rsidP="00E41857">
            <w:pPr>
              <w:spacing w:after="0" w:line="240" w:lineRule="auto"/>
              <w:jc w:val="center"/>
              <w:rPr>
                <w:rFonts w:ascii="Times New Roman" w:eastAsia="Times New Roman" w:hAnsi="Times New Roman"/>
                <w:b/>
                <w:color w:val="FFFFFF" w:themeColor="background1"/>
              </w:rPr>
            </w:pPr>
            <w:bookmarkStart w:id="373" w:name="_Toc442431327"/>
            <w:r w:rsidRPr="009E1B38">
              <w:rPr>
                <w:rFonts w:ascii="Times New Roman" w:eastAsia="Times New Roman" w:hAnsi="Times New Roman"/>
                <w:b/>
                <w:color w:val="FFFFFF" w:themeColor="background1"/>
              </w:rPr>
              <w:t>Y</w:t>
            </w:r>
            <w:r w:rsidR="006353B6" w:rsidRPr="009E1B38">
              <w:rPr>
                <w:rFonts w:ascii="Times New Roman" w:eastAsia="Times New Roman" w:hAnsi="Times New Roman"/>
                <w:b/>
                <w:color w:val="FFFFFF" w:themeColor="background1"/>
              </w:rPr>
              <w:t>ear</w:t>
            </w:r>
          </w:p>
        </w:tc>
        <w:tc>
          <w:tcPr>
            <w:tcW w:w="248" w:type="pct"/>
            <w:shd w:val="clear" w:color="auto" w:fill="6E9ECA"/>
            <w:textDirection w:val="btLr"/>
            <w:vAlign w:val="center"/>
            <w:hideMark/>
          </w:tcPr>
          <w:p w14:paraId="7D4A9297"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2004</w:t>
            </w:r>
          </w:p>
        </w:tc>
        <w:tc>
          <w:tcPr>
            <w:tcW w:w="248" w:type="pct"/>
            <w:shd w:val="clear" w:color="auto" w:fill="6E9ECA"/>
            <w:textDirection w:val="btLr"/>
            <w:vAlign w:val="center"/>
            <w:hideMark/>
          </w:tcPr>
          <w:p w14:paraId="7D4A9298"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2005</w:t>
            </w:r>
          </w:p>
        </w:tc>
        <w:tc>
          <w:tcPr>
            <w:tcW w:w="248" w:type="pct"/>
            <w:shd w:val="clear" w:color="auto" w:fill="6E9ECA"/>
            <w:textDirection w:val="btLr"/>
            <w:vAlign w:val="center"/>
            <w:hideMark/>
          </w:tcPr>
          <w:p w14:paraId="7D4A9299"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2006</w:t>
            </w:r>
          </w:p>
        </w:tc>
        <w:tc>
          <w:tcPr>
            <w:tcW w:w="248" w:type="pct"/>
            <w:shd w:val="clear" w:color="auto" w:fill="6E9ECA"/>
            <w:textDirection w:val="btLr"/>
            <w:vAlign w:val="center"/>
            <w:hideMark/>
          </w:tcPr>
          <w:p w14:paraId="7D4A929A"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2007</w:t>
            </w:r>
          </w:p>
        </w:tc>
        <w:tc>
          <w:tcPr>
            <w:tcW w:w="249" w:type="pct"/>
            <w:shd w:val="clear" w:color="auto" w:fill="6E9ECA"/>
            <w:textDirection w:val="btLr"/>
            <w:vAlign w:val="center"/>
            <w:hideMark/>
          </w:tcPr>
          <w:p w14:paraId="7D4A929B"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2008</w:t>
            </w:r>
          </w:p>
        </w:tc>
        <w:tc>
          <w:tcPr>
            <w:tcW w:w="249" w:type="pct"/>
            <w:shd w:val="clear" w:color="auto" w:fill="6E9ECA"/>
            <w:textDirection w:val="btLr"/>
            <w:vAlign w:val="center"/>
            <w:hideMark/>
          </w:tcPr>
          <w:p w14:paraId="7D4A929C"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2009</w:t>
            </w:r>
          </w:p>
        </w:tc>
        <w:tc>
          <w:tcPr>
            <w:tcW w:w="249" w:type="pct"/>
            <w:shd w:val="clear" w:color="auto" w:fill="6E9ECA"/>
            <w:textDirection w:val="btLr"/>
            <w:vAlign w:val="center"/>
            <w:hideMark/>
          </w:tcPr>
          <w:p w14:paraId="7D4A929D"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2010</w:t>
            </w:r>
          </w:p>
        </w:tc>
        <w:tc>
          <w:tcPr>
            <w:tcW w:w="249" w:type="pct"/>
            <w:shd w:val="clear" w:color="auto" w:fill="6E9ECA"/>
            <w:textDirection w:val="btLr"/>
            <w:vAlign w:val="center"/>
            <w:hideMark/>
          </w:tcPr>
          <w:p w14:paraId="7D4A929E"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2011</w:t>
            </w:r>
          </w:p>
        </w:tc>
        <w:tc>
          <w:tcPr>
            <w:tcW w:w="249" w:type="pct"/>
            <w:shd w:val="clear" w:color="auto" w:fill="6E9ECA"/>
            <w:textDirection w:val="btLr"/>
            <w:vAlign w:val="center"/>
            <w:hideMark/>
          </w:tcPr>
          <w:p w14:paraId="7D4A929F"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2012</w:t>
            </w:r>
          </w:p>
        </w:tc>
        <w:tc>
          <w:tcPr>
            <w:tcW w:w="249" w:type="pct"/>
            <w:shd w:val="clear" w:color="auto" w:fill="6E9ECA"/>
            <w:textDirection w:val="btLr"/>
            <w:vAlign w:val="center"/>
            <w:hideMark/>
          </w:tcPr>
          <w:p w14:paraId="7D4A92A0"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2013</w:t>
            </w:r>
          </w:p>
        </w:tc>
        <w:tc>
          <w:tcPr>
            <w:tcW w:w="249" w:type="pct"/>
            <w:shd w:val="clear" w:color="auto" w:fill="6E9ECA"/>
            <w:textDirection w:val="btLr"/>
            <w:vAlign w:val="center"/>
            <w:hideMark/>
          </w:tcPr>
          <w:p w14:paraId="7D4A92A1"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2014</w:t>
            </w:r>
          </w:p>
        </w:tc>
        <w:tc>
          <w:tcPr>
            <w:tcW w:w="249" w:type="pct"/>
            <w:shd w:val="clear" w:color="auto" w:fill="6E9ECA"/>
            <w:textDirection w:val="btLr"/>
            <w:vAlign w:val="center"/>
          </w:tcPr>
          <w:p w14:paraId="7D4A92A2"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2015</w:t>
            </w:r>
          </w:p>
        </w:tc>
        <w:tc>
          <w:tcPr>
            <w:tcW w:w="249" w:type="pct"/>
            <w:shd w:val="clear" w:color="auto" w:fill="6E9ECA"/>
            <w:textDirection w:val="btLr"/>
            <w:vAlign w:val="center"/>
          </w:tcPr>
          <w:p w14:paraId="7D4A92A3"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2016</w:t>
            </w:r>
          </w:p>
        </w:tc>
        <w:tc>
          <w:tcPr>
            <w:tcW w:w="249" w:type="pct"/>
            <w:shd w:val="clear" w:color="auto" w:fill="6E9ECA"/>
            <w:textDirection w:val="btLr"/>
            <w:vAlign w:val="center"/>
          </w:tcPr>
          <w:p w14:paraId="7D4A92A4"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2017</w:t>
            </w:r>
          </w:p>
        </w:tc>
        <w:tc>
          <w:tcPr>
            <w:tcW w:w="249" w:type="pct"/>
            <w:shd w:val="clear" w:color="auto" w:fill="6E9ECA"/>
            <w:textDirection w:val="btLr"/>
            <w:vAlign w:val="center"/>
          </w:tcPr>
          <w:p w14:paraId="7D4A92A5"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2018</w:t>
            </w:r>
          </w:p>
        </w:tc>
        <w:tc>
          <w:tcPr>
            <w:tcW w:w="249" w:type="pct"/>
            <w:shd w:val="clear" w:color="auto" w:fill="6E9ECA"/>
            <w:textDirection w:val="btLr"/>
            <w:vAlign w:val="center"/>
          </w:tcPr>
          <w:p w14:paraId="7D4A92A6"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2019</w:t>
            </w:r>
          </w:p>
        </w:tc>
        <w:tc>
          <w:tcPr>
            <w:tcW w:w="249" w:type="pct"/>
            <w:shd w:val="clear" w:color="auto" w:fill="6E9ECA"/>
            <w:textDirection w:val="btLr"/>
          </w:tcPr>
          <w:p w14:paraId="7D4A92A7"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2020</w:t>
            </w:r>
          </w:p>
        </w:tc>
        <w:tc>
          <w:tcPr>
            <w:tcW w:w="247" w:type="pct"/>
            <w:shd w:val="clear" w:color="auto" w:fill="6E9ECA"/>
            <w:textDirection w:val="btLr"/>
          </w:tcPr>
          <w:p w14:paraId="7D4A92A8" w14:textId="77777777" w:rsidR="00566252" w:rsidRPr="009E1B38" w:rsidRDefault="00566252" w:rsidP="00E41857">
            <w:pPr>
              <w:spacing w:after="0"/>
              <w:ind w:left="113" w:right="113"/>
              <w:jc w:val="center"/>
              <w:rPr>
                <w:rFonts w:ascii="Times New Roman" w:hAnsi="Times New Roman"/>
                <w:b/>
                <w:color w:val="FFFFFF" w:themeColor="background1"/>
              </w:rPr>
            </w:pPr>
            <w:r w:rsidRPr="009E1B38">
              <w:rPr>
                <w:rFonts w:ascii="Times New Roman" w:hAnsi="Times New Roman"/>
                <w:b/>
                <w:color w:val="FFFFFF" w:themeColor="background1"/>
              </w:rPr>
              <w:t>2021</w:t>
            </w:r>
          </w:p>
        </w:tc>
      </w:tr>
      <w:tr w:rsidR="00D744DA" w:rsidRPr="009E1B38" w14:paraId="7D4A92BD" w14:textId="77777777" w:rsidTr="00BF116C">
        <w:trPr>
          <w:trHeight w:val="679"/>
        </w:trPr>
        <w:tc>
          <w:tcPr>
            <w:tcW w:w="528" w:type="pct"/>
            <w:shd w:val="clear" w:color="auto" w:fill="auto"/>
            <w:vAlign w:val="center"/>
            <w:hideMark/>
          </w:tcPr>
          <w:p w14:paraId="7D4A92AA" w14:textId="4D74780F" w:rsidR="00566252" w:rsidRPr="009E1B38" w:rsidRDefault="006353B6" w:rsidP="00C079ED">
            <w:pPr>
              <w:spacing w:after="0" w:line="240" w:lineRule="auto"/>
              <w:jc w:val="center"/>
              <w:rPr>
                <w:rFonts w:ascii="Times New Roman" w:eastAsia="Times New Roman" w:hAnsi="Times New Roman"/>
                <w:b/>
                <w:sz w:val="24"/>
                <w:szCs w:val="24"/>
              </w:rPr>
            </w:pPr>
            <w:r w:rsidRPr="009E1B38">
              <w:rPr>
                <w:rFonts w:ascii="Times New Roman" w:eastAsia="Times New Roman" w:hAnsi="Times New Roman"/>
                <w:b/>
                <w:sz w:val="24"/>
                <w:szCs w:val="24"/>
              </w:rPr>
              <w:lastRenderedPageBreak/>
              <w:t>Number of Employees</w:t>
            </w:r>
          </w:p>
        </w:tc>
        <w:tc>
          <w:tcPr>
            <w:tcW w:w="248" w:type="pct"/>
            <w:shd w:val="clear" w:color="auto" w:fill="auto"/>
            <w:vAlign w:val="center"/>
          </w:tcPr>
          <w:p w14:paraId="7D4A92AB" w14:textId="77777777" w:rsidR="00566252" w:rsidRPr="009E1B38" w:rsidRDefault="00566252" w:rsidP="00F540CE">
            <w:pPr>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259</w:t>
            </w:r>
          </w:p>
        </w:tc>
        <w:tc>
          <w:tcPr>
            <w:tcW w:w="248" w:type="pct"/>
            <w:shd w:val="clear" w:color="auto" w:fill="auto"/>
            <w:vAlign w:val="center"/>
          </w:tcPr>
          <w:p w14:paraId="7D4A92AC" w14:textId="77777777" w:rsidR="00566252" w:rsidRPr="009E1B38" w:rsidRDefault="00566252" w:rsidP="00C079ED">
            <w:pPr>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296</w:t>
            </w:r>
          </w:p>
        </w:tc>
        <w:tc>
          <w:tcPr>
            <w:tcW w:w="248" w:type="pct"/>
            <w:shd w:val="clear" w:color="auto" w:fill="auto"/>
            <w:vAlign w:val="center"/>
          </w:tcPr>
          <w:p w14:paraId="7D4A92AD" w14:textId="77777777" w:rsidR="00566252" w:rsidRPr="009E1B38" w:rsidRDefault="00566252" w:rsidP="00C079ED">
            <w:pPr>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303</w:t>
            </w:r>
          </w:p>
        </w:tc>
        <w:tc>
          <w:tcPr>
            <w:tcW w:w="248" w:type="pct"/>
            <w:shd w:val="clear" w:color="auto" w:fill="auto"/>
            <w:vAlign w:val="center"/>
          </w:tcPr>
          <w:p w14:paraId="7D4A92AE" w14:textId="77777777" w:rsidR="00566252" w:rsidRPr="009E1B38" w:rsidRDefault="00566252" w:rsidP="00C079ED">
            <w:pPr>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313</w:t>
            </w:r>
          </w:p>
        </w:tc>
        <w:tc>
          <w:tcPr>
            <w:tcW w:w="249" w:type="pct"/>
            <w:shd w:val="clear" w:color="auto" w:fill="auto"/>
            <w:vAlign w:val="center"/>
          </w:tcPr>
          <w:p w14:paraId="7D4A92AF" w14:textId="77777777" w:rsidR="00566252" w:rsidRPr="009E1B38" w:rsidRDefault="00566252" w:rsidP="00C079ED">
            <w:pPr>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370</w:t>
            </w:r>
          </w:p>
        </w:tc>
        <w:tc>
          <w:tcPr>
            <w:tcW w:w="249" w:type="pct"/>
            <w:shd w:val="clear" w:color="auto" w:fill="auto"/>
            <w:vAlign w:val="center"/>
          </w:tcPr>
          <w:p w14:paraId="7D4A92B0" w14:textId="77777777" w:rsidR="00566252" w:rsidRPr="009E1B38" w:rsidRDefault="00566252" w:rsidP="00C079ED">
            <w:pPr>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404</w:t>
            </w:r>
          </w:p>
        </w:tc>
        <w:tc>
          <w:tcPr>
            <w:tcW w:w="249" w:type="pct"/>
            <w:shd w:val="clear" w:color="auto" w:fill="auto"/>
            <w:vAlign w:val="center"/>
          </w:tcPr>
          <w:p w14:paraId="7D4A92B1" w14:textId="77777777" w:rsidR="00566252" w:rsidRPr="009E1B38" w:rsidRDefault="00566252" w:rsidP="00C079ED">
            <w:pPr>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430</w:t>
            </w:r>
          </w:p>
        </w:tc>
        <w:tc>
          <w:tcPr>
            <w:tcW w:w="249" w:type="pct"/>
            <w:shd w:val="clear" w:color="auto" w:fill="auto"/>
            <w:vAlign w:val="center"/>
          </w:tcPr>
          <w:p w14:paraId="7D4A92B2" w14:textId="77777777" w:rsidR="00566252" w:rsidRPr="009E1B38" w:rsidRDefault="00566252" w:rsidP="00C079ED">
            <w:pPr>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467</w:t>
            </w:r>
          </w:p>
        </w:tc>
        <w:tc>
          <w:tcPr>
            <w:tcW w:w="249" w:type="pct"/>
            <w:shd w:val="clear" w:color="auto" w:fill="auto"/>
            <w:vAlign w:val="center"/>
          </w:tcPr>
          <w:p w14:paraId="7D4A92B3" w14:textId="77777777" w:rsidR="00566252" w:rsidRPr="009E1B38" w:rsidRDefault="00566252" w:rsidP="00C079ED">
            <w:pPr>
              <w:keepNext/>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453</w:t>
            </w:r>
          </w:p>
        </w:tc>
        <w:tc>
          <w:tcPr>
            <w:tcW w:w="249" w:type="pct"/>
            <w:shd w:val="clear" w:color="auto" w:fill="auto"/>
            <w:vAlign w:val="center"/>
          </w:tcPr>
          <w:p w14:paraId="7D4A92B4" w14:textId="77777777" w:rsidR="00566252" w:rsidRPr="009E1B38" w:rsidRDefault="00566252" w:rsidP="00C079ED">
            <w:pPr>
              <w:keepNext/>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436</w:t>
            </w:r>
          </w:p>
        </w:tc>
        <w:tc>
          <w:tcPr>
            <w:tcW w:w="249" w:type="pct"/>
            <w:shd w:val="clear" w:color="auto" w:fill="auto"/>
            <w:vAlign w:val="center"/>
          </w:tcPr>
          <w:p w14:paraId="7D4A92B5" w14:textId="77777777" w:rsidR="00566252" w:rsidRPr="009E1B38" w:rsidRDefault="00566252" w:rsidP="00C079ED">
            <w:pPr>
              <w:keepNext/>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461</w:t>
            </w:r>
          </w:p>
        </w:tc>
        <w:tc>
          <w:tcPr>
            <w:tcW w:w="249" w:type="pct"/>
            <w:shd w:val="clear" w:color="auto" w:fill="auto"/>
            <w:vAlign w:val="center"/>
          </w:tcPr>
          <w:p w14:paraId="7D4A92B6" w14:textId="77777777" w:rsidR="00566252" w:rsidRPr="009E1B38" w:rsidRDefault="00566252" w:rsidP="00C079ED">
            <w:pPr>
              <w:keepNext/>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494</w:t>
            </w:r>
          </w:p>
        </w:tc>
        <w:tc>
          <w:tcPr>
            <w:tcW w:w="249" w:type="pct"/>
            <w:vAlign w:val="center"/>
          </w:tcPr>
          <w:p w14:paraId="7D4A92B7" w14:textId="77777777" w:rsidR="00566252" w:rsidRPr="009E1B38" w:rsidRDefault="00566252" w:rsidP="00C079ED">
            <w:pPr>
              <w:keepNext/>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482</w:t>
            </w:r>
          </w:p>
        </w:tc>
        <w:tc>
          <w:tcPr>
            <w:tcW w:w="249" w:type="pct"/>
            <w:vAlign w:val="center"/>
          </w:tcPr>
          <w:p w14:paraId="7D4A92B8" w14:textId="77777777" w:rsidR="00566252" w:rsidRPr="009E1B38" w:rsidRDefault="00566252" w:rsidP="00C079ED">
            <w:pPr>
              <w:keepNext/>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474</w:t>
            </w:r>
          </w:p>
        </w:tc>
        <w:tc>
          <w:tcPr>
            <w:tcW w:w="249" w:type="pct"/>
            <w:vAlign w:val="center"/>
          </w:tcPr>
          <w:p w14:paraId="7D4A92B9" w14:textId="77777777" w:rsidR="00566252" w:rsidRPr="009E1B38" w:rsidRDefault="00566252" w:rsidP="00C079ED">
            <w:pPr>
              <w:keepNext/>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501</w:t>
            </w:r>
          </w:p>
        </w:tc>
        <w:tc>
          <w:tcPr>
            <w:tcW w:w="249" w:type="pct"/>
            <w:vAlign w:val="center"/>
          </w:tcPr>
          <w:p w14:paraId="7D4A92BA" w14:textId="77777777" w:rsidR="00566252" w:rsidRPr="009E1B38" w:rsidRDefault="00566252" w:rsidP="00C079ED">
            <w:pPr>
              <w:keepNext/>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509</w:t>
            </w:r>
          </w:p>
        </w:tc>
        <w:tc>
          <w:tcPr>
            <w:tcW w:w="249" w:type="pct"/>
            <w:vAlign w:val="center"/>
          </w:tcPr>
          <w:p w14:paraId="7D4A92BB" w14:textId="77777777" w:rsidR="00566252" w:rsidRPr="009E1B38" w:rsidRDefault="00566252" w:rsidP="00C079ED">
            <w:pPr>
              <w:keepNext/>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506</w:t>
            </w:r>
          </w:p>
        </w:tc>
        <w:tc>
          <w:tcPr>
            <w:tcW w:w="247" w:type="pct"/>
            <w:vAlign w:val="center"/>
          </w:tcPr>
          <w:p w14:paraId="7D4A92BC" w14:textId="77777777" w:rsidR="00566252" w:rsidRPr="009E1B38" w:rsidRDefault="001C2BBC" w:rsidP="00C079ED">
            <w:pPr>
              <w:keepNext/>
              <w:spacing w:after="0" w:line="240" w:lineRule="auto"/>
              <w:jc w:val="center"/>
              <w:rPr>
                <w:rFonts w:ascii="Times New Roman" w:eastAsia="Times New Roman" w:hAnsi="Times New Roman"/>
                <w:sz w:val="20"/>
                <w:szCs w:val="20"/>
              </w:rPr>
            </w:pPr>
            <w:r w:rsidRPr="009E1B38">
              <w:rPr>
                <w:rFonts w:ascii="Times New Roman" w:eastAsia="Times New Roman" w:hAnsi="Times New Roman"/>
                <w:sz w:val="20"/>
                <w:szCs w:val="20"/>
              </w:rPr>
              <w:t>521</w:t>
            </w:r>
          </w:p>
        </w:tc>
      </w:tr>
    </w:tbl>
    <w:p w14:paraId="39B7A59F" w14:textId="77777777" w:rsidR="00BF116C" w:rsidRPr="009E1B38" w:rsidRDefault="00BF116C" w:rsidP="00BF116C">
      <w:pPr>
        <w:spacing w:after="0"/>
        <w:rPr>
          <w:rFonts w:ascii="Times New Roman" w:hAnsi="Times New Roman"/>
        </w:rPr>
      </w:pPr>
      <w:r w:rsidRPr="009E1B38">
        <w:rPr>
          <w:rFonts w:ascii="Times New Roman" w:hAnsi="Times New Roman"/>
        </w:rPr>
        <w:t>*Excluding permanent staff members.</w:t>
      </w:r>
    </w:p>
    <w:p w14:paraId="55598473" w14:textId="77777777" w:rsidR="00BF116C" w:rsidRPr="009E1B38" w:rsidRDefault="00BF116C" w:rsidP="00BF116C">
      <w:pPr>
        <w:rPr>
          <w:rFonts w:ascii="Times New Roman" w:hAnsi="Times New Roman"/>
        </w:rPr>
      </w:pPr>
      <w:r w:rsidRPr="009E1B38">
        <w:rPr>
          <w:rFonts w:ascii="Times New Roman" w:hAnsi="Times New Roman"/>
        </w:rPr>
        <w:br/>
        <w:t>On the other hand, as of 2021, a total of 219 personnel were employed as permanent workers in the Authority; İn the tables below, summary information about the permanent staff is given.</w:t>
      </w:r>
    </w:p>
    <w:p w14:paraId="7D4A92C0" w14:textId="38CE93CF" w:rsidR="00633B0C" w:rsidRPr="009E1B38" w:rsidRDefault="0082470D" w:rsidP="002F3B01">
      <w:pPr>
        <w:pStyle w:val="Balk5"/>
        <w:jc w:val="center"/>
        <w:rPr>
          <w:rFonts w:ascii="Times New Roman" w:hAnsi="Times New Roman" w:cs="Times New Roman"/>
        </w:rPr>
      </w:pPr>
      <w:bookmarkStart w:id="374" w:name="_Toc107499570"/>
      <w:r w:rsidRPr="009E1B38">
        <w:rPr>
          <w:rFonts w:ascii="Times New Roman" w:hAnsi="Times New Roman" w:cs="Times New Roman"/>
        </w:rPr>
        <w:t>Table</w:t>
      </w:r>
      <w:r w:rsidR="00032431" w:rsidRPr="009E1B38">
        <w:rPr>
          <w:rFonts w:ascii="Times New Roman" w:hAnsi="Times New Roman" w:cs="Times New Roman"/>
        </w:rPr>
        <w:t xml:space="preserve"> 1</w:t>
      </w:r>
      <w:r w:rsidR="008517CF" w:rsidRPr="009E1B38">
        <w:rPr>
          <w:rFonts w:ascii="Times New Roman" w:hAnsi="Times New Roman" w:cs="Times New Roman"/>
        </w:rPr>
        <w:t>3</w:t>
      </w:r>
      <w:r w:rsidR="00032431" w:rsidRPr="009E1B38">
        <w:rPr>
          <w:rFonts w:ascii="Times New Roman" w:hAnsi="Times New Roman" w:cs="Times New Roman"/>
        </w:rPr>
        <w:t>.</w:t>
      </w:r>
      <w:r w:rsidR="00992142" w:rsidRPr="009E1B38">
        <w:rPr>
          <w:rFonts w:ascii="Times New Roman" w:hAnsi="Times New Roman" w:cs="Times New Roman"/>
        </w:rPr>
        <w:t>5</w:t>
      </w:r>
      <w:r w:rsidR="00032431" w:rsidRPr="009E1B38">
        <w:rPr>
          <w:rFonts w:ascii="Times New Roman" w:hAnsi="Times New Roman" w:cs="Times New Roman"/>
        </w:rPr>
        <w:t xml:space="preserve">: </w:t>
      </w:r>
      <w:r w:rsidR="00AB1FC8" w:rsidRPr="009E1B38">
        <w:rPr>
          <w:rFonts w:ascii="Times New Roman" w:hAnsi="Times New Roman" w:cs="Times New Roman"/>
        </w:rPr>
        <w:t>Information on the Personnel Who Started to Work in the Authority in 2021 (Permanent Worker)</w:t>
      </w:r>
      <w:bookmarkEnd w:id="374"/>
    </w:p>
    <w:tbl>
      <w:tblPr>
        <w:tblStyle w:val="TableNormal100000"/>
        <w:tblW w:w="9911" w:type="dxa"/>
        <w:tblInd w:w="98" w:type="dxa"/>
        <w:tblLayout w:type="fixed"/>
        <w:tblLook w:val="01E0" w:firstRow="1" w:lastRow="1" w:firstColumn="1" w:lastColumn="1" w:noHBand="0" w:noVBand="0"/>
      </w:tblPr>
      <w:tblGrid>
        <w:gridCol w:w="2802"/>
        <w:gridCol w:w="663"/>
        <w:gridCol w:w="2384"/>
        <w:gridCol w:w="1016"/>
        <w:gridCol w:w="3046"/>
      </w:tblGrid>
      <w:tr w:rsidR="001C2BBC" w:rsidRPr="009E1B38" w14:paraId="7D4A92CC" w14:textId="77777777" w:rsidTr="00166205">
        <w:trPr>
          <w:trHeight w:hRule="exact" w:val="362"/>
        </w:trPr>
        <w:tc>
          <w:tcPr>
            <w:tcW w:w="2802" w:type="dxa"/>
            <w:vMerge w:val="restart"/>
            <w:tcBorders>
              <w:top w:val="single" w:sz="4" w:space="0" w:color="D9D9D9"/>
              <w:left w:val="single" w:sz="4" w:space="0" w:color="D9D9D9"/>
              <w:right w:val="single" w:sz="4" w:space="0" w:color="D9D9D9"/>
            </w:tcBorders>
            <w:shd w:val="clear" w:color="auto" w:fill="6E9ECA"/>
          </w:tcPr>
          <w:p w14:paraId="7D4A92C1" w14:textId="77777777" w:rsidR="001C2BBC" w:rsidRPr="009E1B38" w:rsidRDefault="001C2BBC" w:rsidP="001C2BBC">
            <w:pPr>
              <w:jc w:val="left"/>
              <w:rPr>
                <w:rFonts w:ascii="Times New Roman" w:hAnsi="Times New Roman"/>
                <w:b/>
              </w:rPr>
            </w:pPr>
          </w:p>
          <w:p w14:paraId="7D4A92C2" w14:textId="77777777" w:rsidR="001C2BBC" w:rsidRPr="009E1B38" w:rsidRDefault="001C2BBC" w:rsidP="001C2BBC">
            <w:pPr>
              <w:jc w:val="left"/>
              <w:rPr>
                <w:rFonts w:ascii="Times New Roman" w:hAnsi="Times New Roman"/>
                <w:b/>
              </w:rPr>
            </w:pPr>
          </w:p>
          <w:p w14:paraId="7D4A92C3" w14:textId="77777777" w:rsidR="001C2BBC" w:rsidRPr="009E1B38" w:rsidRDefault="001C2BBC" w:rsidP="001C2BBC">
            <w:pPr>
              <w:spacing w:before="3"/>
              <w:jc w:val="left"/>
              <w:rPr>
                <w:rFonts w:ascii="Times New Roman" w:hAnsi="Times New Roman"/>
                <w:b/>
                <w:sz w:val="30"/>
                <w:szCs w:val="30"/>
              </w:rPr>
            </w:pPr>
          </w:p>
          <w:p w14:paraId="7D4A92C4" w14:textId="3835D10B" w:rsidR="001C2BBC" w:rsidRPr="009E1B38" w:rsidRDefault="00F3216C" w:rsidP="001C2BBC">
            <w:pPr>
              <w:ind w:left="485"/>
              <w:jc w:val="left"/>
              <w:rPr>
                <w:rFonts w:ascii="Times New Roman" w:hAnsi="Times New Roman"/>
              </w:rPr>
            </w:pPr>
            <w:r w:rsidRPr="009E1B38">
              <w:rPr>
                <w:rFonts w:ascii="Times New Roman" w:hAnsi="Times New Roman"/>
                <w:b/>
                <w:color w:val="FFFFFF"/>
              </w:rPr>
              <w:t>TITLES OF CADRES</w:t>
            </w:r>
          </w:p>
        </w:tc>
        <w:tc>
          <w:tcPr>
            <w:tcW w:w="663" w:type="dxa"/>
            <w:vMerge w:val="restart"/>
            <w:tcBorders>
              <w:top w:val="single" w:sz="4" w:space="0" w:color="D9D9D9"/>
              <w:left w:val="single" w:sz="4" w:space="0" w:color="D9D9D9"/>
              <w:right w:val="single" w:sz="4" w:space="0" w:color="D9D9D9"/>
            </w:tcBorders>
            <w:shd w:val="clear" w:color="auto" w:fill="6E9ECA"/>
          </w:tcPr>
          <w:p w14:paraId="7D4A92C5" w14:textId="77777777" w:rsidR="001C2BBC" w:rsidRPr="009E1B38" w:rsidRDefault="001C2BBC" w:rsidP="001C2BBC">
            <w:pPr>
              <w:jc w:val="left"/>
              <w:rPr>
                <w:rFonts w:ascii="Times New Roman" w:hAnsi="Times New Roman"/>
                <w:b/>
              </w:rPr>
            </w:pPr>
          </w:p>
          <w:p w14:paraId="7D4A92C6" w14:textId="77777777" w:rsidR="001C2BBC" w:rsidRPr="009E1B38" w:rsidRDefault="001C2BBC" w:rsidP="001C2BBC">
            <w:pPr>
              <w:jc w:val="left"/>
              <w:rPr>
                <w:rFonts w:ascii="Times New Roman" w:hAnsi="Times New Roman"/>
                <w:b/>
              </w:rPr>
            </w:pPr>
          </w:p>
          <w:p w14:paraId="7D4A92C7" w14:textId="77777777" w:rsidR="001C2BBC" w:rsidRPr="009E1B38" w:rsidRDefault="001C2BBC" w:rsidP="001C2BBC">
            <w:pPr>
              <w:spacing w:before="3"/>
              <w:jc w:val="left"/>
              <w:rPr>
                <w:rFonts w:ascii="Times New Roman" w:hAnsi="Times New Roman"/>
                <w:b/>
                <w:sz w:val="30"/>
                <w:szCs w:val="30"/>
              </w:rPr>
            </w:pPr>
          </w:p>
          <w:p w14:paraId="7D4A92C8" w14:textId="5DFE5DB1" w:rsidR="001C2BBC" w:rsidRPr="009E1B38" w:rsidRDefault="00F3216C" w:rsidP="001C2BBC">
            <w:pPr>
              <w:ind w:left="121"/>
              <w:jc w:val="left"/>
              <w:rPr>
                <w:rFonts w:ascii="Times New Roman" w:hAnsi="Times New Roman"/>
              </w:rPr>
            </w:pPr>
            <w:r w:rsidRPr="009E1B38">
              <w:rPr>
                <w:rFonts w:ascii="Times New Roman" w:hAnsi="Times New Roman"/>
                <w:b/>
                <w:color w:val="FFFFFF"/>
                <w:spacing w:val="-1"/>
              </w:rPr>
              <w:t>NO</w:t>
            </w:r>
          </w:p>
        </w:tc>
        <w:tc>
          <w:tcPr>
            <w:tcW w:w="2384" w:type="dxa"/>
            <w:tcBorders>
              <w:top w:val="single" w:sz="4" w:space="0" w:color="D9D9D9"/>
              <w:left w:val="single" w:sz="4" w:space="0" w:color="D9D9D9"/>
              <w:bottom w:val="single" w:sz="4" w:space="0" w:color="D9D9D9"/>
              <w:right w:val="single" w:sz="4" w:space="0" w:color="D9D9D9"/>
            </w:tcBorders>
            <w:shd w:val="clear" w:color="auto" w:fill="6E9ECA"/>
            <w:vAlign w:val="center"/>
          </w:tcPr>
          <w:p w14:paraId="7D4A92C9" w14:textId="08670450" w:rsidR="001C2BBC" w:rsidRPr="009E1B38" w:rsidRDefault="00F3216C" w:rsidP="001C2BBC">
            <w:pPr>
              <w:spacing w:before="21"/>
              <w:ind w:left="261"/>
              <w:jc w:val="left"/>
              <w:rPr>
                <w:rFonts w:ascii="Times New Roman" w:hAnsi="Times New Roman"/>
              </w:rPr>
            </w:pPr>
            <w:r w:rsidRPr="009E1B38">
              <w:rPr>
                <w:rFonts w:ascii="Times New Roman" w:hAnsi="Times New Roman"/>
                <w:b/>
                <w:color w:val="FFFFFF" w:themeColor="background1"/>
              </w:rPr>
              <w:t>EDUCATION</w:t>
            </w:r>
          </w:p>
        </w:tc>
        <w:tc>
          <w:tcPr>
            <w:tcW w:w="1016" w:type="dxa"/>
            <w:tcBorders>
              <w:top w:val="single" w:sz="4" w:space="0" w:color="D9D9D9"/>
              <w:left w:val="single" w:sz="4" w:space="0" w:color="D9D9D9"/>
              <w:bottom w:val="single" w:sz="4" w:space="0" w:color="D9D9D9"/>
              <w:right w:val="single" w:sz="4" w:space="0" w:color="D9D9D9"/>
            </w:tcBorders>
            <w:shd w:val="clear" w:color="auto" w:fill="6E9ECA"/>
            <w:vAlign w:val="center"/>
          </w:tcPr>
          <w:p w14:paraId="7D4A92CA" w14:textId="42799800" w:rsidR="001C2BBC" w:rsidRPr="009E1B38" w:rsidRDefault="00F3216C" w:rsidP="001C2BBC">
            <w:pPr>
              <w:spacing w:before="21"/>
              <w:ind w:left="64"/>
              <w:jc w:val="left"/>
              <w:rPr>
                <w:rFonts w:ascii="Times New Roman" w:hAnsi="Times New Roman"/>
              </w:rPr>
            </w:pPr>
            <w:r w:rsidRPr="009E1B38">
              <w:rPr>
                <w:rFonts w:ascii="Times New Roman" w:hAnsi="Times New Roman"/>
                <w:b/>
                <w:color w:val="FFFFFF" w:themeColor="background1"/>
              </w:rPr>
              <w:t>GENDER</w:t>
            </w:r>
          </w:p>
        </w:tc>
        <w:tc>
          <w:tcPr>
            <w:tcW w:w="3046" w:type="dxa"/>
            <w:tcBorders>
              <w:top w:val="single" w:sz="4" w:space="0" w:color="D9D9D9"/>
              <w:left w:val="single" w:sz="4" w:space="0" w:color="D9D9D9"/>
              <w:bottom w:val="single" w:sz="4" w:space="0" w:color="D9D9D9"/>
              <w:right w:val="single" w:sz="4" w:space="0" w:color="D9D9D9"/>
            </w:tcBorders>
            <w:shd w:val="clear" w:color="auto" w:fill="6E9ECA"/>
            <w:vAlign w:val="center"/>
          </w:tcPr>
          <w:p w14:paraId="7D4A92CB" w14:textId="3522FDC3" w:rsidR="001C2BBC" w:rsidRPr="009E1B38" w:rsidRDefault="00F3216C" w:rsidP="001C2BBC">
            <w:pPr>
              <w:spacing w:before="21"/>
              <w:ind w:left="796"/>
              <w:jc w:val="left"/>
              <w:rPr>
                <w:rFonts w:ascii="Times New Roman" w:hAnsi="Times New Roman"/>
              </w:rPr>
            </w:pPr>
            <w:r w:rsidRPr="009E1B38">
              <w:rPr>
                <w:rFonts w:ascii="Times New Roman" w:hAnsi="Times New Roman"/>
                <w:b/>
                <w:color w:val="FFFFFF" w:themeColor="background1"/>
              </w:rPr>
              <w:t>LEAVING REASON</w:t>
            </w:r>
          </w:p>
        </w:tc>
      </w:tr>
    </w:tbl>
    <w:tbl>
      <w:tblPr>
        <w:tblStyle w:val="TableNormal1000000"/>
        <w:tblW w:w="9911" w:type="dxa"/>
        <w:tblInd w:w="98" w:type="dxa"/>
        <w:tblLayout w:type="fixed"/>
        <w:tblLook w:val="01E0" w:firstRow="1" w:lastRow="1" w:firstColumn="1" w:lastColumn="1" w:noHBand="0" w:noVBand="0"/>
      </w:tblPr>
      <w:tblGrid>
        <w:gridCol w:w="2802"/>
        <w:gridCol w:w="663"/>
        <w:gridCol w:w="476"/>
        <w:gridCol w:w="476"/>
        <w:gridCol w:w="476"/>
        <w:gridCol w:w="476"/>
        <w:gridCol w:w="480"/>
        <w:gridCol w:w="507"/>
        <w:gridCol w:w="509"/>
        <w:gridCol w:w="507"/>
        <w:gridCol w:w="507"/>
        <w:gridCol w:w="507"/>
        <w:gridCol w:w="507"/>
        <w:gridCol w:w="507"/>
        <w:gridCol w:w="511"/>
      </w:tblGrid>
      <w:tr w:rsidR="00C6507D" w:rsidRPr="009E1B38" w14:paraId="7D4A92DC" w14:textId="77777777" w:rsidTr="00E74349">
        <w:trPr>
          <w:trHeight w:val="1461"/>
        </w:trPr>
        <w:tc>
          <w:tcPr>
            <w:tcW w:w="2802" w:type="dxa"/>
            <w:vMerge/>
            <w:tcBorders>
              <w:left w:val="single" w:sz="4" w:space="0" w:color="D9D9D9"/>
              <w:bottom w:val="single" w:sz="4" w:space="0" w:color="D9D9D9"/>
              <w:right w:val="single" w:sz="4" w:space="0" w:color="D9D9D9"/>
            </w:tcBorders>
            <w:shd w:val="clear" w:color="auto" w:fill="6E9ECA"/>
          </w:tcPr>
          <w:p w14:paraId="7D4A92CD" w14:textId="77777777" w:rsidR="001C2BBC" w:rsidRPr="009E1B38" w:rsidRDefault="001C2BBC" w:rsidP="001C2BBC">
            <w:pPr>
              <w:rPr>
                <w:rFonts w:ascii="Times New Roman" w:hAnsi="Times New Roman"/>
              </w:rPr>
            </w:pPr>
          </w:p>
        </w:tc>
        <w:tc>
          <w:tcPr>
            <w:tcW w:w="663" w:type="dxa"/>
            <w:vMerge/>
            <w:tcBorders>
              <w:left w:val="single" w:sz="4" w:space="0" w:color="D9D9D9"/>
              <w:bottom w:val="single" w:sz="4" w:space="0" w:color="D9D9D9"/>
              <w:right w:val="single" w:sz="4" w:space="0" w:color="D9D9D9"/>
            </w:tcBorders>
            <w:shd w:val="clear" w:color="auto" w:fill="6E9ECA"/>
          </w:tcPr>
          <w:p w14:paraId="7D4A92CE" w14:textId="77777777" w:rsidR="001C2BBC" w:rsidRPr="009E1B38" w:rsidRDefault="001C2BBC" w:rsidP="001C2BBC">
            <w:pPr>
              <w:rPr>
                <w:rFonts w:ascii="Times New Roman" w:hAnsi="Times New Roman"/>
              </w:rPr>
            </w:pP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vAlign w:val="center"/>
          </w:tcPr>
          <w:p w14:paraId="7D4A92CF" w14:textId="78A2B8E1" w:rsidR="001C2BBC" w:rsidRPr="009E1B38" w:rsidRDefault="003D336C" w:rsidP="001C2BBC">
            <w:pPr>
              <w:spacing w:before="78"/>
              <w:ind w:left="28"/>
              <w:jc w:val="left"/>
              <w:rPr>
                <w:rFonts w:ascii="Times New Roman" w:hAnsi="Times New Roman"/>
              </w:rPr>
            </w:pPr>
            <w:r w:rsidRPr="009E1B38">
              <w:rPr>
                <w:rFonts w:ascii="Times New Roman" w:hAnsi="Times New Roman"/>
                <w:b/>
                <w:color w:val="FFFFFF" w:themeColor="background1"/>
              </w:rPr>
              <w:t>SECONDARY EDUCATION</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vAlign w:val="center"/>
          </w:tcPr>
          <w:p w14:paraId="0C835B93" w14:textId="77777777" w:rsidR="003D336C" w:rsidRPr="009E1B38" w:rsidRDefault="003D336C" w:rsidP="003D336C">
            <w:pPr>
              <w:rPr>
                <w:rFonts w:ascii="Times New Roman" w:hAnsi="Times New Roman"/>
                <w:b/>
                <w:color w:val="FFFFFF" w:themeColor="background1"/>
              </w:rPr>
            </w:pPr>
            <w:r w:rsidRPr="009E1B38">
              <w:rPr>
                <w:rFonts w:ascii="Times New Roman" w:hAnsi="Times New Roman"/>
                <w:b/>
                <w:color w:val="FFFFFF" w:themeColor="background1"/>
              </w:rPr>
              <w:t>2 YEARS’</w:t>
            </w:r>
          </w:p>
          <w:p w14:paraId="7D4A92D0" w14:textId="265CE049" w:rsidR="001C2BBC" w:rsidRPr="009E1B38" w:rsidRDefault="003D336C" w:rsidP="001C2BBC">
            <w:pPr>
              <w:spacing w:before="65"/>
              <w:ind w:left="160"/>
              <w:jc w:val="left"/>
              <w:rPr>
                <w:rFonts w:ascii="Times New Roman" w:hAnsi="Times New Roman"/>
              </w:rPr>
            </w:pPr>
            <w:r w:rsidRPr="009E1B38">
              <w:rPr>
                <w:rFonts w:ascii="Times New Roman" w:hAnsi="Times New Roman"/>
                <w:b/>
                <w:color w:val="FFFFFF" w:themeColor="background1"/>
              </w:rPr>
              <w:t>UNİVERSİTY</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vAlign w:val="center"/>
          </w:tcPr>
          <w:p w14:paraId="45D6D8D8" w14:textId="77777777" w:rsidR="003D336C" w:rsidRPr="009E1B38" w:rsidRDefault="003D336C" w:rsidP="003D336C">
            <w:pPr>
              <w:rPr>
                <w:rFonts w:ascii="Times New Roman" w:hAnsi="Times New Roman"/>
                <w:b/>
                <w:color w:val="FFFFFF" w:themeColor="background1"/>
              </w:rPr>
            </w:pPr>
            <w:r w:rsidRPr="009E1B38">
              <w:rPr>
                <w:rFonts w:ascii="Times New Roman" w:hAnsi="Times New Roman"/>
                <w:b/>
                <w:color w:val="FFFFFF" w:themeColor="background1"/>
              </w:rPr>
              <w:t>4 YEARS’</w:t>
            </w:r>
          </w:p>
          <w:p w14:paraId="7D4A92D1" w14:textId="5E49A19F" w:rsidR="001C2BBC" w:rsidRPr="009E1B38" w:rsidRDefault="003D336C" w:rsidP="001C2BBC">
            <w:pPr>
              <w:spacing w:before="78"/>
              <w:ind w:left="160"/>
              <w:jc w:val="left"/>
              <w:rPr>
                <w:rFonts w:ascii="Times New Roman" w:hAnsi="Times New Roman"/>
              </w:rPr>
            </w:pPr>
            <w:r w:rsidRPr="009E1B38">
              <w:rPr>
                <w:rFonts w:ascii="Times New Roman" w:hAnsi="Times New Roman"/>
                <w:b/>
                <w:color w:val="FFFFFF" w:themeColor="background1"/>
              </w:rPr>
              <w:t>UNİVERSİTY</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vAlign w:val="center"/>
          </w:tcPr>
          <w:p w14:paraId="7D4A92D2" w14:textId="6CE23B54" w:rsidR="001C2BBC" w:rsidRPr="009E1B38" w:rsidRDefault="003D336C" w:rsidP="001C2BBC">
            <w:pPr>
              <w:spacing w:before="78"/>
              <w:ind w:left="340"/>
              <w:jc w:val="left"/>
              <w:rPr>
                <w:rFonts w:ascii="Times New Roman" w:hAnsi="Times New Roman"/>
              </w:rPr>
            </w:pPr>
            <w:r w:rsidRPr="009E1B38">
              <w:rPr>
                <w:rFonts w:ascii="Times New Roman" w:hAnsi="Times New Roman"/>
                <w:b/>
                <w:color w:val="FFFFFF" w:themeColor="background1"/>
              </w:rPr>
              <w:t>MASTERS</w:t>
            </w:r>
          </w:p>
        </w:tc>
        <w:tc>
          <w:tcPr>
            <w:tcW w:w="480"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D4A92D3" w14:textId="46A823DF" w:rsidR="001C2BBC" w:rsidRPr="009E1B38" w:rsidRDefault="003D336C" w:rsidP="001C2BBC">
            <w:pPr>
              <w:spacing w:before="65"/>
              <w:ind w:left="264"/>
              <w:jc w:val="left"/>
              <w:rPr>
                <w:rFonts w:ascii="Times New Roman" w:hAnsi="Times New Roman"/>
              </w:rPr>
            </w:pPr>
            <w:r w:rsidRPr="009E1B38">
              <w:rPr>
                <w:rFonts w:ascii="Times New Roman" w:hAnsi="Times New Roman"/>
                <w:b/>
                <w:color w:val="FFFFFF" w:themeColor="background1"/>
              </w:rPr>
              <w:t>DOCTORATE</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D4A92D4" w14:textId="116D51B1" w:rsidR="001C2BBC" w:rsidRPr="009E1B38" w:rsidRDefault="003D336C" w:rsidP="001C2BBC">
            <w:pPr>
              <w:spacing w:before="65"/>
              <w:ind w:left="427"/>
              <w:jc w:val="left"/>
              <w:rPr>
                <w:rFonts w:ascii="Times New Roman" w:hAnsi="Times New Roman"/>
              </w:rPr>
            </w:pPr>
            <w:r w:rsidRPr="009E1B38">
              <w:rPr>
                <w:rFonts w:ascii="Times New Roman" w:hAnsi="Times New Roman"/>
                <w:b/>
                <w:color w:val="FFFFFF" w:themeColor="background1"/>
              </w:rPr>
              <w:t>KADİN</w:t>
            </w:r>
          </w:p>
        </w:tc>
        <w:tc>
          <w:tcPr>
            <w:tcW w:w="509"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D4A92D5" w14:textId="77777777" w:rsidR="001C2BBC" w:rsidRPr="009E1B38" w:rsidRDefault="001C2BBC" w:rsidP="001C2BBC">
            <w:pPr>
              <w:spacing w:before="65"/>
              <w:ind w:left="435"/>
              <w:jc w:val="left"/>
              <w:rPr>
                <w:rFonts w:ascii="Times New Roman" w:hAnsi="Times New Roman"/>
              </w:rPr>
            </w:pPr>
            <w:r w:rsidRPr="009E1B38">
              <w:rPr>
                <w:rFonts w:ascii="Times New Roman" w:hAnsi="Times New Roman"/>
                <w:b/>
                <w:color w:val="FFFFFF" w:themeColor="background1"/>
              </w:rPr>
              <w:t>ERKEK</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D4A92D6" w14:textId="1FCF730A" w:rsidR="001C2BBC" w:rsidRPr="009E1B38" w:rsidRDefault="003D336C" w:rsidP="001C2BBC">
            <w:pPr>
              <w:spacing w:before="65"/>
              <w:ind w:left="443"/>
              <w:jc w:val="left"/>
              <w:rPr>
                <w:rFonts w:ascii="Times New Roman" w:hAnsi="Times New Roman"/>
              </w:rPr>
            </w:pPr>
            <w:r w:rsidRPr="009E1B38">
              <w:rPr>
                <w:rFonts w:ascii="Times New Roman" w:hAnsi="Times New Roman"/>
                <w:b/>
                <w:color w:val="FFFFFF" w:themeColor="background1"/>
              </w:rPr>
              <w:t>RESGINED</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D4A92D7" w14:textId="797FB6BF" w:rsidR="001C2BBC" w:rsidRPr="009E1B38" w:rsidRDefault="003D336C" w:rsidP="001C2BBC">
            <w:pPr>
              <w:spacing w:before="65"/>
              <w:ind w:left="250"/>
              <w:jc w:val="left"/>
              <w:rPr>
                <w:rFonts w:ascii="Times New Roman" w:hAnsi="Times New Roman"/>
              </w:rPr>
            </w:pPr>
            <w:r w:rsidRPr="009E1B38">
              <w:rPr>
                <w:rFonts w:ascii="Times New Roman" w:hAnsi="Times New Roman"/>
                <w:b/>
                <w:color w:val="FFFFFF" w:themeColor="background1"/>
              </w:rPr>
              <w:t>RETIRED</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vAlign w:val="center"/>
          </w:tcPr>
          <w:p w14:paraId="7D4A92D8" w14:textId="1E04ACAD" w:rsidR="001C2BBC" w:rsidRPr="009E1B38" w:rsidRDefault="003D336C" w:rsidP="001C2BBC">
            <w:pPr>
              <w:spacing w:before="94"/>
              <w:ind w:left="450"/>
              <w:jc w:val="left"/>
              <w:rPr>
                <w:rFonts w:ascii="Times New Roman" w:hAnsi="Times New Roman"/>
              </w:rPr>
            </w:pPr>
            <w:r w:rsidRPr="009E1B38">
              <w:rPr>
                <w:rFonts w:ascii="Times New Roman" w:hAnsi="Times New Roman"/>
                <w:b/>
                <w:color w:val="FFFFFF" w:themeColor="background1"/>
              </w:rPr>
              <w:t>TRANSFERRED</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D4A92D9" w14:textId="0E8AF6AE" w:rsidR="001C2BBC" w:rsidRPr="009E1B38" w:rsidRDefault="003D336C" w:rsidP="001C2BBC">
            <w:pPr>
              <w:spacing w:before="65"/>
              <w:ind w:left="439"/>
              <w:jc w:val="left"/>
              <w:rPr>
                <w:rFonts w:ascii="Times New Roman" w:hAnsi="Times New Roman"/>
              </w:rPr>
            </w:pPr>
            <w:r w:rsidRPr="009E1B38">
              <w:rPr>
                <w:rFonts w:ascii="Times New Roman" w:hAnsi="Times New Roman"/>
                <w:b/>
                <w:color w:val="FFFFFF" w:themeColor="background1"/>
              </w:rPr>
              <w:t>EXPELLED</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D4A92DA" w14:textId="44F8B584" w:rsidR="001C2BBC" w:rsidRPr="009E1B38" w:rsidRDefault="003D336C" w:rsidP="001C2BBC">
            <w:pPr>
              <w:spacing w:before="65"/>
              <w:ind w:left="304"/>
              <w:jc w:val="left"/>
              <w:rPr>
                <w:rFonts w:ascii="Times New Roman" w:hAnsi="Times New Roman"/>
              </w:rPr>
            </w:pPr>
            <w:r w:rsidRPr="009E1B38">
              <w:rPr>
                <w:rFonts w:ascii="Times New Roman" w:hAnsi="Times New Roman"/>
                <w:b/>
                <w:color w:val="FFFFFF" w:themeColor="background1"/>
              </w:rPr>
              <w:t>DEEMED RESGİNED</w:t>
            </w:r>
          </w:p>
        </w:tc>
        <w:tc>
          <w:tcPr>
            <w:tcW w:w="511"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D4A92DB" w14:textId="1EFAEA1A" w:rsidR="001C2BBC" w:rsidRPr="009E1B38" w:rsidRDefault="003D336C" w:rsidP="001C2BBC">
            <w:pPr>
              <w:spacing w:before="65"/>
              <w:ind w:left="436"/>
              <w:jc w:val="left"/>
              <w:rPr>
                <w:rFonts w:ascii="Times New Roman" w:hAnsi="Times New Roman"/>
              </w:rPr>
            </w:pPr>
            <w:r w:rsidRPr="009E1B38">
              <w:rPr>
                <w:rFonts w:ascii="Times New Roman" w:hAnsi="Times New Roman"/>
                <w:b/>
                <w:color w:val="FFFFFF" w:themeColor="background1"/>
              </w:rPr>
              <w:t>DEATH</w:t>
            </w:r>
          </w:p>
        </w:tc>
      </w:tr>
      <w:tr w:rsidR="001C2BBC" w:rsidRPr="009E1B38" w14:paraId="7D4A92EC" w14:textId="77777777" w:rsidTr="00FC2252">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14:paraId="7D4A92DD" w14:textId="090F5337" w:rsidR="001C2BBC" w:rsidRPr="009E1B38" w:rsidRDefault="00AB1FC8" w:rsidP="001C2BBC">
            <w:pPr>
              <w:spacing w:before="88"/>
              <w:ind w:left="65"/>
              <w:jc w:val="left"/>
              <w:rPr>
                <w:rFonts w:ascii="Times New Roman" w:hAnsi="Times New Roman"/>
              </w:rPr>
            </w:pPr>
            <w:r w:rsidRPr="009E1B38">
              <w:rPr>
                <w:rFonts w:ascii="Times New Roman" w:hAnsi="Times New Roman"/>
              </w:rPr>
              <w:t>Admini</w:t>
            </w:r>
            <w:r w:rsidR="00A117AE" w:rsidRPr="009E1B38">
              <w:rPr>
                <w:rFonts w:ascii="Times New Roman" w:hAnsi="Times New Roman"/>
              </w:rPr>
              <w:t>strative Staff</w:t>
            </w:r>
          </w:p>
        </w:tc>
        <w:tc>
          <w:tcPr>
            <w:tcW w:w="663" w:type="dxa"/>
            <w:tcBorders>
              <w:top w:val="single" w:sz="4" w:space="0" w:color="D9D9D9"/>
              <w:left w:val="single" w:sz="4" w:space="0" w:color="D9D9D9"/>
              <w:bottom w:val="single" w:sz="4" w:space="0" w:color="D9D9D9"/>
              <w:right w:val="single" w:sz="4" w:space="0" w:color="D9D9D9"/>
            </w:tcBorders>
          </w:tcPr>
          <w:p w14:paraId="7D4A92DE" w14:textId="77777777" w:rsidR="001C2BBC" w:rsidRPr="009E1B38" w:rsidRDefault="001C2BBC" w:rsidP="001C2BBC">
            <w:pPr>
              <w:spacing w:before="44"/>
              <w:jc w:val="center"/>
              <w:rPr>
                <w:rFonts w:ascii="Times New Roman" w:hAnsi="Times New Roman"/>
              </w:rPr>
            </w:pPr>
            <w:r w:rsidRPr="009E1B38">
              <w:rPr>
                <w:rFonts w:ascii="Times New Roman" w:hAnsi="Times New Roman"/>
              </w:rPr>
              <w:t>2</w:t>
            </w:r>
          </w:p>
        </w:tc>
        <w:tc>
          <w:tcPr>
            <w:tcW w:w="476" w:type="dxa"/>
            <w:tcBorders>
              <w:top w:val="single" w:sz="4" w:space="0" w:color="D9D9D9"/>
              <w:left w:val="single" w:sz="4" w:space="0" w:color="D9D9D9"/>
              <w:bottom w:val="single" w:sz="4" w:space="0" w:color="D9D9D9"/>
              <w:right w:val="single" w:sz="4" w:space="0" w:color="D9D9D9"/>
            </w:tcBorders>
          </w:tcPr>
          <w:p w14:paraId="7D4A92DF" w14:textId="77777777" w:rsidR="001C2BBC" w:rsidRPr="009E1B38" w:rsidRDefault="001C2BBC" w:rsidP="001C2BBC">
            <w:pPr>
              <w:rPr>
                <w:rFonts w:ascii="Times New Roman" w:hAnsi="Times New Roman"/>
              </w:rPr>
            </w:pPr>
          </w:p>
        </w:tc>
        <w:tc>
          <w:tcPr>
            <w:tcW w:w="476" w:type="dxa"/>
            <w:tcBorders>
              <w:top w:val="single" w:sz="4" w:space="0" w:color="D9D9D9"/>
              <w:left w:val="single" w:sz="4" w:space="0" w:color="D9D9D9"/>
              <w:bottom w:val="single" w:sz="4" w:space="0" w:color="D9D9D9"/>
              <w:right w:val="single" w:sz="4" w:space="0" w:color="D9D9D9"/>
            </w:tcBorders>
          </w:tcPr>
          <w:p w14:paraId="7D4A92E0" w14:textId="77777777" w:rsidR="001C2BBC" w:rsidRPr="009E1B38" w:rsidRDefault="001C2BBC" w:rsidP="001C2BBC">
            <w:pPr>
              <w:spacing w:before="44"/>
              <w:jc w:val="center"/>
              <w:rPr>
                <w:rFonts w:ascii="Times New Roman" w:hAnsi="Times New Roman"/>
              </w:rPr>
            </w:pPr>
            <w:r w:rsidRPr="009E1B38">
              <w:rPr>
                <w:rFonts w:ascii="Times New Roman" w:hAnsi="Times New Roman"/>
              </w:rPr>
              <w:t>1</w:t>
            </w:r>
          </w:p>
        </w:tc>
        <w:tc>
          <w:tcPr>
            <w:tcW w:w="476" w:type="dxa"/>
            <w:tcBorders>
              <w:top w:val="single" w:sz="4" w:space="0" w:color="D9D9D9"/>
              <w:left w:val="single" w:sz="4" w:space="0" w:color="D9D9D9"/>
              <w:bottom w:val="single" w:sz="4" w:space="0" w:color="D9D9D9"/>
              <w:right w:val="single" w:sz="4" w:space="0" w:color="D9D9D9"/>
            </w:tcBorders>
          </w:tcPr>
          <w:p w14:paraId="7D4A92E1" w14:textId="77777777" w:rsidR="001C2BBC" w:rsidRPr="009E1B38" w:rsidRDefault="001C2BBC" w:rsidP="001C2BBC">
            <w:pPr>
              <w:spacing w:before="44"/>
              <w:jc w:val="center"/>
              <w:rPr>
                <w:rFonts w:ascii="Times New Roman" w:hAnsi="Times New Roman"/>
              </w:rPr>
            </w:pPr>
            <w:r w:rsidRPr="009E1B38">
              <w:rPr>
                <w:rFonts w:ascii="Times New Roman" w:hAnsi="Times New Roman"/>
              </w:rPr>
              <w:t>1</w:t>
            </w:r>
          </w:p>
        </w:tc>
        <w:tc>
          <w:tcPr>
            <w:tcW w:w="476" w:type="dxa"/>
            <w:tcBorders>
              <w:top w:val="single" w:sz="4" w:space="0" w:color="D9D9D9"/>
              <w:left w:val="single" w:sz="4" w:space="0" w:color="D9D9D9"/>
              <w:bottom w:val="single" w:sz="4" w:space="0" w:color="D9D9D9"/>
              <w:right w:val="single" w:sz="4" w:space="0" w:color="D9D9D9"/>
            </w:tcBorders>
          </w:tcPr>
          <w:p w14:paraId="7D4A92E2" w14:textId="77777777" w:rsidR="001C2BBC" w:rsidRPr="009E1B38" w:rsidRDefault="001C2BBC" w:rsidP="001C2BBC">
            <w:pPr>
              <w:rPr>
                <w:rFonts w:ascii="Times New Roman" w:hAnsi="Times New Roman"/>
              </w:rPr>
            </w:pPr>
          </w:p>
        </w:tc>
        <w:tc>
          <w:tcPr>
            <w:tcW w:w="480" w:type="dxa"/>
            <w:tcBorders>
              <w:top w:val="single" w:sz="4" w:space="0" w:color="D9D9D9"/>
              <w:left w:val="single" w:sz="4" w:space="0" w:color="D9D9D9"/>
              <w:bottom w:val="single" w:sz="4" w:space="0" w:color="D9D9D9"/>
              <w:right w:val="single" w:sz="4" w:space="0" w:color="D9D9D9"/>
            </w:tcBorders>
          </w:tcPr>
          <w:p w14:paraId="7D4A92E3" w14:textId="77777777" w:rsidR="001C2BBC" w:rsidRPr="009E1B38" w:rsidRDefault="001C2BBC" w:rsidP="001C2BBC">
            <w:pPr>
              <w:rPr>
                <w:rFonts w:ascii="Times New Roman" w:hAnsi="Times New Roman"/>
              </w:rPr>
            </w:pPr>
          </w:p>
        </w:tc>
        <w:tc>
          <w:tcPr>
            <w:tcW w:w="507" w:type="dxa"/>
            <w:tcBorders>
              <w:top w:val="single" w:sz="4" w:space="0" w:color="D9D9D9"/>
              <w:left w:val="single" w:sz="4" w:space="0" w:color="D9D9D9"/>
              <w:bottom w:val="single" w:sz="4" w:space="0" w:color="D9D9D9"/>
              <w:right w:val="single" w:sz="4" w:space="0" w:color="D9D9D9"/>
            </w:tcBorders>
          </w:tcPr>
          <w:p w14:paraId="7D4A92E4" w14:textId="77777777" w:rsidR="001C2BBC" w:rsidRPr="009E1B38" w:rsidRDefault="001C2BBC" w:rsidP="001C2BBC">
            <w:pPr>
              <w:spacing w:before="44"/>
              <w:jc w:val="center"/>
              <w:rPr>
                <w:rFonts w:ascii="Times New Roman" w:hAnsi="Times New Roman"/>
              </w:rPr>
            </w:pPr>
            <w:r w:rsidRPr="009E1B38">
              <w:rPr>
                <w:rFonts w:ascii="Times New Roman" w:hAnsi="Times New Roman"/>
              </w:rPr>
              <w:t>2</w:t>
            </w:r>
          </w:p>
        </w:tc>
        <w:tc>
          <w:tcPr>
            <w:tcW w:w="509" w:type="dxa"/>
            <w:tcBorders>
              <w:top w:val="single" w:sz="4" w:space="0" w:color="D9D9D9"/>
              <w:left w:val="single" w:sz="4" w:space="0" w:color="D9D9D9"/>
              <w:bottom w:val="single" w:sz="4" w:space="0" w:color="D9D9D9"/>
              <w:right w:val="single" w:sz="4" w:space="0" w:color="D9D9D9"/>
            </w:tcBorders>
          </w:tcPr>
          <w:p w14:paraId="7D4A92E5" w14:textId="77777777" w:rsidR="001C2BBC" w:rsidRPr="009E1B38" w:rsidRDefault="001C2BBC" w:rsidP="001C2BBC">
            <w:pPr>
              <w:spacing w:before="44"/>
              <w:jc w:val="center"/>
              <w:rPr>
                <w:rFonts w:ascii="Times New Roman" w:hAnsi="Times New Roman"/>
              </w:rPr>
            </w:pPr>
          </w:p>
        </w:tc>
        <w:tc>
          <w:tcPr>
            <w:tcW w:w="507" w:type="dxa"/>
            <w:tcBorders>
              <w:top w:val="single" w:sz="4" w:space="0" w:color="D9D9D9"/>
              <w:left w:val="single" w:sz="4" w:space="0" w:color="D9D9D9"/>
              <w:bottom w:val="single" w:sz="4" w:space="0" w:color="D9D9D9"/>
              <w:right w:val="single" w:sz="4" w:space="0" w:color="D9D9D9"/>
            </w:tcBorders>
          </w:tcPr>
          <w:p w14:paraId="7D4A92E6" w14:textId="77777777" w:rsidR="001C2BBC" w:rsidRPr="009E1B38" w:rsidRDefault="001C2BBC" w:rsidP="001C2BBC">
            <w:pPr>
              <w:jc w:val="center"/>
              <w:rPr>
                <w:rFonts w:ascii="Times New Roman" w:hAnsi="Times New Roman"/>
              </w:rPr>
            </w:pPr>
            <w:r w:rsidRPr="009E1B38">
              <w:rPr>
                <w:rFonts w:ascii="Times New Roman" w:hAnsi="Times New Roman"/>
              </w:rPr>
              <w:t>1</w:t>
            </w:r>
          </w:p>
        </w:tc>
        <w:tc>
          <w:tcPr>
            <w:tcW w:w="507" w:type="dxa"/>
            <w:tcBorders>
              <w:top w:val="single" w:sz="4" w:space="0" w:color="D9D9D9"/>
              <w:left w:val="single" w:sz="4" w:space="0" w:color="D9D9D9"/>
              <w:bottom w:val="single" w:sz="4" w:space="0" w:color="D9D9D9"/>
              <w:right w:val="single" w:sz="4" w:space="0" w:color="D9D9D9"/>
            </w:tcBorders>
          </w:tcPr>
          <w:p w14:paraId="7D4A92E7" w14:textId="77777777" w:rsidR="001C2BBC" w:rsidRPr="009E1B38" w:rsidRDefault="001C2BBC" w:rsidP="001C2BBC">
            <w:pPr>
              <w:spacing w:before="44"/>
              <w:jc w:val="center"/>
              <w:rPr>
                <w:rFonts w:ascii="Times New Roman" w:hAnsi="Times New Roman"/>
              </w:rPr>
            </w:pPr>
            <w:r w:rsidRPr="009E1B38">
              <w:rPr>
                <w:rFonts w:ascii="Times New Roman" w:hAnsi="Times New Roman"/>
              </w:rPr>
              <w:t>1</w:t>
            </w:r>
          </w:p>
        </w:tc>
        <w:tc>
          <w:tcPr>
            <w:tcW w:w="507" w:type="dxa"/>
            <w:tcBorders>
              <w:top w:val="single" w:sz="4" w:space="0" w:color="D9D9D9"/>
              <w:left w:val="single" w:sz="4" w:space="0" w:color="D9D9D9"/>
              <w:bottom w:val="single" w:sz="4" w:space="0" w:color="D9D9D9"/>
              <w:right w:val="single" w:sz="4" w:space="0" w:color="D9D9D9"/>
            </w:tcBorders>
          </w:tcPr>
          <w:p w14:paraId="7D4A92E8" w14:textId="77777777" w:rsidR="001C2BBC" w:rsidRPr="009E1B38" w:rsidRDefault="001C2BBC" w:rsidP="001C2BBC">
            <w:pPr>
              <w:rPr>
                <w:rFonts w:ascii="Times New Roman" w:hAnsi="Times New Roman"/>
              </w:rPr>
            </w:pPr>
          </w:p>
        </w:tc>
        <w:tc>
          <w:tcPr>
            <w:tcW w:w="507" w:type="dxa"/>
            <w:tcBorders>
              <w:top w:val="single" w:sz="4" w:space="0" w:color="D9D9D9"/>
              <w:left w:val="single" w:sz="4" w:space="0" w:color="D9D9D9"/>
              <w:bottom w:val="single" w:sz="4" w:space="0" w:color="D9D9D9"/>
              <w:right w:val="single" w:sz="4" w:space="0" w:color="D9D9D9"/>
            </w:tcBorders>
          </w:tcPr>
          <w:p w14:paraId="7D4A92E9" w14:textId="77777777" w:rsidR="001C2BBC" w:rsidRPr="009E1B38" w:rsidRDefault="001C2BBC" w:rsidP="001C2BBC">
            <w:pPr>
              <w:rPr>
                <w:rFonts w:ascii="Times New Roman" w:hAnsi="Times New Roman"/>
              </w:rPr>
            </w:pPr>
          </w:p>
        </w:tc>
        <w:tc>
          <w:tcPr>
            <w:tcW w:w="507" w:type="dxa"/>
            <w:tcBorders>
              <w:top w:val="single" w:sz="4" w:space="0" w:color="D9D9D9"/>
              <w:left w:val="single" w:sz="4" w:space="0" w:color="D9D9D9"/>
              <w:bottom w:val="single" w:sz="4" w:space="0" w:color="D9D9D9"/>
              <w:right w:val="single" w:sz="4" w:space="0" w:color="D9D9D9"/>
            </w:tcBorders>
          </w:tcPr>
          <w:p w14:paraId="7D4A92EA" w14:textId="77777777" w:rsidR="001C2BBC" w:rsidRPr="009E1B38" w:rsidRDefault="001C2BBC" w:rsidP="001C2BBC">
            <w:pPr>
              <w:rPr>
                <w:rFonts w:ascii="Times New Roman" w:hAnsi="Times New Roman"/>
              </w:rPr>
            </w:pPr>
          </w:p>
        </w:tc>
        <w:tc>
          <w:tcPr>
            <w:tcW w:w="511" w:type="dxa"/>
            <w:tcBorders>
              <w:top w:val="single" w:sz="4" w:space="0" w:color="D9D9D9"/>
              <w:left w:val="single" w:sz="4" w:space="0" w:color="D9D9D9"/>
              <w:bottom w:val="single" w:sz="4" w:space="0" w:color="D9D9D9"/>
              <w:right w:val="single" w:sz="4" w:space="0" w:color="D9D9D9"/>
            </w:tcBorders>
          </w:tcPr>
          <w:p w14:paraId="7D4A92EB" w14:textId="77777777" w:rsidR="001C2BBC" w:rsidRPr="009E1B38" w:rsidRDefault="001C2BBC" w:rsidP="001C2BBC">
            <w:pPr>
              <w:jc w:val="center"/>
              <w:rPr>
                <w:rFonts w:ascii="Times New Roman" w:hAnsi="Times New Roman"/>
              </w:rPr>
            </w:pPr>
          </w:p>
        </w:tc>
      </w:tr>
      <w:tr w:rsidR="001C2BBC" w:rsidRPr="009E1B38" w14:paraId="7D4A92FC" w14:textId="77777777" w:rsidTr="00FC2252">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14:paraId="7D4A92ED" w14:textId="3C0F0B19" w:rsidR="001C2BBC" w:rsidRPr="009E1B38" w:rsidRDefault="001C2BBC" w:rsidP="001C2BBC">
            <w:pPr>
              <w:spacing w:before="88"/>
              <w:ind w:left="65"/>
              <w:jc w:val="left"/>
              <w:rPr>
                <w:rFonts w:ascii="Times New Roman" w:hAnsi="Times New Roman"/>
                <w:sz w:val="24"/>
                <w:szCs w:val="24"/>
              </w:rPr>
            </w:pPr>
            <w:r w:rsidRPr="009E1B38">
              <w:rPr>
                <w:rFonts w:ascii="Times New Roman" w:hAnsi="Times New Roman"/>
                <w:b/>
                <w:spacing w:val="-1"/>
                <w:sz w:val="24"/>
                <w:szCs w:val="24"/>
              </w:rPr>
              <w:t>TO</w:t>
            </w:r>
            <w:r w:rsidR="00A117AE" w:rsidRPr="009E1B38">
              <w:rPr>
                <w:rFonts w:ascii="Times New Roman" w:hAnsi="Times New Roman"/>
                <w:b/>
                <w:spacing w:val="-1"/>
                <w:sz w:val="24"/>
                <w:szCs w:val="24"/>
              </w:rPr>
              <w:t>TAL</w:t>
            </w:r>
          </w:p>
        </w:tc>
        <w:tc>
          <w:tcPr>
            <w:tcW w:w="663" w:type="dxa"/>
            <w:tcBorders>
              <w:top w:val="single" w:sz="4" w:space="0" w:color="D9D9D9"/>
              <w:left w:val="single" w:sz="4" w:space="0" w:color="D9D9D9"/>
              <w:bottom w:val="single" w:sz="4" w:space="0" w:color="D9D9D9"/>
              <w:right w:val="single" w:sz="4" w:space="0" w:color="D9D9D9"/>
            </w:tcBorders>
          </w:tcPr>
          <w:p w14:paraId="7D4A92EE"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2</w:t>
            </w:r>
          </w:p>
        </w:tc>
        <w:tc>
          <w:tcPr>
            <w:tcW w:w="476" w:type="dxa"/>
            <w:tcBorders>
              <w:top w:val="single" w:sz="4" w:space="0" w:color="D9D9D9"/>
              <w:left w:val="single" w:sz="4" w:space="0" w:color="D9D9D9"/>
              <w:bottom w:val="single" w:sz="4" w:space="0" w:color="D9D9D9"/>
              <w:right w:val="single" w:sz="4" w:space="0" w:color="D9D9D9"/>
            </w:tcBorders>
          </w:tcPr>
          <w:p w14:paraId="7D4A92EF"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w:t>
            </w:r>
          </w:p>
        </w:tc>
        <w:tc>
          <w:tcPr>
            <w:tcW w:w="476" w:type="dxa"/>
            <w:tcBorders>
              <w:top w:val="single" w:sz="4" w:space="0" w:color="D9D9D9"/>
              <w:left w:val="single" w:sz="4" w:space="0" w:color="D9D9D9"/>
              <w:bottom w:val="single" w:sz="4" w:space="0" w:color="D9D9D9"/>
              <w:right w:val="single" w:sz="4" w:space="0" w:color="D9D9D9"/>
            </w:tcBorders>
          </w:tcPr>
          <w:p w14:paraId="7D4A92F0"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1</w:t>
            </w:r>
          </w:p>
        </w:tc>
        <w:tc>
          <w:tcPr>
            <w:tcW w:w="476" w:type="dxa"/>
            <w:tcBorders>
              <w:top w:val="single" w:sz="4" w:space="0" w:color="D9D9D9"/>
              <w:left w:val="single" w:sz="4" w:space="0" w:color="D9D9D9"/>
              <w:bottom w:val="single" w:sz="4" w:space="0" w:color="D9D9D9"/>
              <w:right w:val="single" w:sz="4" w:space="0" w:color="D9D9D9"/>
            </w:tcBorders>
          </w:tcPr>
          <w:p w14:paraId="7D4A92F1"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1</w:t>
            </w:r>
          </w:p>
        </w:tc>
        <w:tc>
          <w:tcPr>
            <w:tcW w:w="476" w:type="dxa"/>
            <w:tcBorders>
              <w:top w:val="single" w:sz="4" w:space="0" w:color="D9D9D9"/>
              <w:left w:val="single" w:sz="4" w:space="0" w:color="D9D9D9"/>
              <w:bottom w:val="single" w:sz="4" w:space="0" w:color="D9D9D9"/>
              <w:right w:val="single" w:sz="4" w:space="0" w:color="D9D9D9"/>
            </w:tcBorders>
          </w:tcPr>
          <w:p w14:paraId="7D4A92F2"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w:t>
            </w:r>
          </w:p>
        </w:tc>
        <w:tc>
          <w:tcPr>
            <w:tcW w:w="480" w:type="dxa"/>
            <w:tcBorders>
              <w:top w:val="single" w:sz="4" w:space="0" w:color="D9D9D9"/>
              <w:left w:val="single" w:sz="4" w:space="0" w:color="D9D9D9"/>
              <w:bottom w:val="single" w:sz="4" w:space="0" w:color="D9D9D9"/>
              <w:right w:val="single" w:sz="4" w:space="0" w:color="D9D9D9"/>
            </w:tcBorders>
          </w:tcPr>
          <w:p w14:paraId="7D4A92F3"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w:t>
            </w:r>
          </w:p>
        </w:tc>
        <w:tc>
          <w:tcPr>
            <w:tcW w:w="507" w:type="dxa"/>
            <w:tcBorders>
              <w:top w:val="single" w:sz="4" w:space="0" w:color="D9D9D9"/>
              <w:left w:val="single" w:sz="4" w:space="0" w:color="D9D9D9"/>
              <w:bottom w:val="single" w:sz="4" w:space="0" w:color="D9D9D9"/>
              <w:right w:val="single" w:sz="4" w:space="0" w:color="D9D9D9"/>
            </w:tcBorders>
          </w:tcPr>
          <w:p w14:paraId="7D4A92F4"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2</w:t>
            </w:r>
          </w:p>
        </w:tc>
        <w:tc>
          <w:tcPr>
            <w:tcW w:w="509" w:type="dxa"/>
            <w:tcBorders>
              <w:top w:val="single" w:sz="4" w:space="0" w:color="D9D9D9"/>
              <w:left w:val="single" w:sz="4" w:space="0" w:color="D9D9D9"/>
              <w:bottom w:val="single" w:sz="4" w:space="0" w:color="D9D9D9"/>
              <w:right w:val="single" w:sz="4" w:space="0" w:color="D9D9D9"/>
            </w:tcBorders>
          </w:tcPr>
          <w:p w14:paraId="7D4A92F5"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w:t>
            </w:r>
          </w:p>
        </w:tc>
        <w:tc>
          <w:tcPr>
            <w:tcW w:w="507" w:type="dxa"/>
            <w:tcBorders>
              <w:top w:val="single" w:sz="4" w:space="0" w:color="D9D9D9"/>
              <w:left w:val="single" w:sz="4" w:space="0" w:color="D9D9D9"/>
              <w:bottom w:val="single" w:sz="4" w:space="0" w:color="D9D9D9"/>
              <w:right w:val="single" w:sz="4" w:space="0" w:color="D9D9D9"/>
            </w:tcBorders>
          </w:tcPr>
          <w:p w14:paraId="7D4A92F6"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1</w:t>
            </w:r>
          </w:p>
        </w:tc>
        <w:tc>
          <w:tcPr>
            <w:tcW w:w="507" w:type="dxa"/>
            <w:tcBorders>
              <w:top w:val="single" w:sz="4" w:space="0" w:color="D9D9D9"/>
              <w:left w:val="single" w:sz="4" w:space="0" w:color="D9D9D9"/>
              <w:bottom w:val="single" w:sz="4" w:space="0" w:color="D9D9D9"/>
              <w:right w:val="single" w:sz="4" w:space="0" w:color="D9D9D9"/>
            </w:tcBorders>
          </w:tcPr>
          <w:p w14:paraId="7D4A92F7"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1</w:t>
            </w:r>
          </w:p>
        </w:tc>
        <w:tc>
          <w:tcPr>
            <w:tcW w:w="507" w:type="dxa"/>
            <w:tcBorders>
              <w:top w:val="single" w:sz="4" w:space="0" w:color="D9D9D9"/>
              <w:left w:val="single" w:sz="4" w:space="0" w:color="D9D9D9"/>
              <w:bottom w:val="single" w:sz="4" w:space="0" w:color="D9D9D9"/>
              <w:right w:val="single" w:sz="4" w:space="0" w:color="D9D9D9"/>
            </w:tcBorders>
          </w:tcPr>
          <w:p w14:paraId="7D4A92F8"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w:t>
            </w:r>
          </w:p>
        </w:tc>
        <w:tc>
          <w:tcPr>
            <w:tcW w:w="507" w:type="dxa"/>
            <w:tcBorders>
              <w:top w:val="single" w:sz="4" w:space="0" w:color="D9D9D9"/>
              <w:left w:val="single" w:sz="4" w:space="0" w:color="D9D9D9"/>
              <w:bottom w:val="single" w:sz="4" w:space="0" w:color="D9D9D9"/>
              <w:right w:val="single" w:sz="4" w:space="0" w:color="D9D9D9"/>
            </w:tcBorders>
          </w:tcPr>
          <w:p w14:paraId="7D4A92F9"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w:t>
            </w:r>
          </w:p>
        </w:tc>
        <w:tc>
          <w:tcPr>
            <w:tcW w:w="507" w:type="dxa"/>
            <w:tcBorders>
              <w:top w:val="single" w:sz="4" w:space="0" w:color="D9D9D9"/>
              <w:left w:val="single" w:sz="4" w:space="0" w:color="D9D9D9"/>
              <w:bottom w:val="single" w:sz="4" w:space="0" w:color="D9D9D9"/>
              <w:right w:val="single" w:sz="4" w:space="0" w:color="D9D9D9"/>
            </w:tcBorders>
          </w:tcPr>
          <w:p w14:paraId="7D4A92FA"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w:t>
            </w:r>
          </w:p>
        </w:tc>
        <w:tc>
          <w:tcPr>
            <w:tcW w:w="511" w:type="dxa"/>
            <w:tcBorders>
              <w:top w:val="single" w:sz="4" w:space="0" w:color="D9D9D9"/>
              <w:left w:val="single" w:sz="4" w:space="0" w:color="D9D9D9"/>
              <w:bottom w:val="single" w:sz="4" w:space="0" w:color="D9D9D9"/>
              <w:right w:val="single" w:sz="4" w:space="0" w:color="D9D9D9"/>
            </w:tcBorders>
          </w:tcPr>
          <w:p w14:paraId="7D4A92FB" w14:textId="77777777" w:rsidR="001C2BBC" w:rsidRPr="009E1B38" w:rsidRDefault="001C2BBC" w:rsidP="001C2BBC">
            <w:pPr>
              <w:spacing w:before="44"/>
              <w:jc w:val="center"/>
              <w:rPr>
                <w:rFonts w:ascii="Times New Roman" w:hAnsi="Times New Roman"/>
              </w:rPr>
            </w:pPr>
            <w:r w:rsidRPr="009E1B38">
              <w:rPr>
                <w:rFonts w:ascii="Times New Roman" w:hAnsi="Times New Roman"/>
                <w:b/>
              </w:rPr>
              <w:t>-</w:t>
            </w:r>
          </w:p>
        </w:tc>
      </w:tr>
    </w:tbl>
    <w:tbl>
      <w:tblPr>
        <w:tblStyle w:val="TableNormal100000"/>
        <w:tblW w:w="9911" w:type="dxa"/>
        <w:tblLayout w:type="fixed"/>
        <w:tblLook w:val="01E0" w:firstRow="1" w:lastRow="1" w:firstColumn="1" w:lastColumn="1" w:noHBand="0" w:noVBand="0"/>
      </w:tblPr>
      <w:tblGrid>
        <w:gridCol w:w="2802"/>
        <w:gridCol w:w="663"/>
        <w:gridCol w:w="476"/>
        <w:gridCol w:w="476"/>
        <w:gridCol w:w="476"/>
        <w:gridCol w:w="476"/>
        <w:gridCol w:w="480"/>
        <w:gridCol w:w="507"/>
        <w:gridCol w:w="509"/>
        <w:gridCol w:w="507"/>
        <w:gridCol w:w="507"/>
        <w:gridCol w:w="507"/>
        <w:gridCol w:w="507"/>
        <w:gridCol w:w="507"/>
        <w:gridCol w:w="511"/>
      </w:tblGrid>
      <w:tr w:rsidR="00AB1FC8" w:rsidRPr="009E1B38" w14:paraId="02477D9B" w14:textId="77777777" w:rsidTr="00FC2252">
        <w:trPr>
          <w:trHeight w:hRule="exact" w:val="407"/>
        </w:trPr>
        <w:tc>
          <w:tcPr>
            <w:tcW w:w="2802" w:type="dxa"/>
          </w:tcPr>
          <w:p w14:paraId="1EC2265D" w14:textId="77777777" w:rsidR="00AB1FC8" w:rsidRPr="009E1B38" w:rsidRDefault="00AB1FC8" w:rsidP="001C2BBC">
            <w:pPr>
              <w:spacing w:before="88"/>
              <w:ind w:left="65"/>
              <w:jc w:val="left"/>
              <w:rPr>
                <w:rFonts w:ascii="Times New Roman" w:hAnsi="Times New Roman"/>
                <w:b/>
                <w:spacing w:val="-1"/>
              </w:rPr>
            </w:pPr>
          </w:p>
          <w:p w14:paraId="3FDDBCBE" w14:textId="77777777" w:rsidR="00AB1FC8" w:rsidRPr="009E1B38" w:rsidRDefault="00AB1FC8" w:rsidP="001C2BBC">
            <w:pPr>
              <w:spacing w:before="88"/>
              <w:ind w:left="65"/>
              <w:jc w:val="left"/>
              <w:rPr>
                <w:rFonts w:ascii="Times New Roman" w:hAnsi="Times New Roman"/>
                <w:b/>
                <w:spacing w:val="-1"/>
              </w:rPr>
            </w:pPr>
          </w:p>
          <w:p w14:paraId="383186A2" w14:textId="77777777" w:rsidR="00AB1FC8" w:rsidRPr="009E1B38" w:rsidRDefault="00AB1FC8" w:rsidP="001C2BBC">
            <w:pPr>
              <w:spacing w:before="88"/>
              <w:ind w:left="65"/>
              <w:jc w:val="left"/>
              <w:rPr>
                <w:rFonts w:ascii="Times New Roman" w:hAnsi="Times New Roman"/>
                <w:b/>
                <w:spacing w:val="-1"/>
              </w:rPr>
            </w:pPr>
          </w:p>
          <w:p w14:paraId="20430FDC" w14:textId="77777777" w:rsidR="00AB1FC8" w:rsidRPr="009E1B38" w:rsidRDefault="00AB1FC8" w:rsidP="001C2BBC">
            <w:pPr>
              <w:spacing w:before="88"/>
              <w:ind w:left="65"/>
              <w:jc w:val="left"/>
              <w:rPr>
                <w:rFonts w:ascii="Times New Roman" w:hAnsi="Times New Roman"/>
                <w:b/>
                <w:spacing w:val="-1"/>
              </w:rPr>
            </w:pPr>
          </w:p>
          <w:p w14:paraId="4A9277EF" w14:textId="77777777" w:rsidR="00AB1FC8" w:rsidRPr="009E1B38" w:rsidRDefault="00AB1FC8" w:rsidP="001C2BBC">
            <w:pPr>
              <w:spacing w:before="88"/>
              <w:ind w:left="65"/>
              <w:jc w:val="left"/>
              <w:rPr>
                <w:rFonts w:ascii="Times New Roman" w:hAnsi="Times New Roman"/>
                <w:b/>
                <w:spacing w:val="-1"/>
              </w:rPr>
            </w:pPr>
          </w:p>
          <w:p w14:paraId="50D090D4" w14:textId="47C4237E" w:rsidR="00AB1FC8" w:rsidRPr="009E1B38" w:rsidRDefault="00AB1FC8" w:rsidP="001C2BBC">
            <w:pPr>
              <w:spacing w:before="88"/>
              <w:ind w:left="65"/>
              <w:jc w:val="left"/>
              <w:rPr>
                <w:rFonts w:ascii="Times New Roman" w:hAnsi="Times New Roman"/>
                <w:b/>
                <w:spacing w:val="-1"/>
              </w:rPr>
            </w:pPr>
          </w:p>
        </w:tc>
        <w:tc>
          <w:tcPr>
            <w:tcW w:w="663" w:type="dxa"/>
          </w:tcPr>
          <w:p w14:paraId="6C50FAD7" w14:textId="77777777" w:rsidR="00AB1FC8" w:rsidRPr="009E1B38" w:rsidRDefault="00AB1FC8" w:rsidP="001C2BBC">
            <w:pPr>
              <w:spacing w:before="44"/>
              <w:jc w:val="center"/>
              <w:rPr>
                <w:rFonts w:ascii="Times New Roman" w:hAnsi="Times New Roman"/>
                <w:b/>
              </w:rPr>
            </w:pPr>
          </w:p>
        </w:tc>
        <w:tc>
          <w:tcPr>
            <w:tcW w:w="476" w:type="dxa"/>
          </w:tcPr>
          <w:p w14:paraId="79B40489" w14:textId="77777777" w:rsidR="00AB1FC8" w:rsidRPr="009E1B38" w:rsidRDefault="00AB1FC8" w:rsidP="001C2BBC">
            <w:pPr>
              <w:spacing w:before="44"/>
              <w:jc w:val="center"/>
              <w:rPr>
                <w:rFonts w:ascii="Times New Roman" w:hAnsi="Times New Roman"/>
                <w:b/>
              </w:rPr>
            </w:pPr>
          </w:p>
        </w:tc>
        <w:tc>
          <w:tcPr>
            <w:tcW w:w="476" w:type="dxa"/>
          </w:tcPr>
          <w:p w14:paraId="0A1EF47C" w14:textId="77777777" w:rsidR="00AB1FC8" w:rsidRPr="009E1B38" w:rsidRDefault="00AB1FC8" w:rsidP="001C2BBC">
            <w:pPr>
              <w:spacing w:before="44"/>
              <w:jc w:val="center"/>
              <w:rPr>
                <w:rFonts w:ascii="Times New Roman" w:hAnsi="Times New Roman"/>
                <w:b/>
              </w:rPr>
            </w:pPr>
          </w:p>
        </w:tc>
        <w:tc>
          <w:tcPr>
            <w:tcW w:w="476" w:type="dxa"/>
          </w:tcPr>
          <w:p w14:paraId="6095DE22" w14:textId="77777777" w:rsidR="00AB1FC8" w:rsidRPr="009E1B38" w:rsidRDefault="00AB1FC8" w:rsidP="001C2BBC">
            <w:pPr>
              <w:spacing w:before="44"/>
              <w:jc w:val="center"/>
              <w:rPr>
                <w:rFonts w:ascii="Times New Roman" w:hAnsi="Times New Roman"/>
                <w:b/>
              </w:rPr>
            </w:pPr>
          </w:p>
        </w:tc>
        <w:tc>
          <w:tcPr>
            <w:tcW w:w="476" w:type="dxa"/>
          </w:tcPr>
          <w:p w14:paraId="7077BB2E" w14:textId="77777777" w:rsidR="00AB1FC8" w:rsidRPr="009E1B38" w:rsidRDefault="00AB1FC8" w:rsidP="001C2BBC">
            <w:pPr>
              <w:spacing w:before="44"/>
              <w:jc w:val="center"/>
              <w:rPr>
                <w:rFonts w:ascii="Times New Roman" w:hAnsi="Times New Roman"/>
                <w:b/>
              </w:rPr>
            </w:pPr>
          </w:p>
        </w:tc>
        <w:tc>
          <w:tcPr>
            <w:tcW w:w="480" w:type="dxa"/>
          </w:tcPr>
          <w:p w14:paraId="3C54C514" w14:textId="77777777" w:rsidR="00AB1FC8" w:rsidRPr="009E1B38" w:rsidRDefault="00AB1FC8" w:rsidP="001C2BBC">
            <w:pPr>
              <w:spacing w:before="44"/>
              <w:jc w:val="center"/>
              <w:rPr>
                <w:rFonts w:ascii="Times New Roman" w:hAnsi="Times New Roman"/>
                <w:b/>
              </w:rPr>
            </w:pPr>
          </w:p>
        </w:tc>
        <w:tc>
          <w:tcPr>
            <w:tcW w:w="507" w:type="dxa"/>
          </w:tcPr>
          <w:p w14:paraId="1B19635D" w14:textId="77777777" w:rsidR="00AB1FC8" w:rsidRPr="009E1B38" w:rsidRDefault="00AB1FC8" w:rsidP="001C2BBC">
            <w:pPr>
              <w:spacing w:before="44"/>
              <w:jc w:val="center"/>
              <w:rPr>
                <w:rFonts w:ascii="Times New Roman" w:hAnsi="Times New Roman"/>
                <w:b/>
              </w:rPr>
            </w:pPr>
          </w:p>
        </w:tc>
        <w:tc>
          <w:tcPr>
            <w:tcW w:w="509" w:type="dxa"/>
          </w:tcPr>
          <w:p w14:paraId="3805AB1F" w14:textId="77777777" w:rsidR="00AB1FC8" w:rsidRPr="009E1B38" w:rsidRDefault="00AB1FC8" w:rsidP="001C2BBC">
            <w:pPr>
              <w:spacing w:before="44"/>
              <w:jc w:val="center"/>
              <w:rPr>
                <w:rFonts w:ascii="Times New Roman" w:hAnsi="Times New Roman"/>
                <w:b/>
              </w:rPr>
            </w:pPr>
          </w:p>
        </w:tc>
        <w:tc>
          <w:tcPr>
            <w:tcW w:w="507" w:type="dxa"/>
          </w:tcPr>
          <w:p w14:paraId="4C8290EA" w14:textId="77777777" w:rsidR="00AB1FC8" w:rsidRPr="009E1B38" w:rsidRDefault="00AB1FC8" w:rsidP="001C2BBC">
            <w:pPr>
              <w:spacing w:before="44"/>
              <w:jc w:val="center"/>
              <w:rPr>
                <w:rFonts w:ascii="Times New Roman" w:hAnsi="Times New Roman"/>
                <w:b/>
              </w:rPr>
            </w:pPr>
          </w:p>
        </w:tc>
        <w:tc>
          <w:tcPr>
            <w:tcW w:w="507" w:type="dxa"/>
          </w:tcPr>
          <w:p w14:paraId="47FE33E1" w14:textId="77777777" w:rsidR="00AB1FC8" w:rsidRPr="009E1B38" w:rsidRDefault="00AB1FC8" w:rsidP="001C2BBC">
            <w:pPr>
              <w:spacing w:before="44"/>
              <w:jc w:val="center"/>
              <w:rPr>
                <w:rFonts w:ascii="Times New Roman" w:hAnsi="Times New Roman"/>
                <w:b/>
              </w:rPr>
            </w:pPr>
          </w:p>
        </w:tc>
        <w:tc>
          <w:tcPr>
            <w:tcW w:w="507" w:type="dxa"/>
          </w:tcPr>
          <w:p w14:paraId="7E191487" w14:textId="77777777" w:rsidR="00AB1FC8" w:rsidRPr="009E1B38" w:rsidRDefault="00AB1FC8" w:rsidP="001C2BBC">
            <w:pPr>
              <w:spacing w:before="44"/>
              <w:jc w:val="center"/>
              <w:rPr>
                <w:rFonts w:ascii="Times New Roman" w:hAnsi="Times New Roman"/>
                <w:b/>
              </w:rPr>
            </w:pPr>
          </w:p>
        </w:tc>
        <w:tc>
          <w:tcPr>
            <w:tcW w:w="507" w:type="dxa"/>
          </w:tcPr>
          <w:p w14:paraId="23357E6C" w14:textId="77777777" w:rsidR="00AB1FC8" w:rsidRPr="009E1B38" w:rsidRDefault="00AB1FC8" w:rsidP="001C2BBC">
            <w:pPr>
              <w:spacing w:before="44"/>
              <w:jc w:val="center"/>
              <w:rPr>
                <w:rFonts w:ascii="Times New Roman" w:hAnsi="Times New Roman"/>
                <w:b/>
              </w:rPr>
            </w:pPr>
          </w:p>
        </w:tc>
        <w:tc>
          <w:tcPr>
            <w:tcW w:w="507" w:type="dxa"/>
          </w:tcPr>
          <w:p w14:paraId="563FC6FB" w14:textId="77777777" w:rsidR="00AB1FC8" w:rsidRPr="009E1B38" w:rsidRDefault="00AB1FC8" w:rsidP="001C2BBC">
            <w:pPr>
              <w:spacing w:before="44"/>
              <w:jc w:val="center"/>
              <w:rPr>
                <w:rFonts w:ascii="Times New Roman" w:hAnsi="Times New Roman"/>
                <w:b/>
              </w:rPr>
            </w:pPr>
          </w:p>
        </w:tc>
        <w:tc>
          <w:tcPr>
            <w:tcW w:w="511" w:type="dxa"/>
          </w:tcPr>
          <w:p w14:paraId="67C16B8A" w14:textId="77777777" w:rsidR="00AB1FC8" w:rsidRPr="009E1B38" w:rsidRDefault="00AB1FC8" w:rsidP="001C2BBC">
            <w:pPr>
              <w:spacing w:before="44"/>
              <w:jc w:val="center"/>
              <w:rPr>
                <w:rFonts w:ascii="Times New Roman" w:hAnsi="Times New Roman"/>
                <w:b/>
              </w:rPr>
            </w:pPr>
          </w:p>
        </w:tc>
      </w:tr>
    </w:tbl>
    <w:p w14:paraId="7D4A92FD" w14:textId="77777777" w:rsidR="00633B0C" w:rsidRPr="009E1B38" w:rsidRDefault="00633B0C" w:rsidP="00633B0C">
      <w:pPr>
        <w:spacing w:after="0"/>
        <w:rPr>
          <w:rFonts w:ascii="Times New Roman" w:hAnsi="Times New Roman"/>
        </w:rPr>
      </w:pPr>
    </w:p>
    <w:p w14:paraId="2B18D162" w14:textId="77777777" w:rsidR="00AB1FC8" w:rsidRPr="009E1B38" w:rsidRDefault="00AB1FC8" w:rsidP="00633B0C">
      <w:pPr>
        <w:spacing w:after="0"/>
        <w:rPr>
          <w:rFonts w:ascii="Times New Roman" w:hAnsi="Times New Roman"/>
        </w:rPr>
      </w:pPr>
    </w:p>
    <w:p w14:paraId="1EBCC713" w14:textId="77777777" w:rsidR="00AB1FC8" w:rsidRPr="009E1B38" w:rsidRDefault="00AB1FC8" w:rsidP="00633B0C">
      <w:pPr>
        <w:spacing w:after="0"/>
        <w:rPr>
          <w:rFonts w:ascii="Times New Roman" w:hAnsi="Times New Roman"/>
        </w:rPr>
      </w:pPr>
    </w:p>
    <w:p w14:paraId="7D4A92FE" w14:textId="465AE49B" w:rsidR="00633B0C" w:rsidRPr="009E1B38" w:rsidRDefault="0082470D" w:rsidP="002F3B01">
      <w:pPr>
        <w:pStyle w:val="Balk5"/>
        <w:jc w:val="center"/>
        <w:rPr>
          <w:rFonts w:ascii="Times New Roman" w:hAnsi="Times New Roman" w:cs="Times New Roman"/>
        </w:rPr>
      </w:pPr>
      <w:bookmarkStart w:id="375" w:name="_Toc107499571"/>
      <w:r w:rsidRPr="009E1B38">
        <w:rPr>
          <w:rFonts w:ascii="Times New Roman" w:hAnsi="Times New Roman" w:cs="Times New Roman"/>
        </w:rPr>
        <w:t>Table</w:t>
      </w:r>
      <w:r w:rsidR="00633B0C" w:rsidRPr="009E1B38">
        <w:rPr>
          <w:rFonts w:ascii="Times New Roman" w:hAnsi="Times New Roman" w:cs="Times New Roman"/>
        </w:rPr>
        <w:t xml:space="preserve"> 1</w:t>
      </w:r>
      <w:r w:rsidR="00456863" w:rsidRPr="009E1B38">
        <w:rPr>
          <w:rFonts w:ascii="Times New Roman" w:hAnsi="Times New Roman" w:cs="Times New Roman"/>
        </w:rPr>
        <w:t>3</w:t>
      </w:r>
      <w:r w:rsidR="00633B0C" w:rsidRPr="009E1B38">
        <w:rPr>
          <w:rFonts w:ascii="Times New Roman" w:hAnsi="Times New Roman" w:cs="Times New Roman"/>
        </w:rPr>
        <w:t>.</w:t>
      </w:r>
      <w:r w:rsidR="00992142" w:rsidRPr="009E1B38">
        <w:rPr>
          <w:rFonts w:ascii="Times New Roman" w:hAnsi="Times New Roman" w:cs="Times New Roman"/>
        </w:rPr>
        <w:t>6</w:t>
      </w:r>
      <w:r w:rsidR="00633B0C" w:rsidRPr="009E1B38">
        <w:rPr>
          <w:rFonts w:ascii="Times New Roman" w:hAnsi="Times New Roman" w:cs="Times New Roman"/>
        </w:rPr>
        <w:t xml:space="preserve">: </w:t>
      </w:r>
      <w:r w:rsidR="00001F57" w:rsidRPr="009E1B38">
        <w:rPr>
          <w:rFonts w:ascii="Times New Roman" w:hAnsi="Times New Roman" w:cs="Times New Roman"/>
        </w:rPr>
        <w:t>Distribution of Cadres (Permanent Worker)</w:t>
      </w:r>
      <w:bookmarkEnd w:id="375"/>
    </w:p>
    <w:tbl>
      <w:tblPr>
        <w:tblW w:w="4788"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678"/>
        <w:gridCol w:w="1118"/>
        <w:gridCol w:w="1314"/>
        <w:gridCol w:w="542"/>
        <w:gridCol w:w="542"/>
        <w:gridCol w:w="544"/>
        <w:gridCol w:w="544"/>
        <w:gridCol w:w="544"/>
        <w:gridCol w:w="555"/>
        <w:gridCol w:w="638"/>
        <w:gridCol w:w="615"/>
      </w:tblGrid>
      <w:tr w:rsidR="00633B0C" w:rsidRPr="009E1B38" w14:paraId="7D4A9304" w14:textId="77777777" w:rsidTr="00897643">
        <w:trPr>
          <w:trHeight w:val="227"/>
          <w:tblHeader/>
          <w:jc w:val="center"/>
        </w:trPr>
        <w:tc>
          <w:tcPr>
            <w:tcW w:w="1400" w:type="pct"/>
            <w:vMerge w:val="restart"/>
            <w:shd w:val="clear" w:color="auto" w:fill="6E9ECA"/>
            <w:noWrap/>
            <w:vAlign w:val="center"/>
          </w:tcPr>
          <w:p w14:paraId="7D4A92FF" w14:textId="432D35A3" w:rsidR="00633B0C" w:rsidRPr="009E1B38" w:rsidRDefault="00C66D73"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TITLE OF CADRES</w:t>
            </w:r>
          </w:p>
        </w:tc>
        <w:tc>
          <w:tcPr>
            <w:tcW w:w="557" w:type="pct"/>
            <w:vMerge w:val="restart"/>
            <w:shd w:val="clear" w:color="auto" w:fill="6E9ECA"/>
            <w:vAlign w:val="center"/>
          </w:tcPr>
          <w:p w14:paraId="7D4A9300" w14:textId="28F45C12" w:rsidR="00633B0C" w:rsidRPr="009E1B38" w:rsidRDefault="00C66D73"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 xml:space="preserve">NUMBER OF TOTAL CADRES </w:t>
            </w:r>
          </w:p>
        </w:tc>
        <w:tc>
          <w:tcPr>
            <w:tcW w:w="617" w:type="pct"/>
            <w:vMerge w:val="restart"/>
            <w:shd w:val="clear" w:color="auto" w:fill="6E9ECA"/>
            <w:vAlign w:val="center"/>
          </w:tcPr>
          <w:p w14:paraId="7D4A9301" w14:textId="70B94546" w:rsidR="00633B0C" w:rsidRPr="009E1B38" w:rsidRDefault="00C66D73"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NUMBER OF OCCUPIED CADRES</w:t>
            </w:r>
          </w:p>
        </w:tc>
        <w:tc>
          <w:tcPr>
            <w:tcW w:w="1756" w:type="pct"/>
            <w:gridSpan w:val="6"/>
            <w:shd w:val="clear" w:color="auto" w:fill="6E9ECA"/>
            <w:vAlign w:val="center"/>
          </w:tcPr>
          <w:p w14:paraId="7D4A9302" w14:textId="77C5291B" w:rsidR="00633B0C" w:rsidRPr="009E1B38" w:rsidRDefault="00396B39"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EDUCATION</w:t>
            </w:r>
          </w:p>
        </w:tc>
        <w:tc>
          <w:tcPr>
            <w:tcW w:w="670" w:type="pct"/>
            <w:gridSpan w:val="2"/>
            <w:shd w:val="clear" w:color="auto" w:fill="6E9ECA"/>
            <w:noWrap/>
            <w:vAlign w:val="center"/>
          </w:tcPr>
          <w:p w14:paraId="7D4A9303" w14:textId="2983018B" w:rsidR="00633B0C" w:rsidRPr="009E1B38" w:rsidRDefault="00396B39"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GENDER</w:t>
            </w:r>
          </w:p>
        </w:tc>
      </w:tr>
      <w:tr w:rsidR="00633B0C" w:rsidRPr="009E1B38" w14:paraId="7D4A9310" w14:textId="77777777" w:rsidTr="00897643">
        <w:trPr>
          <w:trHeight w:val="1549"/>
          <w:tblHeader/>
          <w:jc w:val="center"/>
        </w:trPr>
        <w:tc>
          <w:tcPr>
            <w:tcW w:w="1400" w:type="pct"/>
            <w:vMerge/>
            <w:shd w:val="clear" w:color="auto" w:fill="6E9ECA"/>
            <w:vAlign w:val="center"/>
          </w:tcPr>
          <w:p w14:paraId="7D4A9305" w14:textId="77777777" w:rsidR="00633B0C" w:rsidRPr="009E1B38" w:rsidRDefault="00633B0C" w:rsidP="00162B0C">
            <w:pPr>
              <w:spacing w:after="0"/>
              <w:rPr>
                <w:rFonts w:ascii="Times New Roman" w:hAnsi="Times New Roman"/>
                <w:b/>
                <w:color w:val="FFFFFF" w:themeColor="background1"/>
              </w:rPr>
            </w:pPr>
          </w:p>
        </w:tc>
        <w:tc>
          <w:tcPr>
            <w:tcW w:w="557" w:type="pct"/>
            <w:vMerge/>
            <w:shd w:val="clear" w:color="auto" w:fill="6E9ECA"/>
            <w:vAlign w:val="center"/>
          </w:tcPr>
          <w:p w14:paraId="7D4A9306" w14:textId="77777777" w:rsidR="00633B0C" w:rsidRPr="009E1B38" w:rsidRDefault="00633B0C" w:rsidP="00162B0C">
            <w:pPr>
              <w:spacing w:after="0"/>
              <w:jc w:val="center"/>
              <w:rPr>
                <w:rFonts w:ascii="Times New Roman" w:hAnsi="Times New Roman"/>
                <w:b/>
                <w:color w:val="FFFFFF" w:themeColor="background1"/>
              </w:rPr>
            </w:pPr>
          </w:p>
        </w:tc>
        <w:tc>
          <w:tcPr>
            <w:tcW w:w="617" w:type="pct"/>
            <w:vMerge/>
            <w:shd w:val="clear" w:color="auto" w:fill="6E9ECA"/>
            <w:vAlign w:val="center"/>
          </w:tcPr>
          <w:p w14:paraId="7D4A9307" w14:textId="77777777" w:rsidR="00633B0C" w:rsidRPr="009E1B38" w:rsidRDefault="00633B0C" w:rsidP="00162B0C">
            <w:pPr>
              <w:spacing w:after="0"/>
              <w:jc w:val="center"/>
              <w:rPr>
                <w:rFonts w:ascii="Times New Roman" w:hAnsi="Times New Roman"/>
                <w:b/>
                <w:color w:val="FFFFFF" w:themeColor="background1"/>
              </w:rPr>
            </w:pPr>
          </w:p>
        </w:tc>
        <w:tc>
          <w:tcPr>
            <w:tcW w:w="291" w:type="pct"/>
            <w:shd w:val="clear" w:color="auto" w:fill="6E9ECA"/>
            <w:noWrap/>
            <w:textDirection w:val="btLr"/>
            <w:vAlign w:val="center"/>
          </w:tcPr>
          <w:p w14:paraId="7D4A9308" w14:textId="07B568A9" w:rsidR="00633B0C" w:rsidRPr="009E1B38" w:rsidRDefault="00897643"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PRIMARY SCHOOL</w:t>
            </w:r>
          </w:p>
        </w:tc>
        <w:tc>
          <w:tcPr>
            <w:tcW w:w="291" w:type="pct"/>
            <w:shd w:val="clear" w:color="auto" w:fill="6E9ECA"/>
            <w:textDirection w:val="btLr"/>
            <w:vAlign w:val="center"/>
          </w:tcPr>
          <w:p w14:paraId="7D4A9309" w14:textId="30A8CC38" w:rsidR="00633B0C" w:rsidRPr="009E1B38" w:rsidRDefault="00897643"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SECONDARY SCHOOL</w:t>
            </w:r>
          </w:p>
        </w:tc>
        <w:tc>
          <w:tcPr>
            <w:tcW w:w="292" w:type="pct"/>
            <w:shd w:val="clear" w:color="auto" w:fill="6E9ECA"/>
            <w:textDirection w:val="btLr"/>
            <w:vAlign w:val="center"/>
          </w:tcPr>
          <w:p w14:paraId="7D4A930A" w14:textId="1DF02819" w:rsidR="00633B0C" w:rsidRPr="009E1B38" w:rsidRDefault="00897643"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ASSOCIATE’S DEGREE</w:t>
            </w:r>
          </w:p>
        </w:tc>
        <w:tc>
          <w:tcPr>
            <w:tcW w:w="292" w:type="pct"/>
            <w:shd w:val="clear" w:color="auto" w:fill="6E9ECA"/>
            <w:textDirection w:val="btLr"/>
            <w:vAlign w:val="center"/>
          </w:tcPr>
          <w:p w14:paraId="7D4A930B" w14:textId="085E4EC8" w:rsidR="00633B0C" w:rsidRPr="009E1B38" w:rsidRDefault="00897643"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BACHELOR’S DEGREE</w:t>
            </w:r>
          </w:p>
        </w:tc>
        <w:tc>
          <w:tcPr>
            <w:tcW w:w="292" w:type="pct"/>
            <w:shd w:val="clear" w:color="auto" w:fill="6E9ECA"/>
            <w:textDirection w:val="btLr"/>
            <w:vAlign w:val="center"/>
          </w:tcPr>
          <w:p w14:paraId="7D4A930C" w14:textId="3093BCDB" w:rsidR="00633B0C" w:rsidRPr="009E1B38" w:rsidRDefault="00897643"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MASTERS</w:t>
            </w:r>
          </w:p>
        </w:tc>
        <w:tc>
          <w:tcPr>
            <w:tcW w:w="297" w:type="pct"/>
            <w:shd w:val="clear" w:color="auto" w:fill="6E9ECA"/>
            <w:textDirection w:val="btLr"/>
            <w:vAlign w:val="center"/>
          </w:tcPr>
          <w:p w14:paraId="7D4A930D" w14:textId="39A6AF55" w:rsidR="00633B0C" w:rsidRPr="009E1B38" w:rsidRDefault="00897643"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DOCTORATE</w:t>
            </w:r>
          </w:p>
        </w:tc>
        <w:tc>
          <w:tcPr>
            <w:tcW w:w="341" w:type="pct"/>
            <w:shd w:val="clear" w:color="auto" w:fill="6E9ECA"/>
            <w:textDirection w:val="btLr"/>
            <w:vAlign w:val="center"/>
          </w:tcPr>
          <w:p w14:paraId="7D4A930E" w14:textId="2545B872" w:rsidR="00633B0C" w:rsidRPr="009E1B38" w:rsidRDefault="00897643"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FEMALE</w:t>
            </w:r>
          </w:p>
        </w:tc>
        <w:tc>
          <w:tcPr>
            <w:tcW w:w="329" w:type="pct"/>
            <w:shd w:val="clear" w:color="auto" w:fill="6E9ECA"/>
            <w:textDirection w:val="btLr"/>
            <w:vAlign w:val="center"/>
          </w:tcPr>
          <w:p w14:paraId="7D4A930F" w14:textId="69EC26F5" w:rsidR="00633B0C" w:rsidRPr="009E1B38" w:rsidRDefault="00897643" w:rsidP="00162B0C">
            <w:pPr>
              <w:spacing w:after="0"/>
              <w:jc w:val="center"/>
              <w:rPr>
                <w:rFonts w:ascii="Times New Roman" w:hAnsi="Times New Roman"/>
                <w:b/>
                <w:color w:val="FFFFFF" w:themeColor="background1"/>
              </w:rPr>
            </w:pPr>
            <w:r w:rsidRPr="009E1B38">
              <w:rPr>
                <w:rFonts w:ascii="Times New Roman" w:hAnsi="Times New Roman"/>
                <w:b/>
                <w:color w:val="FFFFFF" w:themeColor="background1"/>
              </w:rPr>
              <w:t>MALE</w:t>
            </w:r>
          </w:p>
        </w:tc>
      </w:tr>
      <w:tr w:rsidR="001C2BBC" w:rsidRPr="009E1B38" w14:paraId="7D4A931C" w14:textId="77777777" w:rsidTr="00897643">
        <w:trPr>
          <w:trHeight w:val="227"/>
          <w:jc w:val="center"/>
        </w:trPr>
        <w:tc>
          <w:tcPr>
            <w:tcW w:w="1400" w:type="pct"/>
            <w:shd w:val="clear" w:color="auto" w:fill="auto"/>
            <w:noWrap/>
            <w:vAlign w:val="center"/>
          </w:tcPr>
          <w:p w14:paraId="7D4A9311" w14:textId="0407F481" w:rsidR="001C2BBC" w:rsidRPr="009E1B38" w:rsidRDefault="00F3216C" w:rsidP="001C2BBC">
            <w:pPr>
              <w:spacing w:after="0"/>
              <w:rPr>
                <w:rFonts w:ascii="Times New Roman" w:hAnsi="Times New Roman"/>
                <w:color w:val="000000" w:themeColor="text1"/>
              </w:rPr>
            </w:pPr>
            <w:bookmarkStart w:id="376" w:name="_Hlk286234746"/>
            <w:r w:rsidRPr="009E1B38">
              <w:rPr>
                <w:rFonts w:ascii="Times New Roman" w:hAnsi="Times New Roman"/>
              </w:rPr>
              <w:t>Administrative Staff</w:t>
            </w:r>
          </w:p>
        </w:tc>
        <w:tc>
          <w:tcPr>
            <w:tcW w:w="557" w:type="pct"/>
            <w:tcBorders>
              <w:top w:val="single" w:sz="4" w:space="0" w:color="D9D9D9"/>
              <w:left w:val="single" w:sz="4" w:space="0" w:color="D9D9D9"/>
              <w:bottom w:val="single" w:sz="4" w:space="0" w:color="D9D9D9"/>
              <w:right w:val="single" w:sz="4" w:space="0" w:color="D9D9D9"/>
            </w:tcBorders>
            <w:noWrap/>
          </w:tcPr>
          <w:p w14:paraId="7D4A9312"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57</w:t>
            </w:r>
          </w:p>
        </w:tc>
        <w:tc>
          <w:tcPr>
            <w:tcW w:w="617" w:type="pct"/>
            <w:tcBorders>
              <w:top w:val="single" w:sz="4" w:space="0" w:color="D9D9D9"/>
              <w:left w:val="single" w:sz="4" w:space="0" w:color="D9D9D9"/>
              <w:bottom w:val="single" w:sz="4" w:space="0" w:color="D9D9D9"/>
              <w:right w:val="single" w:sz="4" w:space="0" w:color="D9D9D9"/>
            </w:tcBorders>
            <w:noWrap/>
          </w:tcPr>
          <w:p w14:paraId="7D4A9313"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57</w:t>
            </w:r>
          </w:p>
        </w:tc>
        <w:tc>
          <w:tcPr>
            <w:tcW w:w="291" w:type="pct"/>
            <w:tcBorders>
              <w:top w:val="single" w:sz="4" w:space="0" w:color="D9D9D9"/>
              <w:left w:val="single" w:sz="4" w:space="0" w:color="D9D9D9"/>
              <w:bottom w:val="single" w:sz="4" w:space="0" w:color="D9D9D9"/>
              <w:right w:val="single" w:sz="4" w:space="0" w:color="D9D9D9"/>
            </w:tcBorders>
            <w:noWrap/>
          </w:tcPr>
          <w:p w14:paraId="7D4A9314" w14:textId="77777777" w:rsidR="001C2BBC" w:rsidRPr="009E1B38" w:rsidRDefault="001C2BBC" w:rsidP="001C2BBC">
            <w:pPr>
              <w:spacing w:after="0"/>
              <w:jc w:val="center"/>
              <w:rPr>
                <w:rFonts w:ascii="Times New Roman" w:hAnsi="Times New Roman"/>
                <w:color w:val="000000" w:themeColor="text1"/>
              </w:rPr>
            </w:pPr>
          </w:p>
        </w:tc>
        <w:tc>
          <w:tcPr>
            <w:tcW w:w="291" w:type="pct"/>
            <w:tcBorders>
              <w:top w:val="single" w:sz="4" w:space="0" w:color="D9D9D9"/>
              <w:left w:val="single" w:sz="4" w:space="0" w:color="D9D9D9"/>
              <w:bottom w:val="single" w:sz="4" w:space="0" w:color="D9D9D9"/>
              <w:right w:val="single" w:sz="4" w:space="0" w:color="D9D9D9"/>
            </w:tcBorders>
          </w:tcPr>
          <w:p w14:paraId="7D4A9315"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19</w:t>
            </w:r>
          </w:p>
        </w:tc>
        <w:tc>
          <w:tcPr>
            <w:tcW w:w="292" w:type="pct"/>
            <w:tcBorders>
              <w:top w:val="single" w:sz="4" w:space="0" w:color="D9D9D9"/>
              <w:left w:val="single" w:sz="4" w:space="0" w:color="D9D9D9"/>
              <w:bottom w:val="single" w:sz="4" w:space="0" w:color="D9D9D9"/>
              <w:right w:val="single" w:sz="4" w:space="0" w:color="D9D9D9"/>
            </w:tcBorders>
            <w:noWrap/>
          </w:tcPr>
          <w:p w14:paraId="7D4A9316"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6</w:t>
            </w:r>
          </w:p>
        </w:tc>
        <w:tc>
          <w:tcPr>
            <w:tcW w:w="292" w:type="pct"/>
            <w:tcBorders>
              <w:top w:val="single" w:sz="4" w:space="0" w:color="D9D9D9"/>
              <w:left w:val="single" w:sz="4" w:space="0" w:color="D9D9D9"/>
              <w:bottom w:val="single" w:sz="4" w:space="0" w:color="D9D9D9"/>
              <w:right w:val="single" w:sz="4" w:space="0" w:color="D9D9D9"/>
            </w:tcBorders>
            <w:noWrap/>
          </w:tcPr>
          <w:p w14:paraId="7D4A9317"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32</w:t>
            </w:r>
          </w:p>
        </w:tc>
        <w:tc>
          <w:tcPr>
            <w:tcW w:w="292" w:type="pct"/>
            <w:tcBorders>
              <w:top w:val="single" w:sz="4" w:space="0" w:color="D9D9D9"/>
              <w:left w:val="single" w:sz="4" w:space="0" w:color="D9D9D9"/>
              <w:bottom w:val="single" w:sz="4" w:space="0" w:color="D9D9D9"/>
              <w:right w:val="single" w:sz="4" w:space="0" w:color="D9D9D9"/>
            </w:tcBorders>
            <w:noWrap/>
          </w:tcPr>
          <w:p w14:paraId="7D4A9318" w14:textId="77777777" w:rsidR="001C2BBC" w:rsidRPr="009E1B38" w:rsidRDefault="001C2BBC" w:rsidP="001C2BBC">
            <w:pPr>
              <w:spacing w:after="0"/>
              <w:jc w:val="center"/>
              <w:rPr>
                <w:rFonts w:ascii="Times New Roman" w:hAnsi="Times New Roman"/>
                <w:color w:val="000000" w:themeColor="text1"/>
              </w:rPr>
            </w:pPr>
          </w:p>
        </w:tc>
        <w:tc>
          <w:tcPr>
            <w:tcW w:w="297" w:type="pct"/>
            <w:tcBorders>
              <w:top w:val="single" w:sz="4" w:space="0" w:color="D9D9D9"/>
              <w:left w:val="single" w:sz="4" w:space="0" w:color="D9D9D9"/>
              <w:bottom w:val="single" w:sz="4" w:space="0" w:color="D9D9D9"/>
              <w:right w:val="single" w:sz="4" w:space="0" w:color="D9D9D9"/>
            </w:tcBorders>
            <w:noWrap/>
          </w:tcPr>
          <w:p w14:paraId="7D4A9319" w14:textId="77777777" w:rsidR="001C2BBC" w:rsidRPr="009E1B38" w:rsidRDefault="001C2BBC" w:rsidP="001C2BBC">
            <w:pPr>
              <w:spacing w:after="0"/>
              <w:jc w:val="center"/>
              <w:rPr>
                <w:rFonts w:ascii="Times New Roman" w:hAnsi="Times New Roman"/>
                <w:color w:val="000000" w:themeColor="text1"/>
              </w:rPr>
            </w:pPr>
          </w:p>
        </w:tc>
        <w:tc>
          <w:tcPr>
            <w:tcW w:w="341" w:type="pct"/>
            <w:tcBorders>
              <w:top w:val="single" w:sz="4" w:space="0" w:color="D9D9D9"/>
              <w:left w:val="single" w:sz="4" w:space="0" w:color="D9D9D9"/>
              <w:bottom w:val="single" w:sz="4" w:space="0" w:color="D9D9D9"/>
              <w:right w:val="single" w:sz="4" w:space="0" w:color="D9D9D9"/>
            </w:tcBorders>
            <w:noWrap/>
          </w:tcPr>
          <w:p w14:paraId="7D4A931A"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36</w:t>
            </w:r>
          </w:p>
        </w:tc>
        <w:tc>
          <w:tcPr>
            <w:tcW w:w="329" w:type="pct"/>
            <w:tcBorders>
              <w:top w:val="single" w:sz="4" w:space="0" w:color="D9D9D9"/>
              <w:left w:val="single" w:sz="4" w:space="0" w:color="D9D9D9"/>
              <w:bottom w:val="single" w:sz="4" w:space="0" w:color="D9D9D9"/>
              <w:right w:val="single" w:sz="4" w:space="0" w:color="D9D9D9"/>
            </w:tcBorders>
            <w:noWrap/>
          </w:tcPr>
          <w:p w14:paraId="7D4A931B"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21</w:t>
            </w:r>
          </w:p>
        </w:tc>
      </w:tr>
      <w:tr w:rsidR="001C2BBC" w:rsidRPr="009E1B38" w14:paraId="7D4A9328" w14:textId="77777777" w:rsidTr="00897643">
        <w:trPr>
          <w:trHeight w:val="227"/>
          <w:jc w:val="center"/>
        </w:trPr>
        <w:tc>
          <w:tcPr>
            <w:tcW w:w="1400" w:type="pct"/>
            <w:shd w:val="clear" w:color="auto" w:fill="auto"/>
            <w:vAlign w:val="center"/>
          </w:tcPr>
          <w:p w14:paraId="7D4A931D" w14:textId="3780B810" w:rsidR="001C2BBC" w:rsidRPr="009E1B38" w:rsidRDefault="00F3216C" w:rsidP="001C2BBC">
            <w:pPr>
              <w:autoSpaceDE w:val="0"/>
              <w:autoSpaceDN w:val="0"/>
              <w:adjustRightInd w:val="0"/>
              <w:spacing w:after="0" w:line="240" w:lineRule="auto"/>
              <w:rPr>
                <w:rFonts w:ascii="Times New Roman" w:hAnsi="Times New Roman"/>
                <w:color w:val="000000" w:themeColor="text1"/>
              </w:rPr>
            </w:pPr>
            <w:r w:rsidRPr="009E1B38">
              <w:rPr>
                <w:rFonts w:ascii="Times New Roman" w:hAnsi="Times New Roman"/>
              </w:rPr>
              <w:t>Se</w:t>
            </w:r>
            <w:r w:rsidR="00E53C4A" w:rsidRPr="009E1B38">
              <w:rPr>
                <w:rFonts w:ascii="Times New Roman" w:hAnsi="Times New Roman"/>
              </w:rPr>
              <w:t>curity</w:t>
            </w:r>
            <w:r w:rsidRPr="009E1B38">
              <w:rPr>
                <w:rFonts w:ascii="Times New Roman" w:hAnsi="Times New Roman"/>
              </w:rPr>
              <w:t xml:space="preserve"> Staff</w:t>
            </w:r>
          </w:p>
        </w:tc>
        <w:tc>
          <w:tcPr>
            <w:tcW w:w="557" w:type="pct"/>
            <w:tcBorders>
              <w:top w:val="single" w:sz="4" w:space="0" w:color="D9D9D9"/>
              <w:left w:val="single" w:sz="4" w:space="0" w:color="D9D9D9"/>
              <w:bottom w:val="single" w:sz="4" w:space="0" w:color="D9D9D9"/>
              <w:right w:val="single" w:sz="4" w:space="0" w:color="D9D9D9"/>
            </w:tcBorders>
          </w:tcPr>
          <w:p w14:paraId="7D4A931E"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50</w:t>
            </w:r>
          </w:p>
        </w:tc>
        <w:tc>
          <w:tcPr>
            <w:tcW w:w="617" w:type="pct"/>
            <w:tcBorders>
              <w:top w:val="single" w:sz="4" w:space="0" w:color="D9D9D9"/>
              <w:left w:val="single" w:sz="4" w:space="0" w:color="D9D9D9"/>
              <w:bottom w:val="single" w:sz="4" w:space="0" w:color="D9D9D9"/>
              <w:right w:val="single" w:sz="4" w:space="0" w:color="D9D9D9"/>
            </w:tcBorders>
            <w:noWrap/>
          </w:tcPr>
          <w:p w14:paraId="7D4A931F"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50</w:t>
            </w:r>
          </w:p>
        </w:tc>
        <w:tc>
          <w:tcPr>
            <w:tcW w:w="291" w:type="pct"/>
            <w:tcBorders>
              <w:top w:val="single" w:sz="4" w:space="0" w:color="D9D9D9"/>
              <w:left w:val="single" w:sz="4" w:space="0" w:color="D9D9D9"/>
              <w:bottom w:val="single" w:sz="4" w:space="0" w:color="D9D9D9"/>
              <w:right w:val="single" w:sz="4" w:space="0" w:color="D9D9D9"/>
            </w:tcBorders>
            <w:noWrap/>
          </w:tcPr>
          <w:p w14:paraId="7D4A9320" w14:textId="77777777" w:rsidR="001C2BBC" w:rsidRPr="009E1B38" w:rsidRDefault="001C2BBC" w:rsidP="001C2BBC">
            <w:pPr>
              <w:spacing w:after="0"/>
              <w:jc w:val="center"/>
              <w:rPr>
                <w:rFonts w:ascii="Times New Roman" w:hAnsi="Times New Roman"/>
                <w:color w:val="000000" w:themeColor="text1"/>
              </w:rPr>
            </w:pPr>
          </w:p>
        </w:tc>
        <w:tc>
          <w:tcPr>
            <w:tcW w:w="291" w:type="pct"/>
            <w:tcBorders>
              <w:top w:val="single" w:sz="4" w:space="0" w:color="D9D9D9"/>
              <w:left w:val="single" w:sz="4" w:space="0" w:color="D9D9D9"/>
              <w:bottom w:val="single" w:sz="4" w:space="0" w:color="D9D9D9"/>
              <w:right w:val="single" w:sz="4" w:space="0" w:color="D9D9D9"/>
            </w:tcBorders>
          </w:tcPr>
          <w:p w14:paraId="7D4A9321"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43</w:t>
            </w:r>
          </w:p>
        </w:tc>
        <w:tc>
          <w:tcPr>
            <w:tcW w:w="292" w:type="pct"/>
            <w:tcBorders>
              <w:top w:val="single" w:sz="4" w:space="0" w:color="D9D9D9"/>
              <w:left w:val="single" w:sz="4" w:space="0" w:color="D9D9D9"/>
              <w:bottom w:val="single" w:sz="4" w:space="0" w:color="D9D9D9"/>
              <w:right w:val="single" w:sz="4" w:space="0" w:color="D9D9D9"/>
            </w:tcBorders>
            <w:noWrap/>
          </w:tcPr>
          <w:p w14:paraId="7D4A9322"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5</w:t>
            </w:r>
          </w:p>
        </w:tc>
        <w:tc>
          <w:tcPr>
            <w:tcW w:w="292" w:type="pct"/>
            <w:tcBorders>
              <w:top w:val="single" w:sz="4" w:space="0" w:color="D9D9D9"/>
              <w:left w:val="single" w:sz="4" w:space="0" w:color="D9D9D9"/>
              <w:bottom w:val="single" w:sz="4" w:space="0" w:color="D9D9D9"/>
              <w:right w:val="single" w:sz="4" w:space="0" w:color="D9D9D9"/>
            </w:tcBorders>
            <w:noWrap/>
          </w:tcPr>
          <w:p w14:paraId="7D4A9323"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2</w:t>
            </w:r>
          </w:p>
        </w:tc>
        <w:tc>
          <w:tcPr>
            <w:tcW w:w="292" w:type="pct"/>
            <w:tcBorders>
              <w:top w:val="single" w:sz="4" w:space="0" w:color="D9D9D9"/>
              <w:left w:val="single" w:sz="4" w:space="0" w:color="D9D9D9"/>
              <w:bottom w:val="single" w:sz="4" w:space="0" w:color="D9D9D9"/>
              <w:right w:val="single" w:sz="4" w:space="0" w:color="D9D9D9"/>
            </w:tcBorders>
            <w:noWrap/>
          </w:tcPr>
          <w:p w14:paraId="7D4A9324" w14:textId="77777777" w:rsidR="001C2BBC" w:rsidRPr="009E1B38" w:rsidRDefault="001C2BBC" w:rsidP="001C2BBC">
            <w:pPr>
              <w:spacing w:after="0"/>
              <w:jc w:val="center"/>
              <w:rPr>
                <w:rFonts w:ascii="Times New Roman" w:hAnsi="Times New Roman"/>
                <w:color w:val="000000" w:themeColor="text1"/>
              </w:rPr>
            </w:pPr>
          </w:p>
        </w:tc>
        <w:tc>
          <w:tcPr>
            <w:tcW w:w="297" w:type="pct"/>
            <w:tcBorders>
              <w:top w:val="single" w:sz="4" w:space="0" w:color="D9D9D9"/>
              <w:left w:val="single" w:sz="4" w:space="0" w:color="D9D9D9"/>
              <w:bottom w:val="single" w:sz="4" w:space="0" w:color="D9D9D9"/>
              <w:right w:val="single" w:sz="4" w:space="0" w:color="D9D9D9"/>
            </w:tcBorders>
            <w:noWrap/>
          </w:tcPr>
          <w:p w14:paraId="7D4A9325" w14:textId="77777777" w:rsidR="001C2BBC" w:rsidRPr="009E1B38" w:rsidRDefault="001C2BBC" w:rsidP="001C2BBC">
            <w:pPr>
              <w:spacing w:after="0"/>
              <w:jc w:val="center"/>
              <w:rPr>
                <w:rFonts w:ascii="Times New Roman" w:hAnsi="Times New Roman"/>
                <w:color w:val="000000" w:themeColor="text1"/>
              </w:rPr>
            </w:pPr>
          </w:p>
        </w:tc>
        <w:tc>
          <w:tcPr>
            <w:tcW w:w="341" w:type="pct"/>
            <w:tcBorders>
              <w:top w:val="single" w:sz="4" w:space="0" w:color="D9D9D9"/>
              <w:left w:val="single" w:sz="4" w:space="0" w:color="D9D9D9"/>
              <w:bottom w:val="single" w:sz="4" w:space="0" w:color="D9D9D9"/>
              <w:right w:val="single" w:sz="4" w:space="0" w:color="D9D9D9"/>
            </w:tcBorders>
            <w:noWrap/>
          </w:tcPr>
          <w:p w14:paraId="7D4A9326"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8</w:t>
            </w:r>
          </w:p>
        </w:tc>
        <w:tc>
          <w:tcPr>
            <w:tcW w:w="329" w:type="pct"/>
            <w:tcBorders>
              <w:top w:val="single" w:sz="4" w:space="0" w:color="D9D9D9"/>
              <w:left w:val="single" w:sz="4" w:space="0" w:color="D9D9D9"/>
              <w:bottom w:val="single" w:sz="4" w:space="0" w:color="D9D9D9"/>
              <w:right w:val="single" w:sz="4" w:space="0" w:color="D9D9D9"/>
            </w:tcBorders>
            <w:noWrap/>
          </w:tcPr>
          <w:p w14:paraId="7D4A9327"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42</w:t>
            </w:r>
          </w:p>
        </w:tc>
      </w:tr>
      <w:tr w:rsidR="001C2BBC" w:rsidRPr="009E1B38" w14:paraId="7D4A9334" w14:textId="77777777" w:rsidTr="00897643">
        <w:trPr>
          <w:trHeight w:val="227"/>
          <w:jc w:val="center"/>
        </w:trPr>
        <w:tc>
          <w:tcPr>
            <w:tcW w:w="1400" w:type="pct"/>
            <w:shd w:val="clear" w:color="auto" w:fill="auto"/>
            <w:vAlign w:val="center"/>
          </w:tcPr>
          <w:p w14:paraId="7D4A9329" w14:textId="72C2B712" w:rsidR="001C2BBC" w:rsidRPr="009E1B38" w:rsidRDefault="008238D0" w:rsidP="001C2BBC">
            <w:pPr>
              <w:autoSpaceDE w:val="0"/>
              <w:autoSpaceDN w:val="0"/>
              <w:adjustRightInd w:val="0"/>
              <w:spacing w:after="0" w:line="240" w:lineRule="auto"/>
              <w:rPr>
                <w:rFonts w:ascii="Times New Roman" w:hAnsi="Times New Roman"/>
                <w:color w:val="000000" w:themeColor="text1"/>
              </w:rPr>
            </w:pPr>
            <w:r w:rsidRPr="009E1B38">
              <w:rPr>
                <w:rFonts w:ascii="Times New Roman" w:hAnsi="Times New Roman"/>
              </w:rPr>
              <w:t>Service Staff</w:t>
            </w:r>
          </w:p>
        </w:tc>
        <w:tc>
          <w:tcPr>
            <w:tcW w:w="557" w:type="pct"/>
            <w:tcBorders>
              <w:top w:val="single" w:sz="4" w:space="0" w:color="D9D9D9"/>
              <w:left w:val="single" w:sz="4" w:space="0" w:color="D9D9D9"/>
              <w:bottom w:val="single" w:sz="4" w:space="0" w:color="D9D9D9"/>
              <w:right w:val="single" w:sz="4" w:space="0" w:color="D9D9D9"/>
            </w:tcBorders>
          </w:tcPr>
          <w:p w14:paraId="7D4A932A"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111</w:t>
            </w:r>
          </w:p>
        </w:tc>
        <w:tc>
          <w:tcPr>
            <w:tcW w:w="617" w:type="pct"/>
            <w:tcBorders>
              <w:top w:val="single" w:sz="4" w:space="0" w:color="D9D9D9"/>
              <w:left w:val="single" w:sz="4" w:space="0" w:color="D9D9D9"/>
              <w:bottom w:val="single" w:sz="4" w:space="0" w:color="D9D9D9"/>
              <w:right w:val="single" w:sz="4" w:space="0" w:color="D9D9D9"/>
            </w:tcBorders>
            <w:noWrap/>
          </w:tcPr>
          <w:p w14:paraId="7D4A932B"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111</w:t>
            </w:r>
          </w:p>
        </w:tc>
        <w:tc>
          <w:tcPr>
            <w:tcW w:w="291" w:type="pct"/>
            <w:tcBorders>
              <w:top w:val="single" w:sz="4" w:space="0" w:color="D9D9D9"/>
              <w:left w:val="single" w:sz="4" w:space="0" w:color="D9D9D9"/>
              <w:bottom w:val="single" w:sz="4" w:space="0" w:color="D9D9D9"/>
              <w:right w:val="single" w:sz="4" w:space="0" w:color="D9D9D9"/>
            </w:tcBorders>
            <w:noWrap/>
          </w:tcPr>
          <w:p w14:paraId="7D4A932C"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35</w:t>
            </w:r>
          </w:p>
        </w:tc>
        <w:tc>
          <w:tcPr>
            <w:tcW w:w="291" w:type="pct"/>
            <w:tcBorders>
              <w:top w:val="single" w:sz="4" w:space="0" w:color="D9D9D9"/>
              <w:left w:val="single" w:sz="4" w:space="0" w:color="D9D9D9"/>
              <w:bottom w:val="single" w:sz="4" w:space="0" w:color="D9D9D9"/>
              <w:right w:val="single" w:sz="4" w:space="0" w:color="D9D9D9"/>
            </w:tcBorders>
          </w:tcPr>
          <w:p w14:paraId="7D4A932D"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60</w:t>
            </w:r>
          </w:p>
        </w:tc>
        <w:tc>
          <w:tcPr>
            <w:tcW w:w="292" w:type="pct"/>
            <w:tcBorders>
              <w:top w:val="single" w:sz="4" w:space="0" w:color="D9D9D9"/>
              <w:left w:val="single" w:sz="4" w:space="0" w:color="D9D9D9"/>
              <w:bottom w:val="single" w:sz="4" w:space="0" w:color="D9D9D9"/>
              <w:right w:val="single" w:sz="4" w:space="0" w:color="D9D9D9"/>
            </w:tcBorders>
            <w:noWrap/>
          </w:tcPr>
          <w:p w14:paraId="7D4A932E"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9</w:t>
            </w:r>
          </w:p>
        </w:tc>
        <w:tc>
          <w:tcPr>
            <w:tcW w:w="292" w:type="pct"/>
            <w:tcBorders>
              <w:top w:val="single" w:sz="4" w:space="0" w:color="D9D9D9"/>
              <w:left w:val="single" w:sz="4" w:space="0" w:color="D9D9D9"/>
              <w:bottom w:val="single" w:sz="4" w:space="0" w:color="D9D9D9"/>
              <w:right w:val="single" w:sz="4" w:space="0" w:color="D9D9D9"/>
            </w:tcBorders>
            <w:noWrap/>
          </w:tcPr>
          <w:p w14:paraId="7D4A932F"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7</w:t>
            </w:r>
          </w:p>
        </w:tc>
        <w:tc>
          <w:tcPr>
            <w:tcW w:w="292" w:type="pct"/>
            <w:tcBorders>
              <w:top w:val="single" w:sz="4" w:space="0" w:color="D9D9D9"/>
              <w:left w:val="single" w:sz="4" w:space="0" w:color="D9D9D9"/>
              <w:bottom w:val="single" w:sz="4" w:space="0" w:color="D9D9D9"/>
              <w:right w:val="single" w:sz="4" w:space="0" w:color="D9D9D9"/>
            </w:tcBorders>
            <w:noWrap/>
          </w:tcPr>
          <w:p w14:paraId="7D4A9330" w14:textId="77777777" w:rsidR="001C2BBC" w:rsidRPr="009E1B38" w:rsidRDefault="001C2BBC" w:rsidP="001C2BBC">
            <w:pPr>
              <w:spacing w:after="0"/>
              <w:jc w:val="center"/>
              <w:rPr>
                <w:rFonts w:ascii="Times New Roman" w:hAnsi="Times New Roman"/>
                <w:color w:val="000000" w:themeColor="text1"/>
              </w:rPr>
            </w:pPr>
          </w:p>
        </w:tc>
        <w:tc>
          <w:tcPr>
            <w:tcW w:w="297" w:type="pct"/>
            <w:tcBorders>
              <w:top w:val="single" w:sz="4" w:space="0" w:color="D9D9D9"/>
              <w:left w:val="single" w:sz="4" w:space="0" w:color="D9D9D9"/>
              <w:bottom w:val="single" w:sz="4" w:space="0" w:color="D9D9D9"/>
              <w:right w:val="single" w:sz="4" w:space="0" w:color="D9D9D9"/>
            </w:tcBorders>
            <w:noWrap/>
          </w:tcPr>
          <w:p w14:paraId="7D4A9331" w14:textId="77777777" w:rsidR="001C2BBC" w:rsidRPr="009E1B38" w:rsidRDefault="001C2BBC" w:rsidP="001C2BBC">
            <w:pPr>
              <w:spacing w:after="0"/>
              <w:jc w:val="center"/>
              <w:rPr>
                <w:rFonts w:ascii="Times New Roman" w:hAnsi="Times New Roman"/>
                <w:color w:val="000000" w:themeColor="text1"/>
              </w:rPr>
            </w:pPr>
          </w:p>
        </w:tc>
        <w:tc>
          <w:tcPr>
            <w:tcW w:w="341" w:type="pct"/>
            <w:tcBorders>
              <w:top w:val="single" w:sz="4" w:space="0" w:color="D9D9D9"/>
              <w:left w:val="single" w:sz="4" w:space="0" w:color="D9D9D9"/>
              <w:bottom w:val="single" w:sz="4" w:space="0" w:color="D9D9D9"/>
              <w:right w:val="single" w:sz="4" w:space="0" w:color="D9D9D9"/>
            </w:tcBorders>
            <w:noWrap/>
          </w:tcPr>
          <w:p w14:paraId="7D4A9332"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48</w:t>
            </w:r>
          </w:p>
        </w:tc>
        <w:tc>
          <w:tcPr>
            <w:tcW w:w="329" w:type="pct"/>
            <w:tcBorders>
              <w:top w:val="single" w:sz="4" w:space="0" w:color="D9D9D9"/>
              <w:left w:val="single" w:sz="4" w:space="0" w:color="D9D9D9"/>
              <w:bottom w:val="single" w:sz="4" w:space="0" w:color="D9D9D9"/>
              <w:right w:val="single" w:sz="4" w:space="0" w:color="D9D9D9"/>
            </w:tcBorders>
            <w:noWrap/>
          </w:tcPr>
          <w:p w14:paraId="7D4A9333"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63</w:t>
            </w:r>
          </w:p>
        </w:tc>
      </w:tr>
      <w:tr w:rsidR="001C2BBC" w:rsidRPr="009E1B38" w14:paraId="7D4A9340" w14:textId="77777777" w:rsidTr="00897643">
        <w:trPr>
          <w:trHeight w:val="227"/>
          <w:jc w:val="center"/>
        </w:trPr>
        <w:tc>
          <w:tcPr>
            <w:tcW w:w="1400" w:type="pct"/>
            <w:shd w:val="clear" w:color="auto" w:fill="auto"/>
            <w:vAlign w:val="center"/>
          </w:tcPr>
          <w:p w14:paraId="7D4A9335" w14:textId="0BC675F2" w:rsidR="001C2BBC" w:rsidRPr="009E1B38" w:rsidRDefault="008238D0" w:rsidP="001C2BBC">
            <w:pPr>
              <w:autoSpaceDE w:val="0"/>
              <w:autoSpaceDN w:val="0"/>
              <w:adjustRightInd w:val="0"/>
              <w:spacing w:after="0" w:line="240" w:lineRule="auto"/>
              <w:rPr>
                <w:rFonts w:ascii="Times New Roman" w:hAnsi="Times New Roman"/>
                <w:color w:val="000000" w:themeColor="text1"/>
              </w:rPr>
            </w:pPr>
            <w:r w:rsidRPr="009E1B38">
              <w:rPr>
                <w:rFonts w:ascii="Times New Roman" w:hAnsi="Times New Roman"/>
                <w:color w:val="000000" w:themeColor="text1"/>
              </w:rPr>
              <w:t>Driver</w:t>
            </w:r>
          </w:p>
        </w:tc>
        <w:tc>
          <w:tcPr>
            <w:tcW w:w="557" w:type="pct"/>
            <w:tcBorders>
              <w:top w:val="single" w:sz="4" w:space="0" w:color="D9D9D9"/>
              <w:left w:val="single" w:sz="4" w:space="0" w:color="D9D9D9"/>
              <w:bottom w:val="single" w:sz="4" w:space="0" w:color="D9D9D9"/>
              <w:right w:val="single" w:sz="4" w:space="0" w:color="D9D9D9"/>
            </w:tcBorders>
          </w:tcPr>
          <w:p w14:paraId="7D4A9336"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1</w:t>
            </w:r>
          </w:p>
        </w:tc>
        <w:tc>
          <w:tcPr>
            <w:tcW w:w="617" w:type="pct"/>
            <w:tcBorders>
              <w:top w:val="single" w:sz="4" w:space="0" w:color="D9D9D9"/>
              <w:left w:val="single" w:sz="4" w:space="0" w:color="D9D9D9"/>
              <w:bottom w:val="single" w:sz="4" w:space="0" w:color="D9D9D9"/>
              <w:right w:val="single" w:sz="4" w:space="0" w:color="D9D9D9"/>
            </w:tcBorders>
            <w:noWrap/>
          </w:tcPr>
          <w:p w14:paraId="7D4A9337"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1</w:t>
            </w:r>
          </w:p>
        </w:tc>
        <w:tc>
          <w:tcPr>
            <w:tcW w:w="291" w:type="pct"/>
            <w:tcBorders>
              <w:top w:val="single" w:sz="4" w:space="0" w:color="D9D9D9"/>
              <w:left w:val="single" w:sz="4" w:space="0" w:color="D9D9D9"/>
              <w:bottom w:val="single" w:sz="4" w:space="0" w:color="D9D9D9"/>
              <w:right w:val="single" w:sz="4" w:space="0" w:color="D9D9D9"/>
            </w:tcBorders>
            <w:noWrap/>
          </w:tcPr>
          <w:p w14:paraId="7D4A9338"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1</w:t>
            </w:r>
          </w:p>
        </w:tc>
        <w:tc>
          <w:tcPr>
            <w:tcW w:w="291" w:type="pct"/>
            <w:tcBorders>
              <w:top w:val="single" w:sz="4" w:space="0" w:color="D9D9D9"/>
              <w:left w:val="single" w:sz="4" w:space="0" w:color="D9D9D9"/>
              <w:bottom w:val="single" w:sz="4" w:space="0" w:color="D9D9D9"/>
              <w:right w:val="single" w:sz="4" w:space="0" w:color="D9D9D9"/>
            </w:tcBorders>
          </w:tcPr>
          <w:p w14:paraId="7D4A9339" w14:textId="77777777" w:rsidR="001C2BBC" w:rsidRPr="009E1B38" w:rsidRDefault="001C2BBC" w:rsidP="001C2BBC">
            <w:pPr>
              <w:spacing w:after="0"/>
              <w:jc w:val="center"/>
              <w:rPr>
                <w:rFonts w:ascii="Times New Roman" w:hAnsi="Times New Roman"/>
                <w:color w:val="000000" w:themeColor="text1"/>
              </w:rPr>
            </w:pPr>
          </w:p>
        </w:tc>
        <w:tc>
          <w:tcPr>
            <w:tcW w:w="292" w:type="pct"/>
            <w:tcBorders>
              <w:top w:val="single" w:sz="4" w:space="0" w:color="D9D9D9"/>
              <w:left w:val="single" w:sz="4" w:space="0" w:color="D9D9D9"/>
              <w:bottom w:val="single" w:sz="4" w:space="0" w:color="D9D9D9"/>
              <w:right w:val="single" w:sz="4" w:space="0" w:color="D9D9D9"/>
            </w:tcBorders>
            <w:noWrap/>
          </w:tcPr>
          <w:p w14:paraId="7D4A933A" w14:textId="77777777" w:rsidR="001C2BBC" w:rsidRPr="009E1B38" w:rsidRDefault="001C2BBC" w:rsidP="001C2BBC">
            <w:pPr>
              <w:spacing w:after="0"/>
              <w:jc w:val="center"/>
              <w:rPr>
                <w:rFonts w:ascii="Times New Roman" w:hAnsi="Times New Roman"/>
                <w:color w:val="000000" w:themeColor="text1"/>
              </w:rPr>
            </w:pPr>
          </w:p>
        </w:tc>
        <w:tc>
          <w:tcPr>
            <w:tcW w:w="292" w:type="pct"/>
            <w:tcBorders>
              <w:top w:val="single" w:sz="4" w:space="0" w:color="D9D9D9"/>
              <w:left w:val="single" w:sz="4" w:space="0" w:color="D9D9D9"/>
              <w:bottom w:val="single" w:sz="4" w:space="0" w:color="D9D9D9"/>
              <w:right w:val="single" w:sz="4" w:space="0" w:color="D9D9D9"/>
            </w:tcBorders>
            <w:noWrap/>
          </w:tcPr>
          <w:p w14:paraId="7D4A933B" w14:textId="77777777" w:rsidR="001C2BBC" w:rsidRPr="009E1B38" w:rsidRDefault="001C2BBC" w:rsidP="001C2BBC">
            <w:pPr>
              <w:spacing w:after="0"/>
              <w:jc w:val="center"/>
              <w:rPr>
                <w:rFonts w:ascii="Times New Roman" w:hAnsi="Times New Roman"/>
                <w:color w:val="000000" w:themeColor="text1"/>
              </w:rPr>
            </w:pPr>
          </w:p>
        </w:tc>
        <w:tc>
          <w:tcPr>
            <w:tcW w:w="292" w:type="pct"/>
            <w:tcBorders>
              <w:top w:val="single" w:sz="4" w:space="0" w:color="D9D9D9"/>
              <w:left w:val="single" w:sz="4" w:space="0" w:color="D9D9D9"/>
              <w:bottom w:val="single" w:sz="4" w:space="0" w:color="D9D9D9"/>
              <w:right w:val="single" w:sz="4" w:space="0" w:color="D9D9D9"/>
            </w:tcBorders>
            <w:noWrap/>
          </w:tcPr>
          <w:p w14:paraId="7D4A933C" w14:textId="77777777" w:rsidR="001C2BBC" w:rsidRPr="009E1B38" w:rsidRDefault="001C2BBC" w:rsidP="001C2BBC">
            <w:pPr>
              <w:spacing w:after="0"/>
              <w:jc w:val="center"/>
              <w:rPr>
                <w:rFonts w:ascii="Times New Roman" w:hAnsi="Times New Roman"/>
                <w:color w:val="000000" w:themeColor="text1"/>
              </w:rPr>
            </w:pPr>
          </w:p>
        </w:tc>
        <w:tc>
          <w:tcPr>
            <w:tcW w:w="297" w:type="pct"/>
            <w:tcBorders>
              <w:top w:val="single" w:sz="4" w:space="0" w:color="D9D9D9"/>
              <w:left w:val="single" w:sz="4" w:space="0" w:color="D9D9D9"/>
              <w:bottom w:val="single" w:sz="4" w:space="0" w:color="D9D9D9"/>
              <w:right w:val="single" w:sz="4" w:space="0" w:color="D9D9D9"/>
            </w:tcBorders>
            <w:noWrap/>
          </w:tcPr>
          <w:p w14:paraId="7D4A933D" w14:textId="77777777" w:rsidR="001C2BBC" w:rsidRPr="009E1B38" w:rsidRDefault="001C2BBC" w:rsidP="001C2BBC">
            <w:pPr>
              <w:spacing w:after="0"/>
              <w:jc w:val="center"/>
              <w:rPr>
                <w:rFonts w:ascii="Times New Roman" w:hAnsi="Times New Roman"/>
                <w:color w:val="000000" w:themeColor="text1"/>
              </w:rPr>
            </w:pPr>
          </w:p>
        </w:tc>
        <w:tc>
          <w:tcPr>
            <w:tcW w:w="341" w:type="pct"/>
            <w:tcBorders>
              <w:top w:val="single" w:sz="4" w:space="0" w:color="D9D9D9"/>
              <w:left w:val="single" w:sz="4" w:space="0" w:color="D9D9D9"/>
              <w:bottom w:val="single" w:sz="4" w:space="0" w:color="D9D9D9"/>
              <w:right w:val="single" w:sz="4" w:space="0" w:color="D9D9D9"/>
            </w:tcBorders>
            <w:noWrap/>
          </w:tcPr>
          <w:p w14:paraId="7D4A933E" w14:textId="77777777" w:rsidR="001C2BBC" w:rsidRPr="009E1B38" w:rsidRDefault="001C2BBC" w:rsidP="001C2BBC">
            <w:pPr>
              <w:spacing w:after="0"/>
              <w:jc w:val="center"/>
              <w:rPr>
                <w:rFonts w:ascii="Times New Roman" w:hAnsi="Times New Roman"/>
                <w:color w:val="000000" w:themeColor="text1"/>
              </w:rPr>
            </w:pPr>
          </w:p>
        </w:tc>
        <w:tc>
          <w:tcPr>
            <w:tcW w:w="329" w:type="pct"/>
            <w:tcBorders>
              <w:top w:val="single" w:sz="4" w:space="0" w:color="D9D9D9"/>
              <w:left w:val="single" w:sz="4" w:space="0" w:color="D9D9D9"/>
              <w:bottom w:val="single" w:sz="4" w:space="0" w:color="D9D9D9"/>
              <w:right w:val="single" w:sz="4" w:space="0" w:color="D9D9D9"/>
            </w:tcBorders>
            <w:noWrap/>
          </w:tcPr>
          <w:p w14:paraId="7D4A933F" w14:textId="77777777" w:rsidR="001C2BBC" w:rsidRPr="009E1B38" w:rsidRDefault="001C2BBC" w:rsidP="001C2BBC">
            <w:pPr>
              <w:spacing w:after="0"/>
              <w:jc w:val="center"/>
              <w:rPr>
                <w:rFonts w:ascii="Times New Roman" w:hAnsi="Times New Roman"/>
                <w:color w:val="000000" w:themeColor="text1"/>
              </w:rPr>
            </w:pPr>
            <w:r w:rsidRPr="009E1B38">
              <w:rPr>
                <w:rFonts w:ascii="Times New Roman" w:hAnsi="Times New Roman"/>
              </w:rPr>
              <w:t>1</w:t>
            </w:r>
          </w:p>
        </w:tc>
      </w:tr>
      <w:tr w:rsidR="001C2BBC" w:rsidRPr="009E1B38" w14:paraId="7D4A934C" w14:textId="77777777" w:rsidTr="00897643">
        <w:trPr>
          <w:trHeight w:val="227"/>
          <w:jc w:val="center"/>
        </w:trPr>
        <w:tc>
          <w:tcPr>
            <w:tcW w:w="1400" w:type="pct"/>
            <w:shd w:val="clear" w:color="auto" w:fill="auto"/>
            <w:vAlign w:val="center"/>
          </w:tcPr>
          <w:p w14:paraId="7D4A9341" w14:textId="685F8E89" w:rsidR="001C2BBC" w:rsidRPr="009E1B38" w:rsidRDefault="008238D0" w:rsidP="001C2BBC">
            <w:pPr>
              <w:spacing w:after="0"/>
              <w:rPr>
                <w:rFonts w:ascii="Times New Roman" w:hAnsi="Times New Roman"/>
                <w:b/>
                <w:color w:val="000000" w:themeColor="text1"/>
              </w:rPr>
            </w:pPr>
            <w:bookmarkStart w:id="377" w:name="_Hlk316290464"/>
            <w:r w:rsidRPr="009E1B38">
              <w:rPr>
                <w:rFonts w:ascii="Times New Roman" w:hAnsi="Times New Roman"/>
                <w:b/>
                <w:color w:val="000000" w:themeColor="text1"/>
              </w:rPr>
              <w:t>TOTAL</w:t>
            </w:r>
          </w:p>
        </w:tc>
        <w:tc>
          <w:tcPr>
            <w:tcW w:w="557" w:type="pct"/>
            <w:tcBorders>
              <w:top w:val="single" w:sz="4" w:space="0" w:color="D9D9D9"/>
              <w:left w:val="single" w:sz="4" w:space="0" w:color="D9D9D9"/>
              <w:bottom w:val="single" w:sz="4" w:space="0" w:color="D9D9D9"/>
              <w:right w:val="single" w:sz="4" w:space="0" w:color="D9D9D9"/>
            </w:tcBorders>
          </w:tcPr>
          <w:p w14:paraId="7D4A9342" w14:textId="77777777" w:rsidR="001C2BBC" w:rsidRPr="009E1B38" w:rsidRDefault="001C2BBC" w:rsidP="001C2BBC">
            <w:pPr>
              <w:spacing w:after="0"/>
              <w:jc w:val="center"/>
              <w:rPr>
                <w:rFonts w:ascii="Times New Roman" w:hAnsi="Times New Roman"/>
                <w:b/>
                <w:color w:val="000000" w:themeColor="text1"/>
              </w:rPr>
            </w:pPr>
            <w:r w:rsidRPr="009E1B38">
              <w:rPr>
                <w:rFonts w:ascii="Times New Roman" w:hAnsi="Times New Roman"/>
                <w:b/>
              </w:rPr>
              <w:t>219</w:t>
            </w:r>
          </w:p>
        </w:tc>
        <w:tc>
          <w:tcPr>
            <w:tcW w:w="617" w:type="pct"/>
            <w:tcBorders>
              <w:top w:val="single" w:sz="4" w:space="0" w:color="D9D9D9"/>
              <w:left w:val="single" w:sz="4" w:space="0" w:color="D9D9D9"/>
              <w:bottom w:val="single" w:sz="4" w:space="0" w:color="D9D9D9"/>
              <w:right w:val="single" w:sz="4" w:space="0" w:color="D9D9D9"/>
            </w:tcBorders>
            <w:noWrap/>
          </w:tcPr>
          <w:p w14:paraId="7D4A9343" w14:textId="77777777" w:rsidR="001C2BBC" w:rsidRPr="009E1B38" w:rsidRDefault="001C2BBC" w:rsidP="001C2BBC">
            <w:pPr>
              <w:spacing w:after="0"/>
              <w:jc w:val="center"/>
              <w:rPr>
                <w:rFonts w:ascii="Times New Roman" w:hAnsi="Times New Roman"/>
                <w:b/>
                <w:color w:val="000000" w:themeColor="text1"/>
              </w:rPr>
            </w:pPr>
            <w:r w:rsidRPr="009E1B38">
              <w:rPr>
                <w:rFonts w:ascii="Times New Roman" w:hAnsi="Times New Roman"/>
                <w:b/>
              </w:rPr>
              <w:t>219</w:t>
            </w:r>
          </w:p>
        </w:tc>
        <w:tc>
          <w:tcPr>
            <w:tcW w:w="291" w:type="pct"/>
            <w:tcBorders>
              <w:top w:val="single" w:sz="4" w:space="0" w:color="D9D9D9"/>
              <w:left w:val="single" w:sz="4" w:space="0" w:color="D9D9D9"/>
              <w:bottom w:val="single" w:sz="4" w:space="0" w:color="D9D9D9"/>
              <w:right w:val="single" w:sz="4" w:space="0" w:color="D9D9D9"/>
            </w:tcBorders>
            <w:noWrap/>
          </w:tcPr>
          <w:p w14:paraId="7D4A9344" w14:textId="77777777" w:rsidR="001C2BBC" w:rsidRPr="009E1B38" w:rsidRDefault="001C2BBC" w:rsidP="001C2BBC">
            <w:pPr>
              <w:spacing w:after="0"/>
              <w:jc w:val="center"/>
              <w:rPr>
                <w:rFonts w:ascii="Times New Roman" w:hAnsi="Times New Roman"/>
                <w:b/>
                <w:color w:val="000000" w:themeColor="text1"/>
              </w:rPr>
            </w:pPr>
            <w:r w:rsidRPr="009E1B38">
              <w:rPr>
                <w:rFonts w:ascii="Times New Roman" w:hAnsi="Times New Roman"/>
                <w:b/>
              </w:rPr>
              <w:t>36</w:t>
            </w:r>
          </w:p>
        </w:tc>
        <w:tc>
          <w:tcPr>
            <w:tcW w:w="291" w:type="pct"/>
            <w:tcBorders>
              <w:top w:val="single" w:sz="4" w:space="0" w:color="D9D9D9"/>
              <w:left w:val="single" w:sz="4" w:space="0" w:color="D9D9D9"/>
              <w:bottom w:val="single" w:sz="4" w:space="0" w:color="D9D9D9"/>
              <w:right w:val="single" w:sz="4" w:space="0" w:color="D9D9D9"/>
            </w:tcBorders>
          </w:tcPr>
          <w:p w14:paraId="7D4A9345" w14:textId="77777777" w:rsidR="001C2BBC" w:rsidRPr="009E1B38" w:rsidRDefault="001C2BBC" w:rsidP="001C2BBC">
            <w:pPr>
              <w:spacing w:after="0"/>
              <w:jc w:val="center"/>
              <w:rPr>
                <w:rFonts w:ascii="Times New Roman" w:hAnsi="Times New Roman"/>
                <w:b/>
                <w:color w:val="000000" w:themeColor="text1"/>
              </w:rPr>
            </w:pPr>
            <w:r w:rsidRPr="009E1B38">
              <w:rPr>
                <w:rFonts w:ascii="Times New Roman" w:hAnsi="Times New Roman"/>
                <w:b/>
              </w:rPr>
              <w:t>122</w:t>
            </w:r>
          </w:p>
        </w:tc>
        <w:tc>
          <w:tcPr>
            <w:tcW w:w="292" w:type="pct"/>
            <w:tcBorders>
              <w:top w:val="single" w:sz="4" w:space="0" w:color="D9D9D9"/>
              <w:left w:val="single" w:sz="4" w:space="0" w:color="D9D9D9"/>
              <w:bottom w:val="single" w:sz="4" w:space="0" w:color="D9D9D9"/>
              <w:right w:val="single" w:sz="4" w:space="0" w:color="D9D9D9"/>
            </w:tcBorders>
            <w:noWrap/>
          </w:tcPr>
          <w:p w14:paraId="7D4A9346" w14:textId="77777777" w:rsidR="001C2BBC" w:rsidRPr="009E1B38" w:rsidRDefault="001C2BBC" w:rsidP="001C2BBC">
            <w:pPr>
              <w:spacing w:after="0"/>
              <w:jc w:val="center"/>
              <w:rPr>
                <w:rFonts w:ascii="Times New Roman" w:hAnsi="Times New Roman"/>
                <w:b/>
                <w:color w:val="000000" w:themeColor="text1"/>
              </w:rPr>
            </w:pPr>
            <w:r w:rsidRPr="009E1B38">
              <w:rPr>
                <w:rFonts w:ascii="Times New Roman" w:hAnsi="Times New Roman"/>
                <w:b/>
              </w:rPr>
              <w:t>20</w:t>
            </w:r>
          </w:p>
        </w:tc>
        <w:tc>
          <w:tcPr>
            <w:tcW w:w="292" w:type="pct"/>
            <w:tcBorders>
              <w:top w:val="single" w:sz="4" w:space="0" w:color="D9D9D9"/>
              <w:left w:val="single" w:sz="4" w:space="0" w:color="D9D9D9"/>
              <w:bottom w:val="single" w:sz="4" w:space="0" w:color="D9D9D9"/>
              <w:right w:val="single" w:sz="4" w:space="0" w:color="D9D9D9"/>
            </w:tcBorders>
            <w:noWrap/>
          </w:tcPr>
          <w:p w14:paraId="7D4A9347" w14:textId="77777777" w:rsidR="001C2BBC" w:rsidRPr="009E1B38" w:rsidRDefault="001C2BBC" w:rsidP="001C2BBC">
            <w:pPr>
              <w:spacing w:after="0"/>
              <w:jc w:val="center"/>
              <w:rPr>
                <w:rFonts w:ascii="Times New Roman" w:hAnsi="Times New Roman"/>
                <w:b/>
                <w:color w:val="000000" w:themeColor="text1"/>
              </w:rPr>
            </w:pPr>
            <w:r w:rsidRPr="009E1B38">
              <w:rPr>
                <w:rFonts w:ascii="Times New Roman" w:hAnsi="Times New Roman"/>
                <w:b/>
              </w:rPr>
              <w:t>41</w:t>
            </w:r>
          </w:p>
        </w:tc>
        <w:tc>
          <w:tcPr>
            <w:tcW w:w="292" w:type="pct"/>
            <w:tcBorders>
              <w:top w:val="single" w:sz="4" w:space="0" w:color="D9D9D9"/>
              <w:left w:val="single" w:sz="4" w:space="0" w:color="D9D9D9"/>
              <w:bottom w:val="single" w:sz="4" w:space="0" w:color="D9D9D9"/>
              <w:right w:val="single" w:sz="4" w:space="0" w:color="D9D9D9"/>
            </w:tcBorders>
            <w:noWrap/>
          </w:tcPr>
          <w:p w14:paraId="7D4A9348" w14:textId="77777777" w:rsidR="001C2BBC" w:rsidRPr="009E1B38" w:rsidRDefault="001C2BBC" w:rsidP="001C2BBC">
            <w:pPr>
              <w:spacing w:after="0"/>
              <w:jc w:val="center"/>
              <w:rPr>
                <w:rFonts w:ascii="Times New Roman" w:hAnsi="Times New Roman"/>
                <w:b/>
                <w:color w:val="000000" w:themeColor="text1"/>
              </w:rPr>
            </w:pPr>
          </w:p>
        </w:tc>
        <w:tc>
          <w:tcPr>
            <w:tcW w:w="297" w:type="pct"/>
            <w:tcBorders>
              <w:top w:val="single" w:sz="4" w:space="0" w:color="D9D9D9"/>
              <w:left w:val="single" w:sz="4" w:space="0" w:color="D9D9D9"/>
              <w:bottom w:val="single" w:sz="4" w:space="0" w:color="D9D9D9"/>
              <w:right w:val="single" w:sz="4" w:space="0" w:color="D9D9D9"/>
            </w:tcBorders>
            <w:noWrap/>
          </w:tcPr>
          <w:p w14:paraId="7D4A9349" w14:textId="77777777" w:rsidR="001C2BBC" w:rsidRPr="009E1B38" w:rsidRDefault="001C2BBC" w:rsidP="001C2BBC">
            <w:pPr>
              <w:spacing w:after="0"/>
              <w:jc w:val="center"/>
              <w:rPr>
                <w:rFonts w:ascii="Times New Roman" w:hAnsi="Times New Roman"/>
                <w:b/>
                <w:color w:val="000000" w:themeColor="text1"/>
              </w:rPr>
            </w:pPr>
          </w:p>
        </w:tc>
        <w:tc>
          <w:tcPr>
            <w:tcW w:w="341" w:type="pct"/>
            <w:tcBorders>
              <w:top w:val="single" w:sz="4" w:space="0" w:color="D9D9D9"/>
              <w:left w:val="single" w:sz="4" w:space="0" w:color="D9D9D9"/>
              <w:bottom w:val="single" w:sz="4" w:space="0" w:color="D9D9D9"/>
              <w:right w:val="single" w:sz="4" w:space="0" w:color="D9D9D9"/>
            </w:tcBorders>
            <w:noWrap/>
          </w:tcPr>
          <w:p w14:paraId="7D4A934A" w14:textId="77777777" w:rsidR="001C2BBC" w:rsidRPr="009E1B38" w:rsidRDefault="001C2BBC" w:rsidP="001C2BBC">
            <w:pPr>
              <w:spacing w:after="0"/>
              <w:jc w:val="center"/>
              <w:rPr>
                <w:rFonts w:ascii="Times New Roman" w:hAnsi="Times New Roman"/>
                <w:b/>
                <w:color w:val="000000" w:themeColor="text1"/>
              </w:rPr>
            </w:pPr>
            <w:r w:rsidRPr="009E1B38">
              <w:rPr>
                <w:rFonts w:ascii="Times New Roman" w:hAnsi="Times New Roman"/>
                <w:b/>
              </w:rPr>
              <w:t>92</w:t>
            </w:r>
          </w:p>
        </w:tc>
        <w:tc>
          <w:tcPr>
            <w:tcW w:w="329" w:type="pct"/>
            <w:tcBorders>
              <w:top w:val="single" w:sz="4" w:space="0" w:color="D9D9D9"/>
              <w:left w:val="single" w:sz="4" w:space="0" w:color="D9D9D9"/>
              <w:bottom w:val="single" w:sz="4" w:space="0" w:color="D9D9D9"/>
              <w:right w:val="single" w:sz="4" w:space="0" w:color="D9D9D9"/>
            </w:tcBorders>
            <w:noWrap/>
          </w:tcPr>
          <w:p w14:paraId="7D4A934B" w14:textId="77777777" w:rsidR="001C2BBC" w:rsidRPr="009E1B38" w:rsidRDefault="001C2BBC" w:rsidP="001C2BBC">
            <w:pPr>
              <w:spacing w:after="0"/>
              <w:jc w:val="center"/>
              <w:rPr>
                <w:rFonts w:ascii="Times New Roman" w:hAnsi="Times New Roman"/>
                <w:b/>
                <w:color w:val="000000" w:themeColor="text1"/>
              </w:rPr>
            </w:pPr>
            <w:r w:rsidRPr="009E1B38">
              <w:rPr>
                <w:rFonts w:ascii="Times New Roman" w:hAnsi="Times New Roman"/>
                <w:b/>
              </w:rPr>
              <w:t>127</w:t>
            </w:r>
          </w:p>
        </w:tc>
      </w:tr>
    </w:tbl>
    <w:p w14:paraId="7D4A934D" w14:textId="38B561B5" w:rsidR="005747D2" w:rsidRPr="009E1B38" w:rsidRDefault="00C540D7" w:rsidP="00C540D7">
      <w:pPr>
        <w:pStyle w:val="Balk2"/>
        <w:ind w:left="1080"/>
        <w:rPr>
          <w:rFonts w:cs="Times New Roman"/>
        </w:rPr>
      </w:pPr>
      <w:bookmarkStart w:id="378" w:name="_Toc113615414"/>
      <w:bookmarkEnd w:id="373"/>
      <w:bookmarkEnd w:id="376"/>
      <w:bookmarkEnd w:id="377"/>
      <w:r w:rsidRPr="009E1B38">
        <w:rPr>
          <w:rFonts w:cs="Times New Roman"/>
        </w:rPr>
        <w:t>1</w:t>
      </w:r>
      <w:r w:rsidR="00A8086A" w:rsidRPr="009E1B38">
        <w:rPr>
          <w:rFonts w:cs="Times New Roman"/>
        </w:rPr>
        <w:t>3</w:t>
      </w:r>
      <w:r w:rsidRPr="009E1B38">
        <w:rPr>
          <w:rFonts w:cs="Times New Roman"/>
        </w:rPr>
        <w:t>.2</w:t>
      </w:r>
      <w:r w:rsidR="00704015" w:rsidRPr="009E1B38">
        <w:rPr>
          <w:rFonts w:cs="Times New Roman"/>
        </w:rPr>
        <w:t>. Training</w:t>
      </w:r>
      <w:r w:rsidRPr="009E1B38">
        <w:rPr>
          <w:rFonts w:cs="Times New Roman"/>
        </w:rPr>
        <w:t xml:space="preserve"> Activities</w:t>
      </w:r>
      <w:bookmarkEnd w:id="378"/>
    </w:p>
    <w:p w14:paraId="3B12B146" w14:textId="51699182" w:rsidR="00B95895" w:rsidRPr="009E1B38" w:rsidRDefault="00B95895" w:rsidP="00B95895">
      <w:pPr>
        <w:rPr>
          <w:rFonts w:ascii="Times New Roman" w:hAnsi="Times New Roman"/>
        </w:rPr>
      </w:pPr>
      <w:r w:rsidRPr="009E1B38">
        <w:rPr>
          <w:rFonts w:ascii="Times New Roman" w:hAnsi="Times New Roman"/>
        </w:rPr>
        <w:t xml:space="preserve">In this section, information </w:t>
      </w:r>
      <w:r w:rsidR="00704015" w:rsidRPr="009E1B38">
        <w:rPr>
          <w:rFonts w:ascii="Times New Roman" w:hAnsi="Times New Roman"/>
        </w:rPr>
        <w:t>on</w:t>
      </w:r>
      <w:r w:rsidRPr="009E1B38">
        <w:rPr>
          <w:rFonts w:ascii="Times New Roman" w:hAnsi="Times New Roman"/>
        </w:rPr>
        <w:t xml:space="preserve"> the training activities for the staff of the Authority and the information about the trainees are given. As it is clear from the tables on the following pages, the Authority allocates significant time and financial resources for training activities.</w:t>
      </w:r>
    </w:p>
    <w:p w14:paraId="7DB1D76A" w14:textId="267BD24D" w:rsidR="009D4112" w:rsidRPr="009E1B38" w:rsidRDefault="00B95895" w:rsidP="00576DEB">
      <w:pPr>
        <w:pStyle w:val="Balk3"/>
        <w:spacing w:before="0" w:after="240"/>
        <w:ind w:left="1418"/>
        <w:rPr>
          <w:rFonts w:ascii="Times New Roman" w:hAnsi="Times New Roman" w:cs="Times New Roman"/>
          <w:color w:val="auto"/>
          <w:sz w:val="24"/>
          <w:szCs w:val="24"/>
        </w:rPr>
      </w:pPr>
      <w:bookmarkStart w:id="379" w:name="_Toc113615415"/>
      <w:r w:rsidRPr="009E1B38">
        <w:rPr>
          <w:rFonts w:ascii="Times New Roman" w:hAnsi="Times New Roman" w:cs="Times New Roman"/>
          <w:sz w:val="24"/>
          <w:szCs w:val="24"/>
        </w:rPr>
        <w:lastRenderedPageBreak/>
        <w:t>1</w:t>
      </w:r>
      <w:r w:rsidR="00A8086A" w:rsidRPr="009E1B38">
        <w:rPr>
          <w:rFonts w:ascii="Times New Roman" w:hAnsi="Times New Roman" w:cs="Times New Roman"/>
          <w:sz w:val="24"/>
          <w:szCs w:val="24"/>
        </w:rPr>
        <w:t>3</w:t>
      </w:r>
      <w:r w:rsidRPr="009E1B38">
        <w:rPr>
          <w:rFonts w:ascii="Times New Roman" w:hAnsi="Times New Roman" w:cs="Times New Roman"/>
          <w:sz w:val="24"/>
          <w:szCs w:val="24"/>
        </w:rPr>
        <w:t>.2.1.</w:t>
      </w:r>
      <w:r w:rsidR="009D4112" w:rsidRPr="009E1B38">
        <w:rPr>
          <w:rFonts w:ascii="Times New Roman" w:hAnsi="Times New Roman" w:cs="Times New Roman"/>
          <w:sz w:val="24"/>
          <w:szCs w:val="24"/>
        </w:rPr>
        <w:t xml:space="preserve"> In-service Training Activities</w:t>
      </w:r>
      <w:bookmarkEnd w:id="379"/>
      <w:r w:rsidR="009D4112" w:rsidRPr="009E1B38">
        <w:rPr>
          <w:rFonts w:ascii="Times New Roman" w:hAnsi="Times New Roman" w:cs="Times New Roman"/>
          <w:sz w:val="24"/>
          <w:szCs w:val="24"/>
        </w:rPr>
        <w:t xml:space="preserve"> </w:t>
      </w:r>
    </w:p>
    <w:p w14:paraId="7D4A9350" w14:textId="54B6915A" w:rsidR="0072201B" w:rsidRPr="009E1B38" w:rsidRDefault="0082470D" w:rsidP="002F3B01">
      <w:pPr>
        <w:pStyle w:val="Balk5"/>
        <w:jc w:val="center"/>
        <w:rPr>
          <w:rFonts w:ascii="Times New Roman" w:hAnsi="Times New Roman" w:cs="Times New Roman"/>
        </w:rPr>
      </w:pPr>
      <w:bookmarkStart w:id="380" w:name="_Toc107499572"/>
      <w:r w:rsidRPr="009E1B38">
        <w:rPr>
          <w:rFonts w:ascii="Times New Roman" w:hAnsi="Times New Roman" w:cs="Times New Roman"/>
        </w:rPr>
        <w:t>Table</w:t>
      </w:r>
      <w:r w:rsidR="0072201B" w:rsidRPr="009E1B38">
        <w:rPr>
          <w:rFonts w:ascii="Times New Roman" w:hAnsi="Times New Roman" w:cs="Times New Roman"/>
        </w:rPr>
        <w:t xml:space="preserve"> 1</w:t>
      </w:r>
      <w:r w:rsidR="00456863" w:rsidRPr="009E1B38">
        <w:rPr>
          <w:rFonts w:ascii="Times New Roman" w:hAnsi="Times New Roman" w:cs="Times New Roman"/>
        </w:rPr>
        <w:t>3</w:t>
      </w:r>
      <w:r w:rsidR="00A44256" w:rsidRPr="009E1B38">
        <w:rPr>
          <w:rFonts w:ascii="Times New Roman" w:hAnsi="Times New Roman" w:cs="Times New Roman"/>
        </w:rPr>
        <w:t>.</w:t>
      </w:r>
      <w:r w:rsidR="00992142" w:rsidRPr="009E1B38">
        <w:rPr>
          <w:rFonts w:ascii="Times New Roman" w:hAnsi="Times New Roman" w:cs="Times New Roman"/>
        </w:rPr>
        <w:t>7</w:t>
      </w:r>
      <w:r w:rsidR="00410C2E" w:rsidRPr="009E1B38">
        <w:rPr>
          <w:rFonts w:ascii="Times New Roman" w:hAnsi="Times New Roman" w:cs="Times New Roman"/>
        </w:rPr>
        <w:t xml:space="preserve">: </w:t>
      </w:r>
      <w:r w:rsidR="001643D3" w:rsidRPr="009E1B38">
        <w:rPr>
          <w:rFonts w:ascii="Times New Roman" w:hAnsi="Times New Roman" w:cs="Times New Roman"/>
        </w:rPr>
        <w:t>Time and Budget Spent for Training Activities in 2021</w:t>
      </w:r>
      <w:bookmarkEnd w:id="380"/>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89"/>
        <w:gridCol w:w="3992"/>
        <w:gridCol w:w="1456"/>
      </w:tblGrid>
      <w:tr w:rsidR="001C2BBC" w:rsidRPr="009E1B38" w14:paraId="7D4A9354" w14:textId="77777777" w:rsidTr="00B14956">
        <w:trPr>
          <w:cantSplit/>
          <w:trHeight w:val="419"/>
          <w:tblHeader/>
          <w:jc w:val="center"/>
        </w:trPr>
        <w:tc>
          <w:tcPr>
            <w:tcW w:w="2313" w:type="pct"/>
            <w:shd w:val="clear" w:color="auto" w:fill="6E9ECA"/>
            <w:vAlign w:val="center"/>
          </w:tcPr>
          <w:p w14:paraId="7D4A9351" w14:textId="60FEE65D" w:rsidR="001614E6" w:rsidRPr="009E1B38" w:rsidRDefault="00A8086A" w:rsidP="002F3B01">
            <w:pPr>
              <w:pStyle w:val="Balk5"/>
              <w:jc w:val="center"/>
              <w:rPr>
                <w:rFonts w:ascii="Times New Roman" w:hAnsi="Times New Roman" w:cs="Times New Roman"/>
                <w:color w:val="FFFFFF"/>
              </w:rPr>
            </w:pPr>
            <w:bookmarkStart w:id="381" w:name="_Toc107499573"/>
            <w:r w:rsidRPr="009E1B38">
              <w:rPr>
                <w:rFonts w:ascii="Times New Roman" w:hAnsi="Times New Roman" w:cs="Times New Roman"/>
                <w:color w:val="FFFFFF" w:themeColor="background1"/>
              </w:rPr>
              <w:t>Trainer Authority</w:t>
            </w:r>
            <w:bookmarkEnd w:id="381"/>
          </w:p>
        </w:tc>
        <w:tc>
          <w:tcPr>
            <w:tcW w:w="1969" w:type="pct"/>
            <w:shd w:val="clear" w:color="auto" w:fill="6E9ECA"/>
            <w:vAlign w:val="center"/>
          </w:tcPr>
          <w:p w14:paraId="7D4A9352" w14:textId="639199A9" w:rsidR="001614E6" w:rsidRPr="009E1B38" w:rsidRDefault="00A8086A" w:rsidP="002F3B01">
            <w:pPr>
              <w:pStyle w:val="Balk5"/>
              <w:jc w:val="center"/>
              <w:rPr>
                <w:rFonts w:ascii="Times New Roman" w:hAnsi="Times New Roman" w:cs="Times New Roman"/>
                <w:color w:val="FFFFFF"/>
              </w:rPr>
            </w:pPr>
            <w:bookmarkStart w:id="382" w:name="_Toc107499574"/>
            <w:r w:rsidRPr="009E1B38">
              <w:rPr>
                <w:rFonts w:ascii="Times New Roman" w:hAnsi="Times New Roman" w:cs="Times New Roman"/>
                <w:color w:val="FFFFFF" w:themeColor="background1"/>
              </w:rPr>
              <w:t>Name of the Training</w:t>
            </w:r>
            <w:bookmarkEnd w:id="382"/>
          </w:p>
        </w:tc>
        <w:tc>
          <w:tcPr>
            <w:tcW w:w="718" w:type="pct"/>
            <w:shd w:val="clear" w:color="auto" w:fill="6E9ECA"/>
            <w:vAlign w:val="center"/>
          </w:tcPr>
          <w:p w14:paraId="7D4A9353" w14:textId="77C5487D" w:rsidR="001614E6" w:rsidRPr="009E1B38" w:rsidRDefault="00A8086A" w:rsidP="002F3B01">
            <w:pPr>
              <w:pStyle w:val="Balk5"/>
              <w:jc w:val="center"/>
              <w:rPr>
                <w:rFonts w:ascii="Times New Roman" w:hAnsi="Times New Roman" w:cs="Times New Roman"/>
                <w:color w:val="FFFFFF"/>
              </w:rPr>
            </w:pPr>
            <w:bookmarkStart w:id="383" w:name="_Toc107499575"/>
            <w:r w:rsidRPr="009E1B38">
              <w:rPr>
                <w:rFonts w:ascii="Times New Roman" w:hAnsi="Times New Roman" w:cs="Times New Roman"/>
                <w:color w:val="FFFFFF" w:themeColor="background1"/>
              </w:rPr>
              <w:t>Number of Participants</w:t>
            </w:r>
            <w:bookmarkEnd w:id="383"/>
          </w:p>
        </w:tc>
      </w:tr>
      <w:tr w:rsidR="001614E6" w:rsidRPr="009E1B38" w14:paraId="7D4A9358" w14:textId="77777777" w:rsidTr="00B14956">
        <w:trPr>
          <w:cantSplit/>
          <w:trHeight w:val="211"/>
          <w:jc w:val="center"/>
        </w:trPr>
        <w:tc>
          <w:tcPr>
            <w:tcW w:w="2313" w:type="pct"/>
          </w:tcPr>
          <w:p w14:paraId="7D4A9355" w14:textId="35639C0E" w:rsidR="001614E6" w:rsidRPr="009E1B38" w:rsidRDefault="00BD0C21" w:rsidP="001614E6">
            <w:pPr>
              <w:rPr>
                <w:rFonts w:ascii="Times New Roman" w:hAnsi="Times New Roman"/>
              </w:rPr>
            </w:pPr>
            <w:r w:rsidRPr="009E1B38">
              <w:rPr>
                <w:rFonts w:ascii="Times New Roman" w:hAnsi="Times New Roman"/>
              </w:rPr>
              <w:t>The Research Institute of Banking and Commercial Law</w:t>
            </w:r>
          </w:p>
        </w:tc>
        <w:tc>
          <w:tcPr>
            <w:tcW w:w="1969" w:type="pct"/>
          </w:tcPr>
          <w:p w14:paraId="7D4A9356" w14:textId="5D5179EF" w:rsidR="001614E6" w:rsidRPr="009E1B38" w:rsidRDefault="00ED4153" w:rsidP="00B41860">
            <w:pPr>
              <w:rPr>
                <w:rFonts w:ascii="Times New Roman" w:hAnsi="Times New Roman"/>
              </w:rPr>
            </w:pPr>
            <w:r w:rsidRPr="009E1B38">
              <w:rPr>
                <w:rFonts w:ascii="Times New Roman" w:hAnsi="Times New Roman"/>
              </w:rPr>
              <w:t>Commercial Law Certificate Program</w:t>
            </w:r>
          </w:p>
        </w:tc>
        <w:tc>
          <w:tcPr>
            <w:tcW w:w="718" w:type="pct"/>
          </w:tcPr>
          <w:p w14:paraId="7D4A9357" w14:textId="33196486" w:rsidR="001614E6" w:rsidRPr="009E1B38" w:rsidRDefault="001614E6" w:rsidP="001614E6">
            <w:pPr>
              <w:jc w:val="center"/>
              <w:rPr>
                <w:rFonts w:ascii="Times New Roman" w:hAnsi="Times New Roman"/>
                <w:color w:val="000000"/>
              </w:rPr>
            </w:pPr>
            <w:r w:rsidRPr="009E1B38">
              <w:rPr>
                <w:rFonts w:ascii="Times New Roman" w:hAnsi="Times New Roman"/>
              </w:rPr>
              <w:t xml:space="preserve">1 </w:t>
            </w:r>
            <w:r w:rsidR="0079548A" w:rsidRPr="009E1B38">
              <w:rPr>
                <w:rFonts w:ascii="Times New Roman" w:hAnsi="Times New Roman"/>
              </w:rPr>
              <w:t>Staff</w:t>
            </w:r>
          </w:p>
        </w:tc>
      </w:tr>
      <w:tr w:rsidR="001614E6" w:rsidRPr="009E1B38" w14:paraId="7D4A935C" w14:textId="77777777" w:rsidTr="00B14956">
        <w:trPr>
          <w:cantSplit/>
          <w:trHeight w:val="20"/>
          <w:jc w:val="center"/>
        </w:trPr>
        <w:tc>
          <w:tcPr>
            <w:tcW w:w="2313" w:type="pct"/>
          </w:tcPr>
          <w:p w14:paraId="7D4A9359" w14:textId="3A86813F" w:rsidR="001614E6" w:rsidRPr="009E1B38" w:rsidRDefault="00354053" w:rsidP="001614E6">
            <w:pPr>
              <w:rPr>
                <w:rFonts w:ascii="Times New Roman" w:hAnsi="Times New Roman"/>
              </w:rPr>
            </w:pPr>
            <w:r w:rsidRPr="009E1B38">
              <w:rPr>
                <w:rFonts w:ascii="Times New Roman" w:hAnsi="Times New Roman"/>
              </w:rPr>
              <w:t>Energy Market Regulatory Authority</w:t>
            </w:r>
          </w:p>
        </w:tc>
        <w:tc>
          <w:tcPr>
            <w:tcW w:w="1969" w:type="pct"/>
          </w:tcPr>
          <w:p w14:paraId="7D4A935A" w14:textId="437ED105" w:rsidR="001614E6" w:rsidRPr="009E1B38" w:rsidRDefault="00D26F62" w:rsidP="00B41860">
            <w:pPr>
              <w:autoSpaceDE w:val="0"/>
              <w:autoSpaceDN w:val="0"/>
              <w:adjustRightInd w:val="0"/>
              <w:rPr>
                <w:rFonts w:ascii="Times New Roman" w:hAnsi="Times New Roman"/>
              </w:rPr>
            </w:pPr>
            <w:r w:rsidRPr="009E1B38">
              <w:rPr>
                <w:rFonts w:ascii="Times New Roman" w:hAnsi="Times New Roman"/>
              </w:rPr>
              <w:t>Basic and Preparatory Education program</w:t>
            </w:r>
          </w:p>
        </w:tc>
        <w:tc>
          <w:tcPr>
            <w:tcW w:w="718" w:type="pct"/>
          </w:tcPr>
          <w:p w14:paraId="7D4A935B" w14:textId="45285C6E" w:rsidR="001614E6" w:rsidRPr="009E1B38" w:rsidRDefault="001614E6" w:rsidP="001614E6">
            <w:pPr>
              <w:jc w:val="center"/>
              <w:rPr>
                <w:rFonts w:ascii="Times New Roman" w:hAnsi="Times New Roman"/>
                <w:color w:val="000000"/>
              </w:rPr>
            </w:pPr>
            <w:r w:rsidRPr="009E1B38">
              <w:rPr>
                <w:rFonts w:ascii="Times New Roman" w:hAnsi="Times New Roman"/>
              </w:rPr>
              <w:t xml:space="preserve">31 </w:t>
            </w:r>
            <w:r w:rsidR="00CE3E90" w:rsidRPr="009E1B38">
              <w:rPr>
                <w:rFonts w:ascii="Times New Roman" w:hAnsi="Times New Roman"/>
              </w:rPr>
              <w:t>Staff</w:t>
            </w:r>
          </w:p>
        </w:tc>
      </w:tr>
      <w:tr w:rsidR="001614E6" w:rsidRPr="009E1B38" w14:paraId="7D4A9360" w14:textId="77777777" w:rsidTr="00B14956">
        <w:trPr>
          <w:cantSplit/>
          <w:trHeight w:val="195"/>
          <w:jc w:val="center"/>
        </w:trPr>
        <w:tc>
          <w:tcPr>
            <w:tcW w:w="2313" w:type="pct"/>
          </w:tcPr>
          <w:p w14:paraId="7D4A935D" w14:textId="2D78CE0F" w:rsidR="001614E6" w:rsidRPr="009E1B38" w:rsidRDefault="00206BAA" w:rsidP="001614E6">
            <w:pPr>
              <w:rPr>
                <w:rFonts w:ascii="Times New Roman" w:hAnsi="Times New Roman"/>
              </w:rPr>
            </w:pPr>
            <w:r w:rsidRPr="009E1B38">
              <w:rPr>
                <w:rFonts w:ascii="Times New Roman" w:hAnsi="Times New Roman"/>
              </w:rPr>
              <w:t>Ministry of Trade</w:t>
            </w:r>
          </w:p>
        </w:tc>
        <w:tc>
          <w:tcPr>
            <w:tcW w:w="1969" w:type="pct"/>
          </w:tcPr>
          <w:p w14:paraId="7D4A935E" w14:textId="03484ABC" w:rsidR="001614E6" w:rsidRPr="009E1B38" w:rsidRDefault="001F2849" w:rsidP="00B41860">
            <w:pPr>
              <w:rPr>
                <w:rFonts w:ascii="Times New Roman" w:hAnsi="Times New Roman"/>
              </w:rPr>
            </w:pPr>
            <w:r w:rsidRPr="009E1B38">
              <w:rPr>
                <w:rFonts w:ascii="Times New Roman" w:hAnsi="Times New Roman"/>
              </w:rPr>
              <w:t>Introduction of Stakeholder Institutions and Organizations</w:t>
            </w:r>
          </w:p>
        </w:tc>
        <w:tc>
          <w:tcPr>
            <w:tcW w:w="718" w:type="pct"/>
          </w:tcPr>
          <w:p w14:paraId="7D4A935F" w14:textId="09A682D3" w:rsidR="001614E6" w:rsidRPr="009E1B38" w:rsidRDefault="001614E6" w:rsidP="001614E6">
            <w:pPr>
              <w:jc w:val="center"/>
              <w:rPr>
                <w:rFonts w:ascii="Times New Roman" w:hAnsi="Times New Roman"/>
                <w:color w:val="000000"/>
              </w:rPr>
            </w:pPr>
            <w:r w:rsidRPr="009E1B38">
              <w:rPr>
                <w:rFonts w:ascii="Times New Roman" w:hAnsi="Times New Roman"/>
              </w:rPr>
              <w:t xml:space="preserve">1 </w:t>
            </w:r>
            <w:r w:rsidR="00CE3E90" w:rsidRPr="009E1B38">
              <w:rPr>
                <w:rFonts w:ascii="Times New Roman" w:hAnsi="Times New Roman"/>
              </w:rPr>
              <w:t>Staff</w:t>
            </w:r>
          </w:p>
        </w:tc>
      </w:tr>
      <w:tr w:rsidR="001614E6" w:rsidRPr="009E1B38" w14:paraId="7D4A9364" w14:textId="77777777" w:rsidTr="00B14956">
        <w:trPr>
          <w:cantSplit/>
          <w:trHeight w:val="20"/>
          <w:jc w:val="center"/>
        </w:trPr>
        <w:tc>
          <w:tcPr>
            <w:tcW w:w="2313" w:type="pct"/>
          </w:tcPr>
          <w:p w14:paraId="7D4A9361" w14:textId="072D442D" w:rsidR="001614E6" w:rsidRPr="009E1B38" w:rsidRDefault="001614E6" w:rsidP="00704015">
            <w:pPr>
              <w:rPr>
                <w:rFonts w:ascii="Times New Roman" w:hAnsi="Times New Roman"/>
              </w:rPr>
            </w:pPr>
            <w:r w:rsidRPr="009E1B38">
              <w:rPr>
                <w:rFonts w:ascii="Times New Roman" w:hAnsi="Times New Roman"/>
              </w:rPr>
              <w:t xml:space="preserve">Ankara Hacı Bayram Veli </w:t>
            </w:r>
            <w:r w:rsidR="00704015">
              <w:rPr>
                <w:rFonts w:ascii="Times New Roman" w:hAnsi="Times New Roman"/>
              </w:rPr>
              <w:t>University, Directorate of Continuing Education and Research Center</w:t>
            </w:r>
          </w:p>
        </w:tc>
        <w:tc>
          <w:tcPr>
            <w:tcW w:w="1969" w:type="pct"/>
          </w:tcPr>
          <w:p w14:paraId="7D4A9362" w14:textId="7A563288" w:rsidR="001614E6" w:rsidRPr="009E1B38" w:rsidRDefault="001F2849" w:rsidP="00B41860">
            <w:pPr>
              <w:rPr>
                <w:rFonts w:ascii="Times New Roman" w:hAnsi="Times New Roman"/>
              </w:rPr>
            </w:pPr>
            <w:r w:rsidRPr="009E1B38">
              <w:rPr>
                <w:rFonts w:ascii="Times New Roman" w:hAnsi="Times New Roman"/>
              </w:rPr>
              <w:t>Energy and Mining Law Special Expertise Mediation Training</w:t>
            </w:r>
          </w:p>
        </w:tc>
        <w:tc>
          <w:tcPr>
            <w:tcW w:w="718" w:type="pct"/>
          </w:tcPr>
          <w:p w14:paraId="7D4A9363" w14:textId="0DEB2137" w:rsidR="001614E6" w:rsidRPr="009E1B38" w:rsidRDefault="001614E6" w:rsidP="001614E6">
            <w:pPr>
              <w:jc w:val="center"/>
              <w:rPr>
                <w:rFonts w:ascii="Times New Roman" w:hAnsi="Times New Roman"/>
              </w:rPr>
            </w:pPr>
            <w:r w:rsidRPr="009E1B38">
              <w:rPr>
                <w:rFonts w:ascii="Times New Roman" w:hAnsi="Times New Roman"/>
              </w:rPr>
              <w:t xml:space="preserve">8 </w:t>
            </w:r>
            <w:r w:rsidR="00CE3E90" w:rsidRPr="009E1B38">
              <w:rPr>
                <w:rFonts w:ascii="Times New Roman" w:hAnsi="Times New Roman"/>
              </w:rPr>
              <w:t>Staff</w:t>
            </w:r>
          </w:p>
        </w:tc>
      </w:tr>
      <w:tr w:rsidR="001614E6" w:rsidRPr="009E1B38" w14:paraId="7D4A9368" w14:textId="77777777" w:rsidTr="00B14956">
        <w:trPr>
          <w:cantSplit/>
          <w:trHeight w:val="20"/>
          <w:jc w:val="center"/>
        </w:trPr>
        <w:tc>
          <w:tcPr>
            <w:tcW w:w="2313" w:type="pct"/>
          </w:tcPr>
          <w:p w14:paraId="7D4A9365" w14:textId="02BB3529" w:rsidR="001614E6" w:rsidRPr="009E1B38" w:rsidRDefault="00053F4A" w:rsidP="001614E6">
            <w:pPr>
              <w:rPr>
                <w:rFonts w:ascii="Times New Roman" w:hAnsi="Times New Roman"/>
              </w:rPr>
            </w:pPr>
            <w:r w:rsidRPr="009E1B38">
              <w:rPr>
                <w:rFonts w:ascii="Times New Roman" w:hAnsi="Times New Roman"/>
              </w:rPr>
              <w:t>Ministry of Energy and Resources</w:t>
            </w:r>
          </w:p>
        </w:tc>
        <w:tc>
          <w:tcPr>
            <w:tcW w:w="1969" w:type="pct"/>
          </w:tcPr>
          <w:p w14:paraId="7D4A9366" w14:textId="0DACB736" w:rsidR="001614E6" w:rsidRPr="009E1B38" w:rsidRDefault="001F2849" w:rsidP="00B41860">
            <w:pPr>
              <w:rPr>
                <w:rFonts w:ascii="Times New Roman" w:hAnsi="Times New Roman"/>
              </w:rPr>
            </w:pPr>
            <w:r w:rsidRPr="009E1B38">
              <w:rPr>
                <w:rFonts w:ascii="Times New Roman" w:hAnsi="Times New Roman"/>
                <w:bCs/>
              </w:rPr>
              <w:t>ETK Assistant Specialists Special Study and Training Plan</w:t>
            </w:r>
          </w:p>
        </w:tc>
        <w:tc>
          <w:tcPr>
            <w:tcW w:w="718" w:type="pct"/>
          </w:tcPr>
          <w:p w14:paraId="7D4A9367" w14:textId="3311FDD0" w:rsidR="001614E6" w:rsidRPr="009E1B38" w:rsidRDefault="001614E6" w:rsidP="001614E6">
            <w:pPr>
              <w:jc w:val="center"/>
              <w:rPr>
                <w:rFonts w:ascii="Times New Roman" w:hAnsi="Times New Roman"/>
              </w:rPr>
            </w:pPr>
            <w:r w:rsidRPr="009E1B38">
              <w:rPr>
                <w:rFonts w:ascii="Times New Roman" w:hAnsi="Times New Roman"/>
              </w:rPr>
              <w:t xml:space="preserve">22 </w:t>
            </w:r>
            <w:r w:rsidR="00CE3E90" w:rsidRPr="009E1B38">
              <w:rPr>
                <w:rFonts w:ascii="Times New Roman" w:hAnsi="Times New Roman"/>
              </w:rPr>
              <w:t>Staff</w:t>
            </w:r>
          </w:p>
        </w:tc>
      </w:tr>
      <w:tr w:rsidR="001614E6" w:rsidRPr="009E1B38" w14:paraId="7D4A936C" w14:textId="77777777" w:rsidTr="00B14956">
        <w:trPr>
          <w:cantSplit/>
          <w:trHeight w:val="20"/>
          <w:jc w:val="center"/>
        </w:trPr>
        <w:tc>
          <w:tcPr>
            <w:tcW w:w="2313" w:type="pct"/>
          </w:tcPr>
          <w:p w14:paraId="7D4A9369" w14:textId="0FAAC374" w:rsidR="001614E6" w:rsidRPr="009E1B38" w:rsidRDefault="002435D5" w:rsidP="001614E6">
            <w:pPr>
              <w:rPr>
                <w:rFonts w:ascii="Times New Roman" w:hAnsi="Times New Roman"/>
                <w:lang w:bidi="he-IL"/>
              </w:rPr>
            </w:pPr>
            <w:r w:rsidRPr="009E1B38">
              <w:rPr>
                <w:rFonts w:ascii="Times New Roman" w:hAnsi="Times New Roman"/>
              </w:rPr>
              <w:t>General Directorate of State Hydraulic Works, Department of Real Estate and Expropriation</w:t>
            </w:r>
          </w:p>
        </w:tc>
        <w:tc>
          <w:tcPr>
            <w:tcW w:w="1969" w:type="pct"/>
          </w:tcPr>
          <w:p w14:paraId="7D4A936A" w14:textId="52A044B1" w:rsidR="001614E6" w:rsidRPr="009E1B38" w:rsidRDefault="001F2849" w:rsidP="00B41860">
            <w:pPr>
              <w:autoSpaceDE w:val="0"/>
              <w:autoSpaceDN w:val="0"/>
              <w:adjustRightInd w:val="0"/>
              <w:rPr>
                <w:rFonts w:ascii="Times New Roman" w:hAnsi="Times New Roman"/>
              </w:rPr>
            </w:pPr>
            <w:r w:rsidRPr="009E1B38">
              <w:rPr>
                <w:rFonts w:ascii="Times New Roman" w:hAnsi="Times New Roman"/>
              </w:rPr>
              <w:t>Appraisal for Expropriation Purposes</w:t>
            </w:r>
          </w:p>
        </w:tc>
        <w:tc>
          <w:tcPr>
            <w:tcW w:w="718" w:type="pct"/>
          </w:tcPr>
          <w:p w14:paraId="7D4A936B" w14:textId="2539C8AE" w:rsidR="001614E6" w:rsidRPr="009E1B38" w:rsidRDefault="001614E6" w:rsidP="001614E6">
            <w:pPr>
              <w:jc w:val="center"/>
              <w:rPr>
                <w:rFonts w:ascii="Times New Roman" w:hAnsi="Times New Roman"/>
              </w:rPr>
            </w:pPr>
            <w:r w:rsidRPr="009E1B38">
              <w:rPr>
                <w:rFonts w:ascii="Times New Roman" w:hAnsi="Times New Roman"/>
              </w:rPr>
              <w:t xml:space="preserve">28 </w:t>
            </w:r>
            <w:r w:rsidR="00CE3E90" w:rsidRPr="009E1B38">
              <w:rPr>
                <w:rFonts w:ascii="Times New Roman" w:hAnsi="Times New Roman"/>
              </w:rPr>
              <w:t>Staff</w:t>
            </w:r>
          </w:p>
        </w:tc>
      </w:tr>
      <w:tr w:rsidR="001614E6" w:rsidRPr="009E1B38" w14:paraId="7D4A9370" w14:textId="77777777" w:rsidTr="00B14956">
        <w:trPr>
          <w:cantSplit/>
          <w:trHeight w:val="20"/>
          <w:jc w:val="center"/>
        </w:trPr>
        <w:tc>
          <w:tcPr>
            <w:tcW w:w="2313" w:type="pct"/>
          </w:tcPr>
          <w:p w14:paraId="7D4A936D" w14:textId="15C52DD9" w:rsidR="001614E6" w:rsidRPr="009E1B38" w:rsidRDefault="00014D7E" w:rsidP="001614E6">
            <w:pPr>
              <w:autoSpaceDE w:val="0"/>
              <w:autoSpaceDN w:val="0"/>
              <w:adjustRightInd w:val="0"/>
              <w:rPr>
                <w:rFonts w:ascii="Times New Roman" w:hAnsi="Times New Roman"/>
              </w:rPr>
            </w:pPr>
            <w:r w:rsidRPr="009E1B38">
              <w:rPr>
                <w:rFonts w:ascii="Times New Roman" w:hAnsi="Times New Roman"/>
              </w:rPr>
              <w:t>Sivas Cumhuriyet University Institute of Social Sciences</w:t>
            </w:r>
          </w:p>
        </w:tc>
        <w:tc>
          <w:tcPr>
            <w:tcW w:w="1969" w:type="pct"/>
          </w:tcPr>
          <w:p w14:paraId="7D4A936E" w14:textId="4DA36D80" w:rsidR="001614E6" w:rsidRPr="009E1B38" w:rsidRDefault="001F2849" w:rsidP="00B41860">
            <w:pPr>
              <w:autoSpaceDE w:val="0"/>
              <w:autoSpaceDN w:val="0"/>
              <w:adjustRightInd w:val="0"/>
              <w:rPr>
                <w:rFonts w:ascii="Times New Roman" w:hAnsi="Times New Roman"/>
              </w:rPr>
            </w:pPr>
            <w:r w:rsidRPr="009E1B38">
              <w:rPr>
                <w:rFonts w:ascii="Times New Roman" w:hAnsi="Times New Roman"/>
                <w:bCs/>
                <w:iCs/>
              </w:rPr>
              <w:t>Energy from Theory to Practice</w:t>
            </w:r>
          </w:p>
        </w:tc>
        <w:tc>
          <w:tcPr>
            <w:tcW w:w="718" w:type="pct"/>
          </w:tcPr>
          <w:p w14:paraId="7D4A936F" w14:textId="5816C009" w:rsidR="001614E6" w:rsidRPr="009E1B38" w:rsidRDefault="001614E6" w:rsidP="001614E6">
            <w:pPr>
              <w:jc w:val="center"/>
              <w:rPr>
                <w:rFonts w:ascii="Times New Roman" w:hAnsi="Times New Roman"/>
              </w:rPr>
            </w:pPr>
            <w:r w:rsidRPr="009E1B38">
              <w:rPr>
                <w:rFonts w:ascii="Times New Roman" w:hAnsi="Times New Roman"/>
              </w:rPr>
              <w:t xml:space="preserve">1 </w:t>
            </w:r>
            <w:r w:rsidR="00CE3E90" w:rsidRPr="009E1B38">
              <w:rPr>
                <w:rFonts w:ascii="Times New Roman" w:hAnsi="Times New Roman"/>
              </w:rPr>
              <w:t>Staff</w:t>
            </w:r>
          </w:p>
        </w:tc>
      </w:tr>
      <w:tr w:rsidR="001614E6" w:rsidRPr="009E1B38" w14:paraId="7D4A9374" w14:textId="77777777" w:rsidTr="00B14956">
        <w:trPr>
          <w:cantSplit/>
          <w:trHeight w:val="20"/>
          <w:jc w:val="center"/>
        </w:trPr>
        <w:tc>
          <w:tcPr>
            <w:tcW w:w="2313" w:type="pct"/>
          </w:tcPr>
          <w:p w14:paraId="7D4A9371" w14:textId="7D7D087E" w:rsidR="001614E6" w:rsidRPr="009E1B38" w:rsidRDefault="0082470D" w:rsidP="001614E6">
            <w:pPr>
              <w:autoSpaceDE w:val="0"/>
              <w:autoSpaceDN w:val="0"/>
              <w:adjustRightInd w:val="0"/>
              <w:rPr>
                <w:rFonts w:ascii="Times New Roman" w:hAnsi="Times New Roman"/>
              </w:rPr>
            </w:pPr>
            <w:r w:rsidRPr="009E1B38">
              <w:rPr>
                <w:rFonts w:ascii="Times New Roman" w:hAnsi="Times New Roman"/>
              </w:rPr>
              <w:t>Türkiye</w:t>
            </w:r>
            <w:r w:rsidR="00885B03" w:rsidRPr="009E1B38">
              <w:rPr>
                <w:rFonts w:ascii="Times New Roman" w:hAnsi="Times New Roman"/>
              </w:rPr>
              <w:t xml:space="preserve"> Energy Summit</w:t>
            </w:r>
          </w:p>
        </w:tc>
        <w:tc>
          <w:tcPr>
            <w:tcW w:w="1969" w:type="pct"/>
          </w:tcPr>
          <w:p w14:paraId="7D4A9372" w14:textId="7DDEBD65" w:rsidR="001614E6" w:rsidRPr="009E1B38" w:rsidRDefault="0082470D" w:rsidP="00B41860">
            <w:pPr>
              <w:autoSpaceDE w:val="0"/>
              <w:autoSpaceDN w:val="0"/>
              <w:adjustRightInd w:val="0"/>
              <w:rPr>
                <w:rFonts w:ascii="Times New Roman" w:hAnsi="Times New Roman"/>
              </w:rPr>
            </w:pPr>
            <w:r w:rsidRPr="009E1B38">
              <w:rPr>
                <w:rFonts w:ascii="Times New Roman" w:hAnsi="Times New Roman"/>
              </w:rPr>
              <w:t>Türkiye</w:t>
            </w:r>
            <w:r w:rsidR="001F2849" w:rsidRPr="009E1B38">
              <w:rPr>
                <w:rFonts w:ascii="Times New Roman" w:hAnsi="Times New Roman"/>
              </w:rPr>
              <w:t xml:space="preserve"> Energy Summit–ISTRADE Energy Trade and Supply Summit</w:t>
            </w:r>
          </w:p>
        </w:tc>
        <w:tc>
          <w:tcPr>
            <w:tcW w:w="718" w:type="pct"/>
          </w:tcPr>
          <w:p w14:paraId="7D4A9373" w14:textId="4114C316" w:rsidR="001614E6" w:rsidRPr="009E1B38" w:rsidRDefault="001614E6" w:rsidP="001614E6">
            <w:pPr>
              <w:jc w:val="center"/>
              <w:rPr>
                <w:rFonts w:ascii="Times New Roman" w:hAnsi="Times New Roman"/>
              </w:rPr>
            </w:pPr>
            <w:r w:rsidRPr="009E1B38">
              <w:rPr>
                <w:rFonts w:ascii="Times New Roman" w:hAnsi="Times New Roman"/>
              </w:rPr>
              <w:t xml:space="preserve">2 </w:t>
            </w:r>
            <w:r w:rsidR="00CE3E90" w:rsidRPr="009E1B38">
              <w:rPr>
                <w:rFonts w:ascii="Times New Roman" w:hAnsi="Times New Roman"/>
              </w:rPr>
              <w:t>Staff</w:t>
            </w:r>
          </w:p>
        </w:tc>
      </w:tr>
      <w:tr w:rsidR="001614E6" w:rsidRPr="009E1B38" w14:paraId="7D4A9378" w14:textId="77777777" w:rsidTr="00B14956">
        <w:trPr>
          <w:cantSplit/>
          <w:trHeight w:val="20"/>
          <w:jc w:val="center"/>
        </w:trPr>
        <w:tc>
          <w:tcPr>
            <w:tcW w:w="2313" w:type="pct"/>
          </w:tcPr>
          <w:p w14:paraId="7D4A9375" w14:textId="77777777" w:rsidR="001614E6" w:rsidRPr="009E1B38" w:rsidRDefault="001614E6" w:rsidP="001614E6">
            <w:pPr>
              <w:autoSpaceDE w:val="0"/>
              <w:autoSpaceDN w:val="0"/>
              <w:adjustRightInd w:val="0"/>
              <w:rPr>
                <w:rFonts w:ascii="Times New Roman" w:hAnsi="Times New Roman"/>
              </w:rPr>
            </w:pPr>
            <w:r w:rsidRPr="009E1B38">
              <w:rPr>
                <w:rFonts w:ascii="Times New Roman" w:hAnsi="Times New Roman"/>
              </w:rPr>
              <w:t>ASPİLSAN Enerji Sanayi ve Ticaret A.Ş.</w:t>
            </w:r>
          </w:p>
        </w:tc>
        <w:tc>
          <w:tcPr>
            <w:tcW w:w="1969" w:type="pct"/>
          </w:tcPr>
          <w:p w14:paraId="7D4A9376" w14:textId="59492990" w:rsidR="001614E6" w:rsidRPr="009E1B38" w:rsidRDefault="00E46726" w:rsidP="00B41860">
            <w:pPr>
              <w:autoSpaceDE w:val="0"/>
              <w:autoSpaceDN w:val="0"/>
              <w:adjustRightInd w:val="0"/>
              <w:rPr>
                <w:rFonts w:ascii="Times New Roman" w:hAnsi="Times New Roman"/>
              </w:rPr>
            </w:pPr>
            <w:r w:rsidRPr="009E1B38">
              <w:rPr>
                <w:rFonts w:ascii="Times New Roman" w:hAnsi="Times New Roman"/>
              </w:rPr>
              <w:t>6. Battery Technologies Workshop</w:t>
            </w:r>
          </w:p>
        </w:tc>
        <w:tc>
          <w:tcPr>
            <w:tcW w:w="718" w:type="pct"/>
          </w:tcPr>
          <w:p w14:paraId="7D4A9377" w14:textId="3D31670E" w:rsidR="001614E6" w:rsidRPr="009E1B38" w:rsidRDefault="001614E6" w:rsidP="001614E6">
            <w:pPr>
              <w:jc w:val="center"/>
              <w:rPr>
                <w:rFonts w:ascii="Times New Roman" w:hAnsi="Times New Roman"/>
              </w:rPr>
            </w:pPr>
            <w:r w:rsidRPr="009E1B38">
              <w:rPr>
                <w:rFonts w:ascii="Times New Roman" w:hAnsi="Times New Roman"/>
              </w:rPr>
              <w:t xml:space="preserve">1 </w:t>
            </w:r>
            <w:r w:rsidR="00CE3E90" w:rsidRPr="009E1B38">
              <w:rPr>
                <w:rFonts w:ascii="Times New Roman" w:hAnsi="Times New Roman"/>
              </w:rPr>
              <w:t>Staff</w:t>
            </w:r>
          </w:p>
        </w:tc>
      </w:tr>
      <w:tr w:rsidR="001614E6" w:rsidRPr="009E1B38" w14:paraId="7D4A937C" w14:textId="77777777" w:rsidTr="00B14956">
        <w:trPr>
          <w:cantSplit/>
          <w:trHeight w:val="20"/>
          <w:jc w:val="center"/>
        </w:trPr>
        <w:tc>
          <w:tcPr>
            <w:tcW w:w="2313" w:type="pct"/>
          </w:tcPr>
          <w:p w14:paraId="7D4A9379" w14:textId="036C3670" w:rsidR="001614E6" w:rsidRPr="009E1B38" w:rsidRDefault="00885B03" w:rsidP="001614E6">
            <w:pPr>
              <w:rPr>
                <w:rFonts w:ascii="Times New Roman" w:hAnsi="Times New Roman"/>
              </w:rPr>
            </w:pPr>
            <w:r w:rsidRPr="009E1B38">
              <w:rPr>
                <w:rFonts w:ascii="Times New Roman" w:hAnsi="Times New Roman"/>
              </w:rPr>
              <w:t>Banking and Commercial Law Research Institute</w:t>
            </w:r>
          </w:p>
        </w:tc>
        <w:tc>
          <w:tcPr>
            <w:tcW w:w="1969" w:type="pct"/>
          </w:tcPr>
          <w:p w14:paraId="7D4A937A" w14:textId="26505C56" w:rsidR="001614E6" w:rsidRPr="009E1B38" w:rsidRDefault="001F2849" w:rsidP="00B41860">
            <w:pPr>
              <w:rPr>
                <w:rFonts w:ascii="Times New Roman" w:hAnsi="Times New Roman"/>
              </w:rPr>
            </w:pPr>
            <w:r w:rsidRPr="009E1B38">
              <w:rPr>
                <w:rFonts w:ascii="Times New Roman" w:hAnsi="Times New Roman"/>
              </w:rPr>
              <w:t>Energy Law Certificate Program</w:t>
            </w:r>
          </w:p>
        </w:tc>
        <w:tc>
          <w:tcPr>
            <w:tcW w:w="718" w:type="pct"/>
          </w:tcPr>
          <w:p w14:paraId="7D4A937B" w14:textId="04DAE4B9" w:rsidR="001614E6" w:rsidRPr="009E1B38" w:rsidRDefault="001614E6" w:rsidP="001614E6">
            <w:pPr>
              <w:jc w:val="center"/>
              <w:rPr>
                <w:rFonts w:ascii="Times New Roman" w:hAnsi="Times New Roman"/>
              </w:rPr>
            </w:pPr>
            <w:r w:rsidRPr="009E1B38">
              <w:rPr>
                <w:rFonts w:ascii="Times New Roman" w:hAnsi="Times New Roman"/>
              </w:rPr>
              <w:t xml:space="preserve">1 </w:t>
            </w:r>
            <w:r w:rsidR="00CE3E90" w:rsidRPr="009E1B38">
              <w:rPr>
                <w:rFonts w:ascii="Times New Roman" w:hAnsi="Times New Roman"/>
              </w:rPr>
              <w:t>Staff</w:t>
            </w:r>
          </w:p>
        </w:tc>
      </w:tr>
      <w:tr w:rsidR="001614E6" w:rsidRPr="009E1B38" w14:paraId="7D4A9380" w14:textId="77777777" w:rsidTr="00B14956">
        <w:trPr>
          <w:cantSplit/>
          <w:trHeight w:val="20"/>
          <w:jc w:val="center"/>
        </w:trPr>
        <w:tc>
          <w:tcPr>
            <w:tcW w:w="2313" w:type="pct"/>
          </w:tcPr>
          <w:p w14:paraId="7D4A937D" w14:textId="572DCFFC" w:rsidR="001614E6" w:rsidRPr="009E1B38" w:rsidRDefault="00885B03" w:rsidP="001614E6">
            <w:pPr>
              <w:rPr>
                <w:rFonts w:ascii="Times New Roman" w:hAnsi="Times New Roman"/>
              </w:rPr>
            </w:pPr>
            <w:r w:rsidRPr="009E1B38">
              <w:rPr>
                <w:rFonts w:ascii="Times New Roman" w:hAnsi="Times New Roman"/>
              </w:rPr>
              <w:t>Banking and Commercial Law Research Institute</w:t>
            </w:r>
          </w:p>
        </w:tc>
        <w:tc>
          <w:tcPr>
            <w:tcW w:w="1969" w:type="pct"/>
          </w:tcPr>
          <w:p w14:paraId="7D4A937E" w14:textId="041303A8" w:rsidR="001614E6" w:rsidRPr="009E1B38" w:rsidRDefault="001F2849" w:rsidP="00B41860">
            <w:pPr>
              <w:rPr>
                <w:rFonts w:ascii="Times New Roman" w:hAnsi="Times New Roman"/>
              </w:rPr>
            </w:pPr>
            <w:r w:rsidRPr="009E1B38">
              <w:rPr>
                <w:rFonts w:ascii="Times New Roman" w:hAnsi="Times New Roman"/>
              </w:rPr>
              <w:t>Law of Obligations Certificate Program</w:t>
            </w:r>
          </w:p>
        </w:tc>
        <w:tc>
          <w:tcPr>
            <w:tcW w:w="718" w:type="pct"/>
          </w:tcPr>
          <w:p w14:paraId="7D4A937F" w14:textId="7EA7CFE6" w:rsidR="001614E6" w:rsidRPr="009E1B38" w:rsidRDefault="001614E6" w:rsidP="001614E6">
            <w:pPr>
              <w:jc w:val="center"/>
              <w:rPr>
                <w:rFonts w:ascii="Times New Roman" w:hAnsi="Times New Roman"/>
              </w:rPr>
            </w:pPr>
            <w:r w:rsidRPr="009E1B38">
              <w:rPr>
                <w:rFonts w:ascii="Times New Roman" w:hAnsi="Times New Roman"/>
              </w:rPr>
              <w:t xml:space="preserve">1 </w:t>
            </w:r>
            <w:r w:rsidR="00CE3E90" w:rsidRPr="009E1B38">
              <w:rPr>
                <w:rFonts w:ascii="Times New Roman" w:hAnsi="Times New Roman"/>
              </w:rPr>
              <w:t>Staff</w:t>
            </w:r>
          </w:p>
        </w:tc>
      </w:tr>
      <w:tr w:rsidR="001614E6" w:rsidRPr="009E1B38" w14:paraId="7D4A9384" w14:textId="77777777" w:rsidTr="00B14956">
        <w:trPr>
          <w:cantSplit/>
          <w:trHeight w:val="20"/>
          <w:jc w:val="center"/>
        </w:trPr>
        <w:tc>
          <w:tcPr>
            <w:tcW w:w="2313" w:type="pct"/>
          </w:tcPr>
          <w:p w14:paraId="7D4A9381" w14:textId="51F3D8F4" w:rsidR="001614E6" w:rsidRPr="009E1B38" w:rsidRDefault="00E03990" w:rsidP="00B41860">
            <w:pPr>
              <w:autoSpaceDE w:val="0"/>
              <w:autoSpaceDN w:val="0"/>
              <w:adjustRightInd w:val="0"/>
              <w:spacing w:after="0" w:line="240" w:lineRule="auto"/>
              <w:rPr>
                <w:rFonts w:ascii="Times New Roman" w:hAnsi="Times New Roman"/>
              </w:rPr>
            </w:pPr>
            <w:r w:rsidRPr="009E1B38">
              <w:rPr>
                <w:rFonts w:ascii="Times New Roman" w:hAnsi="Times New Roman"/>
              </w:rPr>
              <w:t>Presidency of the Presidential Human Resources Office – Distance Education Gate</w:t>
            </w:r>
          </w:p>
        </w:tc>
        <w:tc>
          <w:tcPr>
            <w:tcW w:w="1969" w:type="pct"/>
          </w:tcPr>
          <w:p w14:paraId="7D4A9382" w14:textId="4272269A" w:rsidR="001614E6" w:rsidRPr="009E1B38" w:rsidRDefault="001F2849" w:rsidP="00B41860">
            <w:pPr>
              <w:rPr>
                <w:rFonts w:ascii="Times New Roman" w:hAnsi="Times New Roman"/>
              </w:rPr>
            </w:pPr>
            <w:r w:rsidRPr="009E1B38">
              <w:rPr>
                <w:rFonts w:ascii="Times New Roman" w:hAnsi="Times New Roman"/>
              </w:rPr>
              <w:t>Zero Waste Education</w:t>
            </w:r>
          </w:p>
        </w:tc>
        <w:tc>
          <w:tcPr>
            <w:tcW w:w="718" w:type="pct"/>
          </w:tcPr>
          <w:p w14:paraId="7D4A9383" w14:textId="1AB04611" w:rsidR="001614E6" w:rsidRPr="009E1B38" w:rsidRDefault="001A384B" w:rsidP="001614E6">
            <w:pPr>
              <w:jc w:val="center"/>
              <w:rPr>
                <w:rFonts w:ascii="Times New Roman" w:hAnsi="Times New Roman"/>
              </w:rPr>
            </w:pPr>
            <w:r w:rsidRPr="009E1B38">
              <w:rPr>
                <w:rFonts w:ascii="Times New Roman" w:hAnsi="Times New Roman"/>
              </w:rPr>
              <w:t>All Institution Staff</w:t>
            </w:r>
          </w:p>
        </w:tc>
      </w:tr>
      <w:tr w:rsidR="001614E6" w:rsidRPr="009E1B38" w14:paraId="7D4A9388" w14:textId="77777777" w:rsidTr="00B14956">
        <w:trPr>
          <w:cantSplit/>
          <w:trHeight w:val="20"/>
          <w:jc w:val="center"/>
        </w:trPr>
        <w:tc>
          <w:tcPr>
            <w:tcW w:w="2313" w:type="pct"/>
          </w:tcPr>
          <w:p w14:paraId="7D4A9385" w14:textId="784FAC3A" w:rsidR="001614E6" w:rsidRPr="009E1B38" w:rsidRDefault="00777D4B" w:rsidP="001614E6">
            <w:pPr>
              <w:rPr>
                <w:rFonts w:ascii="Times New Roman" w:hAnsi="Times New Roman"/>
              </w:rPr>
            </w:pPr>
            <w:r w:rsidRPr="009E1B38">
              <w:rPr>
                <w:rFonts w:ascii="Times New Roman" w:hAnsi="Times New Roman"/>
              </w:rPr>
              <w:t>Istanbul Medipol University Continuing Education Center</w:t>
            </w:r>
          </w:p>
        </w:tc>
        <w:tc>
          <w:tcPr>
            <w:tcW w:w="1969" w:type="pct"/>
          </w:tcPr>
          <w:p w14:paraId="7D4A9386" w14:textId="4CDB4FE4" w:rsidR="001614E6" w:rsidRPr="009E1B38" w:rsidRDefault="00B44A81" w:rsidP="00B41860">
            <w:pPr>
              <w:rPr>
                <w:rFonts w:ascii="Times New Roman" w:hAnsi="Times New Roman"/>
              </w:rPr>
            </w:pPr>
            <w:r w:rsidRPr="009E1B38">
              <w:rPr>
                <w:rFonts w:ascii="Times New Roman" w:hAnsi="Times New Roman"/>
              </w:rPr>
              <w:t>Energy and Mining Law Special Expertise Mediation Training</w:t>
            </w:r>
          </w:p>
        </w:tc>
        <w:tc>
          <w:tcPr>
            <w:tcW w:w="718" w:type="pct"/>
          </w:tcPr>
          <w:p w14:paraId="7D4A9387" w14:textId="4CD1EFCB" w:rsidR="001614E6" w:rsidRPr="009E1B38" w:rsidRDefault="001614E6" w:rsidP="001614E6">
            <w:pPr>
              <w:jc w:val="center"/>
              <w:rPr>
                <w:rFonts w:ascii="Times New Roman" w:hAnsi="Times New Roman"/>
              </w:rPr>
            </w:pPr>
            <w:r w:rsidRPr="009E1B38">
              <w:rPr>
                <w:rFonts w:ascii="Times New Roman" w:hAnsi="Times New Roman"/>
              </w:rPr>
              <w:t xml:space="preserve">8 </w:t>
            </w:r>
            <w:r w:rsidR="00CE3E90" w:rsidRPr="009E1B38">
              <w:rPr>
                <w:rFonts w:ascii="Times New Roman" w:hAnsi="Times New Roman"/>
              </w:rPr>
              <w:t>Staff</w:t>
            </w:r>
          </w:p>
        </w:tc>
      </w:tr>
      <w:tr w:rsidR="001614E6" w:rsidRPr="009E1B38" w14:paraId="7D4A938C" w14:textId="77777777" w:rsidTr="00B14956">
        <w:trPr>
          <w:cantSplit/>
          <w:trHeight w:val="20"/>
          <w:jc w:val="center"/>
        </w:trPr>
        <w:tc>
          <w:tcPr>
            <w:tcW w:w="2313" w:type="pct"/>
          </w:tcPr>
          <w:p w14:paraId="7D4A9389" w14:textId="362EBBB1" w:rsidR="001614E6" w:rsidRPr="009E1B38" w:rsidRDefault="00C4736D" w:rsidP="001614E6">
            <w:pPr>
              <w:rPr>
                <w:rFonts w:ascii="Times New Roman" w:hAnsi="Times New Roman"/>
              </w:rPr>
            </w:pPr>
            <w:r w:rsidRPr="009E1B38">
              <w:rPr>
                <w:rFonts w:ascii="Times New Roman" w:hAnsi="Times New Roman"/>
              </w:rPr>
              <w:t>Ministry of Environment and Urbanization General Directorate of Construction Works</w:t>
            </w:r>
          </w:p>
        </w:tc>
        <w:tc>
          <w:tcPr>
            <w:tcW w:w="1969" w:type="pct"/>
          </w:tcPr>
          <w:p w14:paraId="7D4A938A" w14:textId="092DD35C" w:rsidR="001614E6" w:rsidRPr="009E1B38" w:rsidRDefault="004D29A1" w:rsidP="00B41860">
            <w:pPr>
              <w:rPr>
                <w:rFonts w:ascii="Times New Roman" w:hAnsi="Times New Roman"/>
              </w:rPr>
            </w:pPr>
            <w:r w:rsidRPr="009E1B38">
              <w:rPr>
                <w:rFonts w:ascii="Times New Roman" w:hAnsi="Times New Roman"/>
              </w:rPr>
              <w:t>Damage Assessment Trainings After Natural Disaster</w:t>
            </w:r>
          </w:p>
        </w:tc>
        <w:tc>
          <w:tcPr>
            <w:tcW w:w="718" w:type="pct"/>
          </w:tcPr>
          <w:p w14:paraId="7D4A938B" w14:textId="16335FDA" w:rsidR="001614E6" w:rsidRPr="009E1B38" w:rsidRDefault="001614E6" w:rsidP="001614E6">
            <w:pPr>
              <w:jc w:val="center"/>
              <w:rPr>
                <w:rFonts w:ascii="Times New Roman" w:hAnsi="Times New Roman"/>
              </w:rPr>
            </w:pPr>
            <w:r w:rsidRPr="009E1B38">
              <w:rPr>
                <w:rFonts w:ascii="Times New Roman" w:hAnsi="Times New Roman"/>
              </w:rPr>
              <w:t xml:space="preserve">3 </w:t>
            </w:r>
            <w:r w:rsidR="00CE3E90" w:rsidRPr="009E1B38">
              <w:rPr>
                <w:rFonts w:ascii="Times New Roman" w:hAnsi="Times New Roman"/>
              </w:rPr>
              <w:t>Staff</w:t>
            </w:r>
          </w:p>
        </w:tc>
      </w:tr>
      <w:tr w:rsidR="001614E6" w:rsidRPr="009E1B38" w14:paraId="7D4A9390" w14:textId="77777777" w:rsidTr="00B14956">
        <w:trPr>
          <w:cantSplit/>
          <w:trHeight w:val="20"/>
          <w:jc w:val="center"/>
        </w:trPr>
        <w:tc>
          <w:tcPr>
            <w:tcW w:w="2313" w:type="pct"/>
          </w:tcPr>
          <w:p w14:paraId="7D4A938D" w14:textId="2E2C7167" w:rsidR="001614E6" w:rsidRPr="009E1B38" w:rsidRDefault="008F01C5" w:rsidP="001614E6">
            <w:pPr>
              <w:rPr>
                <w:rFonts w:ascii="Times New Roman" w:hAnsi="Times New Roman"/>
              </w:rPr>
            </w:pPr>
            <w:r w:rsidRPr="009E1B38">
              <w:rPr>
                <w:rFonts w:ascii="Times New Roman" w:hAnsi="Times New Roman"/>
              </w:rPr>
              <w:t>Ministry of Treasury and Finance Privatization Administration Personnel Department</w:t>
            </w:r>
          </w:p>
        </w:tc>
        <w:tc>
          <w:tcPr>
            <w:tcW w:w="1969" w:type="pct"/>
          </w:tcPr>
          <w:p w14:paraId="7D4A938E" w14:textId="1D6D21EF" w:rsidR="001614E6" w:rsidRPr="009E1B38" w:rsidRDefault="00651496" w:rsidP="00B41860">
            <w:pPr>
              <w:rPr>
                <w:rFonts w:ascii="Times New Roman" w:hAnsi="Times New Roman"/>
              </w:rPr>
            </w:pPr>
            <w:r w:rsidRPr="009E1B38">
              <w:rPr>
                <w:rFonts w:ascii="Times New Roman" w:hAnsi="Times New Roman"/>
              </w:rPr>
              <w:t>Functioning of Electricity Markets and Price Formation – Evaluation of Electricity Market Law within Energy Law</w:t>
            </w:r>
          </w:p>
        </w:tc>
        <w:tc>
          <w:tcPr>
            <w:tcW w:w="718" w:type="pct"/>
          </w:tcPr>
          <w:p w14:paraId="7D4A938F" w14:textId="6491A9CF" w:rsidR="001614E6" w:rsidRPr="009E1B38" w:rsidRDefault="001614E6" w:rsidP="001614E6">
            <w:pPr>
              <w:jc w:val="center"/>
              <w:rPr>
                <w:rFonts w:ascii="Times New Roman" w:hAnsi="Times New Roman"/>
              </w:rPr>
            </w:pPr>
            <w:r w:rsidRPr="009E1B38">
              <w:rPr>
                <w:rFonts w:ascii="Times New Roman" w:hAnsi="Times New Roman"/>
              </w:rPr>
              <w:t xml:space="preserve">2 </w:t>
            </w:r>
            <w:r w:rsidR="00CE3E90" w:rsidRPr="009E1B38">
              <w:rPr>
                <w:rFonts w:ascii="Times New Roman" w:hAnsi="Times New Roman"/>
              </w:rPr>
              <w:t>Staff</w:t>
            </w:r>
          </w:p>
        </w:tc>
      </w:tr>
      <w:tr w:rsidR="001614E6" w:rsidRPr="009E1B38" w14:paraId="7D4A9394" w14:textId="77777777" w:rsidTr="00B14956">
        <w:trPr>
          <w:cantSplit/>
          <w:trHeight w:val="20"/>
          <w:jc w:val="center"/>
        </w:trPr>
        <w:tc>
          <w:tcPr>
            <w:tcW w:w="2313" w:type="pct"/>
          </w:tcPr>
          <w:p w14:paraId="7D4A9391" w14:textId="13971F60" w:rsidR="001614E6" w:rsidRPr="009E1B38" w:rsidRDefault="008F01C5" w:rsidP="001614E6">
            <w:pPr>
              <w:rPr>
                <w:rFonts w:ascii="Times New Roman" w:hAnsi="Times New Roman"/>
              </w:rPr>
            </w:pPr>
            <w:r w:rsidRPr="009E1B38">
              <w:rPr>
                <w:rFonts w:ascii="Times New Roman" w:hAnsi="Times New Roman"/>
              </w:rPr>
              <w:t>Global Energy Association</w:t>
            </w:r>
          </w:p>
        </w:tc>
        <w:tc>
          <w:tcPr>
            <w:tcW w:w="1969" w:type="pct"/>
          </w:tcPr>
          <w:p w14:paraId="7D4A9392" w14:textId="767DA85D" w:rsidR="001614E6" w:rsidRPr="009E1B38" w:rsidRDefault="00651496" w:rsidP="00B41860">
            <w:pPr>
              <w:rPr>
                <w:rFonts w:ascii="Times New Roman" w:hAnsi="Times New Roman"/>
              </w:rPr>
            </w:pPr>
            <w:r w:rsidRPr="009E1B38">
              <w:rPr>
                <w:rFonts w:ascii="Times New Roman" w:hAnsi="Times New Roman"/>
              </w:rPr>
              <w:t>EIF Energy Congress</w:t>
            </w:r>
          </w:p>
        </w:tc>
        <w:tc>
          <w:tcPr>
            <w:tcW w:w="718" w:type="pct"/>
          </w:tcPr>
          <w:p w14:paraId="7D4A9393" w14:textId="14B97F9E" w:rsidR="001614E6" w:rsidRPr="009E1B38" w:rsidRDefault="001614E6" w:rsidP="001614E6">
            <w:pPr>
              <w:jc w:val="center"/>
              <w:rPr>
                <w:rFonts w:ascii="Times New Roman" w:hAnsi="Times New Roman"/>
              </w:rPr>
            </w:pPr>
            <w:r w:rsidRPr="009E1B38">
              <w:rPr>
                <w:rFonts w:ascii="Times New Roman" w:hAnsi="Times New Roman"/>
              </w:rPr>
              <w:t xml:space="preserve">4 </w:t>
            </w:r>
            <w:r w:rsidR="00CE3E90" w:rsidRPr="009E1B38">
              <w:rPr>
                <w:rFonts w:ascii="Times New Roman" w:hAnsi="Times New Roman"/>
              </w:rPr>
              <w:t>Staff</w:t>
            </w:r>
          </w:p>
        </w:tc>
      </w:tr>
      <w:tr w:rsidR="001614E6" w:rsidRPr="009E1B38" w14:paraId="7D4A9398" w14:textId="77777777" w:rsidTr="00B14956">
        <w:trPr>
          <w:cantSplit/>
          <w:trHeight w:val="20"/>
          <w:jc w:val="center"/>
        </w:trPr>
        <w:tc>
          <w:tcPr>
            <w:tcW w:w="2313" w:type="pct"/>
          </w:tcPr>
          <w:p w14:paraId="7D4A9395" w14:textId="5E38B4A7" w:rsidR="001614E6" w:rsidRPr="009E1B38" w:rsidRDefault="008F01C5" w:rsidP="001614E6">
            <w:pPr>
              <w:rPr>
                <w:rFonts w:ascii="Times New Roman" w:hAnsi="Times New Roman"/>
              </w:rPr>
            </w:pPr>
            <w:r w:rsidRPr="009E1B38">
              <w:rPr>
                <w:rFonts w:ascii="Times New Roman" w:hAnsi="Times New Roman"/>
              </w:rPr>
              <w:lastRenderedPageBreak/>
              <w:t>Public Procurement Institution</w:t>
            </w:r>
          </w:p>
        </w:tc>
        <w:tc>
          <w:tcPr>
            <w:tcW w:w="1969" w:type="pct"/>
          </w:tcPr>
          <w:p w14:paraId="7D4A9396" w14:textId="0B4A87B3" w:rsidR="001614E6" w:rsidRPr="009E1B38" w:rsidRDefault="00651496" w:rsidP="00B41860">
            <w:pPr>
              <w:rPr>
                <w:rFonts w:ascii="Times New Roman" w:hAnsi="Times New Roman"/>
              </w:rPr>
            </w:pPr>
            <w:r w:rsidRPr="009E1B38">
              <w:rPr>
                <w:rFonts w:ascii="Times New Roman" w:hAnsi="Times New Roman"/>
              </w:rPr>
              <w:t>Reform Studies in Public Procurements</w:t>
            </w:r>
          </w:p>
        </w:tc>
        <w:tc>
          <w:tcPr>
            <w:tcW w:w="718" w:type="pct"/>
          </w:tcPr>
          <w:p w14:paraId="7D4A9397" w14:textId="588E28B7" w:rsidR="001614E6" w:rsidRPr="009E1B38" w:rsidRDefault="001614E6" w:rsidP="001614E6">
            <w:pPr>
              <w:jc w:val="center"/>
              <w:rPr>
                <w:rFonts w:ascii="Times New Roman" w:hAnsi="Times New Roman"/>
              </w:rPr>
            </w:pPr>
            <w:r w:rsidRPr="009E1B38">
              <w:rPr>
                <w:rFonts w:ascii="Times New Roman" w:hAnsi="Times New Roman"/>
              </w:rPr>
              <w:t xml:space="preserve">1 </w:t>
            </w:r>
            <w:r w:rsidR="00CE3E90" w:rsidRPr="009E1B38">
              <w:rPr>
                <w:rFonts w:ascii="Times New Roman" w:hAnsi="Times New Roman"/>
              </w:rPr>
              <w:t>Staff</w:t>
            </w:r>
          </w:p>
        </w:tc>
      </w:tr>
      <w:tr w:rsidR="001614E6" w:rsidRPr="009E1B38" w14:paraId="7D4A939C" w14:textId="77777777" w:rsidTr="00B14956">
        <w:trPr>
          <w:cantSplit/>
          <w:trHeight w:val="20"/>
          <w:jc w:val="center"/>
        </w:trPr>
        <w:tc>
          <w:tcPr>
            <w:tcW w:w="2313" w:type="pct"/>
          </w:tcPr>
          <w:p w14:paraId="7D4A9399" w14:textId="2434D832" w:rsidR="001614E6" w:rsidRPr="009E1B38" w:rsidRDefault="008F01C5" w:rsidP="001614E6">
            <w:pPr>
              <w:rPr>
                <w:rFonts w:ascii="Times New Roman" w:hAnsi="Times New Roman"/>
              </w:rPr>
            </w:pPr>
            <w:r w:rsidRPr="009E1B38">
              <w:rPr>
                <w:rFonts w:ascii="Times New Roman" w:hAnsi="Times New Roman"/>
              </w:rPr>
              <w:t>Turkish Cogeneration Association</w:t>
            </w:r>
          </w:p>
        </w:tc>
        <w:tc>
          <w:tcPr>
            <w:tcW w:w="1969" w:type="pct"/>
          </w:tcPr>
          <w:p w14:paraId="7D4A939A" w14:textId="1556F087" w:rsidR="001614E6" w:rsidRPr="009E1B38" w:rsidRDefault="00EC605C" w:rsidP="00B41860">
            <w:pPr>
              <w:rPr>
                <w:rFonts w:ascii="Times New Roman" w:hAnsi="Times New Roman"/>
              </w:rPr>
            </w:pPr>
            <w:r w:rsidRPr="009E1B38">
              <w:rPr>
                <w:rFonts w:ascii="Times New Roman" w:hAnsi="Times New Roman"/>
              </w:rPr>
              <w:t>ICCI Energy and Environment Conference</w:t>
            </w:r>
          </w:p>
        </w:tc>
        <w:tc>
          <w:tcPr>
            <w:tcW w:w="718" w:type="pct"/>
          </w:tcPr>
          <w:p w14:paraId="7D4A939B" w14:textId="49ADCA25" w:rsidR="001614E6" w:rsidRPr="009E1B38" w:rsidRDefault="001614E6" w:rsidP="001614E6">
            <w:pPr>
              <w:jc w:val="center"/>
              <w:rPr>
                <w:rFonts w:ascii="Times New Roman" w:hAnsi="Times New Roman"/>
              </w:rPr>
            </w:pPr>
            <w:r w:rsidRPr="009E1B38">
              <w:rPr>
                <w:rFonts w:ascii="Times New Roman" w:hAnsi="Times New Roman"/>
              </w:rPr>
              <w:t xml:space="preserve">1 </w:t>
            </w:r>
            <w:r w:rsidR="00CE3E90" w:rsidRPr="009E1B38">
              <w:rPr>
                <w:rFonts w:ascii="Times New Roman" w:hAnsi="Times New Roman"/>
              </w:rPr>
              <w:t>Staff</w:t>
            </w:r>
          </w:p>
        </w:tc>
      </w:tr>
      <w:tr w:rsidR="001614E6" w:rsidRPr="009E1B38" w14:paraId="7D4A93A0" w14:textId="77777777" w:rsidTr="00B14956">
        <w:trPr>
          <w:cantSplit/>
          <w:trHeight w:val="20"/>
          <w:jc w:val="center"/>
        </w:trPr>
        <w:tc>
          <w:tcPr>
            <w:tcW w:w="2313" w:type="pct"/>
          </w:tcPr>
          <w:p w14:paraId="7D4A939D" w14:textId="3F8A5005" w:rsidR="001614E6" w:rsidRPr="009E1B38" w:rsidRDefault="008F01C5" w:rsidP="001614E6">
            <w:pPr>
              <w:rPr>
                <w:rFonts w:ascii="Times New Roman" w:hAnsi="Times New Roman"/>
              </w:rPr>
            </w:pPr>
            <w:r w:rsidRPr="009E1B38">
              <w:rPr>
                <w:rFonts w:ascii="Times New Roman" w:hAnsi="Times New Roman"/>
              </w:rPr>
              <w:t>Presidency of the Presidency of the Human Resources Office – Distance Education Gate</w:t>
            </w:r>
          </w:p>
        </w:tc>
        <w:tc>
          <w:tcPr>
            <w:tcW w:w="1969" w:type="pct"/>
          </w:tcPr>
          <w:p w14:paraId="7D4A939E" w14:textId="5A90B016" w:rsidR="001614E6" w:rsidRPr="009E1B38" w:rsidRDefault="007979A2" w:rsidP="00B41860">
            <w:pPr>
              <w:rPr>
                <w:rFonts w:ascii="Times New Roman" w:hAnsi="Times New Roman"/>
              </w:rPr>
            </w:pPr>
            <w:r w:rsidRPr="009E1B38">
              <w:rPr>
                <w:rFonts w:ascii="Times New Roman" w:hAnsi="Times New Roman"/>
              </w:rPr>
              <w:t>Human Rights Education</w:t>
            </w:r>
          </w:p>
        </w:tc>
        <w:tc>
          <w:tcPr>
            <w:tcW w:w="718" w:type="pct"/>
          </w:tcPr>
          <w:p w14:paraId="7D4A939F" w14:textId="1937AAC6" w:rsidR="001614E6" w:rsidRPr="009E1B38" w:rsidRDefault="001A384B" w:rsidP="001614E6">
            <w:pPr>
              <w:jc w:val="center"/>
              <w:rPr>
                <w:rFonts w:ascii="Times New Roman" w:hAnsi="Times New Roman"/>
              </w:rPr>
            </w:pPr>
            <w:r w:rsidRPr="009E1B38">
              <w:rPr>
                <w:rFonts w:ascii="Times New Roman" w:hAnsi="Times New Roman"/>
              </w:rPr>
              <w:t>All Institution Staff</w:t>
            </w:r>
          </w:p>
        </w:tc>
      </w:tr>
      <w:tr w:rsidR="001614E6" w:rsidRPr="009E1B38" w14:paraId="7D4A93A4" w14:textId="77777777" w:rsidTr="00B14956">
        <w:trPr>
          <w:cantSplit/>
          <w:trHeight w:val="20"/>
          <w:jc w:val="center"/>
        </w:trPr>
        <w:tc>
          <w:tcPr>
            <w:tcW w:w="2313" w:type="pct"/>
          </w:tcPr>
          <w:p w14:paraId="7D4A93A1" w14:textId="4B799FAA" w:rsidR="001614E6" w:rsidRPr="009E1B38" w:rsidRDefault="008F01C5" w:rsidP="001614E6">
            <w:pPr>
              <w:spacing w:after="0"/>
              <w:rPr>
                <w:rFonts w:ascii="Times New Roman" w:hAnsi="Times New Roman"/>
              </w:rPr>
            </w:pPr>
            <w:r w:rsidRPr="009E1B38">
              <w:rPr>
                <w:rFonts w:ascii="Times New Roman" w:hAnsi="Times New Roman"/>
              </w:rPr>
              <w:t>Ministry of Energy and Natural Resources General Directorate of Management Services</w:t>
            </w:r>
          </w:p>
        </w:tc>
        <w:tc>
          <w:tcPr>
            <w:tcW w:w="1969" w:type="pct"/>
          </w:tcPr>
          <w:p w14:paraId="7D4A93A2" w14:textId="2D59F01C" w:rsidR="001614E6" w:rsidRPr="009E1B38" w:rsidRDefault="007979A2" w:rsidP="00B41860">
            <w:pPr>
              <w:rPr>
                <w:rFonts w:ascii="Times New Roman" w:hAnsi="Times New Roman"/>
              </w:rPr>
            </w:pPr>
            <w:r w:rsidRPr="009E1B38">
              <w:rPr>
                <w:rFonts w:ascii="Times New Roman" w:hAnsi="Times New Roman"/>
              </w:rPr>
              <w:t>Public Administration Seminar</w:t>
            </w:r>
          </w:p>
        </w:tc>
        <w:tc>
          <w:tcPr>
            <w:tcW w:w="718" w:type="pct"/>
          </w:tcPr>
          <w:p w14:paraId="7D4A93A3" w14:textId="0B4290D9" w:rsidR="001614E6" w:rsidRPr="009E1B38" w:rsidRDefault="001614E6" w:rsidP="001614E6">
            <w:pPr>
              <w:jc w:val="center"/>
              <w:rPr>
                <w:rFonts w:ascii="Times New Roman" w:hAnsi="Times New Roman"/>
              </w:rPr>
            </w:pPr>
            <w:r w:rsidRPr="009E1B38">
              <w:rPr>
                <w:rFonts w:ascii="Times New Roman" w:hAnsi="Times New Roman"/>
              </w:rPr>
              <w:t xml:space="preserve">28 </w:t>
            </w:r>
            <w:r w:rsidR="00CE3E90" w:rsidRPr="009E1B38">
              <w:rPr>
                <w:rFonts w:ascii="Times New Roman" w:hAnsi="Times New Roman"/>
              </w:rPr>
              <w:t>Staff</w:t>
            </w:r>
          </w:p>
        </w:tc>
      </w:tr>
      <w:tr w:rsidR="001614E6" w:rsidRPr="009E1B38" w14:paraId="7D4A93A8" w14:textId="77777777" w:rsidTr="00B14956">
        <w:trPr>
          <w:cantSplit/>
          <w:trHeight w:val="20"/>
          <w:jc w:val="center"/>
        </w:trPr>
        <w:tc>
          <w:tcPr>
            <w:tcW w:w="2313" w:type="pct"/>
          </w:tcPr>
          <w:p w14:paraId="7D4A93A5" w14:textId="4C0BAAFA" w:rsidR="001614E6" w:rsidRPr="009E1B38" w:rsidRDefault="008F01C5" w:rsidP="001614E6">
            <w:pPr>
              <w:rPr>
                <w:rFonts w:ascii="Times New Roman" w:hAnsi="Times New Roman"/>
              </w:rPr>
            </w:pPr>
            <w:r w:rsidRPr="009E1B38">
              <w:rPr>
                <w:rFonts w:ascii="Times New Roman" w:hAnsi="Times New Roman"/>
              </w:rPr>
              <w:t>Ankara Social Sciences University Continuing Education and Application Research Center (ASBÜSEM)</w:t>
            </w:r>
          </w:p>
        </w:tc>
        <w:tc>
          <w:tcPr>
            <w:tcW w:w="1969" w:type="pct"/>
          </w:tcPr>
          <w:p w14:paraId="7D4A93A6" w14:textId="3981FF61" w:rsidR="001614E6" w:rsidRPr="009E1B38" w:rsidRDefault="008839DE" w:rsidP="00B41860">
            <w:pPr>
              <w:rPr>
                <w:rFonts w:ascii="Times New Roman" w:hAnsi="Times New Roman"/>
              </w:rPr>
            </w:pPr>
            <w:r w:rsidRPr="009E1B38">
              <w:rPr>
                <w:rFonts w:ascii="Times New Roman" w:hAnsi="Times New Roman"/>
              </w:rPr>
              <w:t>Online "KVKK Awareness and VERBIS Registration"</w:t>
            </w:r>
          </w:p>
        </w:tc>
        <w:tc>
          <w:tcPr>
            <w:tcW w:w="718" w:type="pct"/>
          </w:tcPr>
          <w:p w14:paraId="7D4A93A7" w14:textId="1AD6A27B" w:rsidR="001614E6" w:rsidRPr="009E1B38" w:rsidRDefault="001614E6" w:rsidP="001614E6">
            <w:pPr>
              <w:jc w:val="center"/>
              <w:rPr>
                <w:rFonts w:ascii="Times New Roman" w:hAnsi="Times New Roman"/>
              </w:rPr>
            </w:pPr>
            <w:r w:rsidRPr="009E1B38">
              <w:rPr>
                <w:rFonts w:ascii="Times New Roman" w:hAnsi="Times New Roman"/>
              </w:rPr>
              <w:t xml:space="preserve">18 </w:t>
            </w:r>
            <w:r w:rsidR="00CE3E90" w:rsidRPr="009E1B38">
              <w:rPr>
                <w:rFonts w:ascii="Times New Roman" w:hAnsi="Times New Roman"/>
              </w:rPr>
              <w:t>Staff</w:t>
            </w:r>
          </w:p>
        </w:tc>
      </w:tr>
      <w:tr w:rsidR="001614E6" w:rsidRPr="009E1B38" w14:paraId="7D4A93AC" w14:textId="77777777" w:rsidTr="00B14956">
        <w:trPr>
          <w:cantSplit/>
          <w:trHeight w:val="20"/>
          <w:jc w:val="center"/>
        </w:trPr>
        <w:tc>
          <w:tcPr>
            <w:tcW w:w="2313" w:type="pct"/>
          </w:tcPr>
          <w:p w14:paraId="7D4A93A9" w14:textId="20400EE3" w:rsidR="001614E6" w:rsidRPr="009E1B38" w:rsidRDefault="008F01C5" w:rsidP="001614E6">
            <w:pPr>
              <w:rPr>
                <w:rFonts w:ascii="Times New Roman" w:hAnsi="Times New Roman"/>
              </w:rPr>
            </w:pPr>
            <w:r w:rsidRPr="009E1B38">
              <w:rPr>
                <w:rFonts w:ascii="Times New Roman" w:hAnsi="Times New Roman"/>
              </w:rPr>
              <w:t>Banking and Commercial Law Research Institute</w:t>
            </w:r>
          </w:p>
        </w:tc>
        <w:tc>
          <w:tcPr>
            <w:tcW w:w="1969" w:type="pct"/>
          </w:tcPr>
          <w:p w14:paraId="7D4A93AA" w14:textId="32853AA1" w:rsidR="001614E6" w:rsidRPr="009E1B38" w:rsidRDefault="00176217" w:rsidP="00B41860">
            <w:pPr>
              <w:rPr>
                <w:rFonts w:ascii="Times New Roman" w:hAnsi="Times New Roman"/>
              </w:rPr>
            </w:pPr>
            <w:r w:rsidRPr="009E1B38">
              <w:rPr>
                <w:rFonts w:ascii="Times New Roman" w:hAnsi="Times New Roman"/>
              </w:rPr>
              <w:t>Accounting and Tax Law Education</w:t>
            </w:r>
          </w:p>
        </w:tc>
        <w:tc>
          <w:tcPr>
            <w:tcW w:w="718" w:type="pct"/>
          </w:tcPr>
          <w:p w14:paraId="7D4A93AB" w14:textId="7AB5C0C1" w:rsidR="001614E6" w:rsidRPr="009E1B38" w:rsidRDefault="001614E6" w:rsidP="001614E6">
            <w:pPr>
              <w:jc w:val="center"/>
              <w:rPr>
                <w:rFonts w:ascii="Times New Roman" w:hAnsi="Times New Roman"/>
              </w:rPr>
            </w:pPr>
            <w:r w:rsidRPr="009E1B38">
              <w:rPr>
                <w:rFonts w:ascii="Times New Roman" w:hAnsi="Times New Roman"/>
              </w:rPr>
              <w:t xml:space="preserve">1 </w:t>
            </w:r>
            <w:r w:rsidR="00CE3E90" w:rsidRPr="009E1B38">
              <w:rPr>
                <w:rFonts w:ascii="Times New Roman" w:hAnsi="Times New Roman"/>
              </w:rPr>
              <w:t>Staff</w:t>
            </w:r>
          </w:p>
        </w:tc>
      </w:tr>
      <w:tr w:rsidR="001614E6" w:rsidRPr="009E1B38" w14:paraId="7D4A93B0" w14:textId="77777777" w:rsidTr="00B14956">
        <w:trPr>
          <w:cantSplit/>
          <w:trHeight w:val="20"/>
          <w:jc w:val="center"/>
        </w:trPr>
        <w:tc>
          <w:tcPr>
            <w:tcW w:w="2313" w:type="pct"/>
          </w:tcPr>
          <w:p w14:paraId="7D4A93AD" w14:textId="77777777" w:rsidR="001614E6" w:rsidRPr="009E1B38" w:rsidRDefault="001614E6" w:rsidP="001614E6">
            <w:pPr>
              <w:rPr>
                <w:rFonts w:ascii="Times New Roman" w:hAnsi="Times New Roman"/>
              </w:rPr>
            </w:pPr>
            <w:r w:rsidRPr="009E1B38">
              <w:rPr>
                <w:rFonts w:ascii="Times New Roman" w:hAnsi="Times New Roman"/>
              </w:rPr>
              <w:t>Pasyonis Medya ve Bilişim Tic</w:t>
            </w:r>
            <w:r w:rsidR="001B36BA" w:rsidRPr="009E1B38">
              <w:rPr>
                <w:rFonts w:ascii="Times New Roman" w:hAnsi="Times New Roman"/>
              </w:rPr>
              <w:t>aret</w:t>
            </w:r>
            <w:r w:rsidRPr="009E1B38">
              <w:rPr>
                <w:rFonts w:ascii="Times New Roman" w:hAnsi="Times New Roman"/>
              </w:rPr>
              <w:t xml:space="preserve"> A.Ş</w:t>
            </w:r>
            <w:r w:rsidR="000F3FC0" w:rsidRPr="009E1B38">
              <w:rPr>
                <w:rFonts w:ascii="Times New Roman" w:hAnsi="Times New Roman"/>
              </w:rPr>
              <w:t>.</w:t>
            </w:r>
          </w:p>
        </w:tc>
        <w:tc>
          <w:tcPr>
            <w:tcW w:w="1969" w:type="pct"/>
          </w:tcPr>
          <w:p w14:paraId="7D4A93AE" w14:textId="6816BD4A" w:rsidR="001614E6" w:rsidRPr="009E1B38" w:rsidRDefault="00176217" w:rsidP="00B41860">
            <w:pPr>
              <w:rPr>
                <w:rFonts w:ascii="Times New Roman" w:hAnsi="Times New Roman"/>
              </w:rPr>
            </w:pPr>
            <w:r w:rsidRPr="009E1B38">
              <w:rPr>
                <w:rFonts w:ascii="Times New Roman" w:hAnsi="Times New Roman"/>
              </w:rPr>
              <w:t>Applied Mobile Software Development Training</w:t>
            </w:r>
          </w:p>
        </w:tc>
        <w:tc>
          <w:tcPr>
            <w:tcW w:w="718" w:type="pct"/>
          </w:tcPr>
          <w:p w14:paraId="7D4A93AF" w14:textId="76D89350" w:rsidR="001614E6" w:rsidRPr="009E1B38" w:rsidRDefault="001614E6" w:rsidP="001614E6">
            <w:pPr>
              <w:jc w:val="center"/>
              <w:rPr>
                <w:rFonts w:ascii="Times New Roman" w:hAnsi="Times New Roman"/>
              </w:rPr>
            </w:pPr>
            <w:r w:rsidRPr="009E1B38">
              <w:rPr>
                <w:rFonts w:ascii="Times New Roman" w:hAnsi="Times New Roman"/>
              </w:rPr>
              <w:t xml:space="preserve">7 </w:t>
            </w:r>
            <w:r w:rsidR="00CE3E90" w:rsidRPr="009E1B38">
              <w:rPr>
                <w:rFonts w:ascii="Times New Roman" w:hAnsi="Times New Roman"/>
              </w:rPr>
              <w:t>Staff</w:t>
            </w:r>
          </w:p>
        </w:tc>
      </w:tr>
      <w:tr w:rsidR="001614E6" w:rsidRPr="009E1B38" w14:paraId="7D4A93B4" w14:textId="77777777" w:rsidTr="00B14956">
        <w:trPr>
          <w:cantSplit/>
          <w:trHeight w:val="20"/>
          <w:jc w:val="center"/>
        </w:trPr>
        <w:tc>
          <w:tcPr>
            <w:tcW w:w="2313" w:type="pct"/>
          </w:tcPr>
          <w:p w14:paraId="7D4A93B1" w14:textId="219ACDB5" w:rsidR="001614E6" w:rsidRPr="009E1B38" w:rsidRDefault="001F2849" w:rsidP="001B36BA">
            <w:pPr>
              <w:autoSpaceDE w:val="0"/>
              <w:autoSpaceDN w:val="0"/>
              <w:adjustRightInd w:val="0"/>
              <w:spacing w:after="0" w:line="240" w:lineRule="auto"/>
              <w:rPr>
                <w:rFonts w:ascii="Times New Roman" w:hAnsi="Times New Roman"/>
              </w:rPr>
            </w:pPr>
            <w:r w:rsidRPr="009E1B38">
              <w:rPr>
                <w:rFonts w:ascii="Times New Roman" w:hAnsi="Times New Roman"/>
              </w:rPr>
              <w:t>Ministry of Energy and Natural Resources General Directorate of Management Services</w:t>
            </w:r>
          </w:p>
        </w:tc>
        <w:tc>
          <w:tcPr>
            <w:tcW w:w="1969" w:type="pct"/>
          </w:tcPr>
          <w:p w14:paraId="7D4A93B2" w14:textId="4C356063" w:rsidR="001614E6" w:rsidRPr="009E1B38" w:rsidRDefault="0093789D" w:rsidP="001B36BA">
            <w:pPr>
              <w:autoSpaceDE w:val="0"/>
              <w:autoSpaceDN w:val="0"/>
              <w:adjustRightInd w:val="0"/>
              <w:spacing w:after="0" w:line="240" w:lineRule="auto"/>
              <w:rPr>
                <w:rFonts w:ascii="Times New Roman" w:hAnsi="Times New Roman"/>
              </w:rPr>
            </w:pPr>
            <w:r w:rsidRPr="009E1B38">
              <w:rPr>
                <w:rFonts w:ascii="Times New Roman" w:hAnsi="Times New Roman"/>
              </w:rPr>
              <w:t>Official Correspondence Trainers' Training Program</w:t>
            </w:r>
          </w:p>
        </w:tc>
        <w:tc>
          <w:tcPr>
            <w:tcW w:w="718" w:type="pct"/>
          </w:tcPr>
          <w:p w14:paraId="7D4A93B3" w14:textId="079695B2" w:rsidR="001614E6" w:rsidRPr="009E1B38" w:rsidRDefault="001614E6" w:rsidP="001614E6">
            <w:pPr>
              <w:jc w:val="center"/>
              <w:rPr>
                <w:rFonts w:ascii="Times New Roman" w:hAnsi="Times New Roman"/>
              </w:rPr>
            </w:pPr>
            <w:r w:rsidRPr="009E1B38">
              <w:rPr>
                <w:rFonts w:ascii="Times New Roman" w:hAnsi="Times New Roman"/>
              </w:rPr>
              <w:t xml:space="preserve">2 </w:t>
            </w:r>
            <w:r w:rsidR="00CE3E90" w:rsidRPr="009E1B38">
              <w:rPr>
                <w:rFonts w:ascii="Times New Roman" w:hAnsi="Times New Roman"/>
              </w:rPr>
              <w:t>Staff</w:t>
            </w:r>
          </w:p>
        </w:tc>
      </w:tr>
      <w:tr w:rsidR="001614E6" w:rsidRPr="009E1B38" w14:paraId="7D4A93B8" w14:textId="77777777" w:rsidTr="00B14956">
        <w:trPr>
          <w:cantSplit/>
          <w:trHeight w:val="20"/>
          <w:jc w:val="center"/>
        </w:trPr>
        <w:tc>
          <w:tcPr>
            <w:tcW w:w="2313" w:type="pct"/>
          </w:tcPr>
          <w:p w14:paraId="7D4A93B5" w14:textId="77777777" w:rsidR="001614E6" w:rsidRPr="009E1B38" w:rsidRDefault="001614E6" w:rsidP="001614E6">
            <w:pPr>
              <w:rPr>
                <w:rFonts w:ascii="Times New Roman" w:hAnsi="Times New Roman"/>
              </w:rPr>
            </w:pPr>
            <w:r w:rsidRPr="009E1B38">
              <w:rPr>
                <w:rFonts w:ascii="Times New Roman" w:hAnsi="Times New Roman"/>
              </w:rPr>
              <w:t xml:space="preserve">TSE </w:t>
            </w:r>
          </w:p>
        </w:tc>
        <w:tc>
          <w:tcPr>
            <w:tcW w:w="1969" w:type="pct"/>
          </w:tcPr>
          <w:p w14:paraId="7D4A93B6" w14:textId="62FB313C" w:rsidR="001614E6" w:rsidRPr="009E1B38" w:rsidRDefault="0093789D" w:rsidP="00B41860">
            <w:pPr>
              <w:rPr>
                <w:rFonts w:ascii="Times New Roman" w:hAnsi="Times New Roman"/>
              </w:rPr>
            </w:pPr>
            <w:r w:rsidRPr="009E1B38">
              <w:rPr>
                <w:rFonts w:ascii="Times New Roman" w:hAnsi="Times New Roman"/>
              </w:rPr>
              <w:t>Information Security Management System Internal Auditor Training</w:t>
            </w:r>
          </w:p>
        </w:tc>
        <w:tc>
          <w:tcPr>
            <w:tcW w:w="718" w:type="pct"/>
          </w:tcPr>
          <w:p w14:paraId="7D4A93B7" w14:textId="1E4083B7" w:rsidR="001614E6" w:rsidRPr="009E1B38" w:rsidRDefault="001614E6" w:rsidP="001614E6">
            <w:pPr>
              <w:jc w:val="center"/>
              <w:rPr>
                <w:rFonts w:ascii="Times New Roman" w:hAnsi="Times New Roman"/>
              </w:rPr>
            </w:pPr>
            <w:r w:rsidRPr="009E1B38">
              <w:rPr>
                <w:rFonts w:ascii="Times New Roman" w:hAnsi="Times New Roman"/>
              </w:rPr>
              <w:t xml:space="preserve">13 </w:t>
            </w:r>
            <w:r w:rsidR="00CE3E90" w:rsidRPr="009E1B38">
              <w:rPr>
                <w:rFonts w:ascii="Times New Roman" w:hAnsi="Times New Roman"/>
              </w:rPr>
              <w:t>Staff</w:t>
            </w:r>
          </w:p>
        </w:tc>
      </w:tr>
      <w:tr w:rsidR="001614E6" w:rsidRPr="009E1B38" w14:paraId="7D4A93BB" w14:textId="77777777" w:rsidTr="00B14956">
        <w:trPr>
          <w:cantSplit/>
          <w:trHeight w:val="20"/>
          <w:jc w:val="center"/>
        </w:trPr>
        <w:tc>
          <w:tcPr>
            <w:tcW w:w="2313" w:type="pct"/>
          </w:tcPr>
          <w:p w14:paraId="7D4A93B9" w14:textId="6ECB1714" w:rsidR="001614E6" w:rsidRPr="009E1B38" w:rsidRDefault="001614E6" w:rsidP="001614E6">
            <w:pPr>
              <w:rPr>
                <w:rFonts w:ascii="Times New Roman" w:hAnsi="Times New Roman"/>
                <w:b/>
                <w:sz w:val="24"/>
                <w:szCs w:val="24"/>
              </w:rPr>
            </w:pPr>
            <w:r w:rsidRPr="009E1B38">
              <w:rPr>
                <w:rFonts w:ascii="Times New Roman" w:hAnsi="Times New Roman"/>
                <w:b/>
                <w:sz w:val="24"/>
                <w:szCs w:val="24"/>
              </w:rPr>
              <w:t>T</w:t>
            </w:r>
            <w:r w:rsidR="00A8086A" w:rsidRPr="009E1B38">
              <w:rPr>
                <w:rFonts w:ascii="Times New Roman" w:hAnsi="Times New Roman"/>
                <w:b/>
                <w:sz w:val="24"/>
                <w:szCs w:val="24"/>
              </w:rPr>
              <w:t>otal Cost</w:t>
            </w:r>
          </w:p>
        </w:tc>
        <w:tc>
          <w:tcPr>
            <w:tcW w:w="2687" w:type="pct"/>
            <w:gridSpan w:val="2"/>
            <w:vAlign w:val="center"/>
          </w:tcPr>
          <w:p w14:paraId="7D4A93BA" w14:textId="77777777" w:rsidR="001614E6" w:rsidRPr="009E1B38" w:rsidRDefault="001614E6" w:rsidP="001614E6">
            <w:pPr>
              <w:jc w:val="center"/>
              <w:rPr>
                <w:rFonts w:ascii="Times New Roman" w:hAnsi="Times New Roman"/>
                <w:b/>
                <w:color w:val="000000"/>
              </w:rPr>
            </w:pPr>
            <w:r w:rsidRPr="009E1B38">
              <w:rPr>
                <w:rFonts w:ascii="Times New Roman" w:hAnsi="Times New Roman"/>
                <w:b/>
              </w:rPr>
              <w:t>105.970,02 TL</w:t>
            </w:r>
          </w:p>
        </w:tc>
      </w:tr>
    </w:tbl>
    <w:p w14:paraId="7D4A93BD" w14:textId="0C20C0BE" w:rsidR="0072201B" w:rsidRPr="009E1B38" w:rsidRDefault="00B14956" w:rsidP="0072201B">
      <w:pPr>
        <w:spacing w:after="0" w:line="269" w:lineRule="auto"/>
        <w:rPr>
          <w:rFonts w:ascii="Times New Roman" w:hAnsi="Times New Roman"/>
          <w:sz w:val="20"/>
          <w:szCs w:val="20"/>
        </w:rPr>
      </w:pPr>
      <w:r w:rsidRPr="009E1B38">
        <w:rPr>
          <w:rFonts w:ascii="Times New Roman" w:hAnsi="Times New Roman"/>
        </w:rPr>
        <w:t>* The "Candidate Civil Service Basic Training" program for newly recruited personnel has been digitized.</w:t>
      </w:r>
    </w:p>
    <w:p w14:paraId="7D4A93BE" w14:textId="551CFC65" w:rsidR="0072201B" w:rsidRPr="009E1B38" w:rsidRDefault="00E27DC4" w:rsidP="003C5E4D">
      <w:pPr>
        <w:pStyle w:val="Balk3"/>
        <w:numPr>
          <w:ilvl w:val="2"/>
          <w:numId w:val="50"/>
        </w:numPr>
        <w:spacing w:before="0" w:after="240"/>
        <w:rPr>
          <w:rFonts w:ascii="Times New Roman" w:hAnsi="Times New Roman" w:cs="Times New Roman"/>
          <w:sz w:val="24"/>
          <w:szCs w:val="24"/>
        </w:rPr>
      </w:pPr>
      <w:bookmarkStart w:id="384" w:name="_Toc113615416"/>
      <w:r w:rsidRPr="009E1B38">
        <w:rPr>
          <w:rFonts w:ascii="Times New Roman" w:hAnsi="Times New Roman" w:cs="Times New Roman"/>
          <w:sz w:val="24"/>
          <w:szCs w:val="24"/>
        </w:rPr>
        <w:t>Other Training Activities</w:t>
      </w:r>
      <w:bookmarkEnd w:id="384"/>
    </w:p>
    <w:p w14:paraId="7D4A93C3" w14:textId="2A5B7DA6" w:rsidR="004A53A0" w:rsidRPr="009E1B38" w:rsidRDefault="00F94183" w:rsidP="00ED2D60">
      <w:pPr>
        <w:rPr>
          <w:rFonts w:ascii="Times New Roman" w:hAnsi="Times New Roman"/>
        </w:rPr>
      </w:pPr>
      <w:r w:rsidRPr="009E1B38">
        <w:rPr>
          <w:rFonts w:ascii="Times New Roman" w:hAnsi="Times New Roman"/>
        </w:rPr>
        <w:t>Each year, the Authority sends a certain number of staff to the short-term trainings aimed at increasing knowledge and etiquette and long-term trainings to carry out master’s studies, taking into consideration the year of service and foreign language criteria in the framework of the relevant legislation. Furthermore, in order to ensure that developments in the world energy market can be monitored more closely, Authority’s personnel are encouraged to participate in trainings aimed at raising the level of foreign language knowledge. Information on the work done in this context is given in the tables below.</w:t>
      </w:r>
    </w:p>
    <w:p w14:paraId="7D4A93C4" w14:textId="77777777" w:rsidR="004A53A0" w:rsidRPr="009E1B38" w:rsidRDefault="004A53A0" w:rsidP="0072201B">
      <w:pPr>
        <w:spacing w:after="0"/>
        <w:rPr>
          <w:rFonts w:ascii="Times New Roman" w:hAnsi="Times New Roman"/>
        </w:rPr>
      </w:pPr>
    </w:p>
    <w:p w14:paraId="7D4A93C5" w14:textId="77777777" w:rsidR="000618FD" w:rsidRPr="009E1B38" w:rsidRDefault="000618FD" w:rsidP="0072201B">
      <w:pPr>
        <w:spacing w:after="0"/>
        <w:rPr>
          <w:rFonts w:ascii="Times New Roman" w:hAnsi="Times New Roman"/>
        </w:rPr>
      </w:pPr>
    </w:p>
    <w:p w14:paraId="7D4A93C6" w14:textId="77777777" w:rsidR="004A53A0" w:rsidRPr="009E1B38" w:rsidRDefault="004A53A0" w:rsidP="0072201B">
      <w:pPr>
        <w:spacing w:after="0"/>
        <w:rPr>
          <w:rFonts w:ascii="Times New Roman" w:hAnsi="Times New Roman"/>
        </w:rPr>
      </w:pPr>
    </w:p>
    <w:p w14:paraId="7D4A93C7" w14:textId="64FA602C" w:rsidR="0072201B" w:rsidRPr="009E1B38" w:rsidRDefault="0082470D" w:rsidP="002F3B01">
      <w:pPr>
        <w:pStyle w:val="Balk5"/>
        <w:jc w:val="center"/>
        <w:rPr>
          <w:rFonts w:ascii="Times New Roman" w:hAnsi="Times New Roman" w:cs="Times New Roman"/>
        </w:rPr>
      </w:pPr>
      <w:bookmarkStart w:id="385" w:name="_Toc416447629"/>
      <w:bookmarkStart w:id="386" w:name="_Toc442441780"/>
      <w:bookmarkStart w:id="387" w:name="_Toc107499576"/>
      <w:r w:rsidRPr="009E1B38">
        <w:rPr>
          <w:rFonts w:ascii="Times New Roman" w:hAnsi="Times New Roman" w:cs="Times New Roman"/>
        </w:rPr>
        <w:t>Table</w:t>
      </w:r>
      <w:r w:rsidR="00410C2E" w:rsidRPr="009E1B38">
        <w:rPr>
          <w:rFonts w:ascii="Times New Roman" w:hAnsi="Times New Roman" w:cs="Times New Roman"/>
        </w:rPr>
        <w:t xml:space="preserve"> </w:t>
      </w:r>
      <w:r w:rsidR="00A44256" w:rsidRPr="009E1B38">
        <w:rPr>
          <w:rFonts w:ascii="Times New Roman" w:hAnsi="Times New Roman" w:cs="Times New Roman"/>
        </w:rPr>
        <w:t>1</w:t>
      </w:r>
      <w:r w:rsidR="00456863" w:rsidRPr="009E1B38">
        <w:rPr>
          <w:rFonts w:ascii="Times New Roman" w:hAnsi="Times New Roman" w:cs="Times New Roman"/>
        </w:rPr>
        <w:t>3</w:t>
      </w:r>
      <w:r w:rsidR="00A44256" w:rsidRPr="009E1B38">
        <w:rPr>
          <w:rFonts w:ascii="Times New Roman" w:hAnsi="Times New Roman" w:cs="Times New Roman"/>
        </w:rPr>
        <w:t>.</w:t>
      </w:r>
      <w:r w:rsidR="00992142" w:rsidRPr="009E1B38">
        <w:rPr>
          <w:rFonts w:ascii="Times New Roman" w:hAnsi="Times New Roman" w:cs="Times New Roman"/>
        </w:rPr>
        <w:t>8</w:t>
      </w:r>
      <w:r w:rsidR="00410C2E" w:rsidRPr="009E1B38">
        <w:rPr>
          <w:rFonts w:ascii="Times New Roman" w:hAnsi="Times New Roman" w:cs="Times New Roman"/>
        </w:rPr>
        <w:t xml:space="preserve">: </w:t>
      </w:r>
      <w:bookmarkEnd w:id="385"/>
      <w:bookmarkEnd w:id="386"/>
      <w:r w:rsidR="00FF2E2D" w:rsidRPr="009E1B38">
        <w:rPr>
          <w:rFonts w:ascii="Times New Roman" w:hAnsi="Times New Roman" w:cs="Times New Roman"/>
        </w:rPr>
        <w:t>Overseas Education Activities in 2021</w:t>
      </w:r>
      <w:bookmarkEnd w:id="387"/>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048"/>
        <w:gridCol w:w="4619"/>
        <w:gridCol w:w="1470"/>
      </w:tblGrid>
      <w:tr w:rsidR="001614E6" w:rsidRPr="009E1B38" w14:paraId="7D4A93CB" w14:textId="77777777" w:rsidTr="001614E6">
        <w:trPr>
          <w:trHeight w:val="397"/>
          <w:tblHeader/>
        </w:trPr>
        <w:tc>
          <w:tcPr>
            <w:tcW w:w="2025" w:type="pct"/>
            <w:shd w:val="clear" w:color="auto" w:fill="6E9ECA"/>
            <w:vAlign w:val="center"/>
          </w:tcPr>
          <w:p w14:paraId="7D4A93C8" w14:textId="6D9B71CC" w:rsidR="001614E6" w:rsidRPr="009E1B38" w:rsidRDefault="002D2987" w:rsidP="001614E6">
            <w:pPr>
              <w:jc w:val="center"/>
              <w:rPr>
                <w:rFonts w:ascii="Times New Roman" w:hAnsi="Times New Roman"/>
                <w:b/>
                <w:color w:val="FFFFFF"/>
                <w:sz w:val="24"/>
                <w:szCs w:val="24"/>
              </w:rPr>
            </w:pPr>
            <w:bookmarkStart w:id="388" w:name="_Hlk100045560"/>
            <w:r w:rsidRPr="009E1B38">
              <w:rPr>
                <w:rFonts w:ascii="Times New Roman" w:hAnsi="Times New Roman"/>
                <w:b/>
                <w:color w:val="FFFFFF" w:themeColor="background1"/>
                <w:sz w:val="24"/>
                <w:szCs w:val="24"/>
              </w:rPr>
              <w:t>Category of the Training</w:t>
            </w:r>
          </w:p>
        </w:tc>
        <w:tc>
          <w:tcPr>
            <w:tcW w:w="2306" w:type="pct"/>
            <w:shd w:val="clear" w:color="auto" w:fill="6E9ECA"/>
            <w:vAlign w:val="center"/>
          </w:tcPr>
          <w:p w14:paraId="7D4A93C9" w14:textId="0E853AAE" w:rsidR="001614E6" w:rsidRPr="009E1B38" w:rsidRDefault="002D2987" w:rsidP="001614E6">
            <w:pPr>
              <w:jc w:val="center"/>
              <w:rPr>
                <w:rFonts w:ascii="Times New Roman" w:hAnsi="Times New Roman"/>
                <w:b/>
                <w:color w:val="FFFFFF"/>
                <w:sz w:val="24"/>
                <w:szCs w:val="24"/>
              </w:rPr>
            </w:pPr>
            <w:r w:rsidRPr="009E1B38">
              <w:rPr>
                <w:rFonts w:ascii="Times New Roman" w:hAnsi="Times New Roman"/>
                <w:b/>
                <w:color w:val="FFFFFF" w:themeColor="background1"/>
                <w:sz w:val="24"/>
                <w:szCs w:val="24"/>
              </w:rPr>
              <w:t>Name of the Training</w:t>
            </w:r>
          </w:p>
        </w:tc>
        <w:tc>
          <w:tcPr>
            <w:tcW w:w="669" w:type="pct"/>
            <w:shd w:val="clear" w:color="auto" w:fill="6E9ECA"/>
            <w:vAlign w:val="center"/>
          </w:tcPr>
          <w:p w14:paraId="7D4A93CA" w14:textId="42BA21DA" w:rsidR="001614E6" w:rsidRPr="009E1B38" w:rsidRDefault="002D2987" w:rsidP="001614E6">
            <w:pPr>
              <w:jc w:val="center"/>
              <w:rPr>
                <w:rFonts w:ascii="Times New Roman" w:hAnsi="Times New Roman"/>
                <w:b/>
                <w:color w:val="FFFFFF"/>
                <w:sz w:val="24"/>
                <w:szCs w:val="24"/>
              </w:rPr>
            </w:pPr>
            <w:r w:rsidRPr="009E1B38">
              <w:rPr>
                <w:rFonts w:ascii="Times New Roman" w:hAnsi="Times New Roman"/>
                <w:b/>
                <w:color w:val="FFFFFF" w:themeColor="background1"/>
                <w:sz w:val="24"/>
                <w:szCs w:val="24"/>
              </w:rPr>
              <w:t>Number of Participants</w:t>
            </w:r>
          </w:p>
        </w:tc>
      </w:tr>
      <w:tr w:rsidR="001614E6" w:rsidRPr="009E1B38" w14:paraId="7D4A93D1" w14:textId="77777777" w:rsidTr="00BA1F64">
        <w:trPr>
          <w:trHeight w:val="397"/>
        </w:trPr>
        <w:tc>
          <w:tcPr>
            <w:tcW w:w="2025" w:type="pct"/>
          </w:tcPr>
          <w:p w14:paraId="7D4A93CC" w14:textId="77777777" w:rsidR="001614E6" w:rsidRPr="009E1B38" w:rsidRDefault="001614E6" w:rsidP="001614E6">
            <w:pPr>
              <w:rPr>
                <w:rFonts w:ascii="Times New Roman" w:hAnsi="Times New Roman"/>
              </w:rPr>
            </w:pPr>
            <w:r w:rsidRPr="009E1B38">
              <w:rPr>
                <w:rFonts w:ascii="Times New Roman" w:hAnsi="Times New Roman"/>
              </w:rPr>
              <w:t>ERRA</w:t>
            </w:r>
          </w:p>
        </w:tc>
        <w:tc>
          <w:tcPr>
            <w:tcW w:w="2306" w:type="pct"/>
          </w:tcPr>
          <w:p w14:paraId="4394CED1" w14:textId="77777777" w:rsidR="00616ECA" w:rsidRPr="009E1B38" w:rsidRDefault="00616ECA" w:rsidP="00616ECA">
            <w:pPr>
              <w:rPr>
                <w:rFonts w:ascii="Times New Roman" w:hAnsi="Times New Roman"/>
              </w:rPr>
            </w:pPr>
            <w:r w:rsidRPr="009E1B38">
              <w:rPr>
                <w:rFonts w:ascii="Times New Roman" w:hAnsi="Times New Roman"/>
              </w:rPr>
              <w:t>Introduction to Energy Regulation</w:t>
            </w:r>
          </w:p>
          <w:p w14:paraId="3ECEF361" w14:textId="77777777" w:rsidR="00616ECA" w:rsidRPr="009E1B38" w:rsidRDefault="00616ECA" w:rsidP="00616ECA">
            <w:pPr>
              <w:rPr>
                <w:rFonts w:ascii="Times New Roman" w:hAnsi="Times New Roman"/>
              </w:rPr>
            </w:pPr>
            <w:r w:rsidRPr="009E1B38">
              <w:rPr>
                <w:rFonts w:ascii="Times New Roman" w:hAnsi="Times New Roman"/>
              </w:rPr>
              <w:t>Energy Trading Fundamentals</w:t>
            </w:r>
          </w:p>
          <w:p w14:paraId="7D4A93CF" w14:textId="245BA6B5" w:rsidR="008F6440" w:rsidRPr="009E1B38" w:rsidRDefault="00616ECA" w:rsidP="008F6440">
            <w:pPr>
              <w:rPr>
                <w:rFonts w:ascii="Times New Roman" w:hAnsi="Times New Roman"/>
              </w:rPr>
            </w:pPr>
            <w:r w:rsidRPr="009E1B38">
              <w:rPr>
                <w:rFonts w:ascii="Times New Roman" w:hAnsi="Times New Roman"/>
              </w:rPr>
              <w:lastRenderedPageBreak/>
              <w:t>Basics of Electrical System for Non-Engineers</w:t>
            </w:r>
          </w:p>
        </w:tc>
        <w:tc>
          <w:tcPr>
            <w:tcW w:w="669" w:type="pct"/>
            <w:vAlign w:val="center"/>
          </w:tcPr>
          <w:p w14:paraId="7D4A93D0" w14:textId="77777777" w:rsidR="001614E6" w:rsidRPr="009E1B38" w:rsidRDefault="001614E6" w:rsidP="001614E6">
            <w:pPr>
              <w:jc w:val="center"/>
              <w:rPr>
                <w:rFonts w:ascii="Times New Roman" w:hAnsi="Times New Roman"/>
              </w:rPr>
            </w:pPr>
            <w:r w:rsidRPr="009E1B38">
              <w:rPr>
                <w:rFonts w:ascii="Times New Roman" w:hAnsi="Times New Roman"/>
              </w:rPr>
              <w:lastRenderedPageBreak/>
              <w:t>4</w:t>
            </w:r>
          </w:p>
        </w:tc>
      </w:tr>
      <w:tr w:rsidR="001614E6" w:rsidRPr="009E1B38" w14:paraId="7D4A93D5" w14:textId="77777777" w:rsidTr="001614E6">
        <w:trPr>
          <w:trHeight w:val="397"/>
        </w:trPr>
        <w:tc>
          <w:tcPr>
            <w:tcW w:w="2025" w:type="pct"/>
            <w:vAlign w:val="center"/>
          </w:tcPr>
          <w:p w14:paraId="7D4A93D2" w14:textId="77777777" w:rsidR="001614E6" w:rsidRPr="009E1B38" w:rsidRDefault="001614E6" w:rsidP="001614E6">
            <w:pPr>
              <w:rPr>
                <w:rFonts w:ascii="Times New Roman" w:hAnsi="Times New Roman"/>
              </w:rPr>
            </w:pPr>
            <w:r w:rsidRPr="009E1B38">
              <w:rPr>
                <w:rFonts w:ascii="Times New Roman" w:hAnsi="Times New Roman"/>
              </w:rPr>
              <w:t xml:space="preserve">Jean Monnet </w:t>
            </w:r>
          </w:p>
        </w:tc>
        <w:tc>
          <w:tcPr>
            <w:tcW w:w="2306" w:type="pct"/>
          </w:tcPr>
          <w:p w14:paraId="7D4A93D3" w14:textId="6F4AE5DA" w:rsidR="001614E6" w:rsidRPr="009E1B38" w:rsidRDefault="002D2987" w:rsidP="008F6440">
            <w:pPr>
              <w:rPr>
                <w:rFonts w:ascii="Times New Roman" w:hAnsi="Times New Roman"/>
              </w:rPr>
            </w:pPr>
            <w:r w:rsidRPr="009E1B38">
              <w:rPr>
                <w:rFonts w:ascii="Times New Roman" w:hAnsi="Times New Roman"/>
              </w:rPr>
              <w:t>Energy Politics</w:t>
            </w:r>
          </w:p>
        </w:tc>
        <w:tc>
          <w:tcPr>
            <w:tcW w:w="669" w:type="pct"/>
            <w:vAlign w:val="center"/>
          </w:tcPr>
          <w:p w14:paraId="7D4A93D4" w14:textId="77777777" w:rsidR="001614E6" w:rsidRPr="009E1B38" w:rsidRDefault="001614E6" w:rsidP="001614E6">
            <w:pPr>
              <w:jc w:val="center"/>
              <w:rPr>
                <w:rFonts w:ascii="Times New Roman" w:hAnsi="Times New Roman"/>
              </w:rPr>
            </w:pPr>
            <w:r w:rsidRPr="009E1B38">
              <w:rPr>
                <w:rFonts w:ascii="Times New Roman" w:hAnsi="Times New Roman"/>
              </w:rPr>
              <w:t>3</w:t>
            </w:r>
          </w:p>
        </w:tc>
      </w:tr>
      <w:tr w:rsidR="001614E6" w:rsidRPr="009E1B38" w14:paraId="7D4A93D8" w14:textId="77777777" w:rsidTr="001614E6">
        <w:trPr>
          <w:trHeight w:val="397"/>
        </w:trPr>
        <w:tc>
          <w:tcPr>
            <w:tcW w:w="2025" w:type="pct"/>
            <w:vAlign w:val="center"/>
          </w:tcPr>
          <w:p w14:paraId="7D4A93D6" w14:textId="59D7F36B" w:rsidR="001614E6" w:rsidRPr="009E1B38" w:rsidRDefault="001614E6" w:rsidP="001614E6">
            <w:pPr>
              <w:rPr>
                <w:rFonts w:ascii="Times New Roman" w:hAnsi="Times New Roman"/>
                <w:b/>
                <w:sz w:val="24"/>
                <w:szCs w:val="24"/>
              </w:rPr>
            </w:pPr>
            <w:r w:rsidRPr="009E1B38">
              <w:rPr>
                <w:rFonts w:ascii="Times New Roman" w:hAnsi="Times New Roman"/>
                <w:b/>
                <w:sz w:val="24"/>
                <w:szCs w:val="24"/>
              </w:rPr>
              <w:t>To</w:t>
            </w:r>
            <w:r w:rsidR="002D2987" w:rsidRPr="009E1B38">
              <w:rPr>
                <w:rFonts w:ascii="Times New Roman" w:hAnsi="Times New Roman"/>
                <w:b/>
                <w:sz w:val="24"/>
                <w:szCs w:val="24"/>
              </w:rPr>
              <w:t>tal Cost</w:t>
            </w:r>
          </w:p>
        </w:tc>
        <w:tc>
          <w:tcPr>
            <w:tcW w:w="2975" w:type="pct"/>
            <w:gridSpan w:val="2"/>
            <w:vAlign w:val="center"/>
          </w:tcPr>
          <w:p w14:paraId="7D4A93D7" w14:textId="77777777" w:rsidR="001614E6" w:rsidRPr="009E1B38" w:rsidRDefault="001614E6" w:rsidP="001614E6">
            <w:pPr>
              <w:jc w:val="center"/>
              <w:rPr>
                <w:rFonts w:ascii="Times New Roman" w:hAnsi="Times New Roman"/>
                <w:b/>
              </w:rPr>
            </w:pPr>
            <w:r w:rsidRPr="009E1B38">
              <w:rPr>
                <w:rFonts w:ascii="Times New Roman" w:hAnsi="Times New Roman"/>
                <w:b/>
              </w:rPr>
              <w:t>23.4</w:t>
            </w:r>
            <w:r w:rsidR="008F6440" w:rsidRPr="009E1B38">
              <w:rPr>
                <w:rFonts w:ascii="Times New Roman" w:hAnsi="Times New Roman"/>
                <w:b/>
              </w:rPr>
              <w:t>85</w:t>
            </w:r>
            <w:r w:rsidRPr="009E1B38">
              <w:rPr>
                <w:rFonts w:ascii="Times New Roman" w:hAnsi="Times New Roman"/>
                <w:b/>
              </w:rPr>
              <w:t>,55 TL</w:t>
            </w:r>
          </w:p>
        </w:tc>
      </w:tr>
      <w:bookmarkEnd w:id="388"/>
    </w:tbl>
    <w:p w14:paraId="7D4A93D9" w14:textId="77777777" w:rsidR="00410C2E" w:rsidRPr="009E1B38" w:rsidRDefault="00410C2E" w:rsidP="00410C2E">
      <w:pPr>
        <w:rPr>
          <w:rFonts w:ascii="Times New Roman" w:hAnsi="Times New Roman"/>
          <w:lang w:eastAsia="tr-TR"/>
        </w:rPr>
      </w:pPr>
    </w:p>
    <w:p w14:paraId="7D4A93DA" w14:textId="53D7348D" w:rsidR="0072201B" w:rsidRPr="009E1B38" w:rsidRDefault="0082470D" w:rsidP="002F3B01">
      <w:pPr>
        <w:pStyle w:val="Balk5"/>
        <w:jc w:val="center"/>
        <w:rPr>
          <w:rFonts w:ascii="Times New Roman" w:hAnsi="Times New Roman" w:cs="Times New Roman"/>
        </w:rPr>
      </w:pPr>
      <w:bookmarkStart w:id="389" w:name="_Toc416447630"/>
      <w:bookmarkStart w:id="390" w:name="_Toc442441781"/>
      <w:bookmarkStart w:id="391" w:name="_Toc107499577"/>
      <w:r w:rsidRPr="009E1B38">
        <w:rPr>
          <w:rFonts w:ascii="Times New Roman" w:hAnsi="Times New Roman" w:cs="Times New Roman"/>
        </w:rPr>
        <w:t>Table</w:t>
      </w:r>
      <w:r w:rsidR="00A44256" w:rsidRPr="009E1B38">
        <w:rPr>
          <w:rFonts w:ascii="Times New Roman" w:hAnsi="Times New Roman" w:cs="Times New Roman"/>
        </w:rPr>
        <w:t xml:space="preserve"> 1</w:t>
      </w:r>
      <w:r w:rsidR="00456863" w:rsidRPr="009E1B38">
        <w:rPr>
          <w:rFonts w:ascii="Times New Roman" w:hAnsi="Times New Roman" w:cs="Times New Roman"/>
        </w:rPr>
        <w:t>3</w:t>
      </w:r>
      <w:r w:rsidR="00A44256" w:rsidRPr="009E1B38">
        <w:rPr>
          <w:rFonts w:ascii="Times New Roman" w:hAnsi="Times New Roman" w:cs="Times New Roman"/>
        </w:rPr>
        <w:t>.</w:t>
      </w:r>
      <w:r w:rsidR="00992142" w:rsidRPr="009E1B38">
        <w:rPr>
          <w:rFonts w:ascii="Times New Roman" w:hAnsi="Times New Roman" w:cs="Times New Roman"/>
        </w:rPr>
        <w:t>9</w:t>
      </w:r>
      <w:r w:rsidR="001853AE" w:rsidRPr="009E1B38">
        <w:rPr>
          <w:rFonts w:ascii="Times New Roman" w:hAnsi="Times New Roman" w:cs="Times New Roman"/>
        </w:rPr>
        <w:t xml:space="preserve">: </w:t>
      </w:r>
      <w:bookmarkEnd w:id="389"/>
      <w:bookmarkEnd w:id="390"/>
      <w:r w:rsidR="00684C02" w:rsidRPr="009E1B38">
        <w:rPr>
          <w:rFonts w:ascii="Times New Roman" w:hAnsi="Times New Roman" w:cs="Times New Roman"/>
        </w:rPr>
        <w:t>Foreign Language Trainings in 2021</w:t>
      </w:r>
      <w:bookmarkEnd w:id="391"/>
    </w:p>
    <w:tbl>
      <w:tblPr>
        <w:tblW w:w="4503"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6"/>
        <w:gridCol w:w="2375"/>
        <w:gridCol w:w="2498"/>
      </w:tblGrid>
      <w:tr w:rsidR="001614E6" w:rsidRPr="009E1B38" w14:paraId="7D4A93DE" w14:textId="77777777" w:rsidTr="001614E6">
        <w:trPr>
          <w:trHeight w:val="227"/>
          <w:tblHeader/>
          <w:jc w:val="center"/>
        </w:trPr>
        <w:tc>
          <w:tcPr>
            <w:tcW w:w="2331" w:type="pct"/>
            <w:shd w:val="clear" w:color="auto" w:fill="6E9ECA"/>
          </w:tcPr>
          <w:p w14:paraId="7D4A93DB" w14:textId="30D2BF2E" w:rsidR="001614E6" w:rsidRPr="009E1B38" w:rsidRDefault="00FE1E68" w:rsidP="001614E6">
            <w:pPr>
              <w:jc w:val="center"/>
              <w:rPr>
                <w:rFonts w:ascii="Times New Roman" w:hAnsi="Times New Roman"/>
                <w:color w:val="FFFFFF"/>
                <w:sz w:val="24"/>
                <w:szCs w:val="24"/>
              </w:rPr>
            </w:pPr>
            <w:r w:rsidRPr="009E1B38">
              <w:rPr>
                <w:rFonts w:ascii="Times New Roman" w:hAnsi="Times New Roman"/>
                <w:b/>
                <w:color w:val="FFFFFF" w:themeColor="background1"/>
                <w:sz w:val="24"/>
                <w:szCs w:val="24"/>
              </w:rPr>
              <w:t>Trainer Authority</w:t>
            </w:r>
          </w:p>
        </w:tc>
        <w:tc>
          <w:tcPr>
            <w:tcW w:w="1301" w:type="pct"/>
            <w:shd w:val="clear" w:color="auto" w:fill="6E9ECA"/>
          </w:tcPr>
          <w:p w14:paraId="7D4A93DC" w14:textId="4B1725C0" w:rsidR="001614E6" w:rsidRPr="009E1B38" w:rsidRDefault="00FE1E68" w:rsidP="001614E6">
            <w:pPr>
              <w:jc w:val="center"/>
              <w:rPr>
                <w:rFonts w:ascii="Times New Roman" w:hAnsi="Times New Roman"/>
                <w:color w:val="FFFFFF"/>
                <w:sz w:val="24"/>
                <w:szCs w:val="24"/>
              </w:rPr>
            </w:pPr>
            <w:r w:rsidRPr="009E1B38">
              <w:rPr>
                <w:rFonts w:ascii="Times New Roman" w:hAnsi="Times New Roman"/>
                <w:b/>
                <w:color w:val="FFFFFF" w:themeColor="background1"/>
                <w:sz w:val="24"/>
                <w:szCs w:val="24"/>
              </w:rPr>
              <w:t>Name of the Training</w:t>
            </w:r>
          </w:p>
        </w:tc>
        <w:tc>
          <w:tcPr>
            <w:tcW w:w="1368" w:type="pct"/>
            <w:shd w:val="clear" w:color="auto" w:fill="6E9ECA"/>
          </w:tcPr>
          <w:p w14:paraId="7D4A93DD" w14:textId="4E2B1916" w:rsidR="001614E6" w:rsidRPr="009E1B38" w:rsidRDefault="00FE1E68" w:rsidP="001614E6">
            <w:pPr>
              <w:jc w:val="center"/>
              <w:rPr>
                <w:rFonts w:ascii="Times New Roman" w:hAnsi="Times New Roman"/>
                <w:color w:val="FFFFFF"/>
                <w:sz w:val="24"/>
                <w:szCs w:val="24"/>
              </w:rPr>
            </w:pPr>
            <w:r w:rsidRPr="009E1B38">
              <w:rPr>
                <w:rFonts w:ascii="Times New Roman" w:hAnsi="Times New Roman"/>
                <w:b/>
                <w:color w:val="FFFFFF" w:themeColor="background1"/>
                <w:sz w:val="24"/>
                <w:szCs w:val="24"/>
              </w:rPr>
              <w:t>Number of Participants</w:t>
            </w:r>
          </w:p>
        </w:tc>
      </w:tr>
      <w:tr w:rsidR="001614E6" w:rsidRPr="009E1B38" w14:paraId="7D4A93E2" w14:textId="77777777" w:rsidTr="001614E6">
        <w:trPr>
          <w:trHeight w:val="312"/>
          <w:jc w:val="center"/>
        </w:trPr>
        <w:tc>
          <w:tcPr>
            <w:tcW w:w="2331" w:type="pct"/>
          </w:tcPr>
          <w:p w14:paraId="7D4A93DF" w14:textId="77777777" w:rsidR="001614E6" w:rsidRPr="009E1B38" w:rsidRDefault="001614E6" w:rsidP="001614E6">
            <w:pPr>
              <w:rPr>
                <w:rFonts w:ascii="Times New Roman" w:hAnsi="Times New Roman"/>
              </w:rPr>
            </w:pPr>
            <w:r w:rsidRPr="009E1B38">
              <w:rPr>
                <w:rFonts w:ascii="Times New Roman" w:hAnsi="Times New Roman"/>
              </w:rPr>
              <w:t>YDS Time Özel Eğitim Ltd. Şti.</w:t>
            </w:r>
          </w:p>
        </w:tc>
        <w:tc>
          <w:tcPr>
            <w:tcW w:w="1301" w:type="pct"/>
            <w:vAlign w:val="center"/>
          </w:tcPr>
          <w:p w14:paraId="7D4A93E0" w14:textId="65B53EA7" w:rsidR="001614E6" w:rsidRPr="009E1B38" w:rsidRDefault="00CC1891" w:rsidP="001614E6">
            <w:pPr>
              <w:jc w:val="center"/>
              <w:rPr>
                <w:rFonts w:ascii="Times New Roman" w:hAnsi="Times New Roman"/>
              </w:rPr>
            </w:pPr>
            <w:r w:rsidRPr="009E1B38">
              <w:rPr>
                <w:rFonts w:ascii="Times New Roman" w:hAnsi="Times New Roman"/>
              </w:rPr>
              <w:t>English Language Training</w:t>
            </w:r>
          </w:p>
        </w:tc>
        <w:tc>
          <w:tcPr>
            <w:tcW w:w="1368" w:type="pct"/>
            <w:vAlign w:val="center"/>
          </w:tcPr>
          <w:p w14:paraId="7D4A93E1" w14:textId="77777777" w:rsidR="001614E6" w:rsidRPr="009E1B38" w:rsidRDefault="001614E6" w:rsidP="001614E6">
            <w:pPr>
              <w:jc w:val="center"/>
              <w:rPr>
                <w:rFonts w:ascii="Times New Roman" w:hAnsi="Times New Roman"/>
                <w:bCs/>
              </w:rPr>
            </w:pPr>
            <w:r w:rsidRPr="009E1B38">
              <w:rPr>
                <w:rFonts w:ascii="Times New Roman" w:hAnsi="Times New Roman"/>
                <w:bCs/>
              </w:rPr>
              <w:t>2</w:t>
            </w:r>
          </w:p>
        </w:tc>
      </w:tr>
      <w:tr w:rsidR="001614E6" w:rsidRPr="009E1B38" w14:paraId="7D4A93E6" w14:textId="77777777" w:rsidTr="001614E6">
        <w:trPr>
          <w:trHeight w:val="227"/>
          <w:jc w:val="center"/>
        </w:trPr>
        <w:tc>
          <w:tcPr>
            <w:tcW w:w="2331" w:type="pct"/>
          </w:tcPr>
          <w:p w14:paraId="7D4A93E3" w14:textId="77777777" w:rsidR="001614E6" w:rsidRPr="009E1B38" w:rsidRDefault="001614E6" w:rsidP="001614E6">
            <w:pPr>
              <w:rPr>
                <w:rFonts w:ascii="Times New Roman" w:hAnsi="Times New Roman"/>
              </w:rPr>
            </w:pPr>
            <w:r w:rsidRPr="009E1B38">
              <w:rPr>
                <w:rFonts w:ascii="Times New Roman" w:hAnsi="Times New Roman"/>
              </w:rPr>
              <w:t>Boğaziçi İngilizce Yabancı Dil Kursu</w:t>
            </w:r>
          </w:p>
        </w:tc>
        <w:tc>
          <w:tcPr>
            <w:tcW w:w="1301" w:type="pct"/>
            <w:vAlign w:val="center"/>
          </w:tcPr>
          <w:p w14:paraId="7D4A93E4" w14:textId="0AA0F763" w:rsidR="001614E6" w:rsidRPr="009E1B38" w:rsidRDefault="00CC1891" w:rsidP="001614E6">
            <w:pPr>
              <w:jc w:val="center"/>
              <w:rPr>
                <w:rFonts w:ascii="Times New Roman" w:hAnsi="Times New Roman"/>
              </w:rPr>
            </w:pPr>
            <w:r w:rsidRPr="009E1B38">
              <w:rPr>
                <w:rFonts w:ascii="Times New Roman" w:hAnsi="Times New Roman"/>
              </w:rPr>
              <w:t>English Language Training</w:t>
            </w:r>
          </w:p>
        </w:tc>
        <w:tc>
          <w:tcPr>
            <w:tcW w:w="1368" w:type="pct"/>
            <w:vAlign w:val="center"/>
          </w:tcPr>
          <w:p w14:paraId="7D4A93E5" w14:textId="77777777" w:rsidR="001614E6" w:rsidRPr="009E1B38" w:rsidRDefault="001614E6" w:rsidP="001614E6">
            <w:pPr>
              <w:jc w:val="center"/>
              <w:rPr>
                <w:rFonts w:ascii="Times New Roman" w:hAnsi="Times New Roman"/>
              </w:rPr>
            </w:pPr>
            <w:r w:rsidRPr="009E1B38">
              <w:rPr>
                <w:rFonts w:ascii="Times New Roman" w:hAnsi="Times New Roman"/>
              </w:rPr>
              <w:t>1</w:t>
            </w:r>
          </w:p>
        </w:tc>
      </w:tr>
      <w:tr w:rsidR="001614E6" w:rsidRPr="009E1B38" w14:paraId="7D4A93EA" w14:textId="77777777" w:rsidTr="001614E6">
        <w:trPr>
          <w:trHeight w:val="227"/>
          <w:jc w:val="center"/>
        </w:trPr>
        <w:tc>
          <w:tcPr>
            <w:tcW w:w="2331" w:type="pct"/>
            <w:vAlign w:val="bottom"/>
          </w:tcPr>
          <w:p w14:paraId="7D4A93E7" w14:textId="77777777" w:rsidR="001614E6" w:rsidRPr="009E1B38" w:rsidRDefault="001614E6" w:rsidP="001614E6">
            <w:pPr>
              <w:rPr>
                <w:rFonts w:ascii="Times New Roman" w:hAnsi="Times New Roman"/>
                <w:color w:val="000000"/>
              </w:rPr>
            </w:pPr>
            <w:r w:rsidRPr="009E1B38">
              <w:rPr>
                <w:rFonts w:ascii="Times New Roman" w:hAnsi="Times New Roman"/>
              </w:rPr>
              <w:t>Özel Doktor Ferit Fethi Yabancı Dil Kursu</w:t>
            </w:r>
          </w:p>
        </w:tc>
        <w:tc>
          <w:tcPr>
            <w:tcW w:w="1301" w:type="pct"/>
            <w:vAlign w:val="center"/>
          </w:tcPr>
          <w:p w14:paraId="7D4A93E8" w14:textId="264A2799" w:rsidR="001614E6" w:rsidRPr="009E1B38" w:rsidRDefault="00CC1891" w:rsidP="001614E6">
            <w:pPr>
              <w:jc w:val="center"/>
              <w:rPr>
                <w:rFonts w:ascii="Times New Roman" w:hAnsi="Times New Roman"/>
              </w:rPr>
            </w:pPr>
            <w:r w:rsidRPr="009E1B38">
              <w:rPr>
                <w:rFonts w:ascii="Times New Roman" w:hAnsi="Times New Roman"/>
              </w:rPr>
              <w:t>English Language Training</w:t>
            </w:r>
          </w:p>
        </w:tc>
        <w:tc>
          <w:tcPr>
            <w:tcW w:w="1368" w:type="pct"/>
            <w:vAlign w:val="center"/>
          </w:tcPr>
          <w:p w14:paraId="7D4A93E9" w14:textId="77777777" w:rsidR="001614E6" w:rsidRPr="009E1B38" w:rsidRDefault="001614E6" w:rsidP="001614E6">
            <w:pPr>
              <w:jc w:val="center"/>
              <w:rPr>
                <w:rFonts w:ascii="Times New Roman" w:hAnsi="Times New Roman"/>
              </w:rPr>
            </w:pPr>
            <w:r w:rsidRPr="009E1B38">
              <w:rPr>
                <w:rFonts w:ascii="Times New Roman" w:hAnsi="Times New Roman"/>
              </w:rPr>
              <w:t>1</w:t>
            </w:r>
          </w:p>
        </w:tc>
      </w:tr>
      <w:tr w:rsidR="001614E6" w:rsidRPr="009E1B38" w14:paraId="7D4A93EE" w14:textId="77777777" w:rsidTr="001614E6">
        <w:trPr>
          <w:trHeight w:val="227"/>
          <w:jc w:val="center"/>
        </w:trPr>
        <w:tc>
          <w:tcPr>
            <w:tcW w:w="2331" w:type="pct"/>
            <w:vAlign w:val="bottom"/>
          </w:tcPr>
          <w:p w14:paraId="7D4A93EB" w14:textId="77777777" w:rsidR="001614E6" w:rsidRPr="009E1B38" w:rsidRDefault="001614E6" w:rsidP="001614E6">
            <w:pPr>
              <w:rPr>
                <w:rFonts w:ascii="Times New Roman" w:hAnsi="Times New Roman"/>
                <w:color w:val="000000"/>
              </w:rPr>
            </w:pPr>
            <w:r w:rsidRPr="009E1B38">
              <w:rPr>
                <w:rFonts w:ascii="Times New Roman" w:hAnsi="Times New Roman"/>
              </w:rPr>
              <w:t>Ankara Dil Akademisi</w:t>
            </w:r>
          </w:p>
        </w:tc>
        <w:tc>
          <w:tcPr>
            <w:tcW w:w="1301" w:type="pct"/>
          </w:tcPr>
          <w:p w14:paraId="7D4A93EC" w14:textId="569B1AF5" w:rsidR="001614E6" w:rsidRPr="009E1B38" w:rsidRDefault="00CC1891" w:rsidP="001614E6">
            <w:pPr>
              <w:jc w:val="center"/>
              <w:rPr>
                <w:rFonts w:ascii="Times New Roman" w:hAnsi="Times New Roman"/>
              </w:rPr>
            </w:pPr>
            <w:r w:rsidRPr="009E1B38">
              <w:rPr>
                <w:rFonts w:ascii="Times New Roman" w:hAnsi="Times New Roman"/>
              </w:rPr>
              <w:t>English Language Training</w:t>
            </w:r>
          </w:p>
        </w:tc>
        <w:tc>
          <w:tcPr>
            <w:tcW w:w="1368" w:type="pct"/>
            <w:vAlign w:val="center"/>
          </w:tcPr>
          <w:p w14:paraId="7D4A93ED" w14:textId="77777777" w:rsidR="001614E6" w:rsidRPr="009E1B38" w:rsidRDefault="001614E6" w:rsidP="001614E6">
            <w:pPr>
              <w:jc w:val="center"/>
              <w:rPr>
                <w:rFonts w:ascii="Times New Roman" w:hAnsi="Times New Roman"/>
              </w:rPr>
            </w:pPr>
            <w:r w:rsidRPr="009E1B38">
              <w:rPr>
                <w:rFonts w:ascii="Times New Roman" w:hAnsi="Times New Roman"/>
              </w:rPr>
              <w:t>2</w:t>
            </w:r>
          </w:p>
        </w:tc>
      </w:tr>
      <w:tr w:rsidR="001614E6" w:rsidRPr="009E1B38" w14:paraId="7D4A93F2" w14:textId="77777777" w:rsidTr="001614E6">
        <w:trPr>
          <w:trHeight w:val="227"/>
          <w:jc w:val="center"/>
        </w:trPr>
        <w:tc>
          <w:tcPr>
            <w:tcW w:w="2331" w:type="pct"/>
            <w:vAlign w:val="bottom"/>
          </w:tcPr>
          <w:p w14:paraId="7D4A93EF" w14:textId="77777777" w:rsidR="001614E6" w:rsidRPr="009E1B38" w:rsidRDefault="001614E6" w:rsidP="001614E6">
            <w:pPr>
              <w:rPr>
                <w:rFonts w:ascii="Times New Roman" w:hAnsi="Times New Roman"/>
                <w:color w:val="000000"/>
              </w:rPr>
            </w:pPr>
            <w:r w:rsidRPr="009E1B38">
              <w:rPr>
                <w:rFonts w:ascii="Times New Roman" w:hAnsi="Times New Roman"/>
              </w:rPr>
              <w:t>Moda Dil Eğitim Danışmanlık</w:t>
            </w:r>
          </w:p>
        </w:tc>
        <w:tc>
          <w:tcPr>
            <w:tcW w:w="1301" w:type="pct"/>
          </w:tcPr>
          <w:p w14:paraId="7D4A93F0" w14:textId="6B2CAB6D" w:rsidR="001614E6" w:rsidRPr="009E1B38" w:rsidRDefault="00CC1891" w:rsidP="001614E6">
            <w:pPr>
              <w:jc w:val="center"/>
              <w:rPr>
                <w:rFonts w:ascii="Times New Roman" w:hAnsi="Times New Roman"/>
              </w:rPr>
            </w:pPr>
            <w:r w:rsidRPr="009E1B38">
              <w:rPr>
                <w:rFonts w:ascii="Times New Roman" w:hAnsi="Times New Roman"/>
              </w:rPr>
              <w:t>English Language Training</w:t>
            </w:r>
          </w:p>
        </w:tc>
        <w:tc>
          <w:tcPr>
            <w:tcW w:w="1368" w:type="pct"/>
            <w:vAlign w:val="center"/>
          </w:tcPr>
          <w:p w14:paraId="7D4A93F1" w14:textId="77777777" w:rsidR="001614E6" w:rsidRPr="009E1B38" w:rsidRDefault="001614E6" w:rsidP="001614E6">
            <w:pPr>
              <w:jc w:val="center"/>
              <w:rPr>
                <w:rFonts w:ascii="Times New Roman" w:hAnsi="Times New Roman"/>
              </w:rPr>
            </w:pPr>
            <w:r w:rsidRPr="009E1B38">
              <w:rPr>
                <w:rFonts w:ascii="Times New Roman" w:hAnsi="Times New Roman"/>
              </w:rPr>
              <w:t>1</w:t>
            </w:r>
          </w:p>
        </w:tc>
      </w:tr>
      <w:tr w:rsidR="001614E6" w:rsidRPr="009E1B38" w14:paraId="7D4A93F6" w14:textId="77777777" w:rsidTr="001614E6">
        <w:trPr>
          <w:trHeight w:val="227"/>
          <w:jc w:val="center"/>
        </w:trPr>
        <w:tc>
          <w:tcPr>
            <w:tcW w:w="2331" w:type="pct"/>
            <w:vAlign w:val="bottom"/>
          </w:tcPr>
          <w:p w14:paraId="7D4A93F3" w14:textId="77777777" w:rsidR="001614E6" w:rsidRPr="009E1B38" w:rsidRDefault="001614E6" w:rsidP="001614E6">
            <w:pPr>
              <w:rPr>
                <w:rFonts w:ascii="Times New Roman" w:hAnsi="Times New Roman"/>
              </w:rPr>
            </w:pPr>
            <w:r w:rsidRPr="009E1B38">
              <w:rPr>
                <w:rFonts w:ascii="Times New Roman" w:hAnsi="Times New Roman"/>
              </w:rPr>
              <w:t>Özel Akın Dil Yabancı Dil Kursu</w:t>
            </w:r>
          </w:p>
        </w:tc>
        <w:tc>
          <w:tcPr>
            <w:tcW w:w="1301" w:type="pct"/>
          </w:tcPr>
          <w:p w14:paraId="7D4A93F4" w14:textId="618764A2" w:rsidR="001614E6" w:rsidRPr="009E1B38" w:rsidRDefault="00CC1891" w:rsidP="001614E6">
            <w:pPr>
              <w:jc w:val="center"/>
              <w:rPr>
                <w:rFonts w:ascii="Times New Roman" w:hAnsi="Times New Roman"/>
              </w:rPr>
            </w:pPr>
            <w:r w:rsidRPr="009E1B38">
              <w:rPr>
                <w:rFonts w:ascii="Times New Roman" w:hAnsi="Times New Roman"/>
              </w:rPr>
              <w:t>English Language Training</w:t>
            </w:r>
          </w:p>
        </w:tc>
        <w:tc>
          <w:tcPr>
            <w:tcW w:w="1368" w:type="pct"/>
            <w:vAlign w:val="center"/>
          </w:tcPr>
          <w:p w14:paraId="7D4A93F5" w14:textId="77777777" w:rsidR="001614E6" w:rsidRPr="009E1B38" w:rsidRDefault="001614E6" w:rsidP="001614E6">
            <w:pPr>
              <w:jc w:val="center"/>
              <w:rPr>
                <w:rFonts w:ascii="Times New Roman" w:hAnsi="Times New Roman"/>
              </w:rPr>
            </w:pPr>
            <w:r w:rsidRPr="009E1B38">
              <w:rPr>
                <w:rFonts w:ascii="Times New Roman" w:hAnsi="Times New Roman"/>
              </w:rPr>
              <w:t>2</w:t>
            </w:r>
          </w:p>
        </w:tc>
      </w:tr>
      <w:tr w:rsidR="001614E6" w:rsidRPr="009E1B38" w14:paraId="7D4A93FA" w14:textId="77777777" w:rsidTr="001614E6">
        <w:trPr>
          <w:trHeight w:val="227"/>
          <w:jc w:val="center"/>
        </w:trPr>
        <w:tc>
          <w:tcPr>
            <w:tcW w:w="2331" w:type="pct"/>
          </w:tcPr>
          <w:p w14:paraId="7D4A93F7" w14:textId="77777777" w:rsidR="001614E6" w:rsidRPr="009E1B38" w:rsidRDefault="001614E6" w:rsidP="001614E6">
            <w:pPr>
              <w:rPr>
                <w:rFonts w:ascii="Times New Roman" w:hAnsi="Times New Roman"/>
              </w:rPr>
            </w:pPr>
            <w:r w:rsidRPr="009E1B38">
              <w:rPr>
                <w:rFonts w:ascii="Times New Roman" w:hAnsi="Times New Roman"/>
              </w:rPr>
              <w:t>Benek Eğitim Danışmanlık</w:t>
            </w:r>
          </w:p>
        </w:tc>
        <w:tc>
          <w:tcPr>
            <w:tcW w:w="1301" w:type="pct"/>
          </w:tcPr>
          <w:p w14:paraId="7D4A93F8" w14:textId="09CD0FF2" w:rsidR="001614E6" w:rsidRPr="009E1B38" w:rsidRDefault="00CC1891" w:rsidP="001614E6">
            <w:pPr>
              <w:jc w:val="center"/>
              <w:rPr>
                <w:rFonts w:ascii="Times New Roman" w:hAnsi="Times New Roman"/>
              </w:rPr>
            </w:pPr>
            <w:r w:rsidRPr="009E1B38">
              <w:rPr>
                <w:rFonts w:ascii="Times New Roman" w:hAnsi="Times New Roman"/>
              </w:rPr>
              <w:t>English Language Training</w:t>
            </w:r>
          </w:p>
        </w:tc>
        <w:tc>
          <w:tcPr>
            <w:tcW w:w="1368" w:type="pct"/>
            <w:vAlign w:val="center"/>
          </w:tcPr>
          <w:p w14:paraId="7D4A93F9" w14:textId="77777777" w:rsidR="001614E6" w:rsidRPr="009E1B38" w:rsidRDefault="001614E6" w:rsidP="001614E6">
            <w:pPr>
              <w:jc w:val="center"/>
              <w:rPr>
                <w:rFonts w:ascii="Times New Roman" w:hAnsi="Times New Roman"/>
              </w:rPr>
            </w:pPr>
            <w:r w:rsidRPr="009E1B38">
              <w:rPr>
                <w:rFonts w:ascii="Times New Roman" w:hAnsi="Times New Roman"/>
              </w:rPr>
              <w:t>1</w:t>
            </w:r>
          </w:p>
        </w:tc>
      </w:tr>
      <w:tr w:rsidR="001614E6" w:rsidRPr="009E1B38" w14:paraId="7D4A93FE" w14:textId="77777777" w:rsidTr="001614E6">
        <w:trPr>
          <w:trHeight w:val="227"/>
          <w:jc w:val="center"/>
        </w:trPr>
        <w:tc>
          <w:tcPr>
            <w:tcW w:w="2331" w:type="pct"/>
          </w:tcPr>
          <w:p w14:paraId="7D4A93FB" w14:textId="77777777" w:rsidR="001614E6" w:rsidRPr="009E1B38" w:rsidRDefault="001614E6" w:rsidP="001614E6">
            <w:pPr>
              <w:rPr>
                <w:rFonts w:ascii="Times New Roman" w:hAnsi="Times New Roman"/>
              </w:rPr>
            </w:pPr>
            <w:r w:rsidRPr="009E1B38">
              <w:rPr>
                <w:rFonts w:ascii="Times New Roman" w:hAnsi="Times New Roman"/>
              </w:rPr>
              <w:t>Konuşarak Öğren Eğitim Danışmanlık</w:t>
            </w:r>
          </w:p>
        </w:tc>
        <w:tc>
          <w:tcPr>
            <w:tcW w:w="1301" w:type="pct"/>
          </w:tcPr>
          <w:p w14:paraId="7D4A93FC" w14:textId="4466F201" w:rsidR="001614E6" w:rsidRPr="009E1B38" w:rsidRDefault="00CC1891" w:rsidP="001614E6">
            <w:pPr>
              <w:jc w:val="center"/>
              <w:rPr>
                <w:rFonts w:ascii="Times New Roman" w:hAnsi="Times New Roman"/>
              </w:rPr>
            </w:pPr>
            <w:r w:rsidRPr="009E1B38">
              <w:rPr>
                <w:rFonts w:ascii="Times New Roman" w:hAnsi="Times New Roman"/>
              </w:rPr>
              <w:t>English Language Training</w:t>
            </w:r>
          </w:p>
        </w:tc>
        <w:tc>
          <w:tcPr>
            <w:tcW w:w="1368" w:type="pct"/>
            <w:vAlign w:val="center"/>
          </w:tcPr>
          <w:p w14:paraId="7D4A93FD" w14:textId="77777777" w:rsidR="001614E6" w:rsidRPr="009E1B38" w:rsidRDefault="001614E6" w:rsidP="001614E6">
            <w:pPr>
              <w:jc w:val="center"/>
              <w:rPr>
                <w:rFonts w:ascii="Times New Roman" w:hAnsi="Times New Roman"/>
              </w:rPr>
            </w:pPr>
            <w:r w:rsidRPr="009E1B38">
              <w:rPr>
                <w:rFonts w:ascii="Times New Roman" w:hAnsi="Times New Roman"/>
              </w:rPr>
              <w:t>1</w:t>
            </w:r>
          </w:p>
        </w:tc>
      </w:tr>
      <w:tr w:rsidR="001614E6" w:rsidRPr="009E1B38" w14:paraId="7D4A9402" w14:textId="77777777" w:rsidTr="001614E6">
        <w:trPr>
          <w:trHeight w:val="227"/>
          <w:jc w:val="center"/>
        </w:trPr>
        <w:tc>
          <w:tcPr>
            <w:tcW w:w="2331" w:type="pct"/>
          </w:tcPr>
          <w:p w14:paraId="7D4A93FF" w14:textId="77777777" w:rsidR="001614E6" w:rsidRPr="009E1B38" w:rsidRDefault="001614E6" w:rsidP="001614E6">
            <w:pPr>
              <w:rPr>
                <w:rFonts w:ascii="Times New Roman" w:hAnsi="Times New Roman"/>
              </w:rPr>
            </w:pPr>
            <w:r w:rsidRPr="009E1B38">
              <w:rPr>
                <w:rFonts w:ascii="Times New Roman" w:hAnsi="Times New Roman"/>
              </w:rPr>
              <w:t>Özel Just English</w:t>
            </w:r>
          </w:p>
        </w:tc>
        <w:tc>
          <w:tcPr>
            <w:tcW w:w="1301" w:type="pct"/>
          </w:tcPr>
          <w:p w14:paraId="7D4A9400" w14:textId="7B7D3B9C" w:rsidR="001614E6" w:rsidRPr="009E1B38" w:rsidRDefault="00CC1891" w:rsidP="001614E6">
            <w:pPr>
              <w:jc w:val="center"/>
              <w:rPr>
                <w:rFonts w:ascii="Times New Roman" w:hAnsi="Times New Roman"/>
              </w:rPr>
            </w:pPr>
            <w:r w:rsidRPr="009E1B38">
              <w:rPr>
                <w:rFonts w:ascii="Times New Roman" w:hAnsi="Times New Roman"/>
              </w:rPr>
              <w:t>English Language Training</w:t>
            </w:r>
          </w:p>
        </w:tc>
        <w:tc>
          <w:tcPr>
            <w:tcW w:w="1368" w:type="pct"/>
            <w:vAlign w:val="center"/>
          </w:tcPr>
          <w:p w14:paraId="7D4A9401" w14:textId="77777777" w:rsidR="001614E6" w:rsidRPr="009E1B38" w:rsidRDefault="001614E6" w:rsidP="001614E6">
            <w:pPr>
              <w:jc w:val="center"/>
              <w:rPr>
                <w:rFonts w:ascii="Times New Roman" w:hAnsi="Times New Roman"/>
              </w:rPr>
            </w:pPr>
            <w:r w:rsidRPr="009E1B38">
              <w:rPr>
                <w:rFonts w:ascii="Times New Roman" w:hAnsi="Times New Roman"/>
              </w:rPr>
              <w:t>1</w:t>
            </w:r>
          </w:p>
        </w:tc>
      </w:tr>
      <w:tr w:rsidR="001614E6" w:rsidRPr="009E1B38" w14:paraId="7D4A9406" w14:textId="77777777" w:rsidTr="001614E6">
        <w:trPr>
          <w:trHeight w:val="227"/>
          <w:jc w:val="center"/>
        </w:trPr>
        <w:tc>
          <w:tcPr>
            <w:tcW w:w="2331" w:type="pct"/>
          </w:tcPr>
          <w:p w14:paraId="7D4A9403" w14:textId="77777777" w:rsidR="001614E6" w:rsidRPr="009E1B38" w:rsidRDefault="001614E6" w:rsidP="001614E6">
            <w:pPr>
              <w:rPr>
                <w:rFonts w:ascii="Times New Roman" w:hAnsi="Times New Roman"/>
              </w:rPr>
            </w:pPr>
            <w:r w:rsidRPr="009E1B38">
              <w:rPr>
                <w:rFonts w:ascii="Times New Roman" w:hAnsi="Times New Roman"/>
              </w:rPr>
              <w:t>Özel Suat Gürcan Rıdvan Gürbüz Moda Dil Akade</w:t>
            </w:r>
            <w:r w:rsidR="002D7AE1" w:rsidRPr="009E1B38">
              <w:rPr>
                <w:rFonts w:ascii="Times New Roman" w:hAnsi="Times New Roman"/>
              </w:rPr>
              <w:t>mi</w:t>
            </w:r>
            <w:r w:rsidRPr="009E1B38">
              <w:rPr>
                <w:rFonts w:ascii="Times New Roman" w:hAnsi="Times New Roman"/>
              </w:rPr>
              <w:t>si Yabancı Dil Kursu</w:t>
            </w:r>
          </w:p>
        </w:tc>
        <w:tc>
          <w:tcPr>
            <w:tcW w:w="1301" w:type="pct"/>
          </w:tcPr>
          <w:p w14:paraId="7D4A9404" w14:textId="504DDB75" w:rsidR="001614E6" w:rsidRPr="009E1B38" w:rsidRDefault="00CC1891" w:rsidP="001614E6">
            <w:pPr>
              <w:jc w:val="center"/>
              <w:rPr>
                <w:rFonts w:ascii="Times New Roman" w:hAnsi="Times New Roman"/>
              </w:rPr>
            </w:pPr>
            <w:r w:rsidRPr="009E1B38">
              <w:rPr>
                <w:rFonts w:ascii="Times New Roman" w:hAnsi="Times New Roman"/>
              </w:rPr>
              <w:t>English Language Training</w:t>
            </w:r>
          </w:p>
        </w:tc>
        <w:tc>
          <w:tcPr>
            <w:tcW w:w="1368" w:type="pct"/>
            <w:vAlign w:val="center"/>
          </w:tcPr>
          <w:p w14:paraId="7D4A9405" w14:textId="77777777" w:rsidR="001614E6" w:rsidRPr="009E1B38" w:rsidRDefault="001614E6" w:rsidP="001614E6">
            <w:pPr>
              <w:jc w:val="center"/>
              <w:rPr>
                <w:rFonts w:ascii="Times New Roman" w:hAnsi="Times New Roman"/>
              </w:rPr>
            </w:pPr>
            <w:r w:rsidRPr="009E1B38">
              <w:rPr>
                <w:rFonts w:ascii="Times New Roman" w:hAnsi="Times New Roman"/>
              </w:rPr>
              <w:t>1</w:t>
            </w:r>
          </w:p>
        </w:tc>
      </w:tr>
      <w:tr w:rsidR="001614E6" w:rsidRPr="009E1B38" w14:paraId="7D4A9409" w14:textId="77777777" w:rsidTr="001614E6">
        <w:trPr>
          <w:trHeight w:val="197"/>
          <w:jc w:val="center"/>
        </w:trPr>
        <w:tc>
          <w:tcPr>
            <w:tcW w:w="2331" w:type="pct"/>
          </w:tcPr>
          <w:p w14:paraId="7D4A9407" w14:textId="6ED74F24" w:rsidR="001614E6" w:rsidRPr="009E1B38" w:rsidRDefault="001614E6" w:rsidP="001614E6">
            <w:pPr>
              <w:rPr>
                <w:rFonts w:ascii="Times New Roman" w:hAnsi="Times New Roman"/>
                <w:b/>
                <w:color w:val="000000"/>
              </w:rPr>
            </w:pPr>
            <w:r w:rsidRPr="009E1B38">
              <w:rPr>
                <w:rFonts w:ascii="Times New Roman" w:hAnsi="Times New Roman"/>
                <w:b/>
                <w:color w:val="000000"/>
              </w:rPr>
              <w:t>To</w:t>
            </w:r>
            <w:r w:rsidR="00710718" w:rsidRPr="009E1B38">
              <w:rPr>
                <w:rFonts w:ascii="Times New Roman" w:hAnsi="Times New Roman"/>
                <w:b/>
                <w:color w:val="000000"/>
              </w:rPr>
              <w:t>tal Cost</w:t>
            </w:r>
          </w:p>
        </w:tc>
        <w:tc>
          <w:tcPr>
            <w:tcW w:w="2669" w:type="pct"/>
            <w:gridSpan w:val="2"/>
            <w:vAlign w:val="center"/>
          </w:tcPr>
          <w:p w14:paraId="7D4A9408" w14:textId="77777777" w:rsidR="001614E6" w:rsidRPr="009E1B38" w:rsidRDefault="001614E6" w:rsidP="001614E6">
            <w:pPr>
              <w:jc w:val="center"/>
              <w:rPr>
                <w:rFonts w:ascii="Times New Roman" w:hAnsi="Times New Roman"/>
                <w:b/>
              </w:rPr>
            </w:pPr>
            <w:r w:rsidRPr="009E1B38">
              <w:rPr>
                <w:rFonts w:ascii="Times New Roman" w:hAnsi="Times New Roman"/>
                <w:b/>
              </w:rPr>
              <w:t>22.373,48 TL</w:t>
            </w:r>
          </w:p>
        </w:tc>
      </w:tr>
    </w:tbl>
    <w:p w14:paraId="7D4A940A" w14:textId="77777777" w:rsidR="001853AE" w:rsidRPr="009E1B38" w:rsidRDefault="001853AE" w:rsidP="001853AE">
      <w:pPr>
        <w:rPr>
          <w:rFonts w:ascii="Times New Roman" w:hAnsi="Times New Roman"/>
        </w:rPr>
      </w:pPr>
    </w:p>
    <w:p w14:paraId="05172572" w14:textId="77777777" w:rsidR="007F382B" w:rsidRPr="009E1B38" w:rsidRDefault="007F382B" w:rsidP="007F382B">
      <w:pPr>
        <w:rPr>
          <w:rFonts w:ascii="Times New Roman" w:hAnsi="Times New Roman"/>
        </w:rPr>
      </w:pPr>
      <w:r w:rsidRPr="009E1B38">
        <w:rPr>
          <w:rFonts w:ascii="Times New Roman" w:hAnsi="Times New Roman"/>
        </w:rPr>
        <w:t>Undergraduates from different universities do internship in the authority. In this context, the number of interns in 2021 and the periods of the internships are given in the table below.</w:t>
      </w:r>
    </w:p>
    <w:p w14:paraId="7D4A940C" w14:textId="77777777" w:rsidR="00760BA0" w:rsidRPr="009E1B38" w:rsidRDefault="00760BA0" w:rsidP="001853AE">
      <w:pPr>
        <w:rPr>
          <w:rFonts w:ascii="Times New Roman" w:hAnsi="Times New Roman"/>
          <w:sz w:val="24"/>
          <w:szCs w:val="24"/>
        </w:rPr>
      </w:pPr>
    </w:p>
    <w:p w14:paraId="7D4A940D" w14:textId="0C7A3B17" w:rsidR="0072201B" w:rsidRPr="009E1B38" w:rsidRDefault="0082470D" w:rsidP="002F3B01">
      <w:pPr>
        <w:pStyle w:val="Balk5"/>
        <w:jc w:val="center"/>
        <w:rPr>
          <w:rFonts w:ascii="Times New Roman" w:hAnsi="Times New Roman" w:cs="Times New Roman"/>
        </w:rPr>
      </w:pPr>
      <w:bookmarkStart w:id="392" w:name="_Toc416447631"/>
      <w:bookmarkStart w:id="393" w:name="_Toc442441782"/>
      <w:bookmarkStart w:id="394" w:name="_Toc107499578"/>
      <w:r w:rsidRPr="009E1B38">
        <w:rPr>
          <w:rFonts w:ascii="Times New Roman" w:hAnsi="Times New Roman" w:cs="Times New Roman"/>
        </w:rPr>
        <w:lastRenderedPageBreak/>
        <w:t>Table</w:t>
      </w:r>
      <w:r w:rsidR="00A44256" w:rsidRPr="009E1B38">
        <w:rPr>
          <w:rFonts w:ascii="Times New Roman" w:hAnsi="Times New Roman" w:cs="Times New Roman"/>
        </w:rPr>
        <w:t xml:space="preserve"> 1</w:t>
      </w:r>
      <w:r w:rsidR="00456863" w:rsidRPr="009E1B38">
        <w:rPr>
          <w:rFonts w:ascii="Times New Roman" w:hAnsi="Times New Roman" w:cs="Times New Roman"/>
        </w:rPr>
        <w:t>3</w:t>
      </w:r>
      <w:r w:rsidR="00A44256" w:rsidRPr="009E1B38">
        <w:rPr>
          <w:rFonts w:ascii="Times New Roman" w:hAnsi="Times New Roman" w:cs="Times New Roman"/>
        </w:rPr>
        <w:t>.1</w:t>
      </w:r>
      <w:r w:rsidR="00992142" w:rsidRPr="009E1B38">
        <w:rPr>
          <w:rFonts w:ascii="Times New Roman" w:hAnsi="Times New Roman" w:cs="Times New Roman"/>
        </w:rPr>
        <w:t>0</w:t>
      </w:r>
      <w:r w:rsidR="001853AE" w:rsidRPr="009E1B38">
        <w:rPr>
          <w:rFonts w:ascii="Times New Roman" w:hAnsi="Times New Roman" w:cs="Times New Roman"/>
        </w:rPr>
        <w:t xml:space="preserve">: </w:t>
      </w:r>
      <w:bookmarkEnd w:id="392"/>
      <w:bookmarkEnd w:id="393"/>
      <w:r w:rsidR="006C24E7" w:rsidRPr="009E1B38">
        <w:rPr>
          <w:rFonts w:ascii="Times New Roman" w:hAnsi="Times New Roman" w:cs="Times New Roman"/>
        </w:rPr>
        <w:t>Information on the Interns in 2021</w:t>
      </w:r>
      <w:bookmarkEnd w:id="394"/>
    </w:p>
    <w:tbl>
      <w:tblPr>
        <w:tblW w:w="2502"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45"/>
        <w:gridCol w:w="1828"/>
      </w:tblGrid>
      <w:tr w:rsidR="00B16F92" w:rsidRPr="009E1B38" w14:paraId="7D4A9410" w14:textId="77777777" w:rsidTr="00B16F92">
        <w:trPr>
          <w:trHeight w:val="227"/>
          <w:tblHeader/>
          <w:jc w:val="center"/>
        </w:trPr>
        <w:tc>
          <w:tcPr>
            <w:tcW w:w="3198" w:type="pct"/>
            <w:vMerge w:val="restart"/>
            <w:shd w:val="clear" w:color="auto" w:fill="6E9ECA"/>
            <w:vAlign w:val="center"/>
          </w:tcPr>
          <w:p w14:paraId="7D4A940E" w14:textId="77068610" w:rsidR="00B16F92" w:rsidRPr="009E1B38" w:rsidRDefault="000007B8" w:rsidP="001614E6">
            <w:pPr>
              <w:jc w:val="center"/>
              <w:rPr>
                <w:rFonts w:ascii="Times New Roman" w:hAnsi="Times New Roman"/>
                <w:b/>
                <w:color w:val="FFFFFF"/>
                <w:sz w:val="24"/>
                <w:szCs w:val="24"/>
              </w:rPr>
            </w:pPr>
            <w:r w:rsidRPr="009E1B38">
              <w:rPr>
                <w:rFonts w:ascii="Times New Roman" w:hAnsi="Times New Roman"/>
                <w:b/>
                <w:color w:val="FFFFFF" w:themeColor="background1"/>
                <w:sz w:val="24"/>
                <w:szCs w:val="24"/>
              </w:rPr>
              <w:t>University Name</w:t>
            </w:r>
          </w:p>
        </w:tc>
        <w:tc>
          <w:tcPr>
            <w:tcW w:w="1802" w:type="pct"/>
            <w:shd w:val="clear" w:color="auto" w:fill="6E9ECA"/>
          </w:tcPr>
          <w:p w14:paraId="7D4A940F" w14:textId="7682FF65" w:rsidR="00B16F92" w:rsidRPr="009E1B38" w:rsidRDefault="000007B8" w:rsidP="001614E6">
            <w:pPr>
              <w:jc w:val="center"/>
              <w:rPr>
                <w:rFonts w:ascii="Times New Roman" w:hAnsi="Times New Roman"/>
                <w:b/>
                <w:color w:val="FFFFFF"/>
                <w:sz w:val="24"/>
                <w:szCs w:val="24"/>
              </w:rPr>
            </w:pPr>
            <w:r w:rsidRPr="009E1B38">
              <w:rPr>
                <w:rFonts w:ascii="Times New Roman" w:hAnsi="Times New Roman"/>
                <w:b/>
                <w:color w:val="FFFFFF" w:themeColor="background1"/>
                <w:sz w:val="24"/>
                <w:szCs w:val="24"/>
              </w:rPr>
              <w:t xml:space="preserve">Number of </w:t>
            </w:r>
            <w:r w:rsidR="005B79D9" w:rsidRPr="009E1B38">
              <w:rPr>
                <w:rFonts w:ascii="Times New Roman" w:hAnsi="Times New Roman"/>
                <w:b/>
                <w:color w:val="FFFFFF" w:themeColor="background1"/>
                <w:sz w:val="24"/>
                <w:szCs w:val="24"/>
              </w:rPr>
              <w:t>I</w:t>
            </w:r>
            <w:r w:rsidRPr="009E1B38">
              <w:rPr>
                <w:rFonts w:ascii="Times New Roman" w:hAnsi="Times New Roman"/>
                <w:b/>
                <w:color w:val="FFFFFF" w:themeColor="background1"/>
                <w:sz w:val="24"/>
                <w:szCs w:val="24"/>
              </w:rPr>
              <w:t>nterns</w:t>
            </w:r>
          </w:p>
        </w:tc>
      </w:tr>
      <w:tr w:rsidR="00B16F92" w:rsidRPr="009E1B38" w14:paraId="7D4A9413" w14:textId="77777777" w:rsidTr="00B16F92">
        <w:trPr>
          <w:trHeight w:val="227"/>
          <w:tblHeader/>
          <w:jc w:val="center"/>
        </w:trPr>
        <w:tc>
          <w:tcPr>
            <w:tcW w:w="3198" w:type="pct"/>
            <w:vMerge/>
            <w:shd w:val="clear" w:color="auto" w:fill="6E9ECA"/>
          </w:tcPr>
          <w:p w14:paraId="7D4A9411" w14:textId="77777777" w:rsidR="00B16F92" w:rsidRPr="009E1B38" w:rsidRDefault="00B16F92" w:rsidP="001614E6">
            <w:pPr>
              <w:rPr>
                <w:rFonts w:ascii="Times New Roman" w:hAnsi="Times New Roman"/>
                <w:color w:val="FFFFFF"/>
                <w:sz w:val="24"/>
                <w:szCs w:val="24"/>
              </w:rPr>
            </w:pPr>
          </w:p>
        </w:tc>
        <w:tc>
          <w:tcPr>
            <w:tcW w:w="1802" w:type="pct"/>
            <w:shd w:val="clear" w:color="auto" w:fill="6E9ECA"/>
            <w:vAlign w:val="center"/>
          </w:tcPr>
          <w:p w14:paraId="7D4A9412" w14:textId="1EB0A93E" w:rsidR="00B16F92" w:rsidRPr="009E1B38" w:rsidRDefault="00944B2F" w:rsidP="001614E6">
            <w:pPr>
              <w:jc w:val="center"/>
              <w:rPr>
                <w:rFonts w:ascii="Times New Roman" w:hAnsi="Times New Roman"/>
                <w:b/>
                <w:color w:val="FFFFFF"/>
                <w:sz w:val="24"/>
                <w:szCs w:val="24"/>
              </w:rPr>
            </w:pPr>
            <w:r w:rsidRPr="009E1B38">
              <w:rPr>
                <w:rFonts w:ascii="Times New Roman" w:hAnsi="Times New Roman"/>
                <w:b/>
                <w:color w:val="FFFFFF" w:themeColor="background1"/>
                <w:sz w:val="24"/>
                <w:szCs w:val="24"/>
              </w:rPr>
              <w:t>Compulsory Internship</w:t>
            </w:r>
          </w:p>
        </w:tc>
      </w:tr>
      <w:tr w:rsidR="00B16F92" w:rsidRPr="009E1B38" w14:paraId="7D4A9416" w14:textId="77777777" w:rsidTr="00204240">
        <w:trPr>
          <w:trHeight w:val="227"/>
          <w:jc w:val="center"/>
        </w:trPr>
        <w:tc>
          <w:tcPr>
            <w:tcW w:w="3198" w:type="pct"/>
            <w:vAlign w:val="center"/>
          </w:tcPr>
          <w:p w14:paraId="7D4A9414" w14:textId="1A9EDF8A" w:rsidR="00B16F92" w:rsidRPr="009E1B38" w:rsidRDefault="00B16F92" w:rsidP="001614E6">
            <w:pPr>
              <w:rPr>
                <w:rFonts w:ascii="Times New Roman" w:hAnsi="Times New Roman"/>
              </w:rPr>
            </w:pPr>
            <w:r w:rsidRPr="009E1B38">
              <w:rPr>
                <w:rFonts w:ascii="Times New Roman" w:hAnsi="Times New Roman"/>
              </w:rPr>
              <w:t xml:space="preserve">Ankara </w:t>
            </w:r>
            <w:r w:rsidR="008E229A" w:rsidRPr="009E1B38">
              <w:rPr>
                <w:rFonts w:ascii="Times New Roman" w:hAnsi="Times New Roman"/>
              </w:rPr>
              <w:t>University</w:t>
            </w:r>
          </w:p>
        </w:tc>
        <w:tc>
          <w:tcPr>
            <w:tcW w:w="1802" w:type="pct"/>
            <w:vAlign w:val="center"/>
          </w:tcPr>
          <w:p w14:paraId="7D4A9415" w14:textId="77777777" w:rsidR="00B16F92" w:rsidRPr="009E1B38" w:rsidRDefault="00B16F92" w:rsidP="001614E6">
            <w:pPr>
              <w:jc w:val="center"/>
              <w:rPr>
                <w:rFonts w:ascii="Times New Roman" w:hAnsi="Times New Roman"/>
              </w:rPr>
            </w:pPr>
            <w:r w:rsidRPr="009E1B38">
              <w:rPr>
                <w:rFonts w:ascii="Times New Roman" w:hAnsi="Times New Roman"/>
              </w:rPr>
              <w:t>5</w:t>
            </w:r>
          </w:p>
        </w:tc>
      </w:tr>
      <w:tr w:rsidR="00B16F92" w:rsidRPr="009E1B38" w14:paraId="7D4A9419" w14:textId="77777777" w:rsidTr="00204240">
        <w:trPr>
          <w:trHeight w:val="227"/>
          <w:jc w:val="center"/>
        </w:trPr>
        <w:tc>
          <w:tcPr>
            <w:tcW w:w="3198" w:type="pct"/>
            <w:vAlign w:val="center"/>
          </w:tcPr>
          <w:p w14:paraId="7D4A9417" w14:textId="3306E960" w:rsidR="00B16F92" w:rsidRPr="009E1B38" w:rsidRDefault="00B16F92" w:rsidP="001614E6">
            <w:pPr>
              <w:rPr>
                <w:rFonts w:ascii="Times New Roman" w:hAnsi="Times New Roman"/>
              </w:rPr>
            </w:pPr>
            <w:r w:rsidRPr="009E1B38">
              <w:rPr>
                <w:rFonts w:ascii="Times New Roman" w:hAnsi="Times New Roman"/>
              </w:rPr>
              <w:t xml:space="preserve">Erciyes </w:t>
            </w:r>
            <w:r w:rsidR="008E229A" w:rsidRPr="009E1B38">
              <w:rPr>
                <w:rFonts w:ascii="Times New Roman" w:hAnsi="Times New Roman"/>
              </w:rPr>
              <w:t>University</w:t>
            </w:r>
          </w:p>
        </w:tc>
        <w:tc>
          <w:tcPr>
            <w:tcW w:w="1802" w:type="pct"/>
            <w:vAlign w:val="center"/>
          </w:tcPr>
          <w:p w14:paraId="7D4A9418" w14:textId="77777777" w:rsidR="00B16F92" w:rsidRPr="009E1B38" w:rsidRDefault="00B16F92" w:rsidP="001614E6">
            <w:pPr>
              <w:jc w:val="center"/>
              <w:rPr>
                <w:rFonts w:ascii="Times New Roman" w:hAnsi="Times New Roman"/>
              </w:rPr>
            </w:pPr>
            <w:r w:rsidRPr="009E1B38">
              <w:rPr>
                <w:rFonts w:ascii="Times New Roman" w:hAnsi="Times New Roman"/>
              </w:rPr>
              <w:t>6</w:t>
            </w:r>
          </w:p>
        </w:tc>
      </w:tr>
      <w:tr w:rsidR="00B16F92" w:rsidRPr="009E1B38" w14:paraId="7D4A941C" w14:textId="77777777" w:rsidTr="00204240">
        <w:trPr>
          <w:trHeight w:val="227"/>
          <w:jc w:val="center"/>
        </w:trPr>
        <w:tc>
          <w:tcPr>
            <w:tcW w:w="3198" w:type="pct"/>
            <w:vAlign w:val="center"/>
          </w:tcPr>
          <w:p w14:paraId="7D4A941A" w14:textId="7C909683" w:rsidR="00B16F92" w:rsidRPr="009E1B38" w:rsidRDefault="00B16F92" w:rsidP="001614E6">
            <w:pPr>
              <w:rPr>
                <w:rFonts w:ascii="Times New Roman" w:hAnsi="Times New Roman"/>
              </w:rPr>
            </w:pPr>
            <w:r w:rsidRPr="009E1B38">
              <w:rPr>
                <w:rFonts w:ascii="Times New Roman" w:hAnsi="Times New Roman"/>
              </w:rPr>
              <w:t xml:space="preserve">Başkent </w:t>
            </w:r>
            <w:r w:rsidR="008E229A" w:rsidRPr="009E1B38">
              <w:rPr>
                <w:rFonts w:ascii="Times New Roman" w:hAnsi="Times New Roman"/>
              </w:rPr>
              <w:t>University</w:t>
            </w:r>
          </w:p>
        </w:tc>
        <w:tc>
          <w:tcPr>
            <w:tcW w:w="1802" w:type="pct"/>
            <w:vAlign w:val="center"/>
          </w:tcPr>
          <w:p w14:paraId="7D4A941B"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1F" w14:textId="77777777" w:rsidTr="00204240">
        <w:trPr>
          <w:trHeight w:val="227"/>
          <w:jc w:val="center"/>
        </w:trPr>
        <w:tc>
          <w:tcPr>
            <w:tcW w:w="3198" w:type="pct"/>
            <w:vAlign w:val="center"/>
          </w:tcPr>
          <w:p w14:paraId="7D4A941D" w14:textId="27B35706" w:rsidR="00B16F92" w:rsidRPr="009E1B38" w:rsidRDefault="00B16F92" w:rsidP="001614E6">
            <w:pPr>
              <w:rPr>
                <w:rFonts w:ascii="Times New Roman" w:hAnsi="Times New Roman"/>
              </w:rPr>
            </w:pPr>
            <w:r w:rsidRPr="009E1B38">
              <w:rPr>
                <w:rFonts w:ascii="Times New Roman" w:hAnsi="Times New Roman"/>
              </w:rPr>
              <w:t xml:space="preserve">Çankaya </w:t>
            </w:r>
            <w:r w:rsidR="008E229A" w:rsidRPr="009E1B38">
              <w:rPr>
                <w:rFonts w:ascii="Times New Roman" w:hAnsi="Times New Roman"/>
              </w:rPr>
              <w:t>University</w:t>
            </w:r>
          </w:p>
        </w:tc>
        <w:tc>
          <w:tcPr>
            <w:tcW w:w="1802" w:type="pct"/>
            <w:vAlign w:val="center"/>
          </w:tcPr>
          <w:p w14:paraId="7D4A941E"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22" w14:textId="77777777" w:rsidTr="00204240">
        <w:trPr>
          <w:trHeight w:val="227"/>
          <w:jc w:val="center"/>
        </w:trPr>
        <w:tc>
          <w:tcPr>
            <w:tcW w:w="3198" w:type="pct"/>
            <w:vAlign w:val="center"/>
          </w:tcPr>
          <w:p w14:paraId="7D4A9420" w14:textId="15A46BA5" w:rsidR="00B16F92" w:rsidRPr="009E1B38" w:rsidRDefault="00B16F92" w:rsidP="001614E6">
            <w:pPr>
              <w:rPr>
                <w:rFonts w:ascii="Times New Roman" w:hAnsi="Times New Roman"/>
              </w:rPr>
            </w:pPr>
            <w:r w:rsidRPr="009E1B38">
              <w:rPr>
                <w:rFonts w:ascii="Times New Roman" w:hAnsi="Times New Roman"/>
              </w:rPr>
              <w:t xml:space="preserve">İzmir Bakırçay </w:t>
            </w:r>
            <w:r w:rsidR="008E229A" w:rsidRPr="009E1B38">
              <w:rPr>
                <w:rFonts w:ascii="Times New Roman" w:hAnsi="Times New Roman"/>
              </w:rPr>
              <w:t>University</w:t>
            </w:r>
          </w:p>
        </w:tc>
        <w:tc>
          <w:tcPr>
            <w:tcW w:w="1802" w:type="pct"/>
            <w:vAlign w:val="center"/>
          </w:tcPr>
          <w:p w14:paraId="7D4A9421"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25" w14:textId="77777777" w:rsidTr="00204240">
        <w:trPr>
          <w:trHeight w:val="227"/>
          <w:jc w:val="center"/>
        </w:trPr>
        <w:tc>
          <w:tcPr>
            <w:tcW w:w="3198" w:type="pct"/>
            <w:vAlign w:val="center"/>
          </w:tcPr>
          <w:p w14:paraId="7D4A9423" w14:textId="37AE3552" w:rsidR="00B16F92" w:rsidRPr="009E1B38" w:rsidRDefault="00B16F92" w:rsidP="001614E6">
            <w:pPr>
              <w:rPr>
                <w:rFonts w:ascii="Times New Roman" w:hAnsi="Times New Roman"/>
              </w:rPr>
            </w:pPr>
            <w:r w:rsidRPr="009E1B38">
              <w:rPr>
                <w:rFonts w:ascii="Times New Roman" w:hAnsi="Times New Roman"/>
              </w:rPr>
              <w:t xml:space="preserve">Gazi </w:t>
            </w:r>
            <w:r w:rsidR="008E229A" w:rsidRPr="009E1B38">
              <w:rPr>
                <w:rFonts w:ascii="Times New Roman" w:hAnsi="Times New Roman"/>
              </w:rPr>
              <w:t>University</w:t>
            </w:r>
          </w:p>
        </w:tc>
        <w:tc>
          <w:tcPr>
            <w:tcW w:w="1802" w:type="pct"/>
            <w:vAlign w:val="center"/>
          </w:tcPr>
          <w:p w14:paraId="7D4A9424" w14:textId="77777777" w:rsidR="00B16F92" w:rsidRPr="009E1B38" w:rsidRDefault="00B16F92" w:rsidP="001614E6">
            <w:pPr>
              <w:jc w:val="center"/>
              <w:rPr>
                <w:rFonts w:ascii="Times New Roman" w:hAnsi="Times New Roman"/>
              </w:rPr>
            </w:pPr>
            <w:r w:rsidRPr="009E1B38">
              <w:rPr>
                <w:rFonts w:ascii="Times New Roman" w:hAnsi="Times New Roman"/>
              </w:rPr>
              <w:t>6</w:t>
            </w:r>
          </w:p>
        </w:tc>
      </w:tr>
      <w:tr w:rsidR="00B16F92" w:rsidRPr="009E1B38" w14:paraId="7D4A9428" w14:textId="77777777" w:rsidTr="00204240">
        <w:trPr>
          <w:trHeight w:val="227"/>
          <w:jc w:val="center"/>
        </w:trPr>
        <w:tc>
          <w:tcPr>
            <w:tcW w:w="3198" w:type="pct"/>
            <w:vAlign w:val="center"/>
          </w:tcPr>
          <w:p w14:paraId="7D4A9426" w14:textId="203942E0" w:rsidR="00B16F92" w:rsidRPr="009E1B38" w:rsidRDefault="00B16F92" w:rsidP="001614E6">
            <w:pPr>
              <w:rPr>
                <w:rFonts w:ascii="Times New Roman" w:hAnsi="Times New Roman"/>
              </w:rPr>
            </w:pPr>
            <w:r w:rsidRPr="009E1B38">
              <w:rPr>
                <w:rFonts w:ascii="Times New Roman" w:hAnsi="Times New Roman"/>
              </w:rPr>
              <w:t xml:space="preserve">Hacettepe </w:t>
            </w:r>
            <w:r w:rsidR="008E229A" w:rsidRPr="009E1B38">
              <w:rPr>
                <w:rFonts w:ascii="Times New Roman" w:hAnsi="Times New Roman"/>
              </w:rPr>
              <w:t>University</w:t>
            </w:r>
          </w:p>
        </w:tc>
        <w:tc>
          <w:tcPr>
            <w:tcW w:w="1802" w:type="pct"/>
            <w:vAlign w:val="center"/>
          </w:tcPr>
          <w:p w14:paraId="7D4A9427"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2B" w14:textId="77777777" w:rsidTr="00204240">
        <w:trPr>
          <w:trHeight w:val="227"/>
          <w:jc w:val="center"/>
        </w:trPr>
        <w:tc>
          <w:tcPr>
            <w:tcW w:w="3198" w:type="pct"/>
            <w:vAlign w:val="center"/>
          </w:tcPr>
          <w:p w14:paraId="7D4A9429" w14:textId="410F7F76" w:rsidR="00B16F92" w:rsidRPr="009E1B38" w:rsidRDefault="00B16F92" w:rsidP="001614E6">
            <w:pPr>
              <w:rPr>
                <w:rFonts w:ascii="Times New Roman" w:hAnsi="Times New Roman"/>
              </w:rPr>
            </w:pPr>
            <w:r w:rsidRPr="009E1B38">
              <w:rPr>
                <w:rFonts w:ascii="Times New Roman" w:hAnsi="Times New Roman"/>
              </w:rPr>
              <w:t xml:space="preserve">Eskişehir Teknik </w:t>
            </w:r>
            <w:r w:rsidR="008E229A" w:rsidRPr="009E1B38">
              <w:rPr>
                <w:rFonts w:ascii="Times New Roman" w:hAnsi="Times New Roman"/>
              </w:rPr>
              <w:t>University</w:t>
            </w:r>
          </w:p>
        </w:tc>
        <w:tc>
          <w:tcPr>
            <w:tcW w:w="1802" w:type="pct"/>
            <w:vAlign w:val="center"/>
          </w:tcPr>
          <w:p w14:paraId="7D4A942A" w14:textId="77777777" w:rsidR="00B16F92" w:rsidRPr="009E1B38" w:rsidRDefault="00B16F92" w:rsidP="001614E6">
            <w:pPr>
              <w:jc w:val="center"/>
              <w:rPr>
                <w:rFonts w:ascii="Times New Roman" w:hAnsi="Times New Roman"/>
              </w:rPr>
            </w:pPr>
            <w:r w:rsidRPr="009E1B38">
              <w:rPr>
                <w:rFonts w:ascii="Times New Roman" w:hAnsi="Times New Roman"/>
              </w:rPr>
              <w:t>2</w:t>
            </w:r>
          </w:p>
        </w:tc>
      </w:tr>
      <w:tr w:rsidR="00B16F92" w:rsidRPr="009E1B38" w14:paraId="7D4A942E" w14:textId="77777777" w:rsidTr="00204240">
        <w:trPr>
          <w:trHeight w:val="227"/>
          <w:jc w:val="center"/>
        </w:trPr>
        <w:tc>
          <w:tcPr>
            <w:tcW w:w="3198" w:type="pct"/>
            <w:vAlign w:val="center"/>
          </w:tcPr>
          <w:p w14:paraId="7D4A942C" w14:textId="27E7CE60" w:rsidR="00B16F92" w:rsidRPr="009E1B38" w:rsidRDefault="00B16F92" w:rsidP="001614E6">
            <w:pPr>
              <w:rPr>
                <w:rFonts w:ascii="Times New Roman" w:hAnsi="Times New Roman"/>
              </w:rPr>
            </w:pPr>
            <w:r w:rsidRPr="009E1B38">
              <w:rPr>
                <w:rFonts w:ascii="Times New Roman" w:hAnsi="Times New Roman"/>
              </w:rPr>
              <w:t xml:space="preserve">Karabük </w:t>
            </w:r>
            <w:r w:rsidR="008E229A" w:rsidRPr="009E1B38">
              <w:rPr>
                <w:rFonts w:ascii="Times New Roman" w:hAnsi="Times New Roman"/>
              </w:rPr>
              <w:t>University</w:t>
            </w:r>
          </w:p>
        </w:tc>
        <w:tc>
          <w:tcPr>
            <w:tcW w:w="1802" w:type="pct"/>
            <w:vAlign w:val="center"/>
          </w:tcPr>
          <w:p w14:paraId="7D4A942D"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31" w14:textId="77777777" w:rsidTr="00204240">
        <w:trPr>
          <w:trHeight w:val="227"/>
          <w:jc w:val="center"/>
        </w:trPr>
        <w:tc>
          <w:tcPr>
            <w:tcW w:w="3198" w:type="pct"/>
            <w:vAlign w:val="center"/>
          </w:tcPr>
          <w:p w14:paraId="7D4A942F" w14:textId="69FA4BA2" w:rsidR="00B16F92" w:rsidRPr="009E1B38" w:rsidRDefault="00B16F92" w:rsidP="001614E6">
            <w:pPr>
              <w:rPr>
                <w:rFonts w:ascii="Times New Roman" w:hAnsi="Times New Roman"/>
              </w:rPr>
            </w:pPr>
            <w:r w:rsidRPr="009E1B38">
              <w:rPr>
                <w:rFonts w:ascii="Times New Roman" w:hAnsi="Times New Roman"/>
              </w:rPr>
              <w:t xml:space="preserve">Karadeniz Teknik </w:t>
            </w:r>
            <w:r w:rsidR="008E229A" w:rsidRPr="009E1B38">
              <w:rPr>
                <w:rFonts w:ascii="Times New Roman" w:hAnsi="Times New Roman"/>
              </w:rPr>
              <w:t>University</w:t>
            </w:r>
          </w:p>
        </w:tc>
        <w:tc>
          <w:tcPr>
            <w:tcW w:w="1802" w:type="pct"/>
            <w:vAlign w:val="center"/>
          </w:tcPr>
          <w:p w14:paraId="7D4A9430"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34" w14:textId="77777777" w:rsidTr="00204240">
        <w:trPr>
          <w:trHeight w:val="227"/>
          <w:jc w:val="center"/>
        </w:trPr>
        <w:tc>
          <w:tcPr>
            <w:tcW w:w="3198" w:type="pct"/>
            <w:vAlign w:val="center"/>
          </w:tcPr>
          <w:p w14:paraId="7D4A9432" w14:textId="123A7EA7" w:rsidR="00B16F92" w:rsidRPr="009E1B38" w:rsidRDefault="00B16F92" w:rsidP="001614E6">
            <w:pPr>
              <w:rPr>
                <w:rFonts w:ascii="Times New Roman" w:hAnsi="Times New Roman"/>
              </w:rPr>
            </w:pPr>
            <w:r w:rsidRPr="009E1B38">
              <w:rPr>
                <w:rFonts w:ascii="Times New Roman" w:hAnsi="Times New Roman"/>
              </w:rPr>
              <w:t xml:space="preserve">Pamukkale </w:t>
            </w:r>
            <w:r w:rsidR="008E229A" w:rsidRPr="009E1B38">
              <w:rPr>
                <w:rFonts w:ascii="Times New Roman" w:hAnsi="Times New Roman"/>
              </w:rPr>
              <w:t>University</w:t>
            </w:r>
          </w:p>
        </w:tc>
        <w:tc>
          <w:tcPr>
            <w:tcW w:w="1802" w:type="pct"/>
            <w:vAlign w:val="center"/>
          </w:tcPr>
          <w:p w14:paraId="7D4A9433"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37" w14:textId="77777777" w:rsidTr="00204240">
        <w:trPr>
          <w:trHeight w:val="227"/>
          <w:jc w:val="center"/>
        </w:trPr>
        <w:tc>
          <w:tcPr>
            <w:tcW w:w="3198" w:type="pct"/>
            <w:vAlign w:val="center"/>
          </w:tcPr>
          <w:p w14:paraId="7D4A9435" w14:textId="66DC3A55" w:rsidR="00B16F92" w:rsidRPr="009E1B38" w:rsidRDefault="00B16F92" w:rsidP="001614E6">
            <w:pPr>
              <w:rPr>
                <w:rFonts w:ascii="Times New Roman" w:hAnsi="Times New Roman"/>
              </w:rPr>
            </w:pPr>
            <w:r w:rsidRPr="009E1B38">
              <w:rPr>
                <w:rFonts w:ascii="Times New Roman" w:hAnsi="Times New Roman"/>
              </w:rPr>
              <w:t xml:space="preserve">KTO Karatay </w:t>
            </w:r>
            <w:r w:rsidR="008E229A" w:rsidRPr="009E1B38">
              <w:rPr>
                <w:rFonts w:ascii="Times New Roman" w:hAnsi="Times New Roman"/>
              </w:rPr>
              <w:t>University</w:t>
            </w:r>
          </w:p>
        </w:tc>
        <w:tc>
          <w:tcPr>
            <w:tcW w:w="1802" w:type="pct"/>
            <w:vAlign w:val="center"/>
          </w:tcPr>
          <w:p w14:paraId="7D4A9436" w14:textId="77777777" w:rsidR="00B16F92" w:rsidRPr="009E1B38" w:rsidRDefault="00B16F92" w:rsidP="001614E6">
            <w:pPr>
              <w:jc w:val="center"/>
              <w:rPr>
                <w:rFonts w:ascii="Times New Roman" w:hAnsi="Times New Roman"/>
              </w:rPr>
            </w:pPr>
            <w:r w:rsidRPr="009E1B38">
              <w:rPr>
                <w:rFonts w:ascii="Times New Roman" w:hAnsi="Times New Roman"/>
              </w:rPr>
              <w:t>2</w:t>
            </w:r>
          </w:p>
        </w:tc>
      </w:tr>
      <w:tr w:rsidR="00B16F92" w:rsidRPr="009E1B38" w14:paraId="7D4A943A" w14:textId="77777777" w:rsidTr="00204240">
        <w:trPr>
          <w:trHeight w:val="227"/>
          <w:jc w:val="center"/>
        </w:trPr>
        <w:tc>
          <w:tcPr>
            <w:tcW w:w="3198" w:type="pct"/>
            <w:vAlign w:val="center"/>
          </w:tcPr>
          <w:p w14:paraId="7D4A9438" w14:textId="03473577" w:rsidR="00B16F92" w:rsidRPr="009E1B38" w:rsidRDefault="00B16F92" w:rsidP="001614E6">
            <w:pPr>
              <w:rPr>
                <w:rFonts w:ascii="Times New Roman" w:hAnsi="Times New Roman"/>
              </w:rPr>
            </w:pPr>
            <w:r w:rsidRPr="009E1B38">
              <w:rPr>
                <w:rFonts w:ascii="Times New Roman" w:hAnsi="Times New Roman"/>
              </w:rPr>
              <w:t xml:space="preserve">Necmettin Erbakan </w:t>
            </w:r>
            <w:r w:rsidR="008E229A" w:rsidRPr="009E1B38">
              <w:rPr>
                <w:rFonts w:ascii="Times New Roman" w:hAnsi="Times New Roman"/>
              </w:rPr>
              <w:t>University</w:t>
            </w:r>
          </w:p>
        </w:tc>
        <w:tc>
          <w:tcPr>
            <w:tcW w:w="1802" w:type="pct"/>
            <w:vAlign w:val="center"/>
          </w:tcPr>
          <w:p w14:paraId="7D4A9439"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3D" w14:textId="77777777" w:rsidTr="00204240">
        <w:trPr>
          <w:trHeight w:val="227"/>
          <w:jc w:val="center"/>
        </w:trPr>
        <w:tc>
          <w:tcPr>
            <w:tcW w:w="3198" w:type="pct"/>
            <w:vAlign w:val="center"/>
          </w:tcPr>
          <w:p w14:paraId="7D4A943B" w14:textId="2912011E" w:rsidR="00B16F92" w:rsidRPr="009E1B38" w:rsidRDefault="00B16F92" w:rsidP="001614E6">
            <w:pPr>
              <w:rPr>
                <w:rFonts w:ascii="Times New Roman" w:hAnsi="Times New Roman"/>
              </w:rPr>
            </w:pPr>
            <w:r w:rsidRPr="009E1B38">
              <w:rPr>
                <w:rFonts w:ascii="Times New Roman" w:hAnsi="Times New Roman"/>
              </w:rPr>
              <w:t xml:space="preserve">Orta Doğu Teknik </w:t>
            </w:r>
            <w:r w:rsidR="008E229A" w:rsidRPr="009E1B38">
              <w:rPr>
                <w:rFonts w:ascii="Times New Roman" w:hAnsi="Times New Roman"/>
              </w:rPr>
              <w:t>University</w:t>
            </w:r>
          </w:p>
        </w:tc>
        <w:tc>
          <w:tcPr>
            <w:tcW w:w="1802" w:type="pct"/>
            <w:vAlign w:val="center"/>
          </w:tcPr>
          <w:p w14:paraId="7D4A943C" w14:textId="77777777" w:rsidR="00B16F92" w:rsidRPr="009E1B38" w:rsidRDefault="00B16F92" w:rsidP="001614E6">
            <w:pPr>
              <w:jc w:val="center"/>
              <w:rPr>
                <w:rFonts w:ascii="Times New Roman" w:hAnsi="Times New Roman"/>
              </w:rPr>
            </w:pPr>
            <w:r w:rsidRPr="009E1B38">
              <w:rPr>
                <w:rFonts w:ascii="Times New Roman" w:hAnsi="Times New Roman"/>
              </w:rPr>
              <w:t>5</w:t>
            </w:r>
          </w:p>
        </w:tc>
      </w:tr>
      <w:tr w:rsidR="00B16F92" w:rsidRPr="009E1B38" w14:paraId="7D4A9440" w14:textId="77777777" w:rsidTr="00204240">
        <w:trPr>
          <w:trHeight w:val="227"/>
          <w:jc w:val="center"/>
        </w:trPr>
        <w:tc>
          <w:tcPr>
            <w:tcW w:w="3198" w:type="pct"/>
            <w:vAlign w:val="center"/>
          </w:tcPr>
          <w:p w14:paraId="7D4A943E" w14:textId="2382B6B0" w:rsidR="00B16F92" w:rsidRPr="009E1B38" w:rsidRDefault="00B16F92" w:rsidP="001614E6">
            <w:pPr>
              <w:rPr>
                <w:rFonts w:ascii="Times New Roman" w:hAnsi="Times New Roman"/>
              </w:rPr>
            </w:pPr>
            <w:r w:rsidRPr="009E1B38">
              <w:rPr>
                <w:rFonts w:ascii="Times New Roman" w:hAnsi="Times New Roman"/>
              </w:rPr>
              <w:t xml:space="preserve">TED </w:t>
            </w:r>
            <w:r w:rsidR="008E229A" w:rsidRPr="009E1B38">
              <w:rPr>
                <w:rFonts w:ascii="Times New Roman" w:hAnsi="Times New Roman"/>
              </w:rPr>
              <w:t>University</w:t>
            </w:r>
          </w:p>
        </w:tc>
        <w:tc>
          <w:tcPr>
            <w:tcW w:w="1802" w:type="pct"/>
            <w:vAlign w:val="center"/>
          </w:tcPr>
          <w:p w14:paraId="7D4A943F"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43" w14:textId="77777777" w:rsidTr="00204240">
        <w:trPr>
          <w:trHeight w:val="227"/>
          <w:jc w:val="center"/>
        </w:trPr>
        <w:tc>
          <w:tcPr>
            <w:tcW w:w="3198" w:type="pct"/>
            <w:vAlign w:val="center"/>
          </w:tcPr>
          <w:p w14:paraId="7D4A9441" w14:textId="7F2F35F8" w:rsidR="00B16F92" w:rsidRPr="009E1B38" w:rsidRDefault="00B16F92" w:rsidP="001614E6">
            <w:pPr>
              <w:rPr>
                <w:rFonts w:ascii="Times New Roman" w:hAnsi="Times New Roman"/>
              </w:rPr>
            </w:pPr>
            <w:r w:rsidRPr="009E1B38">
              <w:rPr>
                <w:rFonts w:ascii="Times New Roman" w:hAnsi="Times New Roman"/>
              </w:rPr>
              <w:t xml:space="preserve">Sakarya </w:t>
            </w:r>
            <w:r w:rsidR="008E229A" w:rsidRPr="009E1B38">
              <w:rPr>
                <w:rFonts w:ascii="Times New Roman" w:hAnsi="Times New Roman"/>
              </w:rPr>
              <w:t>University</w:t>
            </w:r>
          </w:p>
        </w:tc>
        <w:tc>
          <w:tcPr>
            <w:tcW w:w="1802" w:type="pct"/>
            <w:vAlign w:val="center"/>
          </w:tcPr>
          <w:p w14:paraId="7D4A9442"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46" w14:textId="77777777" w:rsidTr="00204240">
        <w:trPr>
          <w:trHeight w:val="227"/>
          <w:jc w:val="center"/>
        </w:trPr>
        <w:tc>
          <w:tcPr>
            <w:tcW w:w="3198" w:type="pct"/>
            <w:vAlign w:val="center"/>
          </w:tcPr>
          <w:p w14:paraId="7D4A9444" w14:textId="01A6C306" w:rsidR="00B16F92" w:rsidRPr="009E1B38" w:rsidRDefault="00B16F92" w:rsidP="001614E6">
            <w:pPr>
              <w:rPr>
                <w:rFonts w:ascii="Times New Roman" w:hAnsi="Times New Roman"/>
              </w:rPr>
            </w:pPr>
            <w:r w:rsidRPr="009E1B38">
              <w:rPr>
                <w:rFonts w:ascii="Times New Roman" w:hAnsi="Times New Roman"/>
              </w:rPr>
              <w:t xml:space="preserve">Zonguldak Bülent Ecevit </w:t>
            </w:r>
            <w:r w:rsidR="008E229A" w:rsidRPr="009E1B38">
              <w:rPr>
                <w:rFonts w:ascii="Times New Roman" w:hAnsi="Times New Roman"/>
              </w:rPr>
              <w:t>University</w:t>
            </w:r>
          </w:p>
        </w:tc>
        <w:tc>
          <w:tcPr>
            <w:tcW w:w="1802" w:type="pct"/>
            <w:vAlign w:val="center"/>
          </w:tcPr>
          <w:p w14:paraId="7D4A9445"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49" w14:textId="77777777" w:rsidTr="00204240">
        <w:trPr>
          <w:trHeight w:val="227"/>
          <w:jc w:val="center"/>
        </w:trPr>
        <w:tc>
          <w:tcPr>
            <w:tcW w:w="3198" w:type="pct"/>
            <w:vAlign w:val="center"/>
          </w:tcPr>
          <w:p w14:paraId="7D4A9447" w14:textId="52D28B93" w:rsidR="00B16F92" w:rsidRPr="009E1B38" w:rsidRDefault="00B16F92" w:rsidP="001614E6">
            <w:pPr>
              <w:rPr>
                <w:rFonts w:ascii="Times New Roman" w:hAnsi="Times New Roman"/>
              </w:rPr>
            </w:pPr>
            <w:r w:rsidRPr="009E1B38">
              <w:rPr>
                <w:rFonts w:ascii="Times New Roman" w:hAnsi="Times New Roman"/>
              </w:rPr>
              <w:t xml:space="preserve">Yıldırım Beyazıt </w:t>
            </w:r>
            <w:r w:rsidR="008E229A" w:rsidRPr="009E1B38">
              <w:rPr>
                <w:rFonts w:ascii="Times New Roman" w:hAnsi="Times New Roman"/>
              </w:rPr>
              <w:t>University</w:t>
            </w:r>
          </w:p>
        </w:tc>
        <w:tc>
          <w:tcPr>
            <w:tcW w:w="1802" w:type="pct"/>
            <w:vAlign w:val="center"/>
          </w:tcPr>
          <w:p w14:paraId="7D4A9448"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4C" w14:textId="77777777" w:rsidTr="00204240">
        <w:trPr>
          <w:trHeight w:val="227"/>
          <w:jc w:val="center"/>
        </w:trPr>
        <w:tc>
          <w:tcPr>
            <w:tcW w:w="3198" w:type="pct"/>
            <w:vAlign w:val="center"/>
          </w:tcPr>
          <w:p w14:paraId="7D4A944A" w14:textId="22F540AF" w:rsidR="00B16F92" w:rsidRPr="009E1B38" w:rsidRDefault="00B16F92" w:rsidP="001614E6">
            <w:pPr>
              <w:rPr>
                <w:rFonts w:ascii="Times New Roman" w:hAnsi="Times New Roman"/>
              </w:rPr>
            </w:pPr>
            <w:r w:rsidRPr="009E1B38">
              <w:rPr>
                <w:rFonts w:ascii="Times New Roman" w:hAnsi="Times New Roman"/>
              </w:rPr>
              <w:t xml:space="preserve">19 Mayıs </w:t>
            </w:r>
            <w:r w:rsidR="008E229A" w:rsidRPr="009E1B38">
              <w:rPr>
                <w:rFonts w:ascii="Times New Roman" w:hAnsi="Times New Roman"/>
              </w:rPr>
              <w:t>University</w:t>
            </w:r>
          </w:p>
        </w:tc>
        <w:tc>
          <w:tcPr>
            <w:tcW w:w="1802" w:type="pct"/>
            <w:vAlign w:val="center"/>
          </w:tcPr>
          <w:p w14:paraId="7D4A944B"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4F" w14:textId="77777777" w:rsidTr="00204240">
        <w:trPr>
          <w:trHeight w:val="227"/>
          <w:jc w:val="center"/>
        </w:trPr>
        <w:tc>
          <w:tcPr>
            <w:tcW w:w="3198" w:type="pct"/>
            <w:vAlign w:val="center"/>
          </w:tcPr>
          <w:p w14:paraId="7D4A944D" w14:textId="2F0066F5" w:rsidR="00B16F92" w:rsidRPr="009E1B38" w:rsidRDefault="00B16F92" w:rsidP="001614E6">
            <w:pPr>
              <w:rPr>
                <w:rFonts w:ascii="Times New Roman" w:hAnsi="Times New Roman"/>
              </w:rPr>
            </w:pPr>
            <w:r w:rsidRPr="009E1B38">
              <w:rPr>
                <w:rFonts w:ascii="Times New Roman" w:hAnsi="Times New Roman"/>
              </w:rPr>
              <w:t xml:space="preserve">Batman </w:t>
            </w:r>
            <w:r w:rsidR="008E229A" w:rsidRPr="009E1B38">
              <w:rPr>
                <w:rFonts w:ascii="Times New Roman" w:hAnsi="Times New Roman"/>
              </w:rPr>
              <w:t>University</w:t>
            </w:r>
          </w:p>
        </w:tc>
        <w:tc>
          <w:tcPr>
            <w:tcW w:w="1802" w:type="pct"/>
            <w:vAlign w:val="center"/>
          </w:tcPr>
          <w:p w14:paraId="7D4A944E"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52" w14:textId="77777777" w:rsidTr="00204240">
        <w:trPr>
          <w:trHeight w:val="227"/>
          <w:jc w:val="center"/>
        </w:trPr>
        <w:tc>
          <w:tcPr>
            <w:tcW w:w="3198" w:type="pct"/>
            <w:vAlign w:val="center"/>
          </w:tcPr>
          <w:p w14:paraId="7D4A9450" w14:textId="7994B7CE" w:rsidR="00B16F92" w:rsidRPr="009E1B38" w:rsidRDefault="00B16F92" w:rsidP="001614E6">
            <w:pPr>
              <w:rPr>
                <w:rFonts w:ascii="Times New Roman" w:hAnsi="Times New Roman"/>
              </w:rPr>
            </w:pPr>
            <w:r w:rsidRPr="009E1B38">
              <w:rPr>
                <w:rFonts w:ascii="Times New Roman" w:hAnsi="Times New Roman"/>
              </w:rPr>
              <w:t xml:space="preserve">Yıldız Teknik </w:t>
            </w:r>
            <w:r w:rsidR="008E229A" w:rsidRPr="009E1B38">
              <w:rPr>
                <w:rFonts w:ascii="Times New Roman" w:hAnsi="Times New Roman"/>
              </w:rPr>
              <w:t>University</w:t>
            </w:r>
          </w:p>
        </w:tc>
        <w:tc>
          <w:tcPr>
            <w:tcW w:w="1802" w:type="pct"/>
            <w:vAlign w:val="center"/>
          </w:tcPr>
          <w:p w14:paraId="7D4A9451"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55" w14:textId="77777777" w:rsidTr="00204240">
        <w:trPr>
          <w:trHeight w:val="227"/>
          <w:jc w:val="center"/>
        </w:trPr>
        <w:tc>
          <w:tcPr>
            <w:tcW w:w="3198" w:type="pct"/>
            <w:vAlign w:val="center"/>
          </w:tcPr>
          <w:p w14:paraId="7D4A9453" w14:textId="493A4E65" w:rsidR="00B16F92" w:rsidRPr="009E1B38" w:rsidRDefault="00B16F92" w:rsidP="001614E6">
            <w:pPr>
              <w:rPr>
                <w:rFonts w:ascii="Times New Roman" w:hAnsi="Times New Roman"/>
              </w:rPr>
            </w:pPr>
            <w:r w:rsidRPr="009E1B38">
              <w:rPr>
                <w:rFonts w:ascii="Times New Roman" w:hAnsi="Times New Roman"/>
              </w:rPr>
              <w:t xml:space="preserve">Muğla Sıtkı Koçman </w:t>
            </w:r>
            <w:r w:rsidR="008E229A" w:rsidRPr="009E1B38">
              <w:rPr>
                <w:rFonts w:ascii="Times New Roman" w:hAnsi="Times New Roman"/>
              </w:rPr>
              <w:t>University</w:t>
            </w:r>
          </w:p>
        </w:tc>
        <w:tc>
          <w:tcPr>
            <w:tcW w:w="1802" w:type="pct"/>
            <w:vAlign w:val="center"/>
          </w:tcPr>
          <w:p w14:paraId="7D4A9454" w14:textId="77777777" w:rsidR="00B16F92" w:rsidRPr="009E1B38" w:rsidRDefault="00B16F92" w:rsidP="001614E6">
            <w:pPr>
              <w:jc w:val="center"/>
              <w:rPr>
                <w:rFonts w:ascii="Times New Roman" w:hAnsi="Times New Roman"/>
              </w:rPr>
            </w:pPr>
            <w:r w:rsidRPr="009E1B38">
              <w:rPr>
                <w:rFonts w:ascii="Times New Roman" w:hAnsi="Times New Roman"/>
              </w:rPr>
              <w:t>1</w:t>
            </w:r>
          </w:p>
        </w:tc>
      </w:tr>
      <w:tr w:rsidR="00B16F92" w:rsidRPr="009E1B38" w14:paraId="7D4A9458" w14:textId="77777777" w:rsidTr="00204240">
        <w:trPr>
          <w:trHeight w:val="227"/>
          <w:jc w:val="center"/>
        </w:trPr>
        <w:tc>
          <w:tcPr>
            <w:tcW w:w="3198" w:type="pct"/>
            <w:vAlign w:val="center"/>
          </w:tcPr>
          <w:p w14:paraId="7D4A9456" w14:textId="1366C965" w:rsidR="00B16F92" w:rsidRPr="009E1B38" w:rsidRDefault="00B16F92" w:rsidP="001614E6">
            <w:pPr>
              <w:rPr>
                <w:rFonts w:ascii="Times New Roman" w:hAnsi="Times New Roman"/>
                <w:b/>
                <w:sz w:val="24"/>
                <w:szCs w:val="24"/>
              </w:rPr>
            </w:pPr>
            <w:r w:rsidRPr="009E1B38">
              <w:rPr>
                <w:rFonts w:ascii="Times New Roman" w:hAnsi="Times New Roman"/>
                <w:b/>
                <w:sz w:val="24"/>
                <w:szCs w:val="24"/>
              </w:rPr>
              <w:t>TO</w:t>
            </w:r>
            <w:r w:rsidR="008E229A" w:rsidRPr="009E1B38">
              <w:rPr>
                <w:rFonts w:ascii="Times New Roman" w:hAnsi="Times New Roman"/>
                <w:b/>
                <w:sz w:val="24"/>
                <w:szCs w:val="24"/>
              </w:rPr>
              <w:t>TAL</w:t>
            </w:r>
          </w:p>
        </w:tc>
        <w:tc>
          <w:tcPr>
            <w:tcW w:w="1802" w:type="pct"/>
            <w:vAlign w:val="center"/>
          </w:tcPr>
          <w:p w14:paraId="7D4A9457" w14:textId="77777777" w:rsidR="00B16F92" w:rsidRPr="009E1B38" w:rsidRDefault="00B16F92" w:rsidP="001614E6">
            <w:pPr>
              <w:jc w:val="center"/>
              <w:rPr>
                <w:rFonts w:ascii="Times New Roman" w:hAnsi="Times New Roman"/>
                <w:b/>
              </w:rPr>
            </w:pPr>
            <w:r w:rsidRPr="009E1B38">
              <w:rPr>
                <w:rFonts w:ascii="Times New Roman" w:hAnsi="Times New Roman"/>
                <w:b/>
              </w:rPr>
              <w:t>42</w:t>
            </w:r>
          </w:p>
        </w:tc>
      </w:tr>
    </w:tbl>
    <w:p w14:paraId="7D4A9459" w14:textId="77777777" w:rsidR="007313A7" w:rsidRPr="009E1B38" w:rsidRDefault="007313A7" w:rsidP="001853AE">
      <w:pPr>
        <w:rPr>
          <w:rFonts w:ascii="Times New Roman" w:hAnsi="Times New Roman"/>
        </w:rPr>
      </w:pPr>
    </w:p>
    <w:p w14:paraId="7D4A945A" w14:textId="25431102" w:rsidR="00760BA0" w:rsidRPr="009E1B38" w:rsidRDefault="00B0774B" w:rsidP="003C5E4D">
      <w:pPr>
        <w:pStyle w:val="Balk1"/>
        <w:numPr>
          <w:ilvl w:val="0"/>
          <w:numId w:val="51"/>
        </w:numPr>
        <w:rPr>
          <w:rFonts w:cs="Times New Roman"/>
          <w:szCs w:val="24"/>
        </w:rPr>
      </w:pPr>
      <w:bookmarkStart w:id="395" w:name="_Toc113615417"/>
      <w:r w:rsidRPr="009E1B38">
        <w:rPr>
          <w:rFonts w:cs="Times New Roman"/>
          <w:szCs w:val="24"/>
        </w:rPr>
        <w:t>FINANCIAL INFORMATION</w:t>
      </w:r>
      <w:bookmarkEnd w:id="395"/>
    </w:p>
    <w:p w14:paraId="7D4A945B" w14:textId="77777777" w:rsidR="00760BA0" w:rsidRPr="009E1B38" w:rsidRDefault="00760BA0" w:rsidP="00760BA0">
      <w:pPr>
        <w:rPr>
          <w:rFonts w:ascii="Times New Roman" w:hAnsi="Times New Roman"/>
        </w:rPr>
      </w:pPr>
    </w:p>
    <w:p w14:paraId="410E48B2" w14:textId="77777777" w:rsidR="00B0774B" w:rsidRPr="009E1B38" w:rsidRDefault="00B0774B" w:rsidP="00B0774B">
      <w:pPr>
        <w:rPr>
          <w:rFonts w:ascii="Times New Roman" w:hAnsi="Times New Roman"/>
          <w:b/>
        </w:rPr>
      </w:pPr>
      <w:r w:rsidRPr="009E1B38">
        <w:rPr>
          <w:rFonts w:ascii="Times New Roman" w:hAnsi="Times New Roman"/>
        </w:rPr>
        <w:t>The income of the Authority constitutes the budget of the Authority. The income of the Authority should meet the expenses. The income surplus should be transferred to the general budget by the end of March of the following year. In this context, income surpluses transferred from Authorial resources to Ministry of Finance to be registered as income to general budget, according to 4628 and 5018 numbered Laws, have shown in the table 14.1 ;</w:t>
      </w:r>
    </w:p>
    <w:p w14:paraId="355D3B62" w14:textId="77777777" w:rsidR="008E722A" w:rsidRPr="009E1B38" w:rsidRDefault="008E722A" w:rsidP="00B244EB">
      <w:pPr>
        <w:spacing w:after="0"/>
        <w:rPr>
          <w:rFonts w:ascii="Times New Roman" w:hAnsi="Times New Roman"/>
        </w:rPr>
      </w:pPr>
    </w:p>
    <w:p w14:paraId="4A7615E1" w14:textId="77777777" w:rsidR="008E722A" w:rsidRPr="009E1B38" w:rsidRDefault="008E722A" w:rsidP="00B244EB">
      <w:pPr>
        <w:spacing w:after="0"/>
        <w:rPr>
          <w:rFonts w:ascii="Times New Roman" w:hAnsi="Times New Roman"/>
        </w:rPr>
      </w:pPr>
    </w:p>
    <w:p w14:paraId="206BB190" w14:textId="77777777" w:rsidR="008E722A" w:rsidRPr="009E1B38" w:rsidRDefault="008E722A" w:rsidP="00B244EB">
      <w:pPr>
        <w:spacing w:after="0"/>
        <w:rPr>
          <w:rFonts w:ascii="Times New Roman" w:hAnsi="Times New Roman"/>
        </w:rPr>
      </w:pPr>
    </w:p>
    <w:p w14:paraId="68E84E4F" w14:textId="77777777" w:rsidR="008E722A" w:rsidRPr="009E1B38" w:rsidRDefault="008E722A" w:rsidP="00B244EB">
      <w:pPr>
        <w:spacing w:after="0"/>
        <w:rPr>
          <w:rFonts w:ascii="Times New Roman" w:hAnsi="Times New Roman"/>
        </w:rPr>
      </w:pPr>
    </w:p>
    <w:p w14:paraId="650EE1D3" w14:textId="77777777" w:rsidR="008E722A" w:rsidRPr="009E1B38" w:rsidRDefault="008E722A" w:rsidP="00B244EB">
      <w:pPr>
        <w:spacing w:after="0"/>
        <w:rPr>
          <w:rFonts w:ascii="Times New Roman" w:hAnsi="Times New Roman"/>
        </w:rPr>
      </w:pPr>
    </w:p>
    <w:p w14:paraId="629F5383" w14:textId="77777777" w:rsidR="0030645C" w:rsidRPr="009E1B38" w:rsidRDefault="0030645C" w:rsidP="00B244EB">
      <w:pPr>
        <w:spacing w:after="0"/>
        <w:rPr>
          <w:rFonts w:ascii="Times New Roman" w:hAnsi="Times New Roman"/>
        </w:rPr>
      </w:pPr>
    </w:p>
    <w:p w14:paraId="7D4A945D" w14:textId="1C046A3A" w:rsidR="00B244EB" w:rsidRPr="009E1B38" w:rsidRDefault="0082470D" w:rsidP="002F3B01">
      <w:pPr>
        <w:pStyle w:val="Balk5"/>
        <w:jc w:val="center"/>
        <w:rPr>
          <w:rFonts w:ascii="Times New Roman" w:hAnsi="Times New Roman" w:cs="Times New Roman"/>
        </w:rPr>
      </w:pPr>
      <w:bookmarkStart w:id="396" w:name="_Toc107499579"/>
      <w:r w:rsidRPr="009E1B38">
        <w:rPr>
          <w:rFonts w:ascii="Times New Roman" w:hAnsi="Times New Roman" w:cs="Times New Roman"/>
        </w:rPr>
        <w:t>Table</w:t>
      </w:r>
      <w:r w:rsidR="00B244EB" w:rsidRPr="009E1B38">
        <w:rPr>
          <w:rFonts w:ascii="Times New Roman" w:hAnsi="Times New Roman" w:cs="Times New Roman"/>
        </w:rPr>
        <w:t xml:space="preserve"> </w:t>
      </w:r>
      <w:r w:rsidR="008F5245" w:rsidRPr="009E1B38">
        <w:rPr>
          <w:rFonts w:ascii="Times New Roman" w:hAnsi="Times New Roman" w:cs="Times New Roman"/>
        </w:rPr>
        <w:t>1</w:t>
      </w:r>
      <w:r w:rsidR="00456863" w:rsidRPr="009E1B38">
        <w:rPr>
          <w:rFonts w:ascii="Times New Roman" w:hAnsi="Times New Roman" w:cs="Times New Roman"/>
        </w:rPr>
        <w:t>4</w:t>
      </w:r>
      <w:r w:rsidR="008F5245" w:rsidRPr="009E1B38">
        <w:rPr>
          <w:rFonts w:ascii="Times New Roman" w:hAnsi="Times New Roman" w:cs="Times New Roman"/>
        </w:rPr>
        <w:t>.1</w:t>
      </w:r>
      <w:r w:rsidR="00B244EB" w:rsidRPr="009E1B38">
        <w:rPr>
          <w:rFonts w:ascii="Times New Roman" w:hAnsi="Times New Roman" w:cs="Times New Roman"/>
        </w:rPr>
        <w:t xml:space="preserve">: </w:t>
      </w:r>
      <w:r w:rsidR="009C46BB" w:rsidRPr="009E1B38">
        <w:rPr>
          <w:rFonts w:ascii="Times New Roman" w:hAnsi="Times New Roman" w:cs="Times New Roman"/>
        </w:rPr>
        <w:t>Income Surplus Transferred to Ministry of Finance by Years (TL)</w:t>
      </w:r>
      <w:bookmarkEnd w:id="396"/>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64"/>
        <w:gridCol w:w="2409"/>
        <w:gridCol w:w="2409"/>
        <w:gridCol w:w="2479"/>
      </w:tblGrid>
      <w:tr w:rsidR="009F6F06" w:rsidRPr="009E1B38" w14:paraId="7D4A945F" w14:textId="77777777" w:rsidTr="00B16F92">
        <w:trPr>
          <w:trHeight w:val="397"/>
          <w:jc w:val="right"/>
        </w:trPr>
        <w:tc>
          <w:tcPr>
            <w:tcW w:w="5000" w:type="pct"/>
            <w:gridSpan w:val="4"/>
            <w:shd w:val="clear" w:color="000000" w:fill="6E9ECA"/>
            <w:vAlign w:val="center"/>
            <w:hideMark/>
          </w:tcPr>
          <w:p w14:paraId="7D4A945E" w14:textId="7689E94C" w:rsidR="009F6F06" w:rsidRPr="009E1B38" w:rsidRDefault="00FF6A63" w:rsidP="000F0D68">
            <w:pPr>
              <w:spacing w:after="0" w:line="240" w:lineRule="auto"/>
              <w:jc w:val="center"/>
              <w:rPr>
                <w:rFonts w:ascii="Times New Roman" w:eastAsia="Times New Roman" w:hAnsi="Times New Roman"/>
                <w:b/>
                <w:color w:val="FFFFFF" w:themeColor="background1"/>
                <w:sz w:val="24"/>
                <w:szCs w:val="24"/>
                <w:lang w:eastAsia="tr-TR"/>
              </w:rPr>
            </w:pPr>
            <w:r w:rsidRPr="009E1B38">
              <w:rPr>
                <w:rFonts w:ascii="Times New Roman" w:eastAsia="Times New Roman" w:hAnsi="Times New Roman"/>
                <w:b/>
                <w:color w:val="FFFFFF" w:themeColor="background1"/>
                <w:sz w:val="24"/>
                <w:szCs w:val="24"/>
                <w:lang w:eastAsia="tr-TR"/>
              </w:rPr>
              <w:t>Income Surplus Transferred to Ministry of Finance by Years (TL)</w:t>
            </w:r>
          </w:p>
        </w:tc>
      </w:tr>
      <w:tr w:rsidR="009F6F06" w:rsidRPr="009E1B38" w14:paraId="7D4A9464" w14:textId="77777777" w:rsidTr="00B16F92">
        <w:trPr>
          <w:trHeight w:val="509"/>
          <w:jc w:val="right"/>
        </w:trPr>
        <w:tc>
          <w:tcPr>
            <w:tcW w:w="1374" w:type="pct"/>
            <w:vMerge w:val="restart"/>
            <w:shd w:val="clear" w:color="000000" w:fill="6E9ECA"/>
            <w:vAlign w:val="center"/>
            <w:hideMark/>
          </w:tcPr>
          <w:p w14:paraId="7D4A9460" w14:textId="58F841A6" w:rsidR="009F6F06" w:rsidRPr="009E1B38" w:rsidRDefault="00B331BD" w:rsidP="000F0D68">
            <w:pPr>
              <w:spacing w:after="0" w:line="240" w:lineRule="auto"/>
              <w:jc w:val="center"/>
              <w:rPr>
                <w:rFonts w:ascii="Times New Roman" w:eastAsia="Times New Roman" w:hAnsi="Times New Roman"/>
                <w:b/>
                <w:color w:val="FFFFFF" w:themeColor="background1"/>
                <w:sz w:val="24"/>
                <w:szCs w:val="24"/>
                <w:lang w:eastAsia="tr-TR"/>
              </w:rPr>
            </w:pPr>
            <w:r w:rsidRPr="009E1B38">
              <w:rPr>
                <w:rFonts w:ascii="Times New Roman" w:eastAsia="Times New Roman" w:hAnsi="Times New Roman"/>
                <w:b/>
                <w:color w:val="FFFFFF" w:themeColor="background1"/>
                <w:sz w:val="24"/>
                <w:szCs w:val="24"/>
                <w:lang w:eastAsia="tr-TR"/>
              </w:rPr>
              <w:t>Years</w:t>
            </w:r>
          </w:p>
        </w:tc>
        <w:tc>
          <w:tcPr>
            <w:tcW w:w="1197" w:type="pct"/>
            <w:vMerge w:val="restart"/>
            <w:shd w:val="clear" w:color="000000" w:fill="6E9ECA"/>
            <w:vAlign w:val="center"/>
            <w:hideMark/>
          </w:tcPr>
          <w:p w14:paraId="7D4A9461" w14:textId="324E037F" w:rsidR="009F6F06" w:rsidRPr="009E1B38" w:rsidRDefault="00B331BD" w:rsidP="000F0D68">
            <w:pPr>
              <w:spacing w:after="0" w:line="240" w:lineRule="auto"/>
              <w:jc w:val="center"/>
              <w:rPr>
                <w:rFonts w:ascii="Times New Roman" w:eastAsia="Times New Roman" w:hAnsi="Times New Roman"/>
                <w:b/>
                <w:color w:val="FFFFFF" w:themeColor="background1"/>
                <w:sz w:val="24"/>
                <w:szCs w:val="24"/>
                <w:lang w:eastAsia="tr-TR"/>
              </w:rPr>
            </w:pPr>
            <w:r w:rsidRPr="009E1B38">
              <w:rPr>
                <w:rFonts w:ascii="Times New Roman" w:eastAsia="Times New Roman" w:hAnsi="Times New Roman"/>
                <w:b/>
                <w:color w:val="FFFFFF" w:themeColor="background1"/>
                <w:sz w:val="24"/>
                <w:szCs w:val="24"/>
                <w:lang w:eastAsia="tr-TR"/>
              </w:rPr>
              <w:t>Within the Year (Transferred Every Quarterly until the Fifteenth of the Following Month)</w:t>
            </w:r>
          </w:p>
        </w:tc>
        <w:tc>
          <w:tcPr>
            <w:tcW w:w="1197" w:type="pct"/>
            <w:vMerge w:val="restart"/>
            <w:shd w:val="clear" w:color="000000" w:fill="6E9ECA"/>
            <w:vAlign w:val="center"/>
            <w:hideMark/>
          </w:tcPr>
          <w:p w14:paraId="7D4A9462" w14:textId="026E457C" w:rsidR="009F6F06" w:rsidRPr="009E1B38" w:rsidRDefault="00B331BD" w:rsidP="000F0D68">
            <w:pPr>
              <w:spacing w:after="0" w:line="240" w:lineRule="auto"/>
              <w:jc w:val="center"/>
              <w:rPr>
                <w:rFonts w:ascii="Times New Roman" w:eastAsia="Times New Roman" w:hAnsi="Times New Roman"/>
                <w:b/>
                <w:color w:val="FFFFFF" w:themeColor="background1"/>
                <w:sz w:val="24"/>
                <w:szCs w:val="24"/>
                <w:lang w:eastAsia="tr-TR"/>
              </w:rPr>
            </w:pPr>
            <w:r w:rsidRPr="009E1B38">
              <w:rPr>
                <w:rFonts w:ascii="Times New Roman" w:eastAsia="Times New Roman" w:hAnsi="Times New Roman"/>
                <w:b/>
                <w:color w:val="FFFFFF" w:themeColor="background1"/>
                <w:sz w:val="24"/>
                <w:szCs w:val="24"/>
                <w:lang w:eastAsia="tr-TR"/>
              </w:rPr>
              <w:t>At the End of Year (Transferred to End of March of the Following Year)</w:t>
            </w:r>
          </w:p>
        </w:tc>
        <w:tc>
          <w:tcPr>
            <w:tcW w:w="1232" w:type="pct"/>
            <w:vMerge w:val="restart"/>
            <w:shd w:val="clear" w:color="000000" w:fill="6E9ECA"/>
            <w:vAlign w:val="center"/>
            <w:hideMark/>
          </w:tcPr>
          <w:p w14:paraId="7D4A9463" w14:textId="6509CE7E" w:rsidR="009F6F06" w:rsidRPr="009E1B38" w:rsidRDefault="00B331BD" w:rsidP="000F0D68">
            <w:pPr>
              <w:spacing w:after="0" w:line="240" w:lineRule="auto"/>
              <w:jc w:val="center"/>
              <w:rPr>
                <w:rFonts w:ascii="Times New Roman" w:eastAsia="Times New Roman" w:hAnsi="Times New Roman"/>
                <w:b/>
                <w:color w:val="FFFFFF" w:themeColor="background1"/>
                <w:sz w:val="24"/>
                <w:szCs w:val="24"/>
                <w:lang w:eastAsia="tr-TR"/>
              </w:rPr>
            </w:pPr>
            <w:r w:rsidRPr="009E1B38">
              <w:rPr>
                <w:rFonts w:ascii="Times New Roman" w:eastAsia="Times New Roman" w:hAnsi="Times New Roman"/>
                <w:b/>
                <w:color w:val="FFFFFF" w:themeColor="background1"/>
                <w:sz w:val="24"/>
                <w:szCs w:val="24"/>
                <w:lang w:eastAsia="tr-TR"/>
              </w:rPr>
              <w:t>Total</w:t>
            </w:r>
          </w:p>
        </w:tc>
      </w:tr>
      <w:tr w:rsidR="009F6F06" w:rsidRPr="009E1B38" w14:paraId="7D4A9469" w14:textId="77777777" w:rsidTr="00B16F92">
        <w:trPr>
          <w:trHeight w:val="509"/>
          <w:jc w:val="right"/>
        </w:trPr>
        <w:tc>
          <w:tcPr>
            <w:tcW w:w="1374" w:type="pct"/>
            <w:vMerge/>
            <w:vAlign w:val="center"/>
            <w:hideMark/>
          </w:tcPr>
          <w:p w14:paraId="7D4A9465" w14:textId="77777777" w:rsidR="009F6F06" w:rsidRPr="009E1B38" w:rsidRDefault="009F6F06" w:rsidP="000F0D68">
            <w:pPr>
              <w:spacing w:after="0" w:line="240" w:lineRule="auto"/>
              <w:rPr>
                <w:rFonts w:ascii="Times New Roman" w:eastAsia="Times New Roman" w:hAnsi="Times New Roman"/>
                <w:b/>
                <w:bCs/>
                <w:color w:val="FFFFFF"/>
                <w:sz w:val="24"/>
                <w:szCs w:val="24"/>
                <w:lang w:eastAsia="tr-TR"/>
              </w:rPr>
            </w:pPr>
          </w:p>
        </w:tc>
        <w:tc>
          <w:tcPr>
            <w:tcW w:w="1197" w:type="pct"/>
            <w:vMerge/>
            <w:vAlign w:val="center"/>
            <w:hideMark/>
          </w:tcPr>
          <w:p w14:paraId="7D4A9466" w14:textId="77777777" w:rsidR="009F6F06" w:rsidRPr="009E1B38" w:rsidRDefault="009F6F06" w:rsidP="000F0D68">
            <w:pPr>
              <w:spacing w:after="0" w:line="240" w:lineRule="auto"/>
              <w:rPr>
                <w:rFonts w:ascii="Times New Roman" w:eastAsia="Times New Roman" w:hAnsi="Times New Roman"/>
                <w:b/>
                <w:bCs/>
                <w:color w:val="FFFFFF"/>
                <w:sz w:val="24"/>
                <w:szCs w:val="24"/>
                <w:lang w:eastAsia="tr-TR"/>
              </w:rPr>
            </w:pPr>
          </w:p>
        </w:tc>
        <w:tc>
          <w:tcPr>
            <w:tcW w:w="1197" w:type="pct"/>
            <w:vMerge/>
            <w:vAlign w:val="center"/>
            <w:hideMark/>
          </w:tcPr>
          <w:p w14:paraId="7D4A9467" w14:textId="77777777" w:rsidR="009F6F06" w:rsidRPr="009E1B38" w:rsidRDefault="009F6F06" w:rsidP="000F0D68">
            <w:pPr>
              <w:spacing w:after="0" w:line="240" w:lineRule="auto"/>
              <w:rPr>
                <w:rFonts w:ascii="Times New Roman" w:eastAsia="Times New Roman" w:hAnsi="Times New Roman"/>
                <w:b/>
                <w:bCs/>
                <w:color w:val="FFFFFF"/>
                <w:sz w:val="24"/>
                <w:szCs w:val="24"/>
                <w:lang w:eastAsia="tr-TR"/>
              </w:rPr>
            </w:pPr>
          </w:p>
        </w:tc>
        <w:tc>
          <w:tcPr>
            <w:tcW w:w="1232" w:type="pct"/>
            <w:vMerge/>
            <w:vAlign w:val="center"/>
            <w:hideMark/>
          </w:tcPr>
          <w:p w14:paraId="7D4A9468" w14:textId="77777777" w:rsidR="009F6F06" w:rsidRPr="009E1B38" w:rsidRDefault="009F6F06" w:rsidP="000F0D68">
            <w:pPr>
              <w:spacing w:after="0" w:line="240" w:lineRule="auto"/>
              <w:rPr>
                <w:rFonts w:ascii="Times New Roman" w:eastAsia="Times New Roman" w:hAnsi="Times New Roman"/>
                <w:b/>
                <w:bCs/>
                <w:color w:val="FFFFFF"/>
                <w:sz w:val="24"/>
                <w:szCs w:val="24"/>
                <w:lang w:eastAsia="tr-TR"/>
              </w:rPr>
            </w:pPr>
          </w:p>
        </w:tc>
      </w:tr>
      <w:tr w:rsidR="009F6F06" w:rsidRPr="009E1B38" w14:paraId="7D4A946E" w14:textId="77777777" w:rsidTr="00B16F92">
        <w:trPr>
          <w:trHeight w:val="397"/>
          <w:jc w:val="right"/>
        </w:trPr>
        <w:tc>
          <w:tcPr>
            <w:tcW w:w="1374" w:type="pct"/>
            <w:shd w:val="clear" w:color="auto" w:fill="auto"/>
            <w:vAlign w:val="center"/>
            <w:hideMark/>
          </w:tcPr>
          <w:p w14:paraId="7D4A946A"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2001</w:t>
            </w:r>
          </w:p>
        </w:tc>
        <w:tc>
          <w:tcPr>
            <w:tcW w:w="1197" w:type="pct"/>
            <w:shd w:val="clear" w:color="auto" w:fill="auto"/>
            <w:vAlign w:val="center"/>
            <w:hideMark/>
          </w:tcPr>
          <w:p w14:paraId="7D4A946B"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w:t>
            </w:r>
          </w:p>
        </w:tc>
        <w:tc>
          <w:tcPr>
            <w:tcW w:w="1197" w:type="pct"/>
            <w:shd w:val="clear" w:color="auto" w:fill="auto"/>
            <w:vAlign w:val="center"/>
            <w:hideMark/>
          </w:tcPr>
          <w:p w14:paraId="7D4A946C"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22.306,00</w:t>
            </w:r>
          </w:p>
        </w:tc>
        <w:tc>
          <w:tcPr>
            <w:tcW w:w="1232" w:type="pct"/>
            <w:shd w:val="clear" w:color="auto" w:fill="auto"/>
            <w:vAlign w:val="center"/>
            <w:hideMark/>
          </w:tcPr>
          <w:p w14:paraId="7D4A946D"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22.306,00</w:t>
            </w:r>
          </w:p>
        </w:tc>
      </w:tr>
      <w:tr w:rsidR="009F6F06" w:rsidRPr="009E1B38" w14:paraId="7D4A9473" w14:textId="77777777" w:rsidTr="00B16F92">
        <w:trPr>
          <w:trHeight w:val="397"/>
          <w:jc w:val="right"/>
        </w:trPr>
        <w:tc>
          <w:tcPr>
            <w:tcW w:w="1374" w:type="pct"/>
            <w:shd w:val="clear" w:color="auto" w:fill="auto"/>
            <w:vAlign w:val="center"/>
            <w:hideMark/>
          </w:tcPr>
          <w:p w14:paraId="7D4A946F"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2002</w:t>
            </w:r>
          </w:p>
        </w:tc>
        <w:tc>
          <w:tcPr>
            <w:tcW w:w="1197" w:type="pct"/>
            <w:shd w:val="clear" w:color="auto" w:fill="auto"/>
            <w:vAlign w:val="center"/>
            <w:hideMark/>
          </w:tcPr>
          <w:p w14:paraId="7D4A9470"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w:t>
            </w:r>
          </w:p>
        </w:tc>
        <w:tc>
          <w:tcPr>
            <w:tcW w:w="1197" w:type="pct"/>
            <w:shd w:val="clear" w:color="auto" w:fill="auto"/>
            <w:vAlign w:val="center"/>
            <w:hideMark/>
          </w:tcPr>
          <w:p w14:paraId="7D4A9471"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w:t>
            </w:r>
          </w:p>
        </w:tc>
        <w:tc>
          <w:tcPr>
            <w:tcW w:w="1232" w:type="pct"/>
            <w:shd w:val="clear" w:color="auto" w:fill="auto"/>
            <w:vAlign w:val="center"/>
            <w:hideMark/>
          </w:tcPr>
          <w:p w14:paraId="7D4A9472"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0</w:t>
            </w:r>
          </w:p>
        </w:tc>
      </w:tr>
      <w:tr w:rsidR="009F6F06" w:rsidRPr="009E1B38" w14:paraId="7D4A9478" w14:textId="77777777" w:rsidTr="00B16F92">
        <w:trPr>
          <w:trHeight w:val="397"/>
          <w:jc w:val="right"/>
        </w:trPr>
        <w:tc>
          <w:tcPr>
            <w:tcW w:w="1374" w:type="pct"/>
            <w:shd w:val="clear" w:color="auto" w:fill="auto"/>
            <w:vAlign w:val="center"/>
            <w:hideMark/>
          </w:tcPr>
          <w:p w14:paraId="7D4A9474"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2003</w:t>
            </w:r>
          </w:p>
        </w:tc>
        <w:tc>
          <w:tcPr>
            <w:tcW w:w="1197" w:type="pct"/>
            <w:shd w:val="clear" w:color="auto" w:fill="auto"/>
            <w:vAlign w:val="center"/>
            <w:hideMark/>
          </w:tcPr>
          <w:p w14:paraId="7D4A9475"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w:t>
            </w:r>
          </w:p>
        </w:tc>
        <w:tc>
          <w:tcPr>
            <w:tcW w:w="1197" w:type="pct"/>
            <w:shd w:val="clear" w:color="auto" w:fill="auto"/>
            <w:vAlign w:val="center"/>
            <w:hideMark/>
          </w:tcPr>
          <w:p w14:paraId="7D4A9476"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17.992.437,17</w:t>
            </w:r>
          </w:p>
        </w:tc>
        <w:tc>
          <w:tcPr>
            <w:tcW w:w="1232" w:type="pct"/>
            <w:shd w:val="clear" w:color="auto" w:fill="auto"/>
            <w:vAlign w:val="center"/>
            <w:hideMark/>
          </w:tcPr>
          <w:p w14:paraId="7D4A9477"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17.992.437,17</w:t>
            </w:r>
          </w:p>
        </w:tc>
      </w:tr>
      <w:tr w:rsidR="009F6F06" w:rsidRPr="009E1B38" w14:paraId="7D4A947D" w14:textId="77777777" w:rsidTr="00B16F92">
        <w:trPr>
          <w:trHeight w:val="397"/>
          <w:jc w:val="right"/>
        </w:trPr>
        <w:tc>
          <w:tcPr>
            <w:tcW w:w="1374" w:type="pct"/>
            <w:shd w:val="clear" w:color="auto" w:fill="auto"/>
            <w:vAlign w:val="center"/>
            <w:hideMark/>
          </w:tcPr>
          <w:p w14:paraId="7D4A9479"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2004</w:t>
            </w:r>
          </w:p>
        </w:tc>
        <w:tc>
          <w:tcPr>
            <w:tcW w:w="1197" w:type="pct"/>
            <w:shd w:val="clear" w:color="auto" w:fill="auto"/>
            <w:vAlign w:val="center"/>
            <w:hideMark/>
          </w:tcPr>
          <w:p w14:paraId="7D4A947A"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w:t>
            </w:r>
          </w:p>
        </w:tc>
        <w:tc>
          <w:tcPr>
            <w:tcW w:w="1197" w:type="pct"/>
            <w:shd w:val="clear" w:color="auto" w:fill="auto"/>
            <w:vAlign w:val="center"/>
            <w:hideMark/>
          </w:tcPr>
          <w:p w14:paraId="7D4A947B"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39.891.979,98</w:t>
            </w:r>
          </w:p>
        </w:tc>
        <w:tc>
          <w:tcPr>
            <w:tcW w:w="1232" w:type="pct"/>
            <w:shd w:val="clear" w:color="auto" w:fill="auto"/>
            <w:vAlign w:val="center"/>
            <w:hideMark/>
          </w:tcPr>
          <w:p w14:paraId="7D4A947C"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39.891.979,98</w:t>
            </w:r>
          </w:p>
        </w:tc>
      </w:tr>
      <w:tr w:rsidR="009F6F06" w:rsidRPr="009E1B38" w14:paraId="7D4A9482" w14:textId="77777777" w:rsidTr="00B16F92">
        <w:trPr>
          <w:trHeight w:val="397"/>
          <w:jc w:val="right"/>
        </w:trPr>
        <w:tc>
          <w:tcPr>
            <w:tcW w:w="1374" w:type="pct"/>
            <w:shd w:val="clear" w:color="auto" w:fill="auto"/>
            <w:vAlign w:val="center"/>
            <w:hideMark/>
          </w:tcPr>
          <w:p w14:paraId="7D4A947E"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2005</w:t>
            </w:r>
          </w:p>
        </w:tc>
        <w:tc>
          <w:tcPr>
            <w:tcW w:w="1197" w:type="pct"/>
            <w:shd w:val="clear" w:color="auto" w:fill="auto"/>
            <w:vAlign w:val="center"/>
            <w:hideMark/>
          </w:tcPr>
          <w:p w14:paraId="7D4A947F"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0</w:t>
            </w:r>
          </w:p>
        </w:tc>
        <w:tc>
          <w:tcPr>
            <w:tcW w:w="1197" w:type="pct"/>
            <w:shd w:val="clear" w:color="auto" w:fill="auto"/>
            <w:vAlign w:val="center"/>
            <w:hideMark/>
          </w:tcPr>
          <w:p w14:paraId="7D4A9480"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91.351.575,70</w:t>
            </w:r>
          </w:p>
        </w:tc>
        <w:tc>
          <w:tcPr>
            <w:tcW w:w="1232" w:type="pct"/>
            <w:shd w:val="clear" w:color="auto" w:fill="auto"/>
            <w:vAlign w:val="center"/>
            <w:hideMark/>
          </w:tcPr>
          <w:p w14:paraId="7D4A9481"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91.351.575,70</w:t>
            </w:r>
          </w:p>
        </w:tc>
      </w:tr>
      <w:tr w:rsidR="009F6F06" w:rsidRPr="009E1B38" w14:paraId="7D4A9487" w14:textId="77777777" w:rsidTr="00B16F92">
        <w:trPr>
          <w:trHeight w:val="397"/>
          <w:jc w:val="right"/>
        </w:trPr>
        <w:tc>
          <w:tcPr>
            <w:tcW w:w="1374" w:type="pct"/>
            <w:shd w:val="clear" w:color="auto" w:fill="auto"/>
            <w:vAlign w:val="center"/>
            <w:hideMark/>
          </w:tcPr>
          <w:p w14:paraId="7D4A9483"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2006</w:t>
            </w:r>
          </w:p>
        </w:tc>
        <w:tc>
          <w:tcPr>
            <w:tcW w:w="1197" w:type="pct"/>
            <w:shd w:val="clear" w:color="auto" w:fill="auto"/>
            <w:vAlign w:val="center"/>
            <w:hideMark/>
          </w:tcPr>
          <w:p w14:paraId="7D4A9484"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118.872.511,00</w:t>
            </w:r>
          </w:p>
        </w:tc>
        <w:tc>
          <w:tcPr>
            <w:tcW w:w="1197" w:type="pct"/>
            <w:shd w:val="clear" w:color="auto" w:fill="auto"/>
            <w:vAlign w:val="center"/>
            <w:hideMark/>
          </w:tcPr>
          <w:p w14:paraId="7D4A9485"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10.213.361,85</w:t>
            </w:r>
          </w:p>
        </w:tc>
        <w:tc>
          <w:tcPr>
            <w:tcW w:w="1232" w:type="pct"/>
            <w:shd w:val="clear" w:color="auto" w:fill="auto"/>
            <w:vAlign w:val="center"/>
            <w:hideMark/>
          </w:tcPr>
          <w:p w14:paraId="7D4A9486"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129.085.872,85</w:t>
            </w:r>
          </w:p>
        </w:tc>
      </w:tr>
      <w:tr w:rsidR="009F6F06" w:rsidRPr="009E1B38" w14:paraId="7D4A948C" w14:textId="77777777" w:rsidTr="00B16F92">
        <w:trPr>
          <w:trHeight w:val="397"/>
          <w:jc w:val="right"/>
        </w:trPr>
        <w:tc>
          <w:tcPr>
            <w:tcW w:w="1374" w:type="pct"/>
            <w:shd w:val="clear" w:color="auto" w:fill="auto"/>
            <w:vAlign w:val="center"/>
            <w:hideMark/>
          </w:tcPr>
          <w:p w14:paraId="7D4A9488"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2007</w:t>
            </w:r>
          </w:p>
        </w:tc>
        <w:tc>
          <w:tcPr>
            <w:tcW w:w="1197" w:type="pct"/>
            <w:shd w:val="clear" w:color="auto" w:fill="auto"/>
            <w:vAlign w:val="center"/>
            <w:hideMark/>
          </w:tcPr>
          <w:p w14:paraId="7D4A9489"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26.316.184,86</w:t>
            </w:r>
          </w:p>
        </w:tc>
        <w:tc>
          <w:tcPr>
            <w:tcW w:w="1197" w:type="pct"/>
            <w:shd w:val="clear" w:color="auto" w:fill="auto"/>
            <w:vAlign w:val="center"/>
            <w:hideMark/>
          </w:tcPr>
          <w:p w14:paraId="7D4A948A"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43.563.569,34</w:t>
            </w:r>
          </w:p>
        </w:tc>
        <w:tc>
          <w:tcPr>
            <w:tcW w:w="1232" w:type="pct"/>
            <w:shd w:val="clear" w:color="auto" w:fill="auto"/>
            <w:vAlign w:val="center"/>
            <w:hideMark/>
          </w:tcPr>
          <w:p w14:paraId="7D4A948B"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69.879.754,20</w:t>
            </w:r>
          </w:p>
        </w:tc>
      </w:tr>
      <w:tr w:rsidR="009F6F06" w:rsidRPr="009E1B38" w14:paraId="7D4A9491" w14:textId="77777777" w:rsidTr="00B16F92">
        <w:trPr>
          <w:trHeight w:val="397"/>
          <w:jc w:val="right"/>
        </w:trPr>
        <w:tc>
          <w:tcPr>
            <w:tcW w:w="1374" w:type="pct"/>
            <w:shd w:val="clear" w:color="auto" w:fill="auto"/>
            <w:vAlign w:val="center"/>
            <w:hideMark/>
          </w:tcPr>
          <w:p w14:paraId="7D4A948D"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2008</w:t>
            </w:r>
          </w:p>
        </w:tc>
        <w:tc>
          <w:tcPr>
            <w:tcW w:w="1197" w:type="pct"/>
            <w:shd w:val="clear" w:color="auto" w:fill="auto"/>
            <w:vAlign w:val="center"/>
            <w:hideMark/>
          </w:tcPr>
          <w:p w14:paraId="7D4A948E"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6.500.000,00</w:t>
            </w:r>
          </w:p>
        </w:tc>
        <w:tc>
          <w:tcPr>
            <w:tcW w:w="1197" w:type="pct"/>
            <w:shd w:val="clear" w:color="auto" w:fill="auto"/>
            <w:vAlign w:val="center"/>
            <w:hideMark/>
          </w:tcPr>
          <w:p w14:paraId="7D4A948F"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27.507.108,75</w:t>
            </w:r>
          </w:p>
        </w:tc>
        <w:tc>
          <w:tcPr>
            <w:tcW w:w="1232" w:type="pct"/>
            <w:shd w:val="clear" w:color="auto" w:fill="auto"/>
            <w:vAlign w:val="center"/>
            <w:hideMark/>
          </w:tcPr>
          <w:p w14:paraId="7D4A9490"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34.007.108,75</w:t>
            </w:r>
          </w:p>
        </w:tc>
      </w:tr>
      <w:tr w:rsidR="009F6F06" w:rsidRPr="009E1B38" w14:paraId="7D4A9496" w14:textId="77777777" w:rsidTr="00B16F92">
        <w:trPr>
          <w:trHeight w:val="397"/>
          <w:jc w:val="right"/>
        </w:trPr>
        <w:tc>
          <w:tcPr>
            <w:tcW w:w="1374" w:type="pct"/>
            <w:shd w:val="clear" w:color="auto" w:fill="auto"/>
            <w:vAlign w:val="center"/>
            <w:hideMark/>
          </w:tcPr>
          <w:p w14:paraId="7D4A9492"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2009</w:t>
            </w:r>
          </w:p>
        </w:tc>
        <w:tc>
          <w:tcPr>
            <w:tcW w:w="1197" w:type="pct"/>
            <w:shd w:val="clear" w:color="auto" w:fill="auto"/>
            <w:vAlign w:val="center"/>
            <w:hideMark/>
          </w:tcPr>
          <w:p w14:paraId="7D4A9493"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10.000.000,00</w:t>
            </w:r>
          </w:p>
        </w:tc>
        <w:tc>
          <w:tcPr>
            <w:tcW w:w="1197" w:type="pct"/>
            <w:shd w:val="clear" w:color="auto" w:fill="auto"/>
            <w:vAlign w:val="center"/>
            <w:hideMark/>
          </w:tcPr>
          <w:p w14:paraId="7D4A9494"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25.560.370,79</w:t>
            </w:r>
          </w:p>
        </w:tc>
        <w:tc>
          <w:tcPr>
            <w:tcW w:w="1232" w:type="pct"/>
            <w:shd w:val="clear" w:color="auto" w:fill="auto"/>
            <w:vAlign w:val="center"/>
            <w:hideMark/>
          </w:tcPr>
          <w:p w14:paraId="7D4A9495"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35.560.370,79</w:t>
            </w:r>
          </w:p>
        </w:tc>
      </w:tr>
      <w:tr w:rsidR="009F6F06" w:rsidRPr="009E1B38" w14:paraId="7D4A949B" w14:textId="77777777" w:rsidTr="00B16F92">
        <w:trPr>
          <w:trHeight w:val="397"/>
          <w:jc w:val="right"/>
        </w:trPr>
        <w:tc>
          <w:tcPr>
            <w:tcW w:w="1374" w:type="pct"/>
            <w:shd w:val="clear" w:color="auto" w:fill="auto"/>
            <w:vAlign w:val="center"/>
            <w:hideMark/>
          </w:tcPr>
          <w:p w14:paraId="7D4A9497"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2010</w:t>
            </w:r>
          </w:p>
        </w:tc>
        <w:tc>
          <w:tcPr>
            <w:tcW w:w="1197" w:type="pct"/>
            <w:shd w:val="clear" w:color="auto" w:fill="auto"/>
            <w:vAlign w:val="center"/>
            <w:hideMark/>
          </w:tcPr>
          <w:p w14:paraId="7D4A9498"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18.000.000,00</w:t>
            </w:r>
          </w:p>
        </w:tc>
        <w:tc>
          <w:tcPr>
            <w:tcW w:w="1197" w:type="pct"/>
            <w:shd w:val="clear" w:color="auto" w:fill="auto"/>
            <w:vAlign w:val="center"/>
            <w:hideMark/>
          </w:tcPr>
          <w:p w14:paraId="7D4A9499"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47.907.651,22</w:t>
            </w:r>
          </w:p>
        </w:tc>
        <w:tc>
          <w:tcPr>
            <w:tcW w:w="1232" w:type="pct"/>
            <w:shd w:val="clear" w:color="auto" w:fill="auto"/>
            <w:vAlign w:val="center"/>
            <w:hideMark/>
          </w:tcPr>
          <w:p w14:paraId="7D4A949A"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65.907.651,22</w:t>
            </w:r>
          </w:p>
        </w:tc>
      </w:tr>
      <w:tr w:rsidR="009F6F06" w:rsidRPr="009E1B38" w14:paraId="7D4A94A0" w14:textId="77777777" w:rsidTr="00B16F92">
        <w:trPr>
          <w:trHeight w:val="397"/>
          <w:jc w:val="right"/>
        </w:trPr>
        <w:tc>
          <w:tcPr>
            <w:tcW w:w="1374" w:type="pct"/>
            <w:shd w:val="clear" w:color="auto" w:fill="auto"/>
            <w:vAlign w:val="center"/>
            <w:hideMark/>
          </w:tcPr>
          <w:p w14:paraId="7D4A949C"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2011</w:t>
            </w:r>
          </w:p>
        </w:tc>
        <w:tc>
          <w:tcPr>
            <w:tcW w:w="1197" w:type="pct"/>
            <w:shd w:val="clear" w:color="auto" w:fill="auto"/>
            <w:vAlign w:val="center"/>
            <w:hideMark/>
          </w:tcPr>
          <w:p w14:paraId="7D4A949D"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27.500.000,00</w:t>
            </w:r>
          </w:p>
        </w:tc>
        <w:tc>
          <w:tcPr>
            <w:tcW w:w="1197" w:type="pct"/>
            <w:shd w:val="clear" w:color="auto" w:fill="auto"/>
            <w:vAlign w:val="center"/>
            <w:hideMark/>
          </w:tcPr>
          <w:p w14:paraId="7D4A949E"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27.474.743,68</w:t>
            </w:r>
          </w:p>
        </w:tc>
        <w:tc>
          <w:tcPr>
            <w:tcW w:w="1232" w:type="pct"/>
            <w:shd w:val="clear" w:color="auto" w:fill="auto"/>
            <w:vAlign w:val="center"/>
            <w:hideMark/>
          </w:tcPr>
          <w:p w14:paraId="7D4A949F"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54.974.743,68</w:t>
            </w:r>
          </w:p>
        </w:tc>
      </w:tr>
      <w:tr w:rsidR="009F6F06" w:rsidRPr="009E1B38" w14:paraId="7D4A94A5" w14:textId="77777777" w:rsidTr="00B16F92">
        <w:trPr>
          <w:trHeight w:val="397"/>
          <w:jc w:val="right"/>
        </w:trPr>
        <w:tc>
          <w:tcPr>
            <w:tcW w:w="1374" w:type="pct"/>
            <w:shd w:val="clear" w:color="auto" w:fill="auto"/>
            <w:vAlign w:val="center"/>
            <w:hideMark/>
          </w:tcPr>
          <w:p w14:paraId="7D4A94A1"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2012</w:t>
            </w:r>
          </w:p>
        </w:tc>
        <w:tc>
          <w:tcPr>
            <w:tcW w:w="1197" w:type="pct"/>
            <w:shd w:val="clear" w:color="auto" w:fill="auto"/>
            <w:vAlign w:val="center"/>
            <w:hideMark/>
          </w:tcPr>
          <w:p w14:paraId="7D4A94A2"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42.500.000,00</w:t>
            </w:r>
          </w:p>
        </w:tc>
        <w:tc>
          <w:tcPr>
            <w:tcW w:w="1197" w:type="pct"/>
            <w:shd w:val="clear" w:color="auto" w:fill="auto"/>
            <w:vAlign w:val="center"/>
            <w:hideMark/>
          </w:tcPr>
          <w:p w14:paraId="7D4A94A3"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40.174.832,05</w:t>
            </w:r>
          </w:p>
        </w:tc>
        <w:tc>
          <w:tcPr>
            <w:tcW w:w="1232" w:type="pct"/>
            <w:shd w:val="clear" w:color="auto" w:fill="auto"/>
            <w:vAlign w:val="center"/>
            <w:hideMark/>
          </w:tcPr>
          <w:p w14:paraId="7D4A94A4"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82.674.832,05</w:t>
            </w:r>
          </w:p>
        </w:tc>
      </w:tr>
      <w:tr w:rsidR="009F6F06" w:rsidRPr="009E1B38" w14:paraId="7D4A94AA" w14:textId="77777777" w:rsidTr="00B16F92">
        <w:trPr>
          <w:trHeight w:val="397"/>
          <w:jc w:val="right"/>
        </w:trPr>
        <w:tc>
          <w:tcPr>
            <w:tcW w:w="1374" w:type="pct"/>
            <w:shd w:val="clear" w:color="auto" w:fill="auto"/>
            <w:vAlign w:val="center"/>
            <w:hideMark/>
          </w:tcPr>
          <w:p w14:paraId="7D4A94A6"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2013</w:t>
            </w:r>
          </w:p>
        </w:tc>
        <w:tc>
          <w:tcPr>
            <w:tcW w:w="1197" w:type="pct"/>
            <w:shd w:val="clear" w:color="auto" w:fill="auto"/>
            <w:vAlign w:val="center"/>
            <w:hideMark/>
          </w:tcPr>
          <w:p w14:paraId="7D4A94A7"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51.370.000,00</w:t>
            </w:r>
          </w:p>
        </w:tc>
        <w:tc>
          <w:tcPr>
            <w:tcW w:w="1197" w:type="pct"/>
            <w:shd w:val="clear" w:color="auto" w:fill="auto"/>
            <w:vAlign w:val="center"/>
            <w:hideMark/>
          </w:tcPr>
          <w:p w14:paraId="7D4A94A8"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46.559.157,90</w:t>
            </w:r>
          </w:p>
        </w:tc>
        <w:tc>
          <w:tcPr>
            <w:tcW w:w="1232" w:type="pct"/>
            <w:shd w:val="clear" w:color="auto" w:fill="auto"/>
            <w:vAlign w:val="center"/>
            <w:hideMark/>
          </w:tcPr>
          <w:p w14:paraId="7D4A94A9"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97.929.157,90</w:t>
            </w:r>
          </w:p>
        </w:tc>
      </w:tr>
      <w:tr w:rsidR="009F6F06" w:rsidRPr="009E1B38" w14:paraId="7D4A94AF" w14:textId="77777777" w:rsidTr="00B16F92">
        <w:trPr>
          <w:trHeight w:val="397"/>
          <w:jc w:val="right"/>
        </w:trPr>
        <w:tc>
          <w:tcPr>
            <w:tcW w:w="1374" w:type="pct"/>
            <w:shd w:val="clear" w:color="auto" w:fill="auto"/>
            <w:vAlign w:val="center"/>
            <w:hideMark/>
          </w:tcPr>
          <w:p w14:paraId="7D4A94AB"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2014</w:t>
            </w:r>
          </w:p>
        </w:tc>
        <w:tc>
          <w:tcPr>
            <w:tcW w:w="1197" w:type="pct"/>
            <w:shd w:val="clear" w:color="auto" w:fill="auto"/>
            <w:vAlign w:val="center"/>
            <w:hideMark/>
          </w:tcPr>
          <w:p w14:paraId="7D4A94AC"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27.933.000,00</w:t>
            </w:r>
          </w:p>
        </w:tc>
        <w:tc>
          <w:tcPr>
            <w:tcW w:w="1197" w:type="pct"/>
            <w:shd w:val="clear" w:color="auto" w:fill="auto"/>
            <w:vAlign w:val="center"/>
            <w:hideMark/>
          </w:tcPr>
          <w:p w14:paraId="7D4A94AD"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15.266.784,26</w:t>
            </w:r>
          </w:p>
        </w:tc>
        <w:tc>
          <w:tcPr>
            <w:tcW w:w="1232" w:type="pct"/>
            <w:shd w:val="clear" w:color="auto" w:fill="auto"/>
            <w:vAlign w:val="center"/>
            <w:hideMark/>
          </w:tcPr>
          <w:p w14:paraId="7D4A94AE"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43.199.784,26</w:t>
            </w:r>
          </w:p>
        </w:tc>
      </w:tr>
      <w:tr w:rsidR="009F6F06" w:rsidRPr="009E1B38" w14:paraId="7D4A94B4" w14:textId="77777777" w:rsidTr="00B16F92">
        <w:trPr>
          <w:trHeight w:val="397"/>
          <w:jc w:val="right"/>
        </w:trPr>
        <w:tc>
          <w:tcPr>
            <w:tcW w:w="1374" w:type="pct"/>
            <w:shd w:val="clear" w:color="auto" w:fill="auto"/>
            <w:vAlign w:val="center"/>
            <w:hideMark/>
          </w:tcPr>
          <w:p w14:paraId="7D4A94B0"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2015</w:t>
            </w:r>
          </w:p>
        </w:tc>
        <w:tc>
          <w:tcPr>
            <w:tcW w:w="1197" w:type="pct"/>
            <w:shd w:val="clear" w:color="auto" w:fill="auto"/>
            <w:vAlign w:val="center"/>
            <w:hideMark/>
          </w:tcPr>
          <w:p w14:paraId="7D4A94B1"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47.480.000,00</w:t>
            </w:r>
          </w:p>
        </w:tc>
        <w:tc>
          <w:tcPr>
            <w:tcW w:w="1197" w:type="pct"/>
            <w:shd w:val="clear" w:color="auto" w:fill="auto"/>
            <w:vAlign w:val="center"/>
            <w:hideMark/>
          </w:tcPr>
          <w:p w14:paraId="7D4A94B2"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15.928.305,88</w:t>
            </w:r>
          </w:p>
        </w:tc>
        <w:tc>
          <w:tcPr>
            <w:tcW w:w="1232" w:type="pct"/>
            <w:shd w:val="clear" w:color="auto" w:fill="auto"/>
            <w:vAlign w:val="center"/>
            <w:hideMark/>
          </w:tcPr>
          <w:p w14:paraId="7D4A94B3"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63.408.305,88</w:t>
            </w:r>
          </w:p>
        </w:tc>
      </w:tr>
      <w:tr w:rsidR="009F6F06" w:rsidRPr="009E1B38" w14:paraId="7D4A94B9" w14:textId="77777777" w:rsidTr="00B16F92">
        <w:trPr>
          <w:trHeight w:val="397"/>
          <w:jc w:val="right"/>
        </w:trPr>
        <w:tc>
          <w:tcPr>
            <w:tcW w:w="1374" w:type="pct"/>
            <w:shd w:val="clear" w:color="auto" w:fill="auto"/>
            <w:vAlign w:val="center"/>
            <w:hideMark/>
          </w:tcPr>
          <w:p w14:paraId="7D4A94B5"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2016</w:t>
            </w:r>
          </w:p>
        </w:tc>
        <w:tc>
          <w:tcPr>
            <w:tcW w:w="1197" w:type="pct"/>
            <w:shd w:val="clear" w:color="auto" w:fill="auto"/>
            <w:vAlign w:val="center"/>
            <w:hideMark/>
          </w:tcPr>
          <w:p w14:paraId="7D4A94B6"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36.500.000,00</w:t>
            </w:r>
          </w:p>
        </w:tc>
        <w:tc>
          <w:tcPr>
            <w:tcW w:w="1197" w:type="pct"/>
            <w:shd w:val="clear" w:color="auto" w:fill="auto"/>
            <w:vAlign w:val="center"/>
            <w:hideMark/>
          </w:tcPr>
          <w:p w14:paraId="7D4A94B7"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29.518.976,87</w:t>
            </w:r>
          </w:p>
        </w:tc>
        <w:tc>
          <w:tcPr>
            <w:tcW w:w="1232" w:type="pct"/>
            <w:shd w:val="clear" w:color="auto" w:fill="auto"/>
            <w:vAlign w:val="center"/>
            <w:hideMark/>
          </w:tcPr>
          <w:p w14:paraId="7D4A94B8"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66.018.976,87</w:t>
            </w:r>
          </w:p>
        </w:tc>
      </w:tr>
      <w:tr w:rsidR="009F6F06" w:rsidRPr="009E1B38" w14:paraId="7D4A94BE" w14:textId="77777777" w:rsidTr="00B16F92">
        <w:trPr>
          <w:trHeight w:val="397"/>
          <w:jc w:val="right"/>
        </w:trPr>
        <w:tc>
          <w:tcPr>
            <w:tcW w:w="1374" w:type="pct"/>
            <w:shd w:val="clear" w:color="auto" w:fill="auto"/>
            <w:vAlign w:val="center"/>
            <w:hideMark/>
          </w:tcPr>
          <w:p w14:paraId="7D4A94BA"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lastRenderedPageBreak/>
              <w:t>2017</w:t>
            </w:r>
          </w:p>
        </w:tc>
        <w:tc>
          <w:tcPr>
            <w:tcW w:w="1197" w:type="pct"/>
            <w:shd w:val="clear" w:color="auto" w:fill="auto"/>
            <w:vAlign w:val="center"/>
            <w:hideMark/>
          </w:tcPr>
          <w:p w14:paraId="7D4A94BB"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18.896.300,00</w:t>
            </w:r>
          </w:p>
        </w:tc>
        <w:tc>
          <w:tcPr>
            <w:tcW w:w="1197" w:type="pct"/>
            <w:shd w:val="clear" w:color="auto" w:fill="auto"/>
            <w:vAlign w:val="center"/>
            <w:hideMark/>
          </w:tcPr>
          <w:p w14:paraId="7D4A94BC"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34.157.312,38</w:t>
            </w:r>
          </w:p>
        </w:tc>
        <w:tc>
          <w:tcPr>
            <w:tcW w:w="1232" w:type="pct"/>
            <w:shd w:val="clear" w:color="auto" w:fill="auto"/>
            <w:vAlign w:val="center"/>
            <w:hideMark/>
          </w:tcPr>
          <w:p w14:paraId="7D4A94BD"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53.053.612,38</w:t>
            </w:r>
          </w:p>
        </w:tc>
      </w:tr>
      <w:tr w:rsidR="009F6F06" w:rsidRPr="009E1B38" w14:paraId="7D4A94C3" w14:textId="77777777" w:rsidTr="00B16F92">
        <w:trPr>
          <w:trHeight w:val="397"/>
          <w:jc w:val="right"/>
        </w:trPr>
        <w:tc>
          <w:tcPr>
            <w:tcW w:w="1374" w:type="pct"/>
            <w:shd w:val="clear" w:color="auto" w:fill="auto"/>
            <w:vAlign w:val="center"/>
            <w:hideMark/>
          </w:tcPr>
          <w:p w14:paraId="7D4A94BF" w14:textId="77777777" w:rsidR="009F6F06" w:rsidRPr="009E1B38" w:rsidRDefault="009F6F06" w:rsidP="000F0D68">
            <w:pPr>
              <w:spacing w:after="0" w:line="240" w:lineRule="auto"/>
              <w:jc w:val="center"/>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2018</w:t>
            </w:r>
          </w:p>
        </w:tc>
        <w:tc>
          <w:tcPr>
            <w:tcW w:w="1197" w:type="pct"/>
            <w:shd w:val="clear" w:color="auto" w:fill="auto"/>
            <w:vAlign w:val="center"/>
            <w:hideMark/>
          </w:tcPr>
          <w:p w14:paraId="7D4A94C0"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47.485.800,00</w:t>
            </w:r>
          </w:p>
        </w:tc>
        <w:tc>
          <w:tcPr>
            <w:tcW w:w="1197" w:type="pct"/>
            <w:shd w:val="clear" w:color="auto" w:fill="auto"/>
            <w:vAlign w:val="center"/>
            <w:hideMark/>
          </w:tcPr>
          <w:p w14:paraId="7D4A94C1" w14:textId="77777777" w:rsidR="009F6F06" w:rsidRPr="009E1B38" w:rsidRDefault="009F6F06" w:rsidP="000F0D68">
            <w:pPr>
              <w:spacing w:after="0" w:line="240" w:lineRule="auto"/>
              <w:jc w:val="right"/>
              <w:rPr>
                <w:rFonts w:ascii="Times New Roman" w:eastAsia="Times New Roman" w:hAnsi="Times New Roman"/>
                <w:color w:val="000000"/>
                <w:lang w:eastAsia="tr-TR"/>
              </w:rPr>
            </w:pPr>
            <w:r w:rsidRPr="009E1B38">
              <w:rPr>
                <w:rFonts w:ascii="Times New Roman" w:eastAsia="Times New Roman" w:hAnsi="Times New Roman"/>
                <w:color w:val="000000" w:themeColor="text1"/>
                <w:lang w:eastAsia="tr-TR"/>
              </w:rPr>
              <w:t>49.604.977,77</w:t>
            </w:r>
          </w:p>
        </w:tc>
        <w:tc>
          <w:tcPr>
            <w:tcW w:w="1232" w:type="pct"/>
            <w:shd w:val="clear" w:color="auto" w:fill="auto"/>
            <w:vAlign w:val="center"/>
            <w:hideMark/>
          </w:tcPr>
          <w:p w14:paraId="7D4A94C2" w14:textId="77777777" w:rsidR="009F6F06" w:rsidRPr="009E1B38" w:rsidRDefault="009F6F06" w:rsidP="000F0D68">
            <w:pPr>
              <w:spacing w:after="0" w:line="240" w:lineRule="auto"/>
              <w:jc w:val="right"/>
              <w:rPr>
                <w:rFonts w:ascii="Times New Roman" w:eastAsia="Times New Roman" w:hAnsi="Times New Roman"/>
                <w:b/>
                <w:bCs/>
                <w:color w:val="000000"/>
                <w:lang w:eastAsia="tr-TR"/>
              </w:rPr>
            </w:pPr>
            <w:r w:rsidRPr="009E1B38">
              <w:rPr>
                <w:rFonts w:ascii="Times New Roman" w:eastAsia="Times New Roman" w:hAnsi="Times New Roman"/>
                <w:b/>
                <w:bCs/>
                <w:color w:val="000000" w:themeColor="text1"/>
                <w:lang w:eastAsia="tr-TR"/>
              </w:rPr>
              <w:t>97.090.777,77</w:t>
            </w:r>
          </w:p>
        </w:tc>
      </w:tr>
      <w:tr w:rsidR="009F6F06" w:rsidRPr="009E1B38" w14:paraId="7D4A94C8" w14:textId="77777777" w:rsidTr="00B16F92">
        <w:trPr>
          <w:trHeight w:val="397"/>
          <w:jc w:val="right"/>
        </w:trPr>
        <w:tc>
          <w:tcPr>
            <w:tcW w:w="1374" w:type="pct"/>
            <w:shd w:val="clear" w:color="auto" w:fill="auto"/>
            <w:vAlign w:val="center"/>
          </w:tcPr>
          <w:p w14:paraId="7D4A94C4" w14:textId="77777777" w:rsidR="009F6F06" w:rsidRPr="009E1B38" w:rsidRDefault="009F6F06" w:rsidP="000F0D68">
            <w:pPr>
              <w:spacing w:after="0" w:line="240" w:lineRule="auto"/>
              <w:jc w:val="center"/>
              <w:rPr>
                <w:rFonts w:ascii="Times New Roman" w:eastAsia="Times New Roman" w:hAnsi="Times New Roman"/>
                <w:b/>
                <w:bCs/>
                <w:color w:val="000000" w:themeColor="text1"/>
                <w:lang w:eastAsia="tr-TR"/>
              </w:rPr>
            </w:pPr>
            <w:r w:rsidRPr="009E1B38">
              <w:rPr>
                <w:rFonts w:ascii="Times New Roman" w:eastAsia="Times New Roman" w:hAnsi="Times New Roman"/>
                <w:b/>
                <w:bCs/>
                <w:color w:val="000000" w:themeColor="text1"/>
                <w:lang w:eastAsia="tr-TR"/>
              </w:rPr>
              <w:t>2019</w:t>
            </w:r>
          </w:p>
        </w:tc>
        <w:tc>
          <w:tcPr>
            <w:tcW w:w="1197" w:type="pct"/>
            <w:shd w:val="clear" w:color="auto" w:fill="auto"/>
            <w:vAlign w:val="center"/>
          </w:tcPr>
          <w:p w14:paraId="7D4A94C5" w14:textId="77777777" w:rsidR="009F6F06" w:rsidRPr="009E1B38" w:rsidRDefault="009F6F06" w:rsidP="000F0D68">
            <w:pPr>
              <w:spacing w:after="0" w:line="240" w:lineRule="auto"/>
              <w:jc w:val="right"/>
              <w:rPr>
                <w:rFonts w:ascii="Times New Roman" w:eastAsia="Times New Roman" w:hAnsi="Times New Roman"/>
                <w:color w:val="000000" w:themeColor="text1"/>
                <w:lang w:eastAsia="tr-TR"/>
              </w:rPr>
            </w:pPr>
            <w:r w:rsidRPr="009E1B38">
              <w:rPr>
                <w:rFonts w:ascii="Times New Roman" w:eastAsia="Times New Roman" w:hAnsi="Times New Roman"/>
                <w:color w:val="000000" w:themeColor="text1"/>
                <w:lang w:eastAsia="tr-TR"/>
              </w:rPr>
              <w:t>26.003.160,00</w:t>
            </w:r>
          </w:p>
        </w:tc>
        <w:tc>
          <w:tcPr>
            <w:tcW w:w="1197" w:type="pct"/>
            <w:shd w:val="clear" w:color="auto" w:fill="auto"/>
            <w:vAlign w:val="center"/>
          </w:tcPr>
          <w:p w14:paraId="7D4A94C6" w14:textId="77777777" w:rsidR="009F6F06" w:rsidRPr="009E1B38" w:rsidRDefault="009F6F06" w:rsidP="000F0D68">
            <w:pPr>
              <w:spacing w:after="0" w:line="240" w:lineRule="auto"/>
              <w:jc w:val="right"/>
              <w:rPr>
                <w:rFonts w:ascii="Times New Roman" w:eastAsia="Times New Roman" w:hAnsi="Times New Roman"/>
                <w:color w:val="000000" w:themeColor="text1"/>
                <w:lang w:eastAsia="tr-TR"/>
              </w:rPr>
            </w:pPr>
            <w:r w:rsidRPr="009E1B38">
              <w:rPr>
                <w:rFonts w:ascii="Times New Roman" w:eastAsia="Times New Roman" w:hAnsi="Times New Roman"/>
                <w:color w:val="000000" w:themeColor="text1"/>
                <w:lang w:eastAsia="tr-TR"/>
              </w:rPr>
              <w:t>48.027.983,78</w:t>
            </w:r>
          </w:p>
        </w:tc>
        <w:tc>
          <w:tcPr>
            <w:tcW w:w="1232" w:type="pct"/>
            <w:shd w:val="clear" w:color="auto" w:fill="auto"/>
            <w:vAlign w:val="center"/>
          </w:tcPr>
          <w:p w14:paraId="7D4A94C7" w14:textId="77777777" w:rsidR="009F6F06" w:rsidRPr="009E1B38" w:rsidRDefault="009F6F06" w:rsidP="000F0D68">
            <w:pPr>
              <w:spacing w:after="0" w:line="240" w:lineRule="auto"/>
              <w:jc w:val="right"/>
              <w:rPr>
                <w:rFonts w:ascii="Times New Roman" w:eastAsia="Times New Roman" w:hAnsi="Times New Roman"/>
                <w:b/>
                <w:bCs/>
                <w:color w:val="000000" w:themeColor="text1"/>
                <w:lang w:eastAsia="tr-TR"/>
              </w:rPr>
            </w:pPr>
            <w:r w:rsidRPr="009E1B38">
              <w:rPr>
                <w:rFonts w:ascii="Times New Roman" w:eastAsia="Times New Roman" w:hAnsi="Times New Roman"/>
                <w:b/>
                <w:bCs/>
                <w:color w:val="000000" w:themeColor="text1"/>
                <w:lang w:eastAsia="tr-TR"/>
              </w:rPr>
              <w:t>74.031.143,78</w:t>
            </w:r>
          </w:p>
        </w:tc>
      </w:tr>
      <w:tr w:rsidR="004463A4" w:rsidRPr="009E1B38" w14:paraId="7D4A94CD" w14:textId="77777777" w:rsidTr="00B16F92">
        <w:trPr>
          <w:trHeight w:val="397"/>
          <w:jc w:val="right"/>
        </w:trPr>
        <w:tc>
          <w:tcPr>
            <w:tcW w:w="1374" w:type="pct"/>
            <w:shd w:val="clear" w:color="auto" w:fill="auto"/>
            <w:vAlign w:val="center"/>
          </w:tcPr>
          <w:p w14:paraId="7D4A94C9" w14:textId="77777777" w:rsidR="004463A4" w:rsidRPr="009E1B38" w:rsidRDefault="004463A4" w:rsidP="004463A4">
            <w:pPr>
              <w:spacing w:after="0" w:line="240" w:lineRule="auto"/>
              <w:jc w:val="center"/>
              <w:rPr>
                <w:rFonts w:ascii="Times New Roman" w:eastAsia="Times New Roman" w:hAnsi="Times New Roman"/>
                <w:b/>
                <w:bCs/>
                <w:color w:val="000000" w:themeColor="text1"/>
                <w:lang w:eastAsia="tr-TR"/>
              </w:rPr>
            </w:pPr>
            <w:r w:rsidRPr="009E1B38">
              <w:rPr>
                <w:rFonts w:ascii="Times New Roman" w:eastAsia="Times New Roman" w:hAnsi="Times New Roman"/>
                <w:b/>
                <w:bCs/>
                <w:color w:val="000000" w:themeColor="text1"/>
                <w:lang w:eastAsia="tr-TR"/>
              </w:rPr>
              <w:t>2020</w:t>
            </w:r>
          </w:p>
        </w:tc>
        <w:tc>
          <w:tcPr>
            <w:tcW w:w="1197" w:type="pct"/>
            <w:shd w:val="clear" w:color="auto" w:fill="auto"/>
            <w:vAlign w:val="center"/>
          </w:tcPr>
          <w:p w14:paraId="7D4A94CA" w14:textId="77777777" w:rsidR="004463A4" w:rsidRPr="009E1B38" w:rsidRDefault="004463A4" w:rsidP="004463A4">
            <w:pPr>
              <w:spacing w:after="0" w:line="240" w:lineRule="auto"/>
              <w:jc w:val="right"/>
              <w:rPr>
                <w:rFonts w:ascii="Times New Roman" w:eastAsia="Times New Roman" w:hAnsi="Times New Roman"/>
                <w:color w:val="000000" w:themeColor="text1"/>
                <w:lang w:eastAsia="tr-TR"/>
              </w:rPr>
            </w:pPr>
            <w:r w:rsidRPr="009E1B38">
              <w:rPr>
                <w:rFonts w:ascii="Times New Roman" w:eastAsia="Times New Roman" w:hAnsi="Times New Roman"/>
                <w:color w:val="000000" w:themeColor="text1"/>
                <w:lang w:eastAsia="tr-TR"/>
              </w:rPr>
              <w:t>65.500.000,00</w:t>
            </w:r>
          </w:p>
        </w:tc>
        <w:tc>
          <w:tcPr>
            <w:tcW w:w="1197" w:type="pct"/>
            <w:shd w:val="clear" w:color="auto" w:fill="auto"/>
            <w:vAlign w:val="center"/>
          </w:tcPr>
          <w:p w14:paraId="7D4A94CB" w14:textId="77777777" w:rsidR="004463A4" w:rsidRPr="009E1B38" w:rsidRDefault="004463A4" w:rsidP="004463A4">
            <w:pPr>
              <w:spacing w:after="0" w:line="240" w:lineRule="auto"/>
              <w:jc w:val="right"/>
              <w:rPr>
                <w:rFonts w:ascii="Times New Roman" w:eastAsia="Times New Roman" w:hAnsi="Times New Roman"/>
                <w:color w:val="000000" w:themeColor="text1"/>
                <w:lang w:eastAsia="tr-TR"/>
              </w:rPr>
            </w:pPr>
            <w:r w:rsidRPr="009E1B38">
              <w:rPr>
                <w:rFonts w:ascii="Times New Roman" w:eastAsia="Times New Roman" w:hAnsi="Times New Roman"/>
                <w:color w:val="000000" w:themeColor="text1"/>
                <w:lang w:eastAsia="tr-TR"/>
              </w:rPr>
              <w:t>126.405.442,93</w:t>
            </w:r>
          </w:p>
        </w:tc>
        <w:tc>
          <w:tcPr>
            <w:tcW w:w="1232" w:type="pct"/>
            <w:shd w:val="clear" w:color="auto" w:fill="auto"/>
            <w:vAlign w:val="center"/>
          </w:tcPr>
          <w:p w14:paraId="7D4A94CC" w14:textId="77777777" w:rsidR="004463A4" w:rsidRPr="009E1B38" w:rsidRDefault="004463A4" w:rsidP="004463A4">
            <w:pPr>
              <w:spacing w:after="0" w:line="240" w:lineRule="auto"/>
              <w:jc w:val="right"/>
              <w:rPr>
                <w:rFonts w:ascii="Times New Roman" w:eastAsia="Times New Roman" w:hAnsi="Times New Roman"/>
                <w:b/>
                <w:bCs/>
                <w:color w:val="000000" w:themeColor="text1"/>
                <w:lang w:eastAsia="tr-TR"/>
              </w:rPr>
            </w:pPr>
            <w:r w:rsidRPr="009E1B38">
              <w:rPr>
                <w:rFonts w:ascii="Times New Roman" w:eastAsia="Times New Roman" w:hAnsi="Times New Roman"/>
                <w:b/>
                <w:bCs/>
                <w:color w:val="000000" w:themeColor="text1"/>
                <w:lang w:eastAsia="tr-TR"/>
              </w:rPr>
              <w:t>191.905.442,93</w:t>
            </w:r>
          </w:p>
        </w:tc>
      </w:tr>
      <w:tr w:rsidR="00F715C0" w:rsidRPr="009E1B38" w14:paraId="7D4A94D2" w14:textId="77777777" w:rsidTr="00B16F92">
        <w:trPr>
          <w:trHeight w:val="397"/>
          <w:jc w:val="right"/>
        </w:trPr>
        <w:tc>
          <w:tcPr>
            <w:tcW w:w="1374" w:type="pct"/>
            <w:shd w:val="clear" w:color="auto" w:fill="auto"/>
            <w:vAlign w:val="center"/>
          </w:tcPr>
          <w:p w14:paraId="7D4A94CE" w14:textId="77777777" w:rsidR="00F715C0" w:rsidRPr="009E1B38" w:rsidRDefault="00F715C0" w:rsidP="00F715C0">
            <w:pPr>
              <w:spacing w:after="0" w:line="240" w:lineRule="auto"/>
              <w:jc w:val="center"/>
              <w:rPr>
                <w:rFonts w:ascii="Times New Roman" w:eastAsia="Times New Roman" w:hAnsi="Times New Roman"/>
                <w:b/>
                <w:bCs/>
                <w:color w:val="000000" w:themeColor="text1"/>
                <w:lang w:eastAsia="tr-TR"/>
              </w:rPr>
            </w:pPr>
            <w:r w:rsidRPr="009E1B38">
              <w:rPr>
                <w:rFonts w:ascii="Times New Roman" w:eastAsia="Times New Roman" w:hAnsi="Times New Roman"/>
                <w:b/>
                <w:bCs/>
                <w:color w:val="000000" w:themeColor="text1"/>
                <w:lang w:eastAsia="tr-TR"/>
              </w:rPr>
              <w:t>2021</w:t>
            </w:r>
          </w:p>
        </w:tc>
        <w:tc>
          <w:tcPr>
            <w:tcW w:w="1197" w:type="pct"/>
            <w:shd w:val="clear" w:color="auto" w:fill="auto"/>
            <w:vAlign w:val="center"/>
          </w:tcPr>
          <w:p w14:paraId="7D4A94CF" w14:textId="77777777" w:rsidR="00F715C0" w:rsidRPr="009E1B38" w:rsidRDefault="00F715C0" w:rsidP="00F715C0">
            <w:pPr>
              <w:spacing w:after="0" w:line="240" w:lineRule="auto"/>
              <w:jc w:val="right"/>
              <w:rPr>
                <w:rFonts w:ascii="Times New Roman" w:eastAsia="Times New Roman" w:hAnsi="Times New Roman"/>
                <w:color w:val="000000" w:themeColor="text1"/>
                <w:lang w:eastAsia="tr-TR"/>
              </w:rPr>
            </w:pPr>
            <w:r w:rsidRPr="009E1B38">
              <w:rPr>
                <w:rFonts w:ascii="Times New Roman" w:eastAsia="Times New Roman" w:hAnsi="Times New Roman"/>
                <w:color w:val="000000" w:themeColor="text1"/>
                <w:lang w:eastAsia="tr-TR"/>
              </w:rPr>
              <w:t>98.000.000,00</w:t>
            </w:r>
          </w:p>
        </w:tc>
        <w:tc>
          <w:tcPr>
            <w:tcW w:w="1197" w:type="pct"/>
            <w:shd w:val="clear" w:color="auto" w:fill="auto"/>
            <w:vAlign w:val="center"/>
          </w:tcPr>
          <w:p w14:paraId="7D4A94D0" w14:textId="77777777" w:rsidR="00F715C0" w:rsidRPr="009E1B38" w:rsidRDefault="00F715C0" w:rsidP="00F715C0">
            <w:pPr>
              <w:spacing w:after="0" w:line="240" w:lineRule="auto"/>
              <w:jc w:val="right"/>
              <w:rPr>
                <w:rFonts w:ascii="Times New Roman" w:eastAsia="Times New Roman" w:hAnsi="Times New Roman"/>
                <w:color w:val="000000" w:themeColor="text1"/>
                <w:lang w:eastAsia="tr-TR"/>
              </w:rPr>
            </w:pPr>
            <w:r w:rsidRPr="009E1B38">
              <w:rPr>
                <w:rFonts w:ascii="Times New Roman" w:eastAsia="Times New Roman" w:hAnsi="Times New Roman"/>
                <w:color w:val="000000" w:themeColor="text1"/>
                <w:lang w:eastAsia="tr-TR"/>
              </w:rPr>
              <w:t>131.246.953,36</w:t>
            </w:r>
          </w:p>
        </w:tc>
        <w:tc>
          <w:tcPr>
            <w:tcW w:w="1232" w:type="pct"/>
            <w:shd w:val="clear" w:color="auto" w:fill="auto"/>
            <w:vAlign w:val="center"/>
          </w:tcPr>
          <w:p w14:paraId="7D4A94D1" w14:textId="77777777" w:rsidR="00F715C0" w:rsidRPr="009E1B38" w:rsidRDefault="00F715C0" w:rsidP="00F715C0">
            <w:pPr>
              <w:spacing w:after="0" w:line="240" w:lineRule="auto"/>
              <w:jc w:val="right"/>
              <w:rPr>
                <w:rFonts w:ascii="Times New Roman" w:eastAsia="Times New Roman" w:hAnsi="Times New Roman"/>
                <w:b/>
                <w:bCs/>
                <w:color w:val="000000" w:themeColor="text1"/>
                <w:lang w:eastAsia="tr-TR"/>
              </w:rPr>
            </w:pPr>
            <w:r w:rsidRPr="009E1B38">
              <w:rPr>
                <w:rFonts w:ascii="Times New Roman" w:eastAsia="Times New Roman" w:hAnsi="Times New Roman"/>
                <w:b/>
                <w:bCs/>
                <w:color w:val="000000" w:themeColor="text1"/>
                <w:lang w:eastAsia="tr-TR"/>
              </w:rPr>
              <w:t>229.246.953,36</w:t>
            </w:r>
          </w:p>
        </w:tc>
      </w:tr>
      <w:tr w:rsidR="00F715C0" w:rsidRPr="009E1B38" w14:paraId="7D4A94D7" w14:textId="77777777" w:rsidTr="00B16F92">
        <w:trPr>
          <w:trHeight w:val="397"/>
          <w:jc w:val="right"/>
        </w:trPr>
        <w:tc>
          <w:tcPr>
            <w:tcW w:w="1374" w:type="pct"/>
            <w:shd w:val="clear" w:color="auto" w:fill="auto"/>
            <w:vAlign w:val="center"/>
            <w:hideMark/>
          </w:tcPr>
          <w:p w14:paraId="7D4A94D3" w14:textId="40DD60BF" w:rsidR="00F715C0" w:rsidRPr="009E1B38" w:rsidRDefault="00F715C0" w:rsidP="00F715C0">
            <w:pPr>
              <w:spacing w:after="0" w:line="240" w:lineRule="auto"/>
              <w:jc w:val="center"/>
              <w:rPr>
                <w:rFonts w:ascii="Times New Roman" w:eastAsia="Times New Roman" w:hAnsi="Times New Roman"/>
                <w:b/>
                <w:color w:val="000000"/>
                <w:lang w:eastAsia="tr-TR"/>
              </w:rPr>
            </w:pPr>
            <w:r w:rsidRPr="009E1B38">
              <w:rPr>
                <w:rFonts w:ascii="Times New Roman" w:eastAsia="Times New Roman" w:hAnsi="Times New Roman"/>
                <w:b/>
                <w:color w:val="000000" w:themeColor="text1"/>
                <w:lang w:eastAsia="tr-TR"/>
              </w:rPr>
              <w:t>To</w:t>
            </w:r>
            <w:r w:rsidR="00B331BD" w:rsidRPr="009E1B38">
              <w:rPr>
                <w:rFonts w:ascii="Times New Roman" w:eastAsia="Times New Roman" w:hAnsi="Times New Roman"/>
                <w:b/>
                <w:color w:val="000000" w:themeColor="text1"/>
                <w:lang w:eastAsia="tr-TR"/>
              </w:rPr>
              <w:t>tal</w:t>
            </w:r>
          </w:p>
        </w:tc>
        <w:tc>
          <w:tcPr>
            <w:tcW w:w="1197" w:type="pct"/>
            <w:shd w:val="clear" w:color="auto" w:fill="auto"/>
            <w:vAlign w:val="center"/>
          </w:tcPr>
          <w:p w14:paraId="7D4A94D4" w14:textId="77777777" w:rsidR="00F715C0" w:rsidRPr="009E1B38" w:rsidRDefault="00F715C0" w:rsidP="00F715C0">
            <w:pPr>
              <w:spacing w:after="0" w:line="240" w:lineRule="auto"/>
              <w:jc w:val="right"/>
              <w:rPr>
                <w:rFonts w:ascii="Times New Roman" w:eastAsia="Times New Roman" w:hAnsi="Times New Roman"/>
                <w:b/>
                <w:bCs/>
                <w:color w:val="000000" w:themeColor="text1"/>
                <w:lang w:eastAsia="tr-TR"/>
              </w:rPr>
            </w:pPr>
            <w:r w:rsidRPr="009E1B38">
              <w:rPr>
                <w:rFonts w:ascii="Times New Roman" w:eastAsia="Times New Roman" w:hAnsi="Times New Roman"/>
                <w:b/>
                <w:bCs/>
                <w:color w:val="000000" w:themeColor="text1"/>
                <w:lang w:eastAsia="tr-TR"/>
              </w:rPr>
              <w:t>668.856.955,86</w:t>
            </w:r>
          </w:p>
        </w:tc>
        <w:tc>
          <w:tcPr>
            <w:tcW w:w="1197" w:type="pct"/>
            <w:shd w:val="clear" w:color="auto" w:fill="auto"/>
            <w:vAlign w:val="center"/>
          </w:tcPr>
          <w:p w14:paraId="7D4A94D5" w14:textId="77777777" w:rsidR="00F715C0" w:rsidRPr="009E1B38" w:rsidRDefault="00F715C0" w:rsidP="00F715C0">
            <w:pPr>
              <w:spacing w:after="0" w:line="240" w:lineRule="auto"/>
              <w:jc w:val="right"/>
              <w:rPr>
                <w:rFonts w:ascii="Times New Roman" w:eastAsia="Times New Roman" w:hAnsi="Times New Roman"/>
                <w:b/>
                <w:bCs/>
                <w:color w:val="000000" w:themeColor="text1"/>
                <w:lang w:eastAsia="tr-TR"/>
              </w:rPr>
            </w:pPr>
            <w:r w:rsidRPr="009E1B38">
              <w:rPr>
                <w:rFonts w:ascii="Times New Roman" w:eastAsia="Times New Roman" w:hAnsi="Times New Roman"/>
                <w:b/>
                <w:bCs/>
                <w:color w:val="000000" w:themeColor="text1"/>
                <w:lang w:eastAsia="tr-TR"/>
              </w:rPr>
              <w:t>868.375.831,66</w:t>
            </w:r>
          </w:p>
        </w:tc>
        <w:tc>
          <w:tcPr>
            <w:tcW w:w="1232" w:type="pct"/>
            <w:shd w:val="clear" w:color="auto" w:fill="auto"/>
            <w:vAlign w:val="center"/>
          </w:tcPr>
          <w:p w14:paraId="7D4A94D6" w14:textId="77777777" w:rsidR="00F715C0" w:rsidRPr="009E1B38" w:rsidRDefault="00F715C0" w:rsidP="00F715C0">
            <w:pPr>
              <w:spacing w:after="0" w:line="240" w:lineRule="auto"/>
              <w:jc w:val="right"/>
              <w:rPr>
                <w:rFonts w:ascii="Times New Roman" w:eastAsia="Times New Roman" w:hAnsi="Times New Roman"/>
                <w:b/>
                <w:bCs/>
                <w:color w:val="000000" w:themeColor="text1"/>
                <w:lang w:eastAsia="tr-TR"/>
              </w:rPr>
            </w:pPr>
            <w:r w:rsidRPr="009E1B38">
              <w:rPr>
                <w:rFonts w:ascii="Times New Roman" w:eastAsia="Times New Roman" w:hAnsi="Times New Roman"/>
                <w:b/>
                <w:bCs/>
                <w:color w:val="000000" w:themeColor="text1"/>
                <w:lang w:eastAsia="tr-TR"/>
              </w:rPr>
              <w:t>1.537.232.787,52</w:t>
            </w:r>
          </w:p>
        </w:tc>
      </w:tr>
    </w:tbl>
    <w:p w14:paraId="7D4A94D9" w14:textId="77777777" w:rsidR="008F5245" w:rsidRPr="009E1B38" w:rsidRDefault="008F5245">
      <w:pPr>
        <w:rPr>
          <w:rFonts w:ascii="Times New Roman" w:hAnsi="Times New Roman"/>
          <w:color w:val="000000" w:themeColor="text1"/>
          <w:sz w:val="24"/>
          <w:szCs w:val="24"/>
        </w:rPr>
      </w:pPr>
    </w:p>
    <w:p w14:paraId="7D4A94DA" w14:textId="01B54D1B" w:rsidR="00C25631" w:rsidRPr="009E1B38" w:rsidRDefault="00823523" w:rsidP="00694BCF">
      <w:pPr>
        <w:pStyle w:val="Balk2"/>
        <w:rPr>
          <w:rFonts w:cs="Times New Roman"/>
        </w:rPr>
      </w:pPr>
      <w:bookmarkStart w:id="397" w:name="_Toc113615418"/>
      <w:r w:rsidRPr="009E1B38">
        <w:rPr>
          <w:rFonts w:cs="Times New Roman"/>
        </w:rPr>
        <w:t>1</w:t>
      </w:r>
      <w:r w:rsidR="00456863" w:rsidRPr="009E1B38">
        <w:rPr>
          <w:rFonts w:cs="Times New Roman"/>
        </w:rPr>
        <w:t>4</w:t>
      </w:r>
      <w:r w:rsidRPr="009E1B38">
        <w:rPr>
          <w:rFonts w:cs="Times New Roman"/>
        </w:rPr>
        <w:t xml:space="preserve">.1. </w:t>
      </w:r>
      <w:r w:rsidR="0023319A" w:rsidRPr="009E1B38">
        <w:rPr>
          <w:rFonts w:cs="Times New Roman"/>
          <w:color w:val="000000" w:themeColor="text1"/>
          <w:szCs w:val="24"/>
        </w:rPr>
        <w:t>2021 Budget Implementation Results</w:t>
      </w:r>
      <w:bookmarkEnd w:id="397"/>
    </w:p>
    <w:p w14:paraId="7518A9FE" w14:textId="2321DC04" w:rsidR="009455D9" w:rsidRPr="009E1B38" w:rsidRDefault="009455D9" w:rsidP="009455D9">
      <w:pPr>
        <w:rPr>
          <w:rFonts w:ascii="Times New Roman" w:hAnsi="Times New Roman"/>
        </w:rPr>
      </w:pPr>
      <w:r w:rsidRPr="009E1B38">
        <w:rPr>
          <w:rFonts w:ascii="Times New Roman" w:hAnsi="Times New Roman"/>
        </w:rPr>
        <w:t xml:space="preserve">2021 budget of the Authority was accepted in the Turkish Grand National Assembly became effective as of 01.01.2021 upon publication in the Official Gazette dated 31.12.2020 and numbered 31351. </w:t>
      </w:r>
    </w:p>
    <w:p w14:paraId="7D4A94DC" w14:textId="3997E4B1" w:rsidR="002966DA" w:rsidRPr="009E1B38" w:rsidRDefault="009455D9" w:rsidP="009455D9">
      <w:pPr>
        <w:pStyle w:val="Balk3"/>
        <w:spacing w:after="240"/>
        <w:ind w:left="2340"/>
        <w:rPr>
          <w:rFonts w:ascii="Times New Roman" w:hAnsi="Times New Roman" w:cs="Times New Roman"/>
          <w:sz w:val="24"/>
          <w:szCs w:val="24"/>
        </w:rPr>
      </w:pPr>
      <w:bookmarkStart w:id="398" w:name="_Toc113615419"/>
      <w:r w:rsidRPr="009E1B38">
        <w:rPr>
          <w:rFonts w:ascii="Times New Roman" w:hAnsi="Times New Roman" w:cs="Times New Roman"/>
          <w:sz w:val="24"/>
          <w:szCs w:val="24"/>
        </w:rPr>
        <w:t>1</w:t>
      </w:r>
      <w:r w:rsidR="00187284" w:rsidRPr="009E1B38">
        <w:rPr>
          <w:rFonts w:ascii="Times New Roman" w:hAnsi="Times New Roman" w:cs="Times New Roman"/>
          <w:sz w:val="24"/>
          <w:szCs w:val="24"/>
        </w:rPr>
        <w:t>4</w:t>
      </w:r>
      <w:r w:rsidRPr="009E1B38">
        <w:rPr>
          <w:rFonts w:ascii="Times New Roman" w:hAnsi="Times New Roman" w:cs="Times New Roman"/>
          <w:sz w:val="24"/>
          <w:szCs w:val="24"/>
        </w:rPr>
        <w:t>.1.1</w:t>
      </w:r>
      <w:r w:rsidR="00187284" w:rsidRPr="009E1B38">
        <w:rPr>
          <w:rFonts w:ascii="Times New Roman" w:hAnsi="Times New Roman" w:cs="Times New Roman"/>
          <w:sz w:val="24"/>
          <w:szCs w:val="24"/>
        </w:rPr>
        <w:t xml:space="preserve"> Income Budget</w:t>
      </w:r>
      <w:bookmarkEnd w:id="398"/>
    </w:p>
    <w:p w14:paraId="2C82D720" w14:textId="77777777" w:rsidR="00904F57" w:rsidRPr="009E1B38" w:rsidRDefault="00904F57" w:rsidP="00904F57">
      <w:pPr>
        <w:rPr>
          <w:rFonts w:ascii="Times New Roman" w:hAnsi="Times New Roman"/>
        </w:rPr>
      </w:pPr>
      <w:r w:rsidRPr="009E1B38">
        <w:rPr>
          <w:rFonts w:ascii="Times New Roman" w:hAnsi="Times New Roman"/>
        </w:rPr>
        <w:t>Net budget revenues for 2021 were estimated as 323.052.000. -TL and a net budget revenue of 487.183.334. TL was obtained. Thus, the budget revenue realization rate was 150.81%. The revenues of the Authority consist of the following elements included in Article 10 of the Law No. 4628:</w:t>
      </w:r>
    </w:p>
    <w:p w14:paraId="3283AF75" w14:textId="77777777" w:rsidR="00904F57" w:rsidRPr="009E1B38" w:rsidRDefault="00904F57" w:rsidP="003E1A6A">
      <w:pPr>
        <w:numPr>
          <w:ilvl w:val="0"/>
          <w:numId w:val="1"/>
        </w:numPr>
        <w:tabs>
          <w:tab w:val="left" w:pos="284"/>
          <w:tab w:val="left" w:pos="567"/>
          <w:tab w:val="left" w:pos="709"/>
          <w:tab w:val="left" w:pos="851"/>
        </w:tabs>
        <w:ind w:left="284" w:firstLine="0"/>
        <w:contextualSpacing/>
        <w:rPr>
          <w:rFonts w:ascii="Times New Roman" w:hAnsi="Times New Roman"/>
        </w:rPr>
      </w:pPr>
      <w:r w:rsidRPr="009E1B38">
        <w:rPr>
          <w:rFonts w:ascii="Times New Roman" w:hAnsi="Times New Roman"/>
        </w:rPr>
        <w:t>License (Annual license in electricity and natural gas markets; licenses in electricity, natural gas, petroleum and LPG markets, license renewal, license amendment and license copy), certificate, approval, permit and visa fees to be collected (in natural gas market)</w:t>
      </w:r>
    </w:p>
    <w:p w14:paraId="00EEE443" w14:textId="77777777" w:rsidR="00904F57" w:rsidRPr="009E1B38" w:rsidRDefault="00904F57" w:rsidP="00904F57">
      <w:pPr>
        <w:tabs>
          <w:tab w:val="left" w:pos="284"/>
          <w:tab w:val="left" w:pos="567"/>
          <w:tab w:val="left" w:pos="709"/>
          <w:tab w:val="left" w:pos="851"/>
        </w:tabs>
        <w:spacing w:after="0"/>
        <w:ind w:left="284"/>
        <w:contextualSpacing/>
        <w:rPr>
          <w:rFonts w:ascii="Times New Roman" w:hAnsi="Times New Roman"/>
        </w:rPr>
      </w:pPr>
      <w:r w:rsidRPr="009E1B38">
        <w:rPr>
          <w:rFonts w:ascii="Times New Roman" w:hAnsi="Times New Roman"/>
        </w:rPr>
        <w:t xml:space="preserve"> </w:t>
      </w:r>
    </w:p>
    <w:p w14:paraId="67B7A020" w14:textId="77777777" w:rsidR="00904F57" w:rsidRPr="009E1B38" w:rsidRDefault="00904F57" w:rsidP="003E1A6A">
      <w:pPr>
        <w:numPr>
          <w:ilvl w:val="0"/>
          <w:numId w:val="1"/>
        </w:numPr>
        <w:tabs>
          <w:tab w:val="left" w:pos="284"/>
          <w:tab w:val="left" w:pos="567"/>
          <w:tab w:val="left" w:pos="709"/>
          <w:tab w:val="left" w:pos="851"/>
        </w:tabs>
        <w:spacing w:after="0"/>
        <w:ind w:left="284" w:firstLine="0"/>
        <w:contextualSpacing/>
        <w:rPr>
          <w:rFonts w:ascii="Times New Roman" w:hAnsi="Times New Roman"/>
        </w:rPr>
      </w:pPr>
      <w:r w:rsidRPr="009E1B38">
        <w:rPr>
          <w:rFonts w:ascii="Times New Roman" w:hAnsi="Times New Roman"/>
        </w:rPr>
        <w:t>Contribution fee. (In natural gas, petroleum and LPG markets)</w:t>
      </w:r>
    </w:p>
    <w:p w14:paraId="0A86D7E7" w14:textId="77777777" w:rsidR="00904F57" w:rsidRPr="009E1B38" w:rsidRDefault="00904F57" w:rsidP="00904F57">
      <w:pPr>
        <w:tabs>
          <w:tab w:val="left" w:pos="284"/>
          <w:tab w:val="left" w:pos="567"/>
          <w:tab w:val="left" w:pos="709"/>
          <w:tab w:val="left" w:pos="851"/>
        </w:tabs>
        <w:spacing w:after="0"/>
        <w:ind w:left="284"/>
        <w:contextualSpacing/>
        <w:rPr>
          <w:rFonts w:ascii="Times New Roman" w:hAnsi="Times New Roman"/>
        </w:rPr>
      </w:pPr>
    </w:p>
    <w:p w14:paraId="7215638D" w14:textId="4C624371" w:rsidR="00904F57" w:rsidRPr="009E1B38" w:rsidRDefault="00904F57" w:rsidP="00904F57">
      <w:pPr>
        <w:spacing w:after="120"/>
        <w:rPr>
          <w:rFonts w:ascii="Times New Roman" w:hAnsi="Times New Roman"/>
        </w:rPr>
      </w:pPr>
      <w:r w:rsidRPr="009E1B38">
        <w:rPr>
          <w:rFonts w:ascii="Times New Roman" w:hAnsi="Times New Roman"/>
        </w:rPr>
        <w:t xml:space="preserve">There is no contribution fee in the electricity market, the payer of the contribution fee in the natural gas market are the </w:t>
      </w:r>
      <w:r w:rsidR="00135D72" w:rsidRPr="009E1B38">
        <w:rPr>
          <w:rFonts w:ascii="Times New Roman" w:hAnsi="Times New Roman"/>
        </w:rPr>
        <w:t>legal entities</w:t>
      </w:r>
      <w:r w:rsidRPr="009E1B38">
        <w:rPr>
          <w:rFonts w:ascii="Times New Roman" w:hAnsi="Times New Roman"/>
        </w:rPr>
        <w:t xml:space="preserve"> holding licenses and certificates. Contribution fee is calculated by multiplying the contribution fee rate determined by the Authority not exceeding 0,2‰ of the net sale proceeds amounts in the revenue tables to be prepared by the payer pertaining to the annual activity period. </w:t>
      </w:r>
    </w:p>
    <w:p w14:paraId="3998FFA0" w14:textId="63903103" w:rsidR="00904F57" w:rsidRPr="009E1B38" w:rsidRDefault="00904F57" w:rsidP="00904F57">
      <w:pPr>
        <w:spacing w:after="120"/>
        <w:rPr>
          <w:rFonts w:ascii="Times New Roman" w:hAnsi="Times New Roman"/>
        </w:rPr>
      </w:pPr>
      <w:r w:rsidRPr="009E1B38">
        <w:rPr>
          <w:rFonts w:ascii="Times New Roman" w:hAnsi="Times New Roman"/>
        </w:rPr>
        <w:t xml:space="preserve">The payers of the contribution fee in the petroleum market are the real or </w:t>
      </w:r>
      <w:r w:rsidR="00135D72" w:rsidRPr="009E1B38">
        <w:rPr>
          <w:rFonts w:ascii="Times New Roman" w:hAnsi="Times New Roman"/>
        </w:rPr>
        <w:t>legal entities</w:t>
      </w:r>
      <w:r w:rsidRPr="009E1B38">
        <w:rPr>
          <w:rFonts w:ascii="Times New Roman" w:hAnsi="Times New Roman"/>
        </w:rPr>
        <w:t xml:space="preserve"> holding refining, processing, distributor, transmission, transportation, bunker, storage, vendorship and lube oil production licenses. Joint license holders pay the contribution fee according to their total net sale.</w:t>
      </w:r>
    </w:p>
    <w:p w14:paraId="3D936A14" w14:textId="1D36D182" w:rsidR="00904F57" w:rsidRPr="009E1B38" w:rsidRDefault="00904F57" w:rsidP="00904F57">
      <w:pPr>
        <w:rPr>
          <w:rFonts w:ascii="Times New Roman" w:hAnsi="Times New Roman"/>
        </w:rPr>
      </w:pPr>
      <w:r w:rsidRPr="009E1B38">
        <w:rPr>
          <w:rFonts w:ascii="Times New Roman" w:hAnsi="Times New Roman"/>
        </w:rPr>
        <w:t xml:space="preserve">The payers of the contribution fee in the LPG market are the real or </w:t>
      </w:r>
      <w:r w:rsidR="00135D72" w:rsidRPr="009E1B38">
        <w:rPr>
          <w:rFonts w:ascii="Times New Roman" w:hAnsi="Times New Roman"/>
        </w:rPr>
        <w:t>legal entities</w:t>
      </w:r>
      <w:r w:rsidRPr="009E1B38">
        <w:rPr>
          <w:rFonts w:ascii="Times New Roman" w:hAnsi="Times New Roman"/>
        </w:rPr>
        <w:t xml:space="preserve"> holding petroleum market refining undertaking, LPG market distribution, LPG market auto gas vendorship licenses. The license or joint license holders operating in the LPG market pay the contribution fee according to their total net liquid fuel or LPG sale. </w:t>
      </w:r>
    </w:p>
    <w:p w14:paraId="5B5949A5" w14:textId="77777777" w:rsidR="00904F57" w:rsidRPr="009E1B38" w:rsidRDefault="00904F57" w:rsidP="00904F57">
      <w:pPr>
        <w:rPr>
          <w:rFonts w:ascii="Times New Roman" w:hAnsi="Times New Roman"/>
        </w:rPr>
      </w:pPr>
      <w:r w:rsidRPr="009E1B38">
        <w:rPr>
          <w:rFonts w:ascii="Times New Roman" w:hAnsi="Times New Roman"/>
        </w:rPr>
        <w:t xml:space="preserve">However, contribution fee pertaining to petroleum and LPG markets are determined by the Board not exceeding 1‰ of the amount of net sale in the license holders’ annual revenue tables and not exceeding two million USD. </w:t>
      </w:r>
    </w:p>
    <w:p w14:paraId="0B6B2A9E" w14:textId="77777777" w:rsidR="00904F57" w:rsidRPr="009E1B38" w:rsidRDefault="00904F57" w:rsidP="00904F57">
      <w:pPr>
        <w:spacing w:after="0"/>
        <w:rPr>
          <w:rFonts w:ascii="Times New Roman" w:hAnsi="Times New Roman"/>
        </w:rPr>
      </w:pPr>
      <w:r w:rsidRPr="009E1B38">
        <w:rPr>
          <w:rFonts w:ascii="Times New Roman" w:hAnsi="Times New Roman"/>
        </w:rPr>
        <w:t>On the other hand;</w:t>
      </w:r>
    </w:p>
    <w:p w14:paraId="294EA38D" w14:textId="77777777" w:rsidR="00904F57" w:rsidRPr="009E1B38" w:rsidRDefault="00904F57" w:rsidP="003E1A6A">
      <w:pPr>
        <w:numPr>
          <w:ilvl w:val="0"/>
          <w:numId w:val="1"/>
        </w:numPr>
        <w:tabs>
          <w:tab w:val="left" w:pos="284"/>
          <w:tab w:val="left" w:pos="567"/>
          <w:tab w:val="left" w:pos="709"/>
          <w:tab w:val="left" w:pos="851"/>
        </w:tabs>
        <w:spacing w:after="0"/>
        <w:ind w:left="284" w:firstLine="0"/>
        <w:contextualSpacing/>
        <w:rPr>
          <w:rFonts w:ascii="Times New Roman" w:hAnsi="Times New Roman"/>
        </w:rPr>
      </w:pPr>
      <w:r w:rsidRPr="009E1B38">
        <w:rPr>
          <w:rFonts w:ascii="Times New Roman" w:hAnsi="Times New Roman"/>
        </w:rPr>
        <w:t xml:space="preserve">Transmission surcharge at a rate of maximum 1% of the electricity market transmission tariff. </w:t>
      </w:r>
    </w:p>
    <w:p w14:paraId="48E51BE2" w14:textId="77777777" w:rsidR="00904F57" w:rsidRPr="009E1B38" w:rsidRDefault="00904F57" w:rsidP="003E1A6A">
      <w:pPr>
        <w:numPr>
          <w:ilvl w:val="0"/>
          <w:numId w:val="1"/>
        </w:numPr>
        <w:tabs>
          <w:tab w:val="left" w:pos="284"/>
          <w:tab w:val="left" w:pos="567"/>
          <w:tab w:val="left" w:pos="709"/>
          <w:tab w:val="left" w:pos="851"/>
        </w:tabs>
        <w:spacing w:after="0"/>
        <w:ind w:left="284" w:firstLine="0"/>
        <w:contextualSpacing/>
        <w:rPr>
          <w:rFonts w:ascii="Times New Roman" w:hAnsi="Times New Roman"/>
        </w:rPr>
      </w:pPr>
      <w:r w:rsidRPr="009E1B38">
        <w:rPr>
          <w:rFonts w:ascii="Times New Roman" w:hAnsi="Times New Roman"/>
        </w:rPr>
        <w:t xml:space="preserve">25% of the administrative fines imposed by the Board pertaining to the electricity market </w:t>
      </w:r>
    </w:p>
    <w:p w14:paraId="186B87C4" w14:textId="77777777" w:rsidR="00904F57" w:rsidRPr="009E1B38" w:rsidRDefault="00904F57" w:rsidP="003E1A6A">
      <w:pPr>
        <w:numPr>
          <w:ilvl w:val="0"/>
          <w:numId w:val="1"/>
        </w:numPr>
        <w:tabs>
          <w:tab w:val="left" w:pos="284"/>
          <w:tab w:val="left" w:pos="567"/>
          <w:tab w:val="left" w:pos="709"/>
          <w:tab w:val="left" w:pos="851"/>
        </w:tabs>
        <w:spacing w:after="0"/>
        <w:ind w:left="284" w:firstLine="0"/>
        <w:contextualSpacing/>
        <w:rPr>
          <w:rFonts w:ascii="Times New Roman" w:hAnsi="Times New Roman"/>
        </w:rPr>
      </w:pPr>
      <w:r w:rsidRPr="009E1B38">
        <w:rPr>
          <w:rFonts w:ascii="Times New Roman" w:hAnsi="Times New Roman"/>
        </w:rPr>
        <w:t xml:space="preserve">Publication revenues and other revenues, </w:t>
      </w:r>
    </w:p>
    <w:p w14:paraId="70443BCC" w14:textId="3AAA0AF3" w:rsidR="00904F57" w:rsidRPr="009E1B38" w:rsidRDefault="00904F57" w:rsidP="003E1A6A">
      <w:pPr>
        <w:numPr>
          <w:ilvl w:val="0"/>
          <w:numId w:val="1"/>
        </w:numPr>
        <w:tabs>
          <w:tab w:val="left" w:pos="284"/>
          <w:tab w:val="left" w:pos="567"/>
          <w:tab w:val="left" w:pos="709"/>
          <w:tab w:val="left" w:pos="851"/>
        </w:tabs>
        <w:spacing w:after="0"/>
        <w:ind w:left="284" w:firstLine="0"/>
        <w:contextualSpacing/>
        <w:rPr>
          <w:rFonts w:ascii="Times New Roman" w:hAnsi="Times New Roman"/>
        </w:rPr>
      </w:pPr>
      <w:r w:rsidRPr="009E1B38">
        <w:rPr>
          <w:rFonts w:ascii="Times New Roman" w:hAnsi="Times New Roman"/>
        </w:rPr>
        <w:t xml:space="preserve">Grants to be provided by the international organizations or </w:t>
      </w:r>
      <w:r w:rsidR="00656644" w:rsidRPr="009E1B38">
        <w:rPr>
          <w:rFonts w:ascii="Times New Roman" w:hAnsi="Times New Roman"/>
        </w:rPr>
        <w:t>Authorities</w:t>
      </w:r>
      <w:r w:rsidRPr="009E1B38">
        <w:rPr>
          <w:rFonts w:ascii="Times New Roman" w:hAnsi="Times New Roman"/>
        </w:rPr>
        <w:t xml:space="preserve"> to be used in the financing of the preliminary studies and project studies pertaining to market development provided that the details are announced to the public. </w:t>
      </w:r>
    </w:p>
    <w:p w14:paraId="04B6F9E6" w14:textId="77777777" w:rsidR="00904F57" w:rsidRPr="009E1B38" w:rsidRDefault="00904F57" w:rsidP="00904F57">
      <w:pPr>
        <w:tabs>
          <w:tab w:val="left" w:pos="284"/>
          <w:tab w:val="left" w:pos="567"/>
          <w:tab w:val="left" w:pos="709"/>
          <w:tab w:val="left" w:pos="851"/>
        </w:tabs>
        <w:spacing w:after="0"/>
        <w:ind w:left="284"/>
        <w:contextualSpacing/>
        <w:rPr>
          <w:rFonts w:ascii="Times New Roman" w:hAnsi="Times New Roman"/>
          <w:color w:val="000000" w:themeColor="text1"/>
        </w:rPr>
      </w:pPr>
      <w:r w:rsidRPr="009E1B38">
        <w:rPr>
          <w:rFonts w:ascii="Times New Roman" w:hAnsi="Times New Roman"/>
          <w:color w:val="000000" w:themeColor="text1"/>
        </w:rPr>
        <w:lastRenderedPageBreak/>
        <w:t>The fees to be applied in 2021 regarding the abovementioned revenue items was determined by Board Decision.</w:t>
      </w:r>
    </w:p>
    <w:p w14:paraId="7D4A94EC" w14:textId="5DF2494D" w:rsidR="009F6F06" w:rsidRPr="009E1B38" w:rsidRDefault="00471C00" w:rsidP="00471C00">
      <w:pPr>
        <w:pStyle w:val="Balk3"/>
        <w:spacing w:before="120" w:after="240"/>
        <w:ind w:left="2520"/>
        <w:rPr>
          <w:rFonts w:ascii="Times New Roman" w:hAnsi="Times New Roman" w:cs="Times New Roman"/>
          <w:sz w:val="24"/>
          <w:szCs w:val="24"/>
        </w:rPr>
      </w:pPr>
      <w:bookmarkStart w:id="399" w:name="_Toc113615420"/>
      <w:r w:rsidRPr="009E1B38">
        <w:rPr>
          <w:rFonts w:ascii="Times New Roman" w:hAnsi="Times New Roman" w:cs="Times New Roman"/>
          <w:sz w:val="24"/>
          <w:szCs w:val="24"/>
        </w:rPr>
        <w:t>14.1.2. Expenditure Budget</w:t>
      </w:r>
      <w:bookmarkEnd w:id="399"/>
    </w:p>
    <w:p w14:paraId="5488180B" w14:textId="77777777" w:rsidR="00E90CF4" w:rsidRPr="009E1B38" w:rsidRDefault="00E90CF4" w:rsidP="00E90CF4">
      <w:pPr>
        <w:spacing w:after="120"/>
        <w:rPr>
          <w:rFonts w:ascii="Times New Roman" w:hAnsi="Times New Roman"/>
        </w:rPr>
      </w:pPr>
      <w:r w:rsidRPr="009E1B38">
        <w:rPr>
          <w:rFonts w:ascii="Times New Roman" w:hAnsi="Times New Roman"/>
        </w:rPr>
        <w:t>The 2021 expenditure budget of the Authority was foreseen as 323.052.000 TL, and the budget increased to 659.345.467. TL with the revisions made during the year 612.747.332. TL of the total budget appropriation was used, and 46.598.135. TL of the budget appropriation was canceled at the end of the year. Thus, the expenditure budget realization rate was 92.93%.</w:t>
      </w:r>
    </w:p>
    <w:p w14:paraId="040F3332" w14:textId="77777777" w:rsidR="00E90CF4" w:rsidRPr="009E1B38" w:rsidRDefault="00E90CF4" w:rsidP="00E90CF4">
      <w:pPr>
        <w:spacing w:after="0"/>
        <w:rPr>
          <w:rFonts w:ascii="Times New Roman" w:hAnsi="Times New Roman"/>
        </w:rPr>
      </w:pPr>
    </w:p>
    <w:p w14:paraId="7D4A94EF" w14:textId="126CF980" w:rsidR="0027136F" w:rsidRPr="009E1B38" w:rsidRDefault="00E90CF4" w:rsidP="00E90CF4">
      <w:pPr>
        <w:spacing w:after="0"/>
        <w:jc w:val="left"/>
        <w:rPr>
          <w:rFonts w:ascii="Times New Roman" w:hAnsi="Times New Roman"/>
          <w:b/>
        </w:rPr>
        <w:sectPr w:rsidR="0027136F" w:rsidRPr="009E1B38" w:rsidSect="008F5245">
          <w:pgSz w:w="11906" w:h="16838"/>
          <w:pgMar w:top="1418" w:right="567" w:bottom="1418" w:left="1418" w:header="709" w:footer="709" w:gutter="0"/>
          <w:cols w:space="708"/>
          <w:docGrid w:linePitch="360"/>
        </w:sectPr>
      </w:pPr>
      <w:r w:rsidRPr="009E1B38">
        <w:rPr>
          <w:rFonts w:ascii="Times New Roman" w:hAnsi="Times New Roman"/>
        </w:rPr>
        <w:t>In the appendix, the activity results table and balance sheet of the Authority for the years 2019-2020-2021 are given comparatively.</w:t>
      </w:r>
    </w:p>
    <w:p w14:paraId="7D4A94F0" w14:textId="16D6E9A5" w:rsidR="00056C40" w:rsidRPr="009E1B38" w:rsidRDefault="001824B8" w:rsidP="009A5906">
      <w:pPr>
        <w:pStyle w:val="Balk1"/>
        <w:ind w:right="-7"/>
        <w:rPr>
          <w:rFonts w:cs="Times New Roman"/>
          <w:b w:val="0"/>
          <w:sz w:val="14"/>
          <w:szCs w:val="14"/>
        </w:rPr>
      </w:pPr>
      <w:bookmarkStart w:id="400" w:name="_Toc113615421"/>
      <w:r w:rsidRPr="009E1B38">
        <w:rPr>
          <w:rFonts w:cs="Times New Roman"/>
          <w:szCs w:val="24"/>
        </w:rPr>
        <w:lastRenderedPageBreak/>
        <w:t>APPENDICES</w:t>
      </w:r>
      <w:bookmarkEnd w:id="400"/>
    </w:p>
    <w:p w14:paraId="517C6105" w14:textId="54C727F0" w:rsidR="00F919D1" w:rsidRPr="009E1B38" w:rsidRDefault="00F919D1" w:rsidP="00F919D1">
      <w:pPr>
        <w:rPr>
          <w:rFonts w:ascii="Times New Roman" w:hAnsi="Times New Roman"/>
          <w:b/>
          <w:sz w:val="24"/>
          <w:szCs w:val="24"/>
        </w:rPr>
      </w:pPr>
      <w:r w:rsidRPr="009E1B38">
        <w:rPr>
          <w:rFonts w:ascii="Times New Roman" w:hAnsi="Times New Roman"/>
          <w:b/>
          <w:sz w:val="24"/>
          <w:szCs w:val="24"/>
        </w:rPr>
        <w:t>ENERGY MARKET REGULATORY AUTHORITY ACTIVITY RESULTS TABLE (TL)*</w:t>
      </w:r>
    </w:p>
    <w:tbl>
      <w:tblPr>
        <w:tblW w:w="5546" w:type="pct"/>
        <w:tblInd w:w="-616" w:type="dxa"/>
        <w:tblCellMar>
          <w:left w:w="70" w:type="dxa"/>
          <w:right w:w="70" w:type="dxa"/>
        </w:tblCellMar>
        <w:tblLook w:val="04A0" w:firstRow="1" w:lastRow="0" w:firstColumn="1" w:lastColumn="0" w:noHBand="0" w:noVBand="1"/>
      </w:tblPr>
      <w:tblGrid>
        <w:gridCol w:w="405"/>
        <w:gridCol w:w="317"/>
        <w:gridCol w:w="317"/>
        <w:gridCol w:w="349"/>
        <w:gridCol w:w="2926"/>
        <w:gridCol w:w="310"/>
        <w:gridCol w:w="938"/>
        <w:gridCol w:w="310"/>
        <w:gridCol w:w="938"/>
        <w:gridCol w:w="310"/>
        <w:gridCol w:w="938"/>
        <w:gridCol w:w="146"/>
        <w:gridCol w:w="461"/>
        <w:gridCol w:w="363"/>
        <w:gridCol w:w="363"/>
        <w:gridCol w:w="94"/>
        <w:gridCol w:w="261"/>
        <w:gridCol w:w="90"/>
        <w:gridCol w:w="264"/>
        <w:gridCol w:w="104"/>
        <w:gridCol w:w="412"/>
        <w:gridCol w:w="412"/>
        <w:gridCol w:w="2884"/>
        <w:gridCol w:w="704"/>
        <w:gridCol w:w="544"/>
        <w:gridCol w:w="705"/>
        <w:gridCol w:w="545"/>
        <w:gridCol w:w="733"/>
        <w:gridCol w:w="570"/>
        <w:gridCol w:w="44"/>
      </w:tblGrid>
      <w:tr w:rsidR="000875F4" w:rsidRPr="009E1B38" w14:paraId="7D4A9503" w14:textId="77777777" w:rsidTr="00343D35">
        <w:trPr>
          <w:trHeight w:val="20"/>
        </w:trPr>
        <w:tc>
          <w:tcPr>
            <w:tcW w:w="115" w:type="pct"/>
            <w:tcBorders>
              <w:top w:val="nil"/>
              <w:left w:val="nil"/>
              <w:bottom w:val="nil"/>
              <w:right w:val="nil"/>
            </w:tcBorders>
            <w:shd w:val="clear" w:color="auto" w:fill="auto"/>
            <w:noWrap/>
            <w:vAlign w:val="bottom"/>
            <w:hideMark/>
          </w:tcPr>
          <w:p w14:paraId="7D4A94F2" w14:textId="77777777" w:rsidR="000875F4" w:rsidRPr="009E1B38" w:rsidRDefault="000875F4" w:rsidP="000875F4">
            <w:pPr>
              <w:spacing w:after="0" w:line="240" w:lineRule="auto"/>
              <w:jc w:val="left"/>
              <w:rPr>
                <w:rFonts w:ascii="Times New Roman" w:eastAsia="Times New Roman" w:hAnsi="Times New Roman"/>
                <w:sz w:val="24"/>
                <w:szCs w:val="24"/>
                <w:lang w:eastAsia="tr-TR"/>
              </w:rPr>
            </w:pPr>
          </w:p>
        </w:tc>
        <w:tc>
          <w:tcPr>
            <w:tcW w:w="179" w:type="pct"/>
            <w:gridSpan w:val="2"/>
            <w:tcBorders>
              <w:top w:val="nil"/>
              <w:left w:val="nil"/>
              <w:bottom w:val="nil"/>
              <w:right w:val="nil"/>
            </w:tcBorders>
            <w:shd w:val="clear" w:color="auto" w:fill="auto"/>
            <w:noWrap/>
            <w:vAlign w:val="bottom"/>
            <w:hideMark/>
          </w:tcPr>
          <w:p w14:paraId="7D4A94F3"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7D4A94F4"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912" w:type="pct"/>
            <w:gridSpan w:val="2"/>
            <w:tcBorders>
              <w:top w:val="nil"/>
              <w:left w:val="nil"/>
              <w:bottom w:val="nil"/>
              <w:right w:val="nil"/>
            </w:tcBorders>
            <w:shd w:val="clear" w:color="auto" w:fill="auto"/>
            <w:noWrap/>
            <w:vAlign w:val="bottom"/>
            <w:hideMark/>
          </w:tcPr>
          <w:p w14:paraId="7D4A94F5"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4F6"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4F7"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433" w:type="pct"/>
            <w:gridSpan w:val="3"/>
            <w:tcBorders>
              <w:top w:val="nil"/>
              <w:left w:val="nil"/>
              <w:bottom w:val="nil"/>
              <w:right w:val="nil"/>
            </w:tcBorders>
            <w:shd w:val="clear" w:color="auto" w:fill="auto"/>
            <w:noWrap/>
            <w:vAlign w:val="bottom"/>
            <w:hideMark/>
          </w:tcPr>
          <w:p w14:paraId="7D4A94F8"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100" w:type="pct"/>
            <w:tcBorders>
              <w:top w:val="nil"/>
              <w:left w:val="nil"/>
              <w:bottom w:val="nil"/>
              <w:right w:val="nil"/>
            </w:tcBorders>
            <w:shd w:val="clear" w:color="auto" w:fill="auto"/>
            <w:noWrap/>
            <w:vAlign w:val="bottom"/>
            <w:hideMark/>
          </w:tcPr>
          <w:p w14:paraId="7D4A94F9"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126" w:type="pct"/>
            <w:gridSpan w:val="2"/>
            <w:tcBorders>
              <w:top w:val="nil"/>
              <w:left w:val="nil"/>
              <w:bottom w:val="nil"/>
              <w:right w:val="nil"/>
            </w:tcBorders>
            <w:shd w:val="clear" w:color="auto" w:fill="auto"/>
            <w:noWrap/>
            <w:vAlign w:val="bottom"/>
            <w:hideMark/>
          </w:tcPr>
          <w:p w14:paraId="7D4A94FA"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97" w:type="pct"/>
            <w:gridSpan w:val="2"/>
            <w:tcBorders>
              <w:top w:val="nil"/>
              <w:left w:val="nil"/>
              <w:bottom w:val="nil"/>
              <w:right w:val="nil"/>
            </w:tcBorders>
            <w:shd w:val="clear" w:color="auto" w:fill="auto"/>
            <w:noWrap/>
            <w:vAlign w:val="bottom"/>
            <w:hideMark/>
          </w:tcPr>
          <w:p w14:paraId="7D4A94FB"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102" w:type="pct"/>
            <w:gridSpan w:val="2"/>
            <w:tcBorders>
              <w:top w:val="nil"/>
              <w:left w:val="nil"/>
              <w:bottom w:val="nil"/>
              <w:right w:val="nil"/>
            </w:tcBorders>
            <w:shd w:val="clear" w:color="auto" w:fill="auto"/>
            <w:noWrap/>
            <w:vAlign w:val="bottom"/>
            <w:hideMark/>
          </w:tcPr>
          <w:p w14:paraId="7D4A94FC"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14:paraId="7D4A94FD"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14:paraId="7D4A94FE"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1011" w:type="pct"/>
            <w:gridSpan w:val="2"/>
            <w:tcBorders>
              <w:top w:val="nil"/>
              <w:left w:val="nil"/>
              <w:bottom w:val="nil"/>
              <w:right w:val="nil"/>
            </w:tcBorders>
            <w:shd w:val="clear" w:color="auto" w:fill="auto"/>
            <w:noWrap/>
            <w:vAlign w:val="bottom"/>
            <w:hideMark/>
          </w:tcPr>
          <w:p w14:paraId="7D4A94FF"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500"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361" w:type="pct"/>
            <w:gridSpan w:val="2"/>
            <w:tcBorders>
              <w:top w:val="nil"/>
              <w:left w:val="nil"/>
              <w:bottom w:val="nil"/>
              <w:right w:val="nil"/>
            </w:tcBorders>
            <w:shd w:val="clear" w:color="auto" w:fill="auto"/>
            <w:noWrap/>
            <w:vAlign w:val="bottom"/>
            <w:hideMark/>
          </w:tcPr>
          <w:p w14:paraId="7D4A9501"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175" w:type="pct"/>
            <w:gridSpan w:val="2"/>
            <w:tcBorders>
              <w:top w:val="nil"/>
              <w:left w:val="nil"/>
              <w:bottom w:val="nil"/>
              <w:right w:val="nil"/>
            </w:tcBorders>
            <w:shd w:val="clear" w:color="auto" w:fill="auto"/>
            <w:noWrap/>
            <w:vAlign w:val="bottom"/>
            <w:hideMark/>
          </w:tcPr>
          <w:p w14:paraId="7D4A9502"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(TL)</w:t>
            </w:r>
          </w:p>
        </w:tc>
      </w:tr>
      <w:tr w:rsidR="007834CB" w:rsidRPr="009E1B38" w14:paraId="7D4A950E" w14:textId="77777777" w:rsidTr="00343D35">
        <w:trPr>
          <w:gridAfter w:val="1"/>
          <w:wAfter w:w="15" w:type="pct"/>
          <w:trHeight w:val="20"/>
        </w:trPr>
        <w:tc>
          <w:tcPr>
            <w:tcW w:w="1216" w:type="pct"/>
            <w:gridSpan w:val="5"/>
            <w:tcBorders>
              <w:top w:val="single" w:sz="8" w:space="0" w:color="auto"/>
              <w:left w:val="single" w:sz="8" w:space="0" w:color="auto"/>
              <w:bottom w:val="single" w:sz="8" w:space="0" w:color="auto"/>
              <w:right w:val="nil"/>
            </w:tcBorders>
            <w:shd w:val="clear" w:color="auto" w:fill="auto"/>
            <w:noWrap/>
            <w:vAlign w:val="center"/>
            <w:hideMark/>
          </w:tcPr>
          <w:p w14:paraId="7D4A9504" w14:textId="62C493F7" w:rsidR="000875F4" w:rsidRPr="009E1B38" w:rsidRDefault="0081479F"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TYPE OF EXPENSES</w:t>
            </w:r>
          </w:p>
        </w:tc>
        <w:tc>
          <w:tcPr>
            <w:tcW w:w="353" w:type="pct"/>
            <w:gridSpan w:val="2"/>
            <w:tcBorders>
              <w:top w:val="single" w:sz="8" w:space="0" w:color="auto"/>
              <w:left w:val="nil"/>
              <w:bottom w:val="single" w:sz="8" w:space="0" w:color="auto"/>
              <w:right w:val="single" w:sz="8" w:space="0" w:color="auto"/>
            </w:tcBorders>
            <w:shd w:val="clear" w:color="auto" w:fill="auto"/>
            <w:noWrap/>
            <w:vAlign w:val="center"/>
          </w:tcPr>
          <w:p w14:paraId="7D4A9505"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31.12.2019</w:t>
            </w:r>
          </w:p>
        </w:tc>
        <w:tc>
          <w:tcPr>
            <w:tcW w:w="353" w:type="pct"/>
            <w:gridSpan w:val="2"/>
            <w:tcBorders>
              <w:top w:val="single" w:sz="8" w:space="0" w:color="auto"/>
              <w:left w:val="nil"/>
              <w:bottom w:val="single" w:sz="8" w:space="0" w:color="auto"/>
              <w:right w:val="single" w:sz="8" w:space="0" w:color="auto"/>
            </w:tcBorders>
            <w:shd w:val="clear" w:color="auto" w:fill="auto"/>
            <w:noWrap/>
            <w:vAlign w:val="center"/>
          </w:tcPr>
          <w:p w14:paraId="7D4A9506"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31.12.2020</w:t>
            </w:r>
          </w:p>
        </w:tc>
        <w:tc>
          <w:tcPr>
            <w:tcW w:w="353" w:type="pct"/>
            <w:gridSpan w:val="2"/>
            <w:tcBorders>
              <w:top w:val="single" w:sz="8" w:space="0" w:color="auto"/>
              <w:left w:val="nil"/>
              <w:bottom w:val="single" w:sz="8" w:space="0" w:color="auto"/>
              <w:right w:val="single" w:sz="8" w:space="0" w:color="auto"/>
            </w:tcBorders>
            <w:shd w:val="clear" w:color="auto" w:fill="auto"/>
            <w:noWrap/>
            <w:vAlign w:val="center"/>
          </w:tcPr>
          <w:p w14:paraId="7D4A9507"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31.12.2021</w:t>
            </w:r>
          </w:p>
        </w:tc>
        <w:tc>
          <w:tcPr>
            <w:tcW w:w="41" w:type="pct"/>
            <w:tcBorders>
              <w:top w:val="nil"/>
              <w:left w:val="nil"/>
              <w:bottom w:val="nil"/>
              <w:right w:val="nil"/>
            </w:tcBorders>
            <w:shd w:val="clear" w:color="auto" w:fill="auto"/>
            <w:noWrap/>
            <w:vAlign w:val="bottom"/>
            <w:hideMark/>
          </w:tcPr>
          <w:p w14:paraId="7D4A9508" w14:textId="77777777" w:rsidR="000875F4" w:rsidRPr="009E1B38" w:rsidRDefault="000875F4" w:rsidP="000875F4">
            <w:pPr>
              <w:spacing w:after="0" w:line="240" w:lineRule="auto"/>
              <w:jc w:val="center"/>
              <w:rPr>
                <w:rFonts w:ascii="Times New Roman" w:eastAsia="Times New Roman" w:hAnsi="Times New Roman"/>
                <w:b/>
                <w:bCs/>
                <w:sz w:val="18"/>
                <w:szCs w:val="18"/>
                <w:lang w:eastAsia="tr-TR"/>
              </w:rPr>
            </w:pPr>
          </w:p>
        </w:tc>
        <w:tc>
          <w:tcPr>
            <w:tcW w:w="522" w:type="pct"/>
            <w:gridSpan w:val="7"/>
            <w:tcBorders>
              <w:top w:val="single" w:sz="8" w:space="0" w:color="auto"/>
              <w:left w:val="single" w:sz="8" w:space="0" w:color="auto"/>
              <w:bottom w:val="single" w:sz="8" w:space="0" w:color="auto"/>
              <w:right w:val="nil"/>
            </w:tcBorders>
            <w:shd w:val="clear" w:color="auto" w:fill="auto"/>
            <w:noWrap/>
            <w:vAlign w:val="center"/>
            <w:hideMark/>
          </w:tcPr>
          <w:p w14:paraId="7D4A9509" w14:textId="45C89907" w:rsidR="000875F4" w:rsidRPr="009E1B38" w:rsidRDefault="0081479F" w:rsidP="000875F4">
            <w:pPr>
              <w:spacing w:after="0" w:line="240" w:lineRule="auto"/>
              <w:jc w:val="left"/>
              <w:rPr>
                <w:rFonts w:ascii="Times New Roman" w:eastAsia="Times New Roman" w:hAnsi="Times New Roman"/>
                <w:b/>
                <w:bCs/>
                <w:sz w:val="20"/>
                <w:szCs w:val="20"/>
                <w:lang w:eastAsia="tr-TR"/>
              </w:rPr>
            </w:pPr>
            <w:r w:rsidRPr="009E1B38">
              <w:rPr>
                <w:rFonts w:ascii="Times New Roman" w:eastAsia="Times New Roman" w:hAnsi="Times New Roman"/>
                <w:b/>
                <w:bCs/>
                <w:sz w:val="20"/>
                <w:szCs w:val="20"/>
                <w:lang w:eastAsia="tr-TR"/>
              </w:rPr>
              <w:t>TYPE OF INCOME</w:t>
            </w:r>
          </w:p>
        </w:tc>
        <w:tc>
          <w:tcPr>
            <w:tcW w:w="1073" w:type="pct"/>
            <w:gridSpan w:val="4"/>
            <w:tcBorders>
              <w:top w:val="single" w:sz="8" w:space="0" w:color="auto"/>
              <w:left w:val="nil"/>
              <w:bottom w:val="single" w:sz="8" w:space="0" w:color="auto"/>
              <w:right w:val="nil"/>
            </w:tcBorders>
            <w:shd w:val="clear" w:color="auto" w:fill="auto"/>
            <w:noWrap/>
            <w:vAlign w:val="bottom"/>
            <w:hideMark/>
          </w:tcPr>
          <w:p w14:paraId="7D4A950A" w14:textId="77777777" w:rsidR="000875F4" w:rsidRPr="009E1B38" w:rsidRDefault="000875F4" w:rsidP="000875F4">
            <w:pPr>
              <w:spacing w:after="0" w:line="240" w:lineRule="auto"/>
              <w:jc w:val="left"/>
              <w:rPr>
                <w:rFonts w:ascii="Times New Roman" w:eastAsia="Times New Roman" w:hAnsi="Times New Roman"/>
                <w:b/>
                <w:bCs/>
                <w:sz w:val="20"/>
                <w:szCs w:val="20"/>
                <w:lang w:eastAsia="tr-TR"/>
              </w:rPr>
            </w:pPr>
            <w:r w:rsidRPr="009E1B38">
              <w:rPr>
                <w:rFonts w:ascii="Times New Roman" w:eastAsia="Times New Roman" w:hAnsi="Times New Roman"/>
                <w:b/>
                <w:bCs/>
                <w:sz w:val="20"/>
                <w:szCs w:val="20"/>
                <w:lang w:eastAsia="tr-TR"/>
              </w:rPr>
              <w:t> </w:t>
            </w:r>
          </w:p>
        </w:tc>
        <w:tc>
          <w:tcPr>
            <w:tcW w:w="353" w:type="pct"/>
            <w:gridSpan w:val="2"/>
            <w:tcBorders>
              <w:top w:val="single" w:sz="8" w:space="0" w:color="auto"/>
              <w:left w:val="nil"/>
              <w:bottom w:val="single" w:sz="8" w:space="0" w:color="auto"/>
              <w:right w:val="single" w:sz="8" w:space="0" w:color="auto"/>
            </w:tcBorders>
            <w:shd w:val="clear" w:color="auto" w:fill="auto"/>
            <w:noWrap/>
            <w:vAlign w:val="center"/>
          </w:tcPr>
          <w:p w14:paraId="7D4A950B"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31.12.2019</w:t>
            </w:r>
          </w:p>
        </w:tc>
        <w:tc>
          <w:tcPr>
            <w:tcW w:w="353" w:type="pct"/>
            <w:gridSpan w:val="2"/>
            <w:tcBorders>
              <w:top w:val="single" w:sz="8" w:space="0" w:color="auto"/>
              <w:left w:val="nil"/>
              <w:bottom w:val="single" w:sz="8" w:space="0" w:color="auto"/>
              <w:right w:val="single" w:sz="8" w:space="0" w:color="auto"/>
            </w:tcBorders>
            <w:shd w:val="clear" w:color="auto" w:fill="auto"/>
            <w:noWrap/>
            <w:vAlign w:val="center"/>
            <w:hideMark/>
          </w:tcPr>
          <w:p w14:paraId="7D4A950C"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31.12.2020</w:t>
            </w:r>
          </w:p>
        </w:tc>
        <w:tc>
          <w:tcPr>
            <w:tcW w:w="368" w:type="pct"/>
            <w:gridSpan w:val="2"/>
            <w:tcBorders>
              <w:top w:val="single" w:sz="8" w:space="0" w:color="auto"/>
              <w:left w:val="nil"/>
              <w:bottom w:val="single" w:sz="8" w:space="0" w:color="auto"/>
              <w:right w:val="single" w:sz="8" w:space="0" w:color="auto"/>
            </w:tcBorders>
            <w:shd w:val="clear" w:color="auto" w:fill="auto"/>
            <w:noWrap/>
            <w:vAlign w:val="center"/>
            <w:hideMark/>
          </w:tcPr>
          <w:p w14:paraId="7D4A950D"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31.12.2021</w:t>
            </w:r>
          </w:p>
        </w:tc>
      </w:tr>
      <w:tr w:rsidR="00762391" w:rsidRPr="009E1B38" w14:paraId="7D4A9520"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0F"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10"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01</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1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22" w:type="pct"/>
            <w:gridSpan w:val="2"/>
            <w:tcBorders>
              <w:top w:val="nil"/>
              <w:left w:val="nil"/>
              <w:bottom w:val="single" w:sz="4" w:space="0" w:color="auto"/>
              <w:right w:val="nil"/>
            </w:tcBorders>
            <w:shd w:val="clear" w:color="auto" w:fill="auto"/>
            <w:noWrap/>
            <w:vAlign w:val="bottom"/>
            <w:hideMark/>
          </w:tcPr>
          <w:p w14:paraId="7D4A9512" w14:textId="60B77144"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Staff Expenses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13"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75.954.632,37</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14"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85.522.106,32</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15"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8"/>
                <w:lang w:eastAsia="tr-TR"/>
              </w:rPr>
              <w:t>102.644.563,64</w:t>
            </w:r>
          </w:p>
        </w:tc>
        <w:tc>
          <w:tcPr>
            <w:tcW w:w="41" w:type="pct"/>
            <w:tcBorders>
              <w:top w:val="nil"/>
              <w:left w:val="nil"/>
              <w:bottom w:val="nil"/>
              <w:right w:val="nil"/>
            </w:tcBorders>
            <w:shd w:val="clear" w:color="auto" w:fill="auto"/>
            <w:noWrap/>
            <w:vAlign w:val="bottom"/>
            <w:hideMark/>
          </w:tcPr>
          <w:p w14:paraId="7D4A9516"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17"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18"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03</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1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1A"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1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1073" w:type="pct"/>
            <w:gridSpan w:val="4"/>
            <w:tcBorders>
              <w:top w:val="nil"/>
              <w:left w:val="nil"/>
              <w:bottom w:val="single" w:sz="4" w:space="0" w:color="auto"/>
              <w:right w:val="nil"/>
            </w:tcBorders>
            <w:shd w:val="clear" w:color="auto" w:fill="auto"/>
            <w:noWrap/>
            <w:vAlign w:val="bottom"/>
            <w:hideMark/>
          </w:tcPr>
          <w:p w14:paraId="7D4A951C" w14:textId="393A934E"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Enterprise and Ownership</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1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334.698.865,48</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1E"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361.035.018,60</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1F"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6"/>
              </w:rPr>
              <w:t>408.218.242,29</w:t>
            </w:r>
          </w:p>
        </w:tc>
      </w:tr>
      <w:tr w:rsidR="00762391" w:rsidRPr="009E1B38" w14:paraId="7D4A9532"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21"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22"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02</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2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22" w:type="pct"/>
            <w:gridSpan w:val="2"/>
            <w:tcBorders>
              <w:top w:val="nil"/>
              <w:left w:val="nil"/>
              <w:bottom w:val="single" w:sz="4" w:space="0" w:color="auto"/>
              <w:right w:val="nil"/>
            </w:tcBorders>
            <w:shd w:val="clear" w:color="auto" w:fill="auto"/>
            <w:noWrap/>
            <w:vAlign w:val="bottom"/>
            <w:hideMark/>
          </w:tcPr>
          <w:p w14:paraId="7D4A9524" w14:textId="11EF7513" w:rsidR="000875F4" w:rsidRPr="009E1B38" w:rsidRDefault="00656644" w:rsidP="000875F4">
            <w:pPr>
              <w:spacing w:after="0" w:line="240" w:lineRule="auto"/>
              <w:jc w:val="left"/>
              <w:rPr>
                <w:rFonts w:ascii="Times New Roman" w:eastAsia="Times New Roman" w:hAnsi="Times New Roman"/>
                <w:b/>
                <w:lang w:eastAsia="tr-TR"/>
              </w:rPr>
            </w:pPr>
            <w:r>
              <w:rPr>
                <w:rFonts w:ascii="Times New Roman" w:eastAsia="Times New Roman" w:hAnsi="Times New Roman"/>
                <w:b/>
                <w:lang w:eastAsia="tr-TR"/>
              </w:rPr>
              <w:t>To Social Security Authoritie</w:t>
            </w:r>
            <w:r w:rsidR="00343D35" w:rsidRPr="009E1B38">
              <w:rPr>
                <w:rFonts w:ascii="Times New Roman" w:eastAsia="Times New Roman" w:hAnsi="Times New Roman"/>
                <w:b/>
                <w:lang w:eastAsia="tr-TR"/>
              </w:rPr>
              <w:t>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25"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9.595.839,72</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26"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10.880.196,64</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27"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8"/>
                <w:lang w:eastAsia="tr-TR"/>
              </w:rPr>
              <w:t>12.881.801,31</w:t>
            </w:r>
          </w:p>
        </w:tc>
        <w:tc>
          <w:tcPr>
            <w:tcW w:w="41" w:type="pct"/>
            <w:tcBorders>
              <w:top w:val="nil"/>
              <w:left w:val="nil"/>
              <w:bottom w:val="nil"/>
              <w:right w:val="nil"/>
            </w:tcBorders>
            <w:shd w:val="clear" w:color="auto" w:fill="auto"/>
            <w:noWrap/>
            <w:vAlign w:val="bottom"/>
            <w:hideMark/>
          </w:tcPr>
          <w:p w14:paraId="7D4A9528"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2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2A"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2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01</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2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2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1073" w:type="pct"/>
            <w:gridSpan w:val="4"/>
            <w:tcBorders>
              <w:top w:val="nil"/>
              <w:left w:val="nil"/>
              <w:bottom w:val="single" w:sz="4" w:space="0" w:color="auto"/>
              <w:right w:val="nil"/>
            </w:tcBorders>
            <w:shd w:val="clear" w:color="auto" w:fill="auto"/>
            <w:noWrap/>
            <w:vAlign w:val="bottom"/>
            <w:hideMark/>
          </w:tcPr>
          <w:p w14:paraId="7D4A952E" w14:textId="72ECB248"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Sale of goods and services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2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150,00</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3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420,00</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3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r>
      <w:tr w:rsidR="00762391" w:rsidRPr="009E1B38" w14:paraId="7D4A9544"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3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3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35"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22" w:type="pct"/>
            <w:gridSpan w:val="2"/>
            <w:tcBorders>
              <w:top w:val="nil"/>
              <w:left w:val="nil"/>
              <w:bottom w:val="single" w:sz="4" w:space="0" w:color="auto"/>
              <w:right w:val="nil"/>
            </w:tcBorders>
            <w:shd w:val="clear" w:color="auto" w:fill="auto"/>
            <w:noWrap/>
            <w:vAlign w:val="bottom"/>
            <w:hideMark/>
          </w:tcPr>
          <w:p w14:paraId="240C1B75" w14:textId="77777777" w:rsidR="00343D35" w:rsidRPr="009E1B38" w:rsidRDefault="00343D35" w:rsidP="00343D35">
            <w:pPr>
              <w:spacing w:after="0" w:line="240" w:lineRule="auto"/>
              <w:rPr>
                <w:rFonts w:ascii="Times New Roman" w:eastAsia="Times New Roman" w:hAnsi="Times New Roman"/>
                <w:b/>
                <w:lang w:eastAsia="tr-TR"/>
              </w:rPr>
            </w:pPr>
            <w:r w:rsidRPr="009E1B38">
              <w:rPr>
                <w:rFonts w:ascii="Times New Roman" w:eastAsia="Times New Roman" w:hAnsi="Times New Roman"/>
                <w:b/>
                <w:lang w:eastAsia="tr-TR"/>
              </w:rPr>
              <w:t>Procurement of Goods and</w:t>
            </w:r>
          </w:p>
          <w:p w14:paraId="7D4A9536" w14:textId="7F860B6D"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Services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37"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87.005.030,62</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38"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124.004.943,99</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39"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8"/>
                <w:lang w:eastAsia="tr-TR"/>
              </w:rPr>
              <w:t>136.837.583,54</w:t>
            </w:r>
          </w:p>
        </w:tc>
        <w:tc>
          <w:tcPr>
            <w:tcW w:w="41" w:type="pct"/>
            <w:tcBorders>
              <w:top w:val="nil"/>
              <w:left w:val="nil"/>
              <w:bottom w:val="nil"/>
              <w:right w:val="nil"/>
            </w:tcBorders>
            <w:shd w:val="clear" w:color="auto" w:fill="auto"/>
            <w:noWrap/>
            <w:vAlign w:val="bottom"/>
            <w:hideMark/>
          </w:tcPr>
          <w:p w14:paraId="7D4A953A"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3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3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3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02</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3E"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3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1073" w:type="pct"/>
            <w:gridSpan w:val="4"/>
            <w:tcBorders>
              <w:top w:val="nil"/>
              <w:left w:val="nil"/>
              <w:bottom w:val="single" w:sz="4" w:space="0" w:color="auto"/>
              <w:right w:val="nil"/>
            </w:tcBorders>
            <w:shd w:val="clear" w:color="auto" w:fill="auto"/>
            <w:vAlign w:val="bottom"/>
            <w:hideMark/>
          </w:tcPr>
          <w:p w14:paraId="44671A4F" w14:textId="77777777" w:rsidR="00343D35" w:rsidRPr="009E1B38" w:rsidRDefault="00343D35" w:rsidP="00343D35">
            <w:pPr>
              <w:spacing w:after="0" w:line="240" w:lineRule="auto"/>
              <w:rPr>
                <w:rFonts w:ascii="Times New Roman" w:eastAsia="Times New Roman" w:hAnsi="Times New Roman"/>
                <w:lang w:eastAsia="tr-TR"/>
              </w:rPr>
            </w:pPr>
            <w:r w:rsidRPr="009E1B38">
              <w:rPr>
                <w:rFonts w:ascii="Times New Roman" w:eastAsia="Times New Roman" w:hAnsi="Times New Roman"/>
                <w:lang w:eastAsia="tr-TR"/>
              </w:rPr>
              <w:t xml:space="preserve">Permission for Use or </w:t>
            </w:r>
          </w:p>
          <w:p w14:paraId="7D4A9540" w14:textId="42692323"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Operation of Goods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41"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334.698.715,48</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42"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361.034.598,60</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43"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heme="minorHAnsi" w:hAnsi="Times New Roman"/>
                <w:sz w:val="16"/>
                <w:szCs w:val="16"/>
              </w:rPr>
              <w:t>408.156.239,79</w:t>
            </w:r>
          </w:p>
        </w:tc>
      </w:tr>
      <w:tr w:rsidR="00762391" w:rsidRPr="009E1B38" w14:paraId="7D4A9556"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45"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xml:space="preserve">630 </w:t>
            </w:r>
          </w:p>
        </w:tc>
        <w:tc>
          <w:tcPr>
            <w:tcW w:w="90" w:type="pct"/>
            <w:tcBorders>
              <w:top w:val="nil"/>
              <w:left w:val="nil"/>
              <w:bottom w:val="single" w:sz="4" w:space="0" w:color="auto"/>
              <w:right w:val="nil"/>
            </w:tcBorders>
            <w:shd w:val="clear" w:color="auto" w:fill="auto"/>
            <w:noWrap/>
            <w:vAlign w:val="bottom"/>
            <w:hideMark/>
          </w:tcPr>
          <w:p w14:paraId="7D4A9546"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4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02</w:t>
            </w:r>
          </w:p>
        </w:tc>
        <w:tc>
          <w:tcPr>
            <w:tcW w:w="922" w:type="pct"/>
            <w:gridSpan w:val="2"/>
            <w:tcBorders>
              <w:top w:val="nil"/>
              <w:left w:val="nil"/>
              <w:bottom w:val="single" w:sz="4" w:space="0" w:color="auto"/>
              <w:right w:val="nil"/>
            </w:tcBorders>
            <w:shd w:val="clear" w:color="auto" w:fill="auto"/>
            <w:noWrap/>
            <w:vAlign w:val="bottom"/>
            <w:hideMark/>
          </w:tcPr>
          <w:p w14:paraId="1A19F64B" w14:textId="77777777" w:rsidR="00343D35" w:rsidRPr="009E1B38" w:rsidRDefault="00343D35" w:rsidP="00343D35">
            <w:pPr>
              <w:spacing w:after="0" w:line="240" w:lineRule="auto"/>
              <w:rPr>
                <w:rFonts w:ascii="Times New Roman" w:eastAsia="Times New Roman" w:hAnsi="Times New Roman"/>
                <w:lang w:eastAsia="tr-TR"/>
              </w:rPr>
            </w:pPr>
            <w:r w:rsidRPr="009E1B38">
              <w:rPr>
                <w:rFonts w:ascii="Times New Roman" w:eastAsia="Times New Roman" w:hAnsi="Times New Roman"/>
                <w:lang w:eastAsia="tr-TR"/>
              </w:rPr>
              <w:t xml:space="preserve">Procurement of consumption goods </w:t>
            </w:r>
          </w:p>
          <w:p w14:paraId="7D4A9548" w14:textId="710A6BB7"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equipment</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4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2.901.247,61</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4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5.114.682,12</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4B"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5.230.686,33</w:t>
            </w:r>
          </w:p>
        </w:tc>
        <w:tc>
          <w:tcPr>
            <w:tcW w:w="41" w:type="pct"/>
            <w:tcBorders>
              <w:top w:val="nil"/>
              <w:left w:val="nil"/>
              <w:bottom w:val="nil"/>
              <w:right w:val="nil"/>
            </w:tcBorders>
            <w:shd w:val="clear" w:color="auto" w:fill="auto"/>
            <w:noWrap/>
            <w:vAlign w:val="bottom"/>
            <w:hideMark/>
          </w:tcPr>
          <w:p w14:paraId="7D4A954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4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4E"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4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02</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5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01</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5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10</w:t>
            </w:r>
          </w:p>
        </w:tc>
        <w:tc>
          <w:tcPr>
            <w:tcW w:w="1073" w:type="pct"/>
            <w:gridSpan w:val="4"/>
            <w:tcBorders>
              <w:top w:val="nil"/>
              <w:left w:val="nil"/>
              <w:bottom w:val="single" w:sz="4" w:space="0" w:color="auto"/>
              <w:right w:val="nil"/>
            </w:tcBorders>
            <w:shd w:val="clear" w:color="auto" w:fill="auto"/>
            <w:noWrap/>
            <w:vAlign w:val="bottom"/>
            <w:hideMark/>
          </w:tcPr>
          <w:p w14:paraId="7D4A9552" w14:textId="0209DC5B"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Electricity market licensing</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5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58.828.667,88</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5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61.238.920,15</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5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6"/>
              </w:rPr>
              <w:t>71.307.240,85</w:t>
            </w:r>
          </w:p>
        </w:tc>
      </w:tr>
      <w:tr w:rsidR="00762391" w:rsidRPr="009E1B38" w14:paraId="7D4A9568"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5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58"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5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922" w:type="pct"/>
            <w:gridSpan w:val="2"/>
            <w:tcBorders>
              <w:top w:val="nil"/>
              <w:left w:val="nil"/>
              <w:bottom w:val="single" w:sz="4" w:space="0" w:color="auto"/>
              <w:right w:val="nil"/>
            </w:tcBorders>
            <w:shd w:val="clear" w:color="auto" w:fill="auto"/>
            <w:noWrap/>
            <w:vAlign w:val="bottom"/>
            <w:hideMark/>
          </w:tcPr>
          <w:p w14:paraId="7D4A955A" w14:textId="408404E4"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Transportation allowances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5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1.844.850,52</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5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254.700,59</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5D"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713.646,76</w:t>
            </w:r>
          </w:p>
        </w:tc>
        <w:tc>
          <w:tcPr>
            <w:tcW w:w="41" w:type="pct"/>
            <w:tcBorders>
              <w:top w:val="nil"/>
              <w:left w:val="nil"/>
              <w:bottom w:val="nil"/>
              <w:right w:val="nil"/>
            </w:tcBorders>
            <w:shd w:val="clear" w:color="auto" w:fill="auto"/>
            <w:noWrap/>
            <w:vAlign w:val="bottom"/>
            <w:hideMark/>
          </w:tcPr>
          <w:p w14:paraId="7D4A955E"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5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6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6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02</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6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01</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6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11</w:t>
            </w:r>
          </w:p>
        </w:tc>
        <w:tc>
          <w:tcPr>
            <w:tcW w:w="1073" w:type="pct"/>
            <w:gridSpan w:val="4"/>
            <w:tcBorders>
              <w:top w:val="nil"/>
              <w:left w:val="nil"/>
              <w:bottom w:val="single" w:sz="4" w:space="0" w:color="auto"/>
              <w:right w:val="nil"/>
            </w:tcBorders>
            <w:shd w:val="clear" w:color="auto" w:fill="auto"/>
            <w:noWrap/>
            <w:vAlign w:val="bottom"/>
            <w:hideMark/>
          </w:tcPr>
          <w:p w14:paraId="6055C251" w14:textId="77777777" w:rsidR="00343D35" w:rsidRPr="009E1B38" w:rsidRDefault="00343D35" w:rsidP="00343D35">
            <w:pPr>
              <w:spacing w:after="0" w:line="240" w:lineRule="auto"/>
              <w:rPr>
                <w:rFonts w:ascii="Times New Roman" w:eastAsia="Times New Roman" w:hAnsi="Times New Roman"/>
                <w:lang w:eastAsia="tr-TR"/>
              </w:rPr>
            </w:pPr>
            <w:r w:rsidRPr="009E1B38">
              <w:rPr>
                <w:rFonts w:ascii="Times New Roman" w:eastAsia="Times New Roman" w:hAnsi="Times New Roman"/>
                <w:lang w:eastAsia="tr-TR"/>
              </w:rPr>
              <w:t xml:space="preserve">Natural gas market licensing and </w:t>
            </w:r>
          </w:p>
          <w:p w14:paraId="7D4A9564" w14:textId="550C7504"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certification</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6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62.460.412,47</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6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67.580.050,53</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6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6"/>
              </w:rPr>
              <w:t>79.854.908,21</w:t>
            </w:r>
          </w:p>
        </w:tc>
      </w:tr>
      <w:tr w:rsidR="00762391" w:rsidRPr="009E1B38" w14:paraId="7D4A957A"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6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6A"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6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04</w:t>
            </w:r>
          </w:p>
        </w:tc>
        <w:tc>
          <w:tcPr>
            <w:tcW w:w="922" w:type="pct"/>
            <w:gridSpan w:val="2"/>
            <w:tcBorders>
              <w:top w:val="nil"/>
              <w:left w:val="nil"/>
              <w:bottom w:val="single" w:sz="4" w:space="0" w:color="auto"/>
              <w:right w:val="nil"/>
            </w:tcBorders>
            <w:shd w:val="clear" w:color="auto" w:fill="auto"/>
            <w:noWrap/>
            <w:vAlign w:val="bottom"/>
            <w:hideMark/>
          </w:tcPr>
          <w:p w14:paraId="7D4A956C" w14:textId="0E77006E"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Duty allowances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6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1.655.139,07</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6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1.440.311,17</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6F"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2.102.260,30</w:t>
            </w:r>
          </w:p>
        </w:tc>
        <w:tc>
          <w:tcPr>
            <w:tcW w:w="41" w:type="pct"/>
            <w:tcBorders>
              <w:top w:val="nil"/>
              <w:left w:val="nil"/>
              <w:bottom w:val="nil"/>
              <w:right w:val="nil"/>
            </w:tcBorders>
            <w:shd w:val="clear" w:color="auto" w:fill="auto"/>
            <w:noWrap/>
            <w:vAlign w:val="bottom"/>
            <w:hideMark/>
          </w:tcPr>
          <w:p w14:paraId="7D4A957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7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7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7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02</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7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01</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75"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12</w:t>
            </w:r>
          </w:p>
        </w:tc>
        <w:tc>
          <w:tcPr>
            <w:tcW w:w="1073" w:type="pct"/>
            <w:gridSpan w:val="4"/>
            <w:tcBorders>
              <w:top w:val="nil"/>
              <w:left w:val="nil"/>
              <w:bottom w:val="single" w:sz="4" w:space="0" w:color="auto"/>
              <w:right w:val="nil"/>
            </w:tcBorders>
            <w:shd w:val="clear" w:color="auto" w:fill="auto"/>
            <w:noWrap/>
            <w:vAlign w:val="bottom"/>
            <w:hideMark/>
          </w:tcPr>
          <w:p w14:paraId="7D4A9576" w14:textId="3426FC8C"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Petroleum market licensing</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7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177.400.581,39</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7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194.029.818,99</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7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6"/>
              </w:rPr>
              <w:t>220.158.204,99</w:t>
            </w:r>
          </w:p>
        </w:tc>
      </w:tr>
      <w:tr w:rsidR="00762391" w:rsidRPr="009E1B38" w14:paraId="7D4A958C"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7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7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7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922" w:type="pct"/>
            <w:gridSpan w:val="2"/>
            <w:tcBorders>
              <w:top w:val="nil"/>
              <w:left w:val="nil"/>
              <w:bottom w:val="single" w:sz="4" w:space="0" w:color="auto"/>
              <w:right w:val="nil"/>
            </w:tcBorders>
            <w:shd w:val="clear" w:color="auto" w:fill="auto"/>
            <w:noWrap/>
            <w:vAlign w:val="bottom"/>
            <w:hideMark/>
          </w:tcPr>
          <w:p w14:paraId="7D4A957E" w14:textId="7EE75B74"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Procurement of service</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7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79.337.631,91</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8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116.438.092,99</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81"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127.188.107,74</w:t>
            </w:r>
          </w:p>
        </w:tc>
        <w:tc>
          <w:tcPr>
            <w:tcW w:w="41" w:type="pct"/>
            <w:tcBorders>
              <w:top w:val="nil"/>
              <w:left w:val="nil"/>
              <w:bottom w:val="nil"/>
              <w:right w:val="nil"/>
            </w:tcBorders>
            <w:shd w:val="clear" w:color="auto" w:fill="auto"/>
            <w:noWrap/>
            <w:vAlign w:val="bottom"/>
            <w:hideMark/>
          </w:tcPr>
          <w:p w14:paraId="7D4A958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8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8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85"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02</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86"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01</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8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13</w:t>
            </w:r>
          </w:p>
        </w:tc>
        <w:tc>
          <w:tcPr>
            <w:tcW w:w="1073" w:type="pct"/>
            <w:gridSpan w:val="4"/>
            <w:tcBorders>
              <w:top w:val="nil"/>
              <w:left w:val="nil"/>
              <w:bottom w:val="single" w:sz="4" w:space="0" w:color="auto"/>
              <w:right w:val="nil"/>
            </w:tcBorders>
            <w:shd w:val="clear" w:color="auto" w:fill="auto"/>
            <w:noWrap/>
            <w:vAlign w:val="bottom"/>
            <w:hideMark/>
          </w:tcPr>
          <w:p w14:paraId="7D4A9588" w14:textId="3724CC25"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LPG market licensing</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8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36.009.053,74</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8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38.185.808,93</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8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6"/>
              </w:rPr>
              <w:t>36.835.885,74</w:t>
            </w:r>
          </w:p>
        </w:tc>
      </w:tr>
      <w:tr w:rsidR="00762391" w:rsidRPr="009E1B38" w14:paraId="7D4A959E"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8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8E"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8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06</w:t>
            </w:r>
          </w:p>
        </w:tc>
        <w:tc>
          <w:tcPr>
            <w:tcW w:w="922" w:type="pct"/>
            <w:gridSpan w:val="2"/>
            <w:tcBorders>
              <w:top w:val="nil"/>
              <w:left w:val="nil"/>
              <w:bottom w:val="single" w:sz="4" w:space="0" w:color="auto"/>
              <w:right w:val="nil"/>
            </w:tcBorders>
            <w:shd w:val="clear" w:color="auto" w:fill="auto"/>
            <w:noWrap/>
            <w:vAlign w:val="bottom"/>
            <w:hideMark/>
          </w:tcPr>
          <w:p w14:paraId="7D4A9590" w14:textId="4CC782B0"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Representation and publicity</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9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86.901,43</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9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96.930,57</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93"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153.056,40</w:t>
            </w:r>
          </w:p>
        </w:tc>
        <w:tc>
          <w:tcPr>
            <w:tcW w:w="41" w:type="pct"/>
            <w:tcBorders>
              <w:top w:val="nil"/>
              <w:left w:val="nil"/>
              <w:bottom w:val="nil"/>
              <w:right w:val="nil"/>
            </w:tcBorders>
            <w:shd w:val="clear" w:color="auto" w:fill="auto"/>
            <w:noWrap/>
            <w:vAlign w:val="bottom"/>
            <w:hideMark/>
          </w:tcPr>
          <w:p w14:paraId="7D4A959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95"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96"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05</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9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98"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9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1073" w:type="pct"/>
            <w:gridSpan w:val="4"/>
            <w:tcBorders>
              <w:top w:val="nil"/>
              <w:left w:val="nil"/>
              <w:bottom w:val="single" w:sz="4" w:space="0" w:color="auto"/>
              <w:right w:val="nil"/>
            </w:tcBorders>
            <w:shd w:val="clear" w:color="auto" w:fill="auto"/>
            <w:noWrap/>
            <w:vAlign w:val="bottom"/>
            <w:hideMark/>
          </w:tcPr>
          <w:p w14:paraId="7D4A959A" w14:textId="54D76940"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Other Income</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9B"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63.695.375,14</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9C"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83.460.657,79</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9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6"/>
              </w:rPr>
              <w:t>116.774.408,33</w:t>
            </w:r>
          </w:p>
        </w:tc>
      </w:tr>
      <w:tr w:rsidR="00762391" w:rsidRPr="009E1B38" w14:paraId="7D4A95B0"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9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A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A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07</w:t>
            </w:r>
          </w:p>
        </w:tc>
        <w:tc>
          <w:tcPr>
            <w:tcW w:w="922" w:type="pct"/>
            <w:gridSpan w:val="2"/>
            <w:tcBorders>
              <w:top w:val="nil"/>
              <w:left w:val="nil"/>
              <w:bottom w:val="single" w:sz="4" w:space="0" w:color="auto"/>
              <w:right w:val="nil"/>
            </w:tcBorders>
            <w:shd w:val="clear" w:color="auto" w:fill="auto"/>
            <w:vAlign w:val="bottom"/>
            <w:hideMark/>
          </w:tcPr>
          <w:p w14:paraId="7D4A95A2" w14:textId="5A6BA2E4"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Movable, intangible right procurement, repair and maintenance</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A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1.095.716,08</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A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653.972,55</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A5"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1.143.686,81</w:t>
            </w:r>
          </w:p>
        </w:tc>
        <w:tc>
          <w:tcPr>
            <w:tcW w:w="41" w:type="pct"/>
            <w:tcBorders>
              <w:top w:val="nil"/>
              <w:left w:val="nil"/>
              <w:bottom w:val="nil"/>
              <w:right w:val="nil"/>
            </w:tcBorders>
            <w:shd w:val="clear" w:color="auto" w:fill="auto"/>
            <w:noWrap/>
            <w:vAlign w:val="bottom"/>
            <w:hideMark/>
          </w:tcPr>
          <w:p w14:paraId="7D4A95A6"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A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A8"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A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01</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AA"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A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1073" w:type="pct"/>
            <w:gridSpan w:val="4"/>
            <w:tcBorders>
              <w:top w:val="nil"/>
              <w:left w:val="nil"/>
              <w:bottom w:val="single" w:sz="4" w:space="0" w:color="auto"/>
              <w:right w:val="nil"/>
            </w:tcBorders>
            <w:shd w:val="clear" w:color="auto" w:fill="auto"/>
            <w:noWrap/>
            <w:vAlign w:val="bottom"/>
            <w:hideMark/>
          </w:tcPr>
          <w:p w14:paraId="7D4A95AC" w14:textId="47443841"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Interest Revenues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AD"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3.567.778,12</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AE"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0,00</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AF"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0,00</w:t>
            </w:r>
          </w:p>
        </w:tc>
      </w:tr>
      <w:tr w:rsidR="00762391" w:rsidRPr="009E1B38" w14:paraId="7D4A95C2"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B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B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B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08</w:t>
            </w:r>
          </w:p>
        </w:tc>
        <w:tc>
          <w:tcPr>
            <w:tcW w:w="922" w:type="pct"/>
            <w:gridSpan w:val="2"/>
            <w:tcBorders>
              <w:top w:val="nil"/>
              <w:left w:val="nil"/>
              <w:bottom w:val="single" w:sz="4" w:space="0" w:color="auto"/>
              <w:right w:val="nil"/>
            </w:tcBorders>
            <w:shd w:val="clear" w:color="auto" w:fill="auto"/>
            <w:noWrap/>
            <w:vAlign w:val="bottom"/>
            <w:hideMark/>
          </w:tcPr>
          <w:p w14:paraId="482300FA" w14:textId="77777777" w:rsidR="00343D35" w:rsidRPr="009E1B38" w:rsidRDefault="00343D35" w:rsidP="00343D35">
            <w:pPr>
              <w:spacing w:after="0" w:line="240" w:lineRule="auto"/>
              <w:rPr>
                <w:rFonts w:ascii="Times New Roman" w:eastAsia="Times New Roman" w:hAnsi="Times New Roman"/>
                <w:lang w:eastAsia="tr-TR"/>
              </w:rPr>
            </w:pPr>
            <w:r w:rsidRPr="009E1B38">
              <w:rPr>
                <w:rFonts w:ascii="Times New Roman" w:eastAsia="Times New Roman" w:hAnsi="Times New Roman"/>
                <w:lang w:eastAsia="tr-TR"/>
              </w:rPr>
              <w:t xml:space="preserve">İmmovable goods maintenance </w:t>
            </w:r>
          </w:p>
          <w:p w14:paraId="7D4A95B4" w14:textId="01E941FA"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and repair</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B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83.544,00</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B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6.254,00</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B7"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306.139,20</w:t>
            </w:r>
          </w:p>
        </w:tc>
        <w:tc>
          <w:tcPr>
            <w:tcW w:w="41" w:type="pct"/>
            <w:tcBorders>
              <w:top w:val="nil"/>
              <w:left w:val="nil"/>
              <w:bottom w:val="nil"/>
              <w:right w:val="nil"/>
            </w:tcBorders>
            <w:shd w:val="clear" w:color="auto" w:fill="auto"/>
            <w:noWrap/>
            <w:vAlign w:val="bottom"/>
            <w:hideMark/>
          </w:tcPr>
          <w:p w14:paraId="7D4A95B8"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B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BA"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B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01</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B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09</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B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1073" w:type="pct"/>
            <w:gridSpan w:val="4"/>
            <w:tcBorders>
              <w:top w:val="nil"/>
              <w:left w:val="nil"/>
              <w:bottom w:val="single" w:sz="4" w:space="0" w:color="auto"/>
              <w:right w:val="nil"/>
            </w:tcBorders>
            <w:shd w:val="clear" w:color="auto" w:fill="auto"/>
            <w:noWrap/>
            <w:vAlign w:val="bottom"/>
            <w:hideMark/>
          </w:tcPr>
          <w:p w14:paraId="7D4A95BE" w14:textId="6851538A"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Deposit Rates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B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3.567.778,12</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C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C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r>
      <w:tr w:rsidR="00762391" w:rsidRPr="009E1B38" w14:paraId="7D4A95D4"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C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C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C5"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09</w:t>
            </w:r>
          </w:p>
        </w:tc>
        <w:tc>
          <w:tcPr>
            <w:tcW w:w="922" w:type="pct"/>
            <w:gridSpan w:val="2"/>
            <w:tcBorders>
              <w:top w:val="nil"/>
              <w:left w:val="nil"/>
              <w:bottom w:val="single" w:sz="4" w:space="0" w:color="auto"/>
              <w:right w:val="nil"/>
            </w:tcBorders>
            <w:shd w:val="clear" w:color="auto" w:fill="auto"/>
            <w:noWrap/>
            <w:vAlign w:val="bottom"/>
            <w:hideMark/>
          </w:tcPr>
          <w:p w14:paraId="7D4A95C6" w14:textId="23BF9400"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Health care and funeral</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C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C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C9"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0,00</w:t>
            </w:r>
          </w:p>
        </w:tc>
        <w:tc>
          <w:tcPr>
            <w:tcW w:w="41" w:type="pct"/>
            <w:tcBorders>
              <w:top w:val="nil"/>
              <w:left w:val="nil"/>
              <w:bottom w:val="nil"/>
              <w:right w:val="nil"/>
            </w:tcBorders>
            <w:shd w:val="clear" w:color="auto" w:fill="auto"/>
            <w:noWrap/>
            <w:vAlign w:val="bottom"/>
            <w:hideMark/>
          </w:tcPr>
          <w:p w14:paraId="7D4A95CA"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C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C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C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02</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CE"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C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1073" w:type="pct"/>
            <w:gridSpan w:val="4"/>
            <w:tcBorders>
              <w:top w:val="nil"/>
              <w:left w:val="nil"/>
              <w:bottom w:val="single" w:sz="4" w:space="0" w:color="auto"/>
              <w:right w:val="nil"/>
            </w:tcBorders>
            <w:shd w:val="clear" w:color="auto" w:fill="auto"/>
            <w:noWrap/>
            <w:vAlign w:val="bottom"/>
            <w:hideMark/>
          </w:tcPr>
          <w:p w14:paraId="55313714" w14:textId="77777777" w:rsidR="00343D35" w:rsidRPr="009E1B38" w:rsidRDefault="00343D35" w:rsidP="00343D35">
            <w:pPr>
              <w:spacing w:after="0" w:line="240" w:lineRule="auto"/>
              <w:rPr>
                <w:rFonts w:ascii="Times New Roman" w:eastAsia="Times New Roman" w:hAnsi="Times New Roman"/>
                <w:lang w:eastAsia="tr-TR"/>
              </w:rPr>
            </w:pPr>
            <w:r w:rsidRPr="009E1B38">
              <w:rPr>
                <w:rFonts w:ascii="Times New Roman" w:eastAsia="Times New Roman" w:hAnsi="Times New Roman"/>
                <w:lang w:eastAsia="tr-TR"/>
              </w:rPr>
              <w:t xml:space="preserve">Fees Collected from Persons </w:t>
            </w:r>
          </w:p>
          <w:p w14:paraId="7D4A95D0" w14:textId="4C3C7295"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 xml:space="preserve">and </w:t>
            </w:r>
            <w:r w:rsidR="00656644" w:rsidRPr="009E1B38">
              <w:rPr>
                <w:rFonts w:ascii="Times New Roman" w:eastAsia="Times New Roman" w:hAnsi="Times New Roman"/>
                <w:lang w:eastAsia="tr-TR"/>
              </w:rPr>
              <w:t>Authorities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D1"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53.052.082,83</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D2"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70.596.710,20</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D3"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heme="minorHAnsi" w:hAnsi="Times New Roman"/>
                <w:sz w:val="16"/>
                <w:szCs w:val="16"/>
              </w:rPr>
              <w:t>82.127.263,94</w:t>
            </w:r>
          </w:p>
        </w:tc>
      </w:tr>
      <w:tr w:rsidR="00762391" w:rsidRPr="009E1B38" w14:paraId="7D4A95E6"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D5"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D6"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04</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D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22" w:type="pct"/>
            <w:gridSpan w:val="2"/>
            <w:tcBorders>
              <w:top w:val="nil"/>
              <w:left w:val="nil"/>
              <w:bottom w:val="single" w:sz="4" w:space="0" w:color="auto"/>
              <w:right w:val="nil"/>
            </w:tcBorders>
            <w:shd w:val="clear" w:color="auto" w:fill="auto"/>
            <w:noWrap/>
            <w:vAlign w:val="bottom"/>
            <w:hideMark/>
          </w:tcPr>
          <w:p w14:paraId="7D4A95D8" w14:textId="4130BBA5"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İnterest Expenses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D9"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DA"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DB"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0,00</w:t>
            </w:r>
          </w:p>
        </w:tc>
        <w:tc>
          <w:tcPr>
            <w:tcW w:w="41" w:type="pct"/>
            <w:tcBorders>
              <w:top w:val="nil"/>
              <w:left w:val="nil"/>
              <w:bottom w:val="nil"/>
              <w:right w:val="nil"/>
            </w:tcBorders>
            <w:shd w:val="clear" w:color="auto" w:fill="auto"/>
            <w:noWrap/>
            <w:vAlign w:val="bottom"/>
            <w:hideMark/>
          </w:tcPr>
          <w:p w14:paraId="7D4A95DC"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D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DE"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D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02</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E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09</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E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99</w:t>
            </w:r>
          </w:p>
        </w:tc>
        <w:tc>
          <w:tcPr>
            <w:tcW w:w="1073" w:type="pct"/>
            <w:gridSpan w:val="4"/>
            <w:tcBorders>
              <w:top w:val="nil"/>
              <w:left w:val="nil"/>
              <w:bottom w:val="single" w:sz="4" w:space="0" w:color="auto"/>
              <w:right w:val="nil"/>
            </w:tcBorders>
            <w:shd w:val="clear" w:color="auto" w:fill="auto"/>
            <w:noWrap/>
            <w:vAlign w:val="bottom"/>
            <w:hideMark/>
          </w:tcPr>
          <w:p w14:paraId="7D4A95E2" w14:textId="544E8196"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Other Fees</w:t>
            </w:r>
            <w:r w:rsidR="000875F4" w:rsidRPr="009E1B38">
              <w:rPr>
                <w:rFonts w:ascii="Times New Roman" w:eastAsia="Times New Roman" w:hAnsi="Times New Roman"/>
                <w:lang w:eastAsia="tr-TR"/>
              </w:rPr>
              <w:t xml:space="preserve"> (TEİAŞ)</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E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53.052.082,83</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E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70.596.710,20</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E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6"/>
              </w:rPr>
              <w:t>82.127.263,94</w:t>
            </w:r>
          </w:p>
        </w:tc>
      </w:tr>
      <w:tr w:rsidR="00762391" w:rsidRPr="009E1B38" w14:paraId="7D4A95F8"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E7"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5E8"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05</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E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22" w:type="pct"/>
            <w:gridSpan w:val="2"/>
            <w:tcBorders>
              <w:top w:val="nil"/>
              <w:left w:val="nil"/>
              <w:bottom w:val="single" w:sz="4" w:space="0" w:color="auto"/>
              <w:right w:val="nil"/>
            </w:tcBorders>
            <w:shd w:val="clear" w:color="auto" w:fill="auto"/>
            <w:noWrap/>
            <w:vAlign w:val="bottom"/>
            <w:hideMark/>
          </w:tcPr>
          <w:p w14:paraId="7D4A95EA" w14:textId="399348BA"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Current Transfers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EB"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78.964.202,78</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EC"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71.038.381,51</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ED"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8"/>
                <w:lang w:eastAsia="tr-TR"/>
              </w:rPr>
              <w:t>361.247.459,63</w:t>
            </w:r>
          </w:p>
        </w:tc>
        <w:tc>
          <w:tcPr>
            <w:tcW w:w="41" w:type="pct"/>
            <w:tcBorders>
              <w:top w:val="nil"/>
              <w:left w:val="nil"/>
              <w:bottom w:val="nil"/>
              <w:right w:val="nil"/>
            </w:tcBorders>
            <w:shd w:val="clear" w:color="auto" w:fill="auto"/>
            <w:noWrap/>
            <w:vAlign w:val="bottom"/>
            <w:hideMark/>
          </w:tcPr>
          <w:p w14:paraId="7D4A95EE"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5E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5F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5F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09</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F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5F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1073" w:type="pct"/>
            <w:gridSpan w:val="4"/>
            <w:tcBorders>
              <w:top w:val="nil"/>
              <w:left w:val="nil"/>
              <w:bottom w:val="single" w:sz="4" w:space="0" w:color="auto"/>
              <w:right w:val="nil"/>
            </w:tcBorders>
            <w:shd w:val="clear" w:color="auto" w:fill="auto"/>
            <w:noWrap/>
            <w:vAlign w:val="bottom"/>
            <w:hideMark/>
          </w:tcPr>
          <w:p w14:paraId="7D4A95F4" w14:textId="1DFEFC42"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Other Revenues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F5"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7.075.514,19</w:t>
            </w:r>
          </w:p>
        </w:tc>
        <w:tc>
          <w:tcPr>
            <w:tcW w:w="353" w:type="pct"/>
            <w:gridSpan w:val="2"/>
            <w:tcBorders>
              <w:top w:val="nil"/>
              <w:left w:val="nil"/>
              <w:bottom w:val="single" w:sz="4" w:space="0" w:color="auto"/>
              <w:right w:val="single" w:sz="8" w:space="0" w:color="auto"/>
            </w:tcBorders>
            <w:shd w:val="clear" w:color="auto" w:fill="auto"/>
            <w:noWrap/>
            <w:vAlign w:val="bottom"/>
          </w:tcPr>
          <w:p w14:paraId="7D4A95F6"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12.863.947,59</w:t>
            </w:r>
          </w:p>
        </w:tc>
        <w:tc>
          <w:tcPr>
            <w:tcW w:w="368" w:type="pct"/>
            <w:gridSpan w:val="2"/>
            <w:tcBorders>
              <w:top w:val="nil"/>
              <w:left w:val="nil"/>
              <w:bottom w:val="single" w:sz="4" w:space="0" w:color="auto"/>
              <w:right w:val="single" w:sz="8" w:space="0" w:color="auto"/>
            </w:tcBorders>
            <w:shd w:val="clear" w:color="auto" w:fill="auto"/>
            <w:noWrap/>
            <w:vAlign w:val="bottom"/>
          </w:tcPr>
          <w:p w14:paraId="7D4A95F7"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heme="minorHAnsi" w:hAnsi="Times New Roman"/>
                <w:sz w:val="16"/>
                <w:szCs w:val="16"/>
              </w:rPr>
              <w:t>34.647.144,39</w:t>
            </w:r>
          </w:p>
        </w:tc>
      </w:tr>
      <w:tr w:rsidR="00762391" w:rsidRPr="009E1B38" w14:paraId="7D4A960A"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5F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0" w:type="pct"/>
            <w:tcBorders>
              <w:top w:val="nil"/>
              <w:left w:val="nil"/>
              <w:bottom w:val="single" w:sz="4" w:space="0" w:color="auto"/>
              <w:right w:val="nil"/>
            </w:tcBorders>
            <w:shd w:val="clear" w:color="auto" w:fill="auto"/>
            <w:noWrap/>
            <w:vAlign w:val="bottom"/>
            <w:hideMark/>
          </w:tcPr>
          <w:p w14:paraId="7D4A95FA"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5F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22" w:type="pct"/>
            <w:gridSpan w:val="2"/>
            <w:tcBorders>
              <w:top w:val="nil"/>
              <w:left w:val="nil"/>
              <w:bottom w:val="single" w:sz="4" w:space="0" w:color="auto"/>
              <w:right w:val="nil"/>
            </w:tcBorders>
            <w:shd w:val="clear" w:color="auto" w:fill="auto"/>
            <w:noWrap/>
            <w:vAlign w:val="bottom"/>
            <w:hideMark/>
          </w:tcPr>
          <w:p w14:paraId="7D4A95FC" w14:textId="77777777"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 </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5F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tc>
        <w:tc>
          <w:tcPr>
            <w:tcW w:w="353" w:type="pct"/>
            <w:gridSpan w:val="2"/>
            <w:tcBorders>
              <w:top w:val="nil"/>
              <w:left w:val="nil"/>
              <w:bottom w:val="single" w:sz="4" w:space="0" w:color="auto"/>
              <w:right w:val="single" w:sz="8" w:space="0" w:color="auto"/>
            </w:tcBorders>
            <w:shd w:val="clear" w:color="auto" w:fill="auto"/>
            <w:noWrap/>
            <w:vAlign w:val="bottom"/>
          </w:tcPr>
          <w:p w14:paraId="7D4A95FE"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tc>
        <w:tc>
          <w:tcPr>
            <w:tcW w:w="353" w:type="pct"/>
            <w:gridSpan w:val="2"/>
            <w:tcBorders>
              <w:top w:val="nil"/>
              <w:left w:val="nil"/>
              <w:bottom w:val="single" w:sz="4" w:space="0" w:color="auto"/>
              <w:right w:val="single" w:sz="8" w:space="0" w:color="auto"/>
            </w:tcBorders>
            <w:shd w:val="clear" w:color="auto" w:fill="auto"/>
            <w:noWrap/>
            <w:vAlign w:val="bottom"/>
          </w:tcPr>
          <w:p w14:paraId="7D4A95FF"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600"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60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60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60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09</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60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01</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605"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06</w:t>
            </w:r>
          </w:p>
        </w:tc>
        <w:tc>
          <w:tcPr>
            <w:tcW w:w="1073" w:type="pct"/>
            <w:gridSpan w:val="4"/>
            <w:tcBorders>
              <w:top w:val="nil"/>
              <w:left w:val="nil"/>
              <w:bottom w:val="single" w:sz="4" w:space="0" w:color="auto"/>
              <w:right w:val="nil"/>
            </w:tcBorders>
            <w:shd w:val="clear" w:color="auto" w:fill="auto"/>
            <w:noWrap/>
            <w:vAlign w:val="bottom"/>
            <w:hideMark/>
          </w:tcPr>
          <w:p w14:paraId="7D4A9606" w14:textId="1DF16B55"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Will be Taken from People</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607"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201.623,53</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08"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95.617,15</w:t>
            </w:r>
          </w:p>
        </w:tc>
        <w:tc>
          <w:tcPr>
            <w:tcW w:w="368" w:type="pct"/>
            <w:gridSpan w:val="2"/>
            <w:tcBorders>
              <w:top w:val="nil"/>
              <w:left w:val="nil"/>
              <w:bottom w:val="single" w:sz="4" w:space="0" w:color="auto"/>
              <w:right w:val="single" w:sz="8" w:space="0" w:color="auto"/>
            </w:tcBorders>
            <w:shd w:val="clear" w:color="auto" w:fill="auto"/>
            <w:noWrap/>
            <w:vAlign w:val="bottom"/>
          </w:tcPr>
          <w:p w14:paraId="7D4A9609"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heme="minorHAnsi" w:hAnsi="Times New Roman"/>
                <w:sz w:val="16"/>
                <w:szCs w:val="16"/>
              </w:rPr>
              <w:t>97.557,52</w:t>
            </w:r>
          </w:p>
        </w:tc>
      </w:tr>
      <w:tr w:rsidR="00762391" w:rsidRPr="009E1B38" w14:paraId="7D4A961D"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60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60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60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01</w:t>
            </w:r>
          </w:p>
        </w:tc>
        <w:tc>
          <w:tcPr>
            <w:tcW w:w="922" w:type="pct"/>
            <w:gridSpan w:val="2"/>
            <w:tcBorders>
              <w:top w:val="nil"/>
              <w:left w:val="nil"/>
              <w:bottom w:val="single" w:sz="4" w:space="0" w:color="auto"/>
              <w:right w:val="nil"/>
            </w:tcBorders>
            <w:shd w:val="clear" w:color="auto" w:fill="auto"/>
            <w:noWrap/>
            <w:vAlign w:val="bottom"/>
            <w:hideMark/>
          </w:tcPr>
          <w:p w14:paraId="7D4A960E" w14:textId="4C8C7B9C"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Assignment Expenses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60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4.607.697,24</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1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4.897.238,64</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11"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5.812.471,91</w:t>
            </w:r>
          </w:p>
        </w:tc>
        <w:tc>
          <w:tcPr>
            <w:tcW w:w="41" w:type="pct"/>
            <w:tcBorders>
              <w:top w:val="nil"/>
              <w:left w:val="nil"/>
              <w:bottom w:val="nil"/>
              <w:right w:val="nil"/>
            </w:tcBorders>
            <w:shd w:val="clear" w:color="auto" w:fill="auto"/>
            <w:noWrap/>
            <w:vAlign w:val="bottom"/>
            <w:hideMark/>
          </w:tcPr>
          <w:p w14:paraId="7D4A961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26" w:type="pct"/>
            <w:tcBorders>
              <w:top w:val="nil"/>
              <w:left w:val="single" w:sz="8" w:space="0" w:color="auto"/>
              <w:bottom w:val="single" w:sz="4" w:space="0" w:color="auto"/>
              <w:right w:val="single" w:sz="8" w:space="0" w:color="auto"/>
            </w:tcBorders>
            <w:shd w:val="clear" w:color="auto" w:fill="auto"/>
            <w:noWrap/>
            <w:vAlign w:val="bottom"/>
            <w:hideMark/>
          </w:tcPr>
          <w:p w14:paraId="7D4A961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600</w:t>
            </w:r>
          </w:p>
        </w:tc>
        <w:tc>
          <w:tcPr>
            <w:tcW w:w="100" w:type="pct"/>
            <w:tcBorders>
              <w:top w:val="nil"/>
              <w:left w:val="nil"/>
              <w:bottom w:val="single" w:sz="4" w:space="0" w:color="auto"/>
              <w:right w:val="nil"/>
            </w:tcBorders>
            <w:shd w:val="clear" w:color="auto" w:fill="auto"/>
            <w:noWrap/>
            <w:vAlign w:val="bottom"/>
            <w:hideMark/>
          </w:tcPr>
          <w:p w14:paraId="7D4A961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100" w:type="pct"/>
            <w:tcBorders>
              <w:top w:val="nil"/>
              <w:left w:val="single" w:sz="8" w:space="0" w:color="auto"/>
              <w:bottom w:val="single" w:sz="4" w:space="0" w:color="auto"/>
              <w:right w:val="single" w:sz="8" w:space="0" w:color="auto"/>
            </w:tcBorders>
            <w:shd w:val="clear" w:color="auto" w:fill="auto"/>
            <w:noWrap/>
            <w:vAlign w:val="bottom"/>
            <w:hideMark/>
          </w:tcPr>
          <w:p w14:paraId="7D4A9615"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09</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616"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01</w:t>
            </w:r>
          </w:p>
        </w:tc>
        <w:tc>
          <w:tcPr>
            <w:tcW w:w="98" w:type="pct"/>
            <w:gridSpan w:val="2"/>
            <w:tcBorders>
              <w:top w:val="nil"/>
              <w:left w:val="nil"/>
              <w:bottom w:val="single" w:sz="4" w:space="0" w:color="auto"/>
              <w:right w:val="single" w:sz="8" w:space="0" w:color="auto"/>
            </w:tcBorders>
            <w:shd w:val="clear" w:color="auto" w:fill="auto"/>
            <w:noWrap/>
            <w:vAlign w:val="bottom"/>
            <w:hideMark/>
          </w:tcPr>
          <w:p w14:paraId="7D4A961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99</w:t>
            </w:r>
          </w:p>
        </w:tc>
        <w:tc>
          <w:tcPr>
            <w:tcW w:w="1073" w:type="pct"/>
            <w:gridSpan w:val="4"/>
            <w:tcBorders>
              <w:top w:val="nil"/>
              <w:left w:val="nil"/>
              <w:bottom w:val="single" w:sz="4" w:space="0" w:color="auto"/>
              <w:right w:val="nil"/>
            </w:tcBorders>
            <w:shd w:val="clear" w:color="auto" w:fill="auto"/>
            <w:noWrap/>
            <w:vAlign w:val="center"/>
            <w:hideMark/>
          </w:tcPr>
          <w:p w14:paraId="7D4A9619" w14:textId="4FEB4C0E"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Other various revenues not defined above</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61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6.873.890,66</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1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12.768.330,44</w:t>
            </w:r>
          </w:p>
        </w:tc>
        <w:tc>
          <w:tcPr>
            <w:tcW w:w="368" w:type="pct"/>
            <w:gridSpan w:val="2"/>
            <w:tcBorders>
              <w:top w:val="nil"/>
              <w:left w:val="nil"/>
              <w:bottom w:val="single" w:sz="4" w:space="0" w:color="auto"/>
              <w:right w:val="single" w:sz="8" w:space="0" w:color="auto"/>
            </w:tcBorders>
            <w:shd w:val="clear" w:color="auto" w:fill="auto"/>
            <w:noWrap/>
            <w:vAlign w:val="bottom"/>
          </w:tcPr>
          <w:p w14:paraId="7D4A961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6"/>
              </w:rPr>
              <w:t>34.549.586,87</w:t>
            </w:r>
          </w:p>
        </w:tc>
      </w:tr>
      <w:tr w:rsidR="00762391" w:rsidRPr="009E1B38" w14:paraId="7D4A962F" w14:textId="77777777" w:rsidTr="00343D35">
        <w:trPr>
          <w:gridAfter w:val="1"/>
          <w:wAfter w:w="15" w:type="pct"/>
          <w:trHeight w:val="188"/>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61E"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61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62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03</w:t>
            </w:r>
          </w:p>
        </w:tc>
        <w:tc>
          <w:tcPr>
            <w:tcW w:w="922" w:type="pct"/>
            <w:gridSpan w:val="2"/>
            <w:tcBorders>
              <w:top w:val="nil"/>
              <w:left w:val="nil"/>
              <w:bottom w:val="single" w:sz="4" w:space="0" w:color="auto"/>
              <w:right w:val="nil"/>
            </w:tcBorders>
            <w:shd w:val="clear" w:color="auto" w:fill="auto"/>
            <w:vAlign w:val="center"/>
            <w:hideMark/>
          </w:tcPr>
          <w:p w14:paraId="7D4A9621" w14:textId="52F2F1E2" w:rsidR="000875F4" w:rsidRPr="009E1B38" w:rsidRDefault="00E040D1"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Transfers to non-profit organizations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62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273.361,66</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2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572.978,94</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24"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540.244,09</w:t>
            </w:r>
          </w:p>
        </w:tc>
        <w:tc>
          <w:tcPr>
            <w:tcW w:w="41" w:type="pct"/>
            <w:tcBorders>
              <w:top w:val="nil"/>
              <w:left w:val="nil"/>
              <w:bottom w:val="nil"/>
              <w:right w:val="nil"/>
            </w:tcBorders>
            <w:shd w:val="clear" w:color="auto" w:fill="auto"/>
            <w:noWrap/>
            <w:vAlign w:val="bottom"/>
            <w:hideMark/>
          </w:tcPr>
          <w:p w14:paraId="7D4A9625"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26" w:type="pct"/>
            <w:tcBorders>
              <w:top w:val="nil"/>
              <w:left w:val="single" w:sz="8" w:space="0" w:color="auto"/>
              <w:bottom w:val="single" w:sz="8" w:space="0" w:color="auto"/>
              <w:right w:val="single" w:sz="8" w:space="0" w:color="auto"/>
            </w:tcBorders>
            <w:shd w:val="clear" w:color="auto" w:fill="auto"/>
            <w:noWrap/>
            <w:vAlign w:val="bottom"/>
          </w:tcPr>
          <w:p w14:paraId="7D4A9626"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00" w:type="pct"/>
            <w:tcBorders>
              <w:top w:val="nil"/>
              <w:left w:val="nil"/>
              <w:bottom w:val="single" w:sz="8" w:space="0" w:color="auto"/>
              <w:right w:val="nil"/>
            </w:tcBorders>
            <w:shd w:val="clear" w:color="auto" w:fill="auto"/>
            <w:noWrap/>
            <w:vAlign w:val="bottom"/>
          </w:tcPr>
          <w:p w14:paraId="7D4A962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00" w:type="pct"/>
            <w:tcBorders>
              <w:top w:val="nil"/>
              <w:left w:val="single" w:sz="8" w:space="0" w:color="auto"/>
              <w:bottom w:val="single" w:sz="8" w:space="0" w:color="auto"/>
              <w:right w:val="single" w:sz="8" w:space="0" w:color="auto"/>
            </w:tcBorders>
            <w:shd w:val="clear" w:color="auto" w:fill="auto"/>
            <w:noWrap/>
            <w:vAlign w:val="bottom"/>
          </w:tcPr>
          <w:p w14:paraId="7D4A9628"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98" w:type="pct"/>
            <w:gridSpan w:val="2"/>
            <w:tcBorders>
              <w:top w:val="nil"/>
              <w:left w:val="nil"/>
              <w:bottom w:val="single" w:sz="8" w:space="0" w:color="auto"/>
              <w:right w:val="single" w:sz="8" w:space="0" w:color="auto"/>
            </w:tcBorders>
            <w:shd w:val="clear" w:color="auto" w:fill="auto"/>
            <w:noWrap/>
            <w:vAlign w:val="bottom"/>
          </w:tcPr>
          <w:p w14:paraId="7D4A962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98" w:type="pct"/>
            <w:gridSpan w:val="2"/>
            <w:tcBorders>
              <w:top w:val="nil"/>
              <w:left w:val="nil"/>
              <w:bottom w:val="single" w:sz="8" w:space="0" w:color="auto"/>
              <w:right w:val="single" w:sz="8" w:space="0" w:color="auto"/>
            </w:tcBorders>
            <w:shd w:val="clear" w:color="auto" w:fill="auto"/>
            <w:noWrap/>
            <w:vAlign w:val="bottom"/>
          </w:tcPr>
          <w:p w14:paraId="7D4A962A"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073" w:type="pct"/>
            <w:gridSpan w:val="4"/>
            <w:tcBorders>
              <w:top w:val="nil"/>
              <w:left w:val="nil"/>
              <w:bottom w:val="single" w:sz="8" w:space="0" w:color="auto"/>
              <w:right w:val="nil"/>
            </w:tcBorders>
            <w:shd w:val="clear" w:color="auto" w:fill="auto"/>
            <w:noWrap/>
            <w:vAlign w:val="bottom"/>
          </w:tcPr>
          <w:p w14:paraId="7D4A962B" w14:textId="77777777" w:rsidR="000875F4" w:rsidRPr="009E1B38" w:rsidRDefault="000875F4" w:rsidP="000875F4">
            <w:pPr>
              <w:spacing w:after="0" w:line="240" w:lineRule="auto"/>
              <w:jc w:val="left"/>
              <w:rPr>
                <w:rFonts w:ascii="Times New Roman" w:eastAsia="Times New Roman" w:hAnsi="Times New Roman"/>
                <w:b/>
                <w:lang w:eastAsia="tr-TR"/>
              </w:rPr>
            </w:pPr>
          </w:p>
        </w:tc>
        <w:tc>
          <w:tcPr>
            <w:tcW w:w="353" w:type="pct"/>
            <w:gridSpan w:val="2"/>
            <w:tcBorders>
              <w:top w:val="nil"/>
              <w:left w:val="single" w:sz="8" w:space="0" w:color="auto"/>
              <w:bottom w:val="single" w:sz="8" w:space="0" w:color="auto"/>
              <w:right w:val="single" w:sz="8" w:space="0" w:color="auto"/>
            </w:tcBorders>
            <w:shd w:val="clear" w:color="auto" w:fill="auto"/>
            <w:noWrap/>
            <w:vAlign w:val="bottom"/>
          </w:tcPr>
          <w:p w14:paraId="7D4A962C"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tc>
        <w:tc>
          <w:tcPr>
            <w:tcW w:w="353" w:type="pct"/>
            <w:gridSpan w:val="2"/>
            <w:tcBorders>
              <w:top w:val="nil"/>
              <w:left w:val="nil"/>
              <w:bottom w:val="single" w:sz="8" w:space="0" w:color="auto"/>
              <w:right w:val="single" w:sz="8" w:space="0" w:color="auto"/>
            </w:tcBorders>
            <w:shd w:val="clear" w:color="auto" w:fill="auto"/>
            <w:noWrap/>
            <w:vAlign w:val="bottom"/>
          </w:tcPr>
          <w:p w14:paraId="7D4A962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tc>
        <w:tc>
          <w:tcPr>
            <w:tcW w:w="368" w:type="pct"/>
            <w:gridSpan w:val="2"/>
            <w:tcBorders>
              <w:top w:val="nil"/>
              <w:left w:val="nil"/>
              <w:bottom w:val="single" w:sz="8" w:space="0" w:color="auto"/>
              <w:right w:val="single" w:sz="8" w:space="0" w:color="auto"/>
            </w:tcBorders>
            <w:shd w:val="clear" w:color="auto" w:fill="auto"/>
            <w:noWrap/>
            <w:vAlign w:val="bottom"/>
          </w:tcPr>
          <w:p w14:paraId="7D4A962E"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tc>
      </w:tr>
      <w:tr w:rsidR="007834CB" w:rsidRPr="009E1B38" w14:paraId="7D4A9641"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63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63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63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06</w:t>
            </w:r>
          </w:p>
        </w:tc>
        <w:tc>
          <w:tcPr>
            <w:tcW w:w="922" w:type="pct"/>
            <w:gridSpan w:val="2"/>
            <w:tcBorders>
              <w:top w:val="nil"/>
              <w:left w:val="nil"/>
              <w:bottom w:val="single" w:sz="4" w:space="0" w:color="auto"/>
              <w:right w:val="nil"/>
            </w:tcBorders>
            <w:shd w:val="clear" w:color="auto" w:fill="auto"/>
            <w:noWrap/>
            <w:vAlign w:val="bottom"/>
            <w:hideMark/>
          </w:tcPr>
          <w:p w14:paraId="7D4A9633" w14:textId="35281B4F" w:rsidR="000875F4" w:rsidRPr="009E1B38" w:rsidRDefault="00E040D1"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Transfers to foreign countries</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63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52.000,10</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3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68.163,93</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36"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83.792,27</w:t>
            </w:r>
          </w:p>
        </w:tc>
        <w:tc>
          <w:tcPr>
            <w:tcW w:w="41" w:type="pct"/>
            <w:tcBorders>
              <w:top w:val="nil"/>
              <w:left w:val="nil"/>
              <w:bottom w:val="nil"/>
              <w:right w:val="nil"/>
            </w:tcBorders>
            <w:shd w:val="clear" w:color="auto" w:fill="auto"/>
            <w:noWrap/>
            <w:vAlign w:val="bottom"/>
            <w:hideMark/>
          </w:tcPr>
          <w:p w14:paraId="7D4A963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26" w:type="pct"/>
            <w:tcBorders>
              <w:top w:val="nil"/>
              <w:left w:val="nil"/>
              <w:bottom w:val="nil"/>
              <w:right w:val="nil"/>
            </w:tcBorders>
            <w:shd w:val="clear" w:color="auto" w:fill="auto"/>
            <w:noWrap/>
            <w:vAlign w:val="bottom"/>
            <w:hideMark/>
          </w:tcPr>
          <w:p w14:paraId="7D4A9638"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0" w:type="pct"/>
            <w:tcBorders>
              <w:top w:val="nil"/>
              <w:left w:val="nil"/>
              <w:bottom w:val="nil"/>
              <w:right w:val="nil"/>
            </w:tcBorders>
            <w:shd w:val="clear" w:color="auto" w:fill="auto"/>
            <w:noWrap/>
            <w:vAlign w:val="bottom"/>
            <w:hideMark/>
          </w:tcPr>
          <w:p w14:paraId="7D4A9639"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0" w:type="pct"/>
            <w:tcBorders>
              <w:top w:val="nil"/>
              <w:left w:val="nil"/>
              <w:bottom w:val="nil"/>
              <w:right w:val="nil"/>
            </w:tcBorders>
            <w:shd w:val="clear" w:color="auto" w:fill="auto"/>
            <w:noWrap/>
            <w:vAlign w:val="bottom"/>
            <w:hideMark/>
          </w:tcPr>
          <w:p w14:paraId="7D4A963A"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8" w:type="pct"/>
            <w:gridSpan w:val="2"/>
            <w:tcBorders>
              <w:top w:val="nil"/>
              <w:left w:val="nil"/>
              <w:bottom w:val="nil"/>
              <w:right w:val="nil"/>
            </w:tcBorders>
            <w:shd w:val="clear" w:color="auto" w:fill="auto"/>
            <w:noWrap/>
            <w:vAlign w:val="bottom"/>
            <w:hideMark/>
          </w:tcPr>
          <w:p w14:paraId="7D4A963B"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8" w:type="pct"/>
            <w:gridSpan w:val="2"/>
            <w:tcBorders>
              <w:top w:val="nil"/>
              <w:left w:val="nil"/>
              <w:bottom w:val="nil"/>
              <w:right w:val="nil"/>
            </w:tcBorders>
            <w:shd w:val="clear" w:color="auto" w:fill="auto"/>
            <w:noWrap/>
            <w:vAlign w:val="bottom"/>
            <w:hideMark/>
          </w:tcPr>
          <w:p w14:paraId="7D4A963C"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73" w:type="pct"/>
            <w:gridSpan w:val="4"/>
            <w:tcBorders>
              <w:top w:val="nil"/>
              <w:left w:val="nil"/>
              <w:bottom w:val="nil"/>
              <w:right w:val="nil"/>
            </w:tcBorders>
            <w:shd w:val="clear" w:color="auto" w:fill="auto"/>
            <w:noWrap/>
            <w:vAlign w:val="bottom"/>
            <w:hideMark/>
          </w:tcPr>
          <w:p w14:paraId="7D4A963D"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3" w:type="pct"/>
            <w:gridSpan w:val="2"/>
            <w:tcBorders>
              <w:top w:val="nil"/>
              <w:left w:val="nil"/>
              <w:bottom w:val="nil"/>
              <w:right w:val="nil"/>
            </w:tcBorders>
            <w:shd w:val="clear" w:color="auto" w:fill="auto"/>
            <w:noWrap/>
            <w:vAlign w:val="bottom"/>
          </w:tcPr>
          <w:p w14:paraId="7D4A963E"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3F"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c>
          <w:tcPr>
            <w:tcW w:w="368" w:type="pct"/>
            <w:gridSpan w:val="2"/>
            <w:tcBorders>
              <w:top w:val="nil"/>
              <w:left w:val="nil"/>
              <w:bottom w:val="nil"/>
              <w:right w:val="nil"/>
            </w:tcBorders>
            <w:shd w:val="clear" w:color="auto" w:fill="auto"/>
            <w:noWrap/>
            <w:vAlign w:val="bottom"/>
            <w:hideMark/>
          </w:tcPr>
          <w:p w14:paraId="7D4A9640" w14:textId="77777777" w:rsidR="000875F4" w:rsidRPr="009E1B38" w:rsidRDefault="000875F4" w:rsidP="000875F4">
            <w:pPr>
              <w:spacing w:after="0" w:line="240" w:lineRule="auto"/>
              <w:jc w:val="right"/>
              <w:rPr>
                <w:rFonts w:ascii="Times New Roman" w:eastAsia="Times New Roman" w:hAnsi="Times New Roman"/>
                <w:b/>
                <w:sz w:val="20"/>
                <w:szCs w:val="20"/>
                <w:lang w:eastAsia="tr-TR"/>
              </w:rPr>
            </w:pPr>
          </w:p>
        </w:tc>
      </w:tr>
      <w:tr w:rsidR="00A55ABD" w:rsidRPr="009E1B38" w14:paraId="7D4A964E"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64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64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05</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64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08</w:t>
            </w:r>
          </w:p>
        </w:tc>
        <w:tc>
          <w:tcPr>
            <w:tcW w:w="922" w:type="pct"/>
            <w:gridSpan w:val="2"/>
            <w:tcBorders>
              <w:top w:val="nil"/>
              <w:left w:val="nil"/>
              <w:bottom w:val="single" w:sz="4" w:space="0" w:color="auto"/>
              <w:right w:val="nil"/>
            </w:tcBorders>
            <w:shd w:val="clear" w:color="auto" w:fill="auto"/>
            <w:noWrap/>
            <w:vAlign w:val="bottom"/>
            <w:hideMark/>
          </w:tcPr>
          <w:p w14:paraId="7D4A9645" w14:textId="1A2FC81C" w:rsidR="000875F4" w:rsidRPr="009E1B38" w:rsidRDefault="00E040D1"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Shares allocated from the income</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64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74.031.143,78</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4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65.500.000,00</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48" w14:textId="77777777" w:rsidR="000875F4" w:rsidRPr="009E1B38" w:rsidRDefault="000875F4" w:rsidP="000875F4">
            <w:pPr>
              <w:spacing w:after="0" w:line="240" w:lineRule="auto"/>
              <w:jc w:val="right"/>
              <w:rPr>
                <w:rFonts w:ascii="Times New Roman" w:eastAsia="Times New Roman" w:hAnsi="Times New Roman"/>
                <w:bCs/>
                <w:sz w:val="16"/>
                <w:szCs w:val="18"/>
                <w:lang w:eastAsia="tr-TR"/>
              </w:rPr>
            </w:pPr>
            <w:r w:rsidRPr="009E1B38">
              <w:rPr>
                <w:rFonts w:ascii="Times New Roman" w:eastAsia="Times New Roman" w:hAnsi="Times New Roman"/>
                <w:bCs/>
                <w:sz w:val="16"/>
                <w:szCs w:val="18"/>
                <w:lang w:eastAsia="tr-TR"/>
              </w:rPr>
              <w:t>354.810.951,36</w:t>
            </w:r>
          </w:p>
        </w:tc>
        <w:tc>
          <w:tcPr>
            <w:tcW w:w="41" w:type="pct"/>
            <w:tcBorders>
              <w:top w:val="nil"/>
              <w:left w:val="nil"/>
              <w:bottom w:val="nil"/>
              <w:right w:val="nil"/>
            </w:tcBorders>
            <w:shd w:val="clear" w:color="auto" w:fill="auto"/>
            <w:noWrap/>
            <w:vAlign w:val="bottom"/>
            <w:hideMark/>
          </w:tcPr>
          <w:p w14:paraId="7D4A964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1595" w:type="pct"/>
            <w:gridSpan w:val="11"/>
            <w:tcBorders>
              <w:top w:val="single" w:sz="8" w:space="0" w:color="auto"/>
              <w:left w:val="single" w:sz="8" w:space="0" w:color="auto"/>
              <w:bottom w:val="single" w:sz="8" w:space="0" w:color="auto"/>
              <w:right w:val="nil"/>
            </w:tcBorders>
            <w:shd w:val="clear" w:color="auto" w:fill="auto"/>
            <w:noWrap/>
            <w:vAlign w:val="bottom"/>
            <w:hideMark/>
          </w:tcPr>
          <w:p w14:paraId="7D4A964A" w14:textId="77777777"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GELİRLER TOPLAMI (B)</w:t>
            </w:r>
          </w:p>
        </w:tc>
        <w:tc>
          <w:tcPr>
            <w:tcW w:w="353" w:type="pct"/>
            <w:gridSpan w:val="2"/>
            <w:tcBorders>
              <w:top w:val="single" w:sz="8" w:space="0" w:color="auto"/>
              <w:left w:val="single" w:sz="8" w:space="0" w:color="auto"/>
              <w:bottom w:val="single" w:sz="8" w:space="0" w:color="auto"/>
              <w:right w:val="single" w:sz="8" w:space="0" w:color="auto"/>
            </w:tcBorders>
            <w:shd w:val="clear" w:color="auto" w:fill="auto"/>
            <w:noWrap/>
            <w:vAlign w:val="bottom"/>
          </w:tcPr>
          <w:p w14:paraId="7D4A964B"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398.394.240,62</w:t>
            </w:r>
          </w:p>
        </w:tc>
        <w:tc>
          <w:tcPr>
            <w:tcW w:w="353" w:type="pct"/>
            <w:gridSpan w:val="2"/>
            <w:tcBorders>
              <w:top w:val="single" w:sz="8" w:space="0" w:color="auto"/>
              <w:left w:val="nil"/>
              <w:bottom w:val="single" w:sz="8" w:space="0" w:color="auto"/>
              <w:right w:val="single" w:sz="8" w:space="0" w:color="auto"/>
            </w:tcBorders>
            <w:shd w:val="clear" w:color="auto" w:fill="auto"/>
            <w:noWrap/>
            <w:vAlign w:val="bottom"/>
          </w:tcPr>
          <w:p w14:paraId="7D4A964C"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444.495.676,39</w:t>
            </w:r>
          </w:p>
        </w:tc>
        <w:tc>
          <w:tcPr>
            <w:tcW w:w="368" w:type="pct"/>
            <w:gridSpan w:val="2"/>
            <w:tcBorders>
              <w:top w:val="single" w:sz="8" w:space="0" w:color="auto"/>
              <w:left w:val="nil"/>
              <w:bottom w:val="single" w:sz="8" w:space="0" w:color="auto"/>
              <w:right w:val="single" w:sz="8" w:space="0" w:color="auto"/>
            </w:tcBorders>
            <w:shd w:val="clear" w:color="auto" w:fill="auto"/>
            <w:noWrap/>
            <w:vAlign w:val="bottom"/>
          </w:tcPr>
          <w:p w14:paraId="7D4A964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6"/>
              </w:rPr>
              <w:t>524.992.650,62</w:t>
            </w:r>
          </w:p>
        </w:tc>
      </w:tr>
      <w:tr w:rsidR="007834CB" w:rsidRPr="009E1B38" w14:paraId="7D4A9660" w14:textId="77777777" w:rsidTr="00343D35">
        <w:trPr>
          <w:gridAfter w:val="1"/>
          <w:wAfter w:w="15" w:type="pct"/>
          <w:trHeight w:val="20"/>
        </w:trPr>
        <w:tc>
          <w:tcPr>
            <w:tcW w:w="115" w:type="pct"/>
            <w:tcBorders>
              <w:top w:val="nil"/>
              <w:left w:val="single" w:sz="8" w:space="0" w:color="auto"/>
              <w:bottom w:val="single" w:sz="4" w:space="0" w:color="auto"/>
              <w:right w:val="single" w:sz="8" w:space="0" w:color="auto"/>
            </w:tcBorders>
            <w:shd w:val="clear" w:color="auto" w:fill="auto"/>
            <w:noWrap/>
            <w:vAlign w:val="bottom"/>
            <w:hideMark/>
          </w:tcPr>
          <w:p w14:paraId="7D4A964F"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630</w:t>
            </w:r>
          </w:p>
        </w:tc>
        <w:tc>
          <w:tcPr>
            <w:tcW w:w="90" w:type="pct"/>
            <w:tcBorders>
              <w:top w:val="nil"/>
              <w:left w:val="nil"/>
              <w:bottom w:val="single" w:sz="4" w:space="0" w:color="auto"/>
              <w:right w:val="nil"/>
            </w:tcBorders>
            <w:shd w:val="clear" w:color="auto" w:fill="auto"/>
            <w:noWrap/>
            <w:vAlign w:val="bottom"/>
            <w:hideMark/>
          </w:tcPr>
          <w:p w14:paraId="7D4A9650"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12</w:t>
            </w:r>
          </w:p>
        </w:tc>
        <w:tc>
          <w:tcPr>
            <w:tcW w:w="90" w:type="pct"/>
            <w:tcBorders>
              <w:top w:val="nil"/>
              <w:left w:val="single" w:sz="8" w:space="0" w:color="auto"/>
              <w:bottom w:val="single" w:sz="4" w:space="0" w:color="auto"/>
              <w:right w:val="single" w:sz="8" w:space="0" w:color="auto"/>
            </w:tcBorders>
            <w:shd w:val="clear" w:color="auto" w:fill="auto"/>
            <w:noWrap/>
            <w:vAlign w:val="bottom"/>
            <w:hideMark/>
          </w:tcPr>
          <w:p w14:paraId="7D4A965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22" w:type="pct"/>
            <w:gridSpan w:val="2"/>
            <w:tcBorders>
              <w:top w:val="nil"/>
              <w:left w:val="nil"/>
              <w:bottom w:val="single" w:sz="4" w:space="0" w:color="auto"/>
              <w:right w:val="nil"/>
            </w:tcBorders>
            <w:shd w:val="clear" w:color="auto" w:fill="auto"/>
            <w:vAlign w:val="bottom"/>
            <w:hideMark/>
          </w:tcPr>
          <w:p w14:paraId="7D4A9652" w14:textId="5FB89C6C" w:rsidR="000875F4" w:rsidRPr="009E1B38" w:rsidRDefault="00E040D1"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 xml:space="preserve">Expenses Stemming </w:t>
            </w:r>
            <w:r w:rsidR="00656644" w:rsidRPr="009E1B38">
              <w:rPr>
                <w:rFonts w:ascii="Times New Roman" w:eastAsia="Times New Roman" w:hAnsi="Times New Roman"/>
                <w:b/>
                <w:lang w:eastAsia="tr-TR"/>
              </w:rPr>
              <w:t>from</w:t>
            </w:r>
            <w:r w:rsidRPr="009E1B38">
              <w:rPr>
                <w:rFonts w:ascii="Times New Roman" w:eastAsia="Times New Roman" w:hAnsi="Times New Roman"/>
                <w:b/>
                <w:lang w:eastAsia="tr-TR"/>
              </w:rPr>
              <w:t xml:space="preserve"> the Rejection and Return of the İncome</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653"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54"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55"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8"/>
                <w:lang w:eastAsia="tr-TR"/>
              </w:rPr>
              <w:t>0,00</w:t>
            </w:r>
          </w:p>
        </w:tc>
        <w:tc>
          <w:tcPr>
            <w:tcW w:w="41" w:type="pct"/>
            <w:tcBorders>
              <w:top w:val="nil"/>
              <w:left w:val="nil"/>
              <w:bottom w:val="nil"/>
              <w:right w:val="nil"/>
            </w:tcBorders>
            <w:shd w:val="clear" w:color="auto" w:fill="auto"/>
            <w:noWrap/>
            <w:vAlign w:val="bottom"/>
            <w:hideMark/>
          </w:tcPr>
          <w:p w14:paraId="7D4A9656"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126" w:type="pct"/>
            <w:tcBorders>
              <w:top w:val="nil"/>
              <w:left w:val="nil"/>
              <w:bottom w:val="nil"/>
              <w:right w:val="nil"/>
            </w:tcBorders>
            <w:shd w:val="clear" w:color="auto" w:fill="auto"/>
            <w:noWrap/>
            <w:vAlign w:val="bottom"/>
            <w:hideMark/>
          </w:tcPr>
          <w:p w14:paraId="7D4A9657"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0" w:type="pct"/>
            <w:tcBorders>
              <w:top w:val="nil"/>
              <w:left w:val="nil"/>
              <w:bottom w:val="nil"/>
              <w:right w:val="nil"/>
            </w:tcBorders>
            <w:shd w:val="clear" w:color="auto" w:fill="auto"/>
            <w:noWrap/>
            <w:vAlign w:val="bottom"/>
            <w:hideMark/>
          </w:tcPr>
          <w:p w14:paraId="7D4A9658"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0" w:type="pct"/>
            <w:tcBorders>
              <w:top w:val="nil"/>
              <w:left w:val="nil"/>
              <w:bottom w:val="nil"/>
              <w:right w:val="nil"/>
            </w:tcBorders>
            <w:shd w:val="clear" w:color="auto" w:fill="auto"/>
            <w:noWrap/>
            <w:vAlign w:val="bottom"/>
            <w:hideMark/>
          </w:tcPr>
          <w:p w14:paraId="7D4A9659"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8" w:type="pct"/>
            <w:gridSpan w:val="2"/>
            <w:tcBorders>
              <w:top w:val="nil"/>
              <w:left w:val="nil"/>
              <w:bottom w:val="nil"/>
              <w:right w:val="nil"/>
            </w:tcBorders>
            <w:shd w:val="clear" w:color="auto" w:fill="auto"/>
            <w:noWrap/>
            <w:vAlign w:val="bottom"/>
            <w:hideMark/>
          </w:tcPr>
          <w:p w14:paraId="7D4A965A"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8" w:type="pct"/>
            <w:gridSpan w:val="2"/>
            <w:tcBorders>
              <w:top w:val="nil"/>
              <w:left w:val="nil"/>
              <w:bottom w:val="nil"/>
              <w:right w:val="nil"/>
            </w:tcBorders>
            <w:shd w:val="clear" w:color="auto" w:fill="auto"/>
            <w:noWrap/>
            <w:vAlign w:val="bottom"/>
            <w:hideMark/>
          </w:tcPr>
          <w:p w14:paraId="7D4A965B"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73" w:type="pct"/>
            <w:gridSpan w:val="4"/>
            <w:tcBorders>
              <w:top w:val="nil"/>
              <w:left w:val="nil"/>
              <w:bottom w:val="nil"/>
              <w:right w:val="nil"/>
            </w:tcBorders>
            <w:shd w:val="clear" w:color="auto" w:fill="auto"/>
            <w:noWrap/>
            <w:vAlign w:val="bottom"/>
            <w:hideMark/>
          </w:tcPr>
          <w:p w14:paraId="7D4A965C"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3" w:type="pct"/>
            <w:gridSpan w:val="2"/>
            <w:tcBorders>
              <w:top w:val="nil"/>
              <w:left w:val="nil"/>
              <w:bottom w:val="nil"/>
              <w:right w:val="nil"/>
            </w:tcBorders>
            <w:shd w:val="clear" w:color="auto" w:fill="auto"/>
            <w:noWrap/>
            <w:vAlign w:val="bottom"/>
          </w:tcPr>
          <w:p w14:paraId="7D4A965D"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5E"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c>
          <w:tcPr>
            <w:tcW w:w="368" w:type="pct"/>
            <w:gridSpan w:val="2"/>
            <w:tcBorders>
              <w:top w:val="nil"/>
              <w:left w:val="nil"/>
              <w:bottom w:val="nil"/>
              <w:right w:val="nil"/>
            </w:tcBorders>
            <w:shd w:val="clear" w:color="auto" w:fill="auto"/>
            <w:noWrap/>
            <w:vAlign w:val="bottom"/>
            <w:hideMark/>
          </w:tcPr>
          <w:p w14:paraId="7D4A965F"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r>
      <w:tr w:rsidR="007834CB" w:rsidRPr="009E1B38" w14:paraId="7D4A966D" w14:textId="77777777" w:rsidTr="00343D35">
        <w:trPr>
          <w:gridAfter w:val="1"/>
          <w:wAfter w:w="15" w:type="pct"/>
          <w:trHeight w:val="20"/>
        </w:trPr>
        <w:tc>
          <w:tcPr>
            <w:tcW w:w="115" w:type="pct"/>
            <w:tcBorders>
              <w:top w:val="nil"/>
              <w:left w:val="single" w:sz="8" w:space="0" w:color="auto"/>
              <w:bottom w:val="single" w:sz="8" w:space="0" w:color="auto"/>
              <w:right w:val="single" w:sz="8" w:space="0" w:color="auto"/>
            </w:tcBorders>
            <w:shd w:val="clear" w:color="auto" w:fill="auto"/>
            <w:noWrap/>
            <w:vAlign w:val="bottom"/>
            <w:hideMark/>
          </w:tcPr>
          <w:p w14:paraId="7D4A9661"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630</w:t>
            </w:r>
          </w:p>
        </w:tc>
        <w:tc>
          <w:tcPr>
            <w:tcW w:w="90" w:type="pct"/>
            <w:tcBorders>
              <w:top w:val="nil"/>
              <w:left w:val="nil"/>
              <w:bottom w:val="single" w:sz="8" w:space="0" w:color="auto"/>
              <w:right w:val="nil"/>
            </w:tcBorders>
            <w:shd w:val="clear" w:color="auto" w:fill="auto"/>
            <w:noWrap/>
            <w:vAlign w:val="bottom"/>
            <w:hideMark/>
          </w:tcPr>
          <w:p w14:paraId="7D4A9662" w14:textId="77777777" w:rsidR="000875F4" w:rsidRPr="009E1B38" w:rsidRDefault="000875F4" w:rsidP="000875F4">
            <w:pPr>
              <w:spacing w:after="0" w:line="240" w:lineRule="auto"/>
              <w:jc w:val="lef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13</w:t>
            </w:r>
          </w:p>
        </w:tc>
        <w:tc>
          <w:tcPr>
            <w:tcW w:w="90" w:type="pct"/>
            <w:tcBorders>
              <w:top w:val="nil"/>
              <w:left w:val="single" w:sz="8" w:space="0" w:color="auto"/>
              <w:bottom w:val="single" w:sz="8" w:space="0" w:color="auto"/>
              <w:right w:val="single" w:sz="8" w:space="0" w:color="auto"/>
            </w:tcBorders>
            <w:shd w:val="clear" w:color="auto" w:fill="auto"/>
            <w:noWrap/>
            <w:vAlign w:val="bottom"/>
            <w:hideMark/>
          </w:tcPr>
          <w:p w14:paraId="7D4A966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922" w:type="pct"/>
            <w:gridSpan w:val="2"/>
            <w:tcBorders>
              <w:top w:val="nil"/>
              <w:left w:val="nil"/>
              <w:bottom w:val="single" w:sz="8" w:space="0" w:color="auto"/>
              <w:right w:val="nil"/>
            </w:tcBorders>
            <w:shd w:val="clear" w:color="auto" w:fill="auto"/>
            <w:noWrap/>
            <w:vAlign w:val="bottom"/>
            <w:hideMark/>
          </w:tcPr>
          <w:p w14:paraId="7D4A9664" w14:textId="5222A89A" w:rsidR="000875F4" w:rsidRPr="009E1B38" w:rsidRDefault="00E040D1"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Depreciation Expenses</w:t>
            </w:r>
          </w:p>
        </w:tc>
        <w:tc>
          <w:tcPr>
            <w:tcW w:w="353" w:type="pct"/>
            <w:gridSpan w:val="2"/>
            <w:tcBorders>
              <w:top w:val="nil"/>
              <w:left w:val="single" w:sz="8" w:space="0" w:color="auto"/>
              <w:bottom w:val="single" w:sz="8" w:space="0" w:color="auto"/>
              <w:right w:val="single" w:sz="8" w:space="0" w:color="auto"/>
            </w:tcBorders>
            <w:shd w:val="clear" w:color="auto" w:fill="auto"/>
            <w:noWrap/>
            <w:vAlign w:val="bottom"/>
          </w:tcPr>
          <w:p w14:paraId="7D4A9665"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20.551.751,13</w:t>
            </w:r>
          </w:p>
        </w:tc>
        <w:tc>
          <w:tcPr>
            <w:tcW w:w="353" w:type="pct"/>
            <w:gridSpan w:val="2"/>
            <w:tcBorders>
              <w:top w:val="nil"/>
              <w:left w:val="nil"/>
              <w:bottom w:val="single" w:sz="8" w:space="0" w:color="auto"/>
              <w:right w:val="single" w:sz="8" w:space="0" w:color="auto"/>
            </w:tcBorders>
            <w:shd w:val="clear" w:color="auto" w:fill="auto"/>
            <w:noWrap/>
            <w:vAlign w:val="bottom"/>
          </w:tcPr>
          <w:p w14:paraId="7D4A9666"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13.227.063,92</w:t>
            </w:r>
          </w:p>
        </w:tc>
        <w:tc>
          <w:tcPr>
            <w:tcW w:w="353" w:type="pct"/>
            <w:gridSpan w:val="2"/>
            <w:tcBorders>
              <w:top w:val="nil"/>
              <w:left w:val="nil"/>
              <w:bottom w:val="single" w:sz="8" w:space="0" w:color="auto"/>
              <w:right w:val="single" w:sz="8" w:space="0" w:color="auto"/>
            </w:tcBorders>
            <w:shd w:val="clear" w:color="auto" w:fill="auto"/>
            <w:noWrap/>
            <w:vAlign w:val="bottom"/>
          </w:tcPr>
          <w:p w14:paraId="7D4A9667"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8"/>
                <w:lang w:eastAsia="tr-TR"/>
              </w:rPr>
              <w:t>8.641.930,23</w:t>
            </w:r>
          </w:p>
        </w:tc>
        <w:tc>
          <w:tcPr>
            <w:tcW w:w="41" w:type="pct"/>
            <w:tcBorders>
              <w:top w:val="nil"/>
              <w:left w:val="nil"/>
              <w:bottom w:val="nil"/>
              <w:right w:val="nil"/>
            </w:tcBorders>
            <w:shd w:val="clear" w:color="auto" w:fill="auto"/>
            <w:noWrap/>
            <w:vAlign w:val="bottom"/>
            <w:hideMark/>
          </w:tcPr>
          <w:p w14:paraId="7D4A9668"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1595" w:type="pct"/>
            <w:gridSpan w:val="11"/>
            <w:tcBorders>
              <w:top w:val="single" w:sz="8" w:space="0" w:color="auto"/>
              <w:left w:val="single" w:sz="8" w:space="0" w:color="auto"/>
              <w:bottom w:val="single" w:sz="8" w:space="0" w:color="auto"/>
              <w:right w:val="nil"/>
            </w:tcBorders>
            <w:shd w:val="clear" w:color="auto" w:fill="auto"/>
            <w:noWrap/>
            <w:vAlign w:val="center"/>
            <w:hideMark/>
          </w:tcPr>
          <w:p w14:paraId="7D4A9669" w14:textId="2ADA62DD"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TYPES OF D</w:t>
            </w:r>
            <w:r w:rsidR="002566F0" w:rsidRPr="009E1B38">
              <w:rPr>
                <w:rFonts w:ascii="Times New Roman" w:eastAsia="Times New Roman" w:hAnsi="Times New Roman"/>
                <w:b/>
                <w:lang w:eastAsia="tr-TR"/>
              </w:rPr>
              <w:t>I</w:t>
            </w:r>
            <w:r w:rsidRPr="009E1B38">
              <w:rPr>
                <w:rFonts w:ascii="Times New Roman" w:eastAsia="Times New Roman" w:hAnsi="Times New Roman"/>
                <w:b/>
                <w:lang w:eastAsia="tr-TR"/>
              </w:rPr>
              <w:t>SCOUNTS AND RETURNS</w:t>
            </w:r>
          </w:p>
        </w:tc>
        <w:tc>
          <w:tcPr>
            <w:tcW w:w="353" w:type="pct"/>
            <w:gridSpan w:val="2"/>
            <w:tcBorders>
              <w:top w:val="single" w:sz="8" w:space="0" w:color="auto"/>
              <w:left w:val="nil"/>
              <w:bottom w:val="single" w:sz="8" w:space="0" w:color="auto"/>
              <w:right w:val="single" w:sz="8" w:space="0" w:color="auto"/>
            </w:tcBorders>
            <w:shd w:val="clear" w:color="auto" w:fill="auto"/>
            <w:noWrap/>
            <w:vAlign w:val="center"/>
          </w:tcPr>
          <w:p w14:paraId="7D4A966A"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31.12.2019</w:t>
            </w:r>
          </w:p>
        </w:tc>
        <w:tc>
          <w:tcPr>
            <w:tcW w:w="353" w:type="pct"/>
            <w:gridSpan w:val="2"/>
            <w:tcBorders>
              <w:top w:val="single" w:sz="8" w:space="0" w:color="auto"/>
              <w:left w:val="nil"/>
              <w:bottom w:val="single" w:sz="8" w:space="0" w:color="auto"/>
              <w:right w:val="single" w:sz="8" w:space="0" w:color="auto"/>
            </w:tcBorders>
            <w:shd w:val="clear" w:color="auto" w:fill="auto"/>
            <w:noWrap/>
            <w:vAlign w:val="center"/>
          </w:tcPr>
          <w:p w14:paraId="7D4A966B"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31.12.2020</w:t>
            </w:r>
          </w:p>
        </w:tc>
        <w:tc>
          <w:tcPr>
            <w:tcW w:w="368" w:type="pct"/>
            <w:gridSpan w:val="2"/>
            <w:tcBorders>
              <w:top w:val="single" w:sz="8" w:space="0" w:color="auto"/>
              <w:left w:val="nil"/>
              <w:bottom w:val="single" w:sz="8" w:space="0" w:color="auto"/>
              <w:right w:val="single" w:sz="8" w:space="0" w:color="auto"/>
            </w:tcBorders>
            <w:shd w:val="clear" w:color="auto" w:fill="auto"/>
            <w:noWrap/>
            <w:vAlign w:val="center"/>
            <w:hideMark/>
          </w:tcPr>
          <w:p w14:paraId="7D4A966C"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31.12.2021</w:t>
            </w:r>
          </w:p>
        </w:tc>
      </w:tr>
      <w:tr w:rsidR="00A55ABD" w:rsidRPr="009E1B38" w14:paraId="7D4A967F"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66E" w14:textId="77777777" w:rsidR="000875F4" w:rsidRPr="009E1B38" w:rsidRDefault="000875F4" w:rsidP="000875F4">
            <w:pPr>
              <w:spacing w:after="0" w:line="240" w:lineRule="auto"/>
              <w:jc w:val="center"/>
              <w:rPr>
                <w:rFonts w:ascii="Times New Roman" w:eastAsia="Times New Roman" w:hAnsi="Times New Roman"/>
                <w:b/>
                <w:bCs/>
                <w:sz w:val="18"/>
                <w:szCs w:val="18"/>
                <w:lang w:eastAsia="tr-TR"/>
              </w:rPr>
            </w:pPr>
          </w:p>
        </w:tc>
        <w:tc>
          <w:tcPr>
            <w:tcW w:w="90" w:type="pct"/>
            <w:tcBorders>
              <w:top w:val="nil"/>
              <w:left w:val="nil"/>
              <w:bottom w:val="nil"/>
              <w:right w:val="nil"/>
            </w:tcBorders>
            <w:shd w:val="clear" w:color="auto" w:fill="auto"/>
            <w:noWrap/>
            <w:vAlign w:val="bottom"/>
            <w:hideMark/>
          </w:tcPr>
          <w:p w14:paraId="7D4A966F"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670"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671"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tcPr>
          <w:p w14:paraId="7D4A9672"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73"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74"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675"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26" w:type="pct"/>
            <w:tcBorders>
              <w:top w:val="nil"/>
              <w:left w:val="single" w:sz="8" w:space="0" w:color="auto"/>
              <w:bottom w:val="single" w:sz="4" w:space="0" w:color="auto"/>
              <w:right w:val="nil"/>
            </w:tcBorders>
            <w:shd w:val="clear" w:color="auto" w:fill="auto"/>
            <w:noWrap/>
            <w:vAlign w:val="center"/>
            <w:hideMark/>
          </w:tcPr>
          <w:p w14:paraId="7D4A9676" w14:textId="77777777" w:rsidR="000875F4" w:rsidRPr="009E1B38" w:rsidRDefault="000875F4" w:rsidP="000875F4">
            <w:pPr>
              <w:spacing w:after="0" w:line="240" w:lineRule="auto"/>
              <w:jc w:val="center"/>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610</w:t>
            </w:r>
          </w:p>
        </w:tc>
        <w:tc>
          <w:tcPr>
            <w:tcW w:w="100" w:type="pct"/>
            <w:tcBorders>
              <w:top w:val="nil"/>
              <w:left w:val="single" w:sz="8" w:space="0" w:color="auto"/>
              <w:bottom w:val="nil"/>
              <w:right w:val="single" w:sz="8" w:space="0" w:color="auto"/>
            </w:tcBorders>
            <w:shd w:val="clear" w:color="auto" w:fill="auto"/>
            <w:noWrap/>
            <w:vAlign w:val="center"/>
            <w:hideMark/>
          </w:tcPr>
          <w:p w14:paraId="7D4A9677"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03</w:t>
            </w:r>
          </w:p>
        </w:tc>
        <w:tc>
          <w:tcPr>
            <w:tcW w:w="100" w:type="pct"/>
            <w:tcBorders>
              <w:top w:val="nil"/>
              <w:left w:val="nil"/>
              <w:bottom w:val="nil"/>
              <w:right w:val="single" w:sz="8" w:space="0" w:color="auto"/>
            </w:tcBorders>
            <w:shd w:val="clear" w:color="auto" w:fill="auto"/>
            <w:noWrap/>
            <w:vAlign w:val="center"/>
            <w:hideMark/>
          </w:tcPr>
          <w:p w14:paraId="7D4A9678"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 </w:t>
            </w:r>
          </w:p>
        </w:tc>
        <w:tc>
          <w:tcPr>
            <w:tcW w:w="98" w:type="pct"/>
            <w:gridSpan w:val="2"/>
            <w:tcBorders>
              <w:top w:val="nil"/>
              <w:left w:val="nil"/>
              <w:bottom w:val="nil"/>
              <w:right w:val="single" w:sz="8" w:space="0" w:color="auto"/>
            </w:tcBorders>
            <w:shd w:val="clear" w:color="auto" w:fill="auto"/>
            <w:noWrap/>
            <w:vAlign w:val="center"/>
            <w:hideMark/>
          </w:tcPr>
          <w:p w14:paraId="7D4A9679"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 </w:t>
            </w:r>
          </w:p>
        </w:tc>
        <w:tc>
          <w:tcPr>
            <w:tcW w:w="98" w:type="pct"/>
            <w:gridSpan w:val="2"/>
            <w:tcBorders>
              <w:top w:val="nil"/>
              <w:left w:val="nil"/>
              <w:bottom w:val="nil"/>
              <w:right w:val="single" w:sz="8" w:space="0" w:color="auto"/>
            </w:tcBorders>
            <w:shd w:val="clear" w:color="auto" w:fill="auto"/>
            <w:noWrap/>
            <w:vAlign w:val="center"/>
            <w:hideMark/>
          </w:tcPr>
          <w:p w14:paraId="7D4A967A"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 </w:t>
            </w:r>
          </w:p>
        </w:tc>
        <w:tc>
          <w:tcPr>
            <w:tcW w:w="1073" w:type="pct"/>
            <w:gridSpan w:val="4"/>
            <w:tcBorders>
              <w:top w:val="nil"/>
              <w:left w:val="nil"/>
              <w:bottom w:val="nil"/>
              <w:right w:val="nil"/>
            </w:tcBorders>
            <w:shd w:val="clear" w:color="auto" w:fill="auto"/>
            <w:noWrap/>
            <w:vAlign w:val="center"/>
            <w:hideMark/>
          </w:tcPr>
          <w:p w14:paraId="7D4A967B" w14:textId="4B323460"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Enterprise and Ownership</w:t>
            </w:r>
          </w:p>
        </w:tc>
        <w:tc>
          <w:tcPr>
            <w:tcW w:w="353" w:type="pct"/>
            <w:gridSpan w:val="2"/>
            <w:tcBorders>
              <w:top w:val="nil"/>
              <w:left w:val="single" w:sz="8" w:space="0" w:color="auto"/>
              <w:bottom w:val="single" w:sz="4" w:space="0" w:color="auto"/>
              <w:right w:val="single" w:sz="8" w:space="0" w:color="auto"/>
            </w:tcBorders>
            <w:shd w:val="clear" w:color="auto" w:fill="auto"/>
            <w:noWrap/>
            <w:vAlign w:val="center"/>
          </w:tcPr>
          <w:p w14:paraId="7D4A967C"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4.129.258,97</w:t>
            </w:r>
          </w:p>
        </w:tc>
        <w:tc>
          <w:tcPr>
            <w:tcW w:w="353" w:type="pct"/>
            <w:gridSpan w:val="2"/>
            <w:tcBorders>
              <w:top w:val="nil"/>
              <w:left w:val="nil"/>
              <w:bottom w:val="single" w:sz="4" w:space="0" w:color="auto"/>
              <w:right w:val="single" w:sz="8" w:space="0" w:color="auto"/>
            </w:tcBorders>
            <w:shd w:val="clear" w:color="auto" w:fill="auto"/>
            <w:noWrap/>
            <w:vAlign w:val="center"/>
          </w:tcPr>
          <w:p w14:paraId="7D4A967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sz w:val="16"/>
                <w:szCs w:val="16"/>
                <w:lang w:eastAsia="tr-TR"/>
              </w:rPr>
              <w:t>4.981.428,70</w:t>
            </w:r>
          </w:p>
        </w:tc>
        <w:tc>
          <w:tcPr>
            <w:tcW w:w="368" w:type="pct"/>
            <w:gridSpan w:val="2"/>
            <w:tcBorders>
              <w:top w:val="nil"/>
              <w:left w:val="nil"/>
              <w:bottom w:val="single" w:sz="4" w:space="0" w:color="auto"/>
              <w:right w:val="single" w:sz="8" w:space="0" w:color="auto"/>
            </w:tcBorders>
            <w:shd w:val="clear" w:color="auto" w:fill="auto"/>
            <w:noWrap/>
            <w:vAlign w:val="center"/>
          </w:tcPr>
          <w:p w14:paraId="7D4A967E"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6.156.175,88</w:t>
            </w:r>
          </w:p>
        </w:tc>
      </w:tr>
      <w:tr w:rsidR="00A55ABD" w:rsidRPr="009E1B38" w14:paraId="7D4A9691"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680"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tc>
        <w:tc>
          <w:tcPr>
            <w:tcW w:w="90" w:type="pct"/>
            <w:tcBorders>
              <w:top w:val="nil"/>
              <w:left w:val="nil"/>
              <w:bottom w:val="nil"/>
              <w:right w:val="nil"/>
            </w:tcBorders>
            <w:shd w:val="clear" w:color="auto" w:fill="auto"/>
            <w:noWrap/>
            <w:vAlign w:val="bottom"/>
            <w:hideMark/>
          </w:tcPr>
          <w:p w14:paraId="7D4A9681"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682"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683"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84"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85"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86"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687"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26" w:type="pct"/>
            <w:tcBorders>
              <w:top w:val="nil"/>
              <w:left w:val="single" w:sz="8" w:space="0" w:color="auto"/>
              <w:bottom w:val="single" w:sz="4" w:space="0" w:color="auto"/>
              <w:right w:val="nil"/>
            </w:tcBorders>
            <w:shd w:val="clear" w:color="auto" w:fill="auto"/>
            <w:noWrap/>
            <w:vAlign w:val="center"/>
            <w:hideMark/>
          </w:tcPr>
          <w:p w14:paraId="7D4A9688" w14:textId="77777777" w:rsidR="000875F4" w:rsidRPr="009E1B38" w:rsidRDefault="000875F4" w:rsidP="000875F4">
            <w:pPr>
              <w:spacing w:after="0" w:line="240" w:lineRule="auto"/>
              <w:jc w:val="center"/>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610</w:t>
            </w:r>
          </w:p>
        </w:tc>
        <w:tc>
          <w:tcPr>
            <w:tcW w:w="100" w:type="pct"/>
            <w:tcBorders>
              <w:top w:val="single" w:sz="8" w:space="0" w:color="auto"/>
              <w:left w:val="single" w:sz="8" w:space="0" w:color="auto"/>
              <w:bottom w:val="nil"/>
              <w:right w:val="single" w:sz="8" w:space="0" w:color="auto"/>
            </w:tcBorders>
            <w:shd w:val="clear" w:color="auto" w:fill="auto"/>
            <w:noWrap/>
            <w:vAlign w:val="center"/>
            <w:hideMark/>
          </w:tcPr>
          <w:p w14:paraId="7D4A9689"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03</w:t>
            </w:r>
          </w:p>
        </w:tc>
        <w:tc>
          <w:tcPr>
            <w:tcW w:w="100" w:type="pct"/>
            <w:tcBorders>
              <w:top w:val="single" w:sz="4" w:space="0" w:color="auto"/>
              <w:left w:val="nil"/>
              <w:bottom w:val="nil"/>
              <w:right w:val="single" w:sz="8" w:space="0" w:color="auto"/>
            </w:tcBorders>
            <w:shd w:val="clear" w:color="auto" w:fill="auto"/>
            <w:noWrap/>
            <w:vAlign w:val="center"/>
            <w:hideMark/>
          </w:tcPr>
          <w:p w14:paraId="7D4A968A"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2</w:t>
            </w:r>
          </w:p>
        </w:tc>
        <w:tc>
          <w:tcPr>
            <w:tcW w:w="98" w:type="pct"/>
            <w:gridSpan w:val="2"/>
            <w:tcBorders>
              <w:top w:val="single" w:sz="4" w:space="0" w:color="auto"/>
              <w:left w:val="nil"/>
              <w:bottom w:val="nil"/>
              <w:right w:val="single" w:sz="8" w:space="0" w:color="auto"/>
            </w:tcBorders>
            <w:shd w:val="clear" w:color="auto" w:fill="auto"/>
            <w:noWrap/>
            <w:vAlign w:val="center"/>
            <w:hideMark/>
          </w:tcPr>
          <w:p w14:paraId="7D4A968B"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w:t>
            </w:r>
          </w:p>
        </w:tc>
        <w:tc>
          <w:tcPr>
            <w:tcW w:w="98" w:type="pct"/>
            <w:gridSpan w:val="2"/>
            <w:tcBorders>
              <w:top w:val="single" w:sz="4" w:space="0" w:color="auto"/>
              <w:left w:val="nil"/>
              <w:bottom w:val="nil"/>
              <w:right w:val="single" w:sz="8" w:space="0" w:color="auto"/>
            </w:tcBorders>
            <w:shd w:val="clear" w:color="auto" w:fill="auto"/>
            <w:noWrap/>
            <w:vAlign w:val="center"/>
            <w:hideMark/>
          </w:tcPr>
          <w:p w14:paraId="7D4A968C"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 </w:t>
            </w:r>
          </w:p>
        </w:tc>
        <w:tc>
          <w:tcPr>
            <w:tcW w:w="1073" w:type="pct"/>
            <w:gridSpan w:val="4"/>
            <w:tcBorders>
              <w:top w:val="single" w:sz="4" w:space="0" w:color="auto"/>
              <w:left w:val="nil"/>
              <w:bottom w:val="nil"/>
              <w:right w:val="nil"/>
            </w:tcBorders>
            <w:shd w:val="clear" w:color="auto" w:fill="auto"/>
            <w:vAlign w:val="center"/>
            <w:hideMark/>
          </w:tcPr>
          <w:p w14:paraId="7D4A968D" w14:textId="63907780"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Permission for use or operation of goods</w:t>
            </w:r>
          </w:p>
        </w:tc>
        <w:tc>
          <w:tcPr>
            <w:tcW w:w="353" w:type="pct"/>
            <w:gridSpan w:val="2"/>
            <w:tcBorders>
              <w:top w:val="nil"/>
              <w:left w:val="single" w:sz="8" w:space="0" w:color="auto"/>
              <w:bottom w:val="single" w:sz="4" w:space="0" w:color="auto"/>
              <w:right w:val="single" w:sz="8" w:space="0" w:color="auto"/>
            </w:tcBorders>
            <w:shd w:val="clear" w:color="auto" w:fill="auto"/>
            <w:noWrap/>
            <w:vAlign w:val="center"/>
          </w:tcPr>
          <w:p w14:paraId="7D4A968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4.129.258,97</w:t>
            </w:r>
          </w:p>
        </w:tc>
        <w:tc>
          <w:tcPr>
            <w:tcW w:w="353" w:type="pct"/>
            <w:gridSpan w:val="2"/>
            <w:tcBorders>
              <w:top w:val="nil"/>
              <w:left w:val="nil"/>
              <w:bottom w:val="single" w:sz="4" w:space="0" w:color="auto"/>
              <w:right w:val="single" w:sz="8" w:space="0" w:color="auto"/>
            </w:tcBorders>
            <w:shd w:val="clear" w:color="auto" w:fill="auto"/>
            <w:noWrap/>
            <w:vAlign w:val="center"/>
          </w:tcPr>
          <w:p w14:paraId="7D4A968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4.981.428,70</w:t>
            </w:r>
          </w:p>
        </w:tc>
        <w:tc>
          <w:tcPr>
            <w:tcW w:w="368" w:type="pct"/>
            <w:gridSpan w:val="2"/>
            <w:tcBorders>
              <w:top w:val="nil"/>
              <w:left w:val="nil"/>
              <w:bottom w:val="single" w:sz="4" w:space="0" w:color="auto"/>
              <w:right w:val="single" w:sz="8" w:space="0" w:color="auto"/>
            </w:tcBorders>
            <w:shd w:val="clear" w:color="auto" w:fill="auto"/>
            <w:noWrap/>
            <w:vAlign w:val="center"/>
          </w:tcPr>
          <w:p w14:paraId="7D4A9690"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6.156.175,88</w:t>
            </w:r>
          </w:p>
        </w:tc>
      </w:tr>
      <w:tr w:rsidR="00A55ABD" w:rsidRPr="009E1B38" w14:paraId="7D4A96A3"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69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90" w:type="pct"/>
            <w:tcBorders>
              <w:top w:val="nil"/>
              <w:left w:val="nil"/>
              <w:bottom w:val="nil"/>
              <w:right w:val="nil"/>
            </w:tcBorders>
            <w:shd w:val="clear" w:color="auto" w:fill="auto"/>
            <w:noWrap/>
            <w:vAlign w:val="bottom"/>
            <w:hideMark/>
          </w:tcPr>
          <w:p w14:paraId="7D4A9693"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694"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695"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96"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97"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98"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699"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26" w:type="pct"/>
            <w:tcBorders>
              <w:top w:val="nil"/>
              <w:left w:val="single" w:sz="8" w:space="0" w:color="auto"/>
              <w:bottom w:val="single" w:sz="4" w:space="0" w:color="auto"/>
              <w:right w:val="nil"/>
            </w:tcBorders>
            <w:shd w:val="clear" w:color="auto" w:fill="auto"/>
            <w:noWrap/>
            <w:vAlign w:val="center"/>
            <w:hideMark/>
          </w:tcPr>
          <w:p w14:paraId="7D4A969A" w14:textId="77777777" w:rsidR="000875F4" w:rsidRPr="009E1B38" w:rsidRDefault="000875F4" w:rsidP="000875F4">
            <w:pPr>
              <w:spacing w:after="0" w:line="240" w:lineRule="auto"/>
              <w:jc w:val="center"/>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610</w:t>
            </w:r>
          </w:p>
        </w:tc>
        <w:tc>
          <w:tcPr>
            <w:tcW w:w="100" w:type="pct"/>
            <w:tcBorders>
              <w:top w:val="single" w:sz="8" w:space="0" w:color="auto"/>
              <w:left w:val="single" w:sz="8" w:space="0" w:color="auto"/>
              <w:bottom w:val="nil"/>
              <w:right w:val="single" w:sz="8" w:space="0" w:color="auto"/>
            </w:tcBorders>
            <w:shd w:val="clear" w:color="auto" w:fill="auto"/>
            <w:noWrap/>
            <w:vAlign w:val="center"/>
            <w:hideMark/>
          </w:tcPr>
          <w:p w14:paraId="7D4A969B"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03</w:t>
            </w:r>
          </w:p>
        </w:tc>
        <w:tc>
          <w:tcPr>
            <w:tcW w:w="100" w:type="pct"/>
            <w:tcBorders>
              <w:top w:val="single" w:sz="4" w:space="0" w:color="auto"/>
              <w:left w:val="nil"/>
              <w:bottom w:val="nil"/>
              <w:right w:val="single" w:sz="8" w:space="0" w:color="auto"/>
            </w:tcBorders>
            <w:shd w:val="clear" w:color="auto" w:fill="auto"/>
            <w:noWrap/>
            <w:vAlign w:val="center"/>
            <w:hideMark/>
          </w:tcPr>
          <w:p w14:paraId="7D4A969C"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2</w:t>
            </w:r>
          </w:p>
        </w:tc>
        <w:tc>
          <w:tcPr>
            <w:tcW w:w="98" w:type="pct"/>
            <w:gridSpan w:val="2"/>
            <w:tcBorders>
              <w:top w:val="single" w:sz="4" w:space="0" w:color="auto"/>
              <w:left w:val="nil"/>
              <w:bottom w:val="nil"/>
              <w:right w:val="single" w:sz="8" w:space="0" w:color="auto"/>
            </w:tcBorders>
            <w:shd w:val="clear" w:color="auto" w:fill="auto"/>
            <w:noWrap/>
            <w:vAlign w:val="center"/>
            <w:hideMark/>
          </w:tcPr>
          <w:p w14:paraId="7D4A969D"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w:t>
            </w:r>
          </w:p>
        </w:tc>
        <w:tc>
          <w:tcPr>
            <w:tcW w:w="98" w:type="pct"/>
            <w:gridSpan w:val="2"/>
            <w:tcBorders>
              <w:top w:val="single" w:sz="4" w:space="0" w:color="auto"/>
              <w:left w:val="nil"/>
              <w:bottom w:val="nil"/>
              <w:right w:val="single" w:sz="8" w:space="0" w:color="auto"/>
            </w:tcBorders>
            <w:shd w:val="clear" w:color="auto" w:fill="auto"/>
            <w:noWrap/>
            <w:vAlign w:val="center"/>
            <w:hideMark/>
          </w:tcPr>
          <w:p w14:paraId="7D4A969E"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10</w:t>
            </w:r>
          </w:p>
        </w:tc>
        <w:tc>
          <w:tcPr>
            <w:tcW w:w="1073" w:type="pct"/>
            <w:gridSpan w:val="4"/>
            <w:tcBorders>
              <w:top w:val="single" w:sz="4" w:space="0" w:color="auto"/>
              <w:left w:val="nil"/>
              <w:bottom w:val="nil"/>
              <w:right w:val="nil"/>
            </w:tcBorders>
            <w:shd w:val="clear" w:color="auto" w:fill="auto"/>
            <w:noWrap/>
            <w:vAlign w:val="center"/>
            <w:hideMark/>
          </w:tcPr>
          <w:p w14:paraId="7D4A969F" w14:textId="54746F6E"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Electricity market licensing</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6A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1.131.115,48</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A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437.345,22</w:t>
            </w:r>
          </w:p>
        </w:tc>
        <w:tc>
          <w:tcPr>
            <w:tcW w:w="368" w:type="pct"/>
            <w:gridSpan w:val="2"/>
            <w:tcBorders>
              <w:top w:val="nil"/>
              <w:left w:val="nil"/>
              <w:bottom w:val="single" w:sz="4" w:space="0" w:color="auto"/>
              <w:right w:val="single" w:sz="8" w:space="0" w:color="auto"/>
            </w:tcBorders>
            <w:shd w:val="clear" w:color="auto" w:fill="auto"/>
            <w:noWrap/>
            <w:vAlign w:val="bottom"/>
          </w:tcPr>
          <w:p w14:paraId="7D4A96A2"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2.658.577,33</w:t>
            </w:r>
          </w:p>
        </w:tc>
      </w:tr>
      <w:tr w:rsidR="00A55ABD" w:rsidRPr="009E1B38" w14:paraId="7D4A96B5"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6A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90" w:type="pct"/>
            <w:tcBorders>
              <w:top w:val="nil"/>
              <w:left w:val="nil"/>
              <w:bottom w:val="nil"/>
              <w:right w:val="nil"/>
            </w:tcBorders>
            <w:shd w:val="clear" w:color="auto" w:fill="auto"/>
            <w:noWrap/>
            <w:vAlign w:val="bottom"/>
            <w:hideMark/>
          </w:tcPr>
          <w:p w14:paraId="7D4A96A5"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6A6"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6A7"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A8"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A9"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AA"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6AB"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26" w:type="pct"/>
            <w:tcBorders>
              <w:top w:val="nil"/>
              <w:left w:val="single" w:sz="8" w:space="0" w:color="auto"/>
              <w:bottom w:val="single" w:sz="4" w:space="0" w:color="auto"/>
              <w:right w:val="nil"/>
            </w:tcBorders>
            <w:shd w:val="clear" w:color="auto" w:fill="auto"/>
            <w:noWrap/>
            <w:vAlign w:val="center"/>
            <w:hideMark/>
          </w:tcPr>
          <w:p w14:paraId="7D4A96AC" w14:textId="77777777" w:rsidR="000875F4" w:rsidRPr="009E1B38" w:rsidRDefault="000875F4" w:rsidP="000875F4">
            <w:pPr>
              <w:spacing w:after="0" w:line="240" w:lineRule="auto"/>
              <w:jc w:val="center"/>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610</w:t>
            </w:r>
          </w:p>
        </w:tc>
        <w:tc>
          <w:tcPr>
            <w:tcW w:w="100" w:type="pct"/>
            <w:tcBorders>
              <w:top w:val="single" w:sz="8" w:space="0" w:color="auto"/>
              <w:left w:val="single" w:sz="8" w:space="0" w:color="auto"/>
              <w:bottom w:val="nil"/>
              <w:right w:val="single" w:sz="8" w:space="0" w:color="auto"/>
            </w:tcBorders>
            <w:shd w:val="clear" w:color="auto" w:fill="auto"/>
            <w:noWrap/>
            <w:vAlign w:val="center"/>
            <w:hideMark/>
          </w:tcPr>
          <w:p w14:paraId="7D4A96AD"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03</w:t>
            </w:r>
          </w:p>
        </w:tc>
        <w:tc>
          <w:tcPr>
            <w:tcW w:w="100" w:type="pct"/>
            <w:tcBorders>
              <w:top w:val="single" w:sz="4" w:space="0" w:color="auto"/>
              <w:left w:val="nil"/>
              <w:bottom w:val="nil"/>
              <w:right w:val="single" w:sz="8" w:space="0" w:color="auto"/>
            </w:tcBorders>
            <w:shd w:val="clear" w:color="auto" w:fill="auto"/>
            <w:noWrap/>
            <w:vAlign w:val="center"/>
            <w:hideMark/>
          </w:tcPr>
          <w:p w14:paraId="7D4A96AE"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2</w:t>
            </w:r>
          </w:p>
        </w:tc>
        <w:tc>
          <w:tcPr>
            <w:tcW w:w="98" w:type="pct"/>
            <w:gridSpan w:val="2"/>
            <w:tcBorders>
              <w:top w:val="single" w:sz="4" w:space="0" w:color="auto"/>
              <w:left w:val="nil"/>
              <w:bottom w:val="nil"/>
              <w:right w:val="single" w:sz="8" w:space="0" w:color="auto"/>
            </w:tcBorders>
            <w:shd w:val="clear" w:color="auto" w:fill="auto"/>
            <w:noWrap/>
            <w:vAlign w:val="center"/>
            <w:hideMark/>
          </w:tcPr>
          <w:p w14:paraId="7D4A96AF"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w:t>
            </w:r>
          </w:p>
        </w:tc>
        <w:tc>
          <w:tcPr>
            <w:tcW w:w="98" w:type="pct"/>
            <w:gridSpan w:val="2"/>
            <w:tcBorders>
              <w:top w:val="single" w:sz="4" w:space="0" w:color="auto"/>
              <w:left w:val="nil"/>
              <w:bottom w:val="nil"/>
              <w:right w:val="single" w:sz="8" w:space="0" w:color="auto"/>
            </w:tcBorders>
            <w:shd w:val="clear" w:color="auto" w:fill="auto"/>
            <w:noWrap/>
            <w:vAlign w:val="center"/>
            <w:hideMark/>
          </w:tcPr>
          <w:p w14:paraId="7D4A96B0"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11</w:t>
            </w:r>
          </w:p>
        </w:tc>
        <w:tc>
          <w:tcPr>
            <w:tcW w:w="1073" w:type="pct"/>
            <w:gridSpan w:val="4"/>
            <w:tcBorders>
              <w:top w:val="single" w:sz="4" w:space="0" w:color="auto"/>
              <w:left w:val="nil"/>
              <w:bottom w:val="single" w:sz="4" w:space="0" w:color="auto"/>
              <w:right w:val="nil"/>
            </w:tcBorders>
            <w:shd w:val="clear" w:color="auto" w:fill="auto"/>
            <w:noWrap/>
            <w:vAlign w:val="bottom"/>
            <w:hideMark/>
          </w:tcPr>
          <w:p w14:paraId="696768C2" w14:textId="77777777" w:rsidR="00343D35" w:rsidRPr="009E1B38" w:rsidRDefault="00343D35" w:rsidP="00343D35">
            <w:pPr>
              <w:spacing w:after="0" w:line="240" w:lineRule="auto"/>
              <w:rPr>
                <w:rFonts w:ascii="Times New Roman" w:eastAsia="Times New Roman" w:hAnsi="Times New Roman"/>
                <w:lang w:eastAsia="tr-TR"/>
              </w:rPr>
            </w:pPr>
            <w:r w:rsidRPr="009E1B38">
              <w:rPr>
                <w:rFonts w:ascii="Times New Roman" w:eastAsia="Times New Roman" w:hAnsi="Times New Roman"/>
                <w:lang w:eastAsia="tr-TR"/>
              </w:rPr>
              <w:t>Natural gas market licensing and</w:t>
            </w:r>
          </w:p>
          <w:p w14:paraId="7D4A96B1" w14:textId="3F2ACBD8"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lastRenderedPageBreak/>
              <w:t>certification</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6B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lastRenderedPageBreak/>
              <w:t>359.776,31</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B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398.274,41</w:t>
            </w:r>
          </w:p>
        </w:tc>
        <w:tc>
          <w:tcPr>
            <w:tcW w:w="368" w:type="pct"/>
            <w:gridSpan w:val="2"/>
            <w:tcBorders>
              <w:top w:val="nil"/>
              <w:left w:val="nil"/>
              <w:bottom w:val="single" w:sz="4" w:space="0" w:color="auto"/>
              <w:right w:val="single" w:sz="8" w:space="0" w:color="auto"/>
            </w:tcBorders>
            <w:shd w:val="clear" w:color="auto" w:fill="auto"/>
            <w:noWrap/>
            <w:vAlign w:val="bottom"/>
          </w:tcPr>
          <w:p w14:paraId="7D4A96B4"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76.747,06</w:t>
            </w:r>
          </w:p>
        </w:tc>
      </w:tr>
      <w:tr w:rsidR="00A55ABD" w:rsidRPr="009E1B38" w14:paraId="7D4A96C7"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6B6"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90" w:type="pct"/>
            <w:tcBorders>
              <w:top w:val="nil"/>
              <w:left w:val="nil"/>
              <w:bottom w:val="nil"/>
              <w:right w:val="nil"/>
            </w:tcBorders>
            <w:shd w:val="clear" w:color="auto" w:fill="auto"/>
            <w:noWrap/>
            <w:vAlign w:val="bottom"/>
            <w:hideMark/>
          </w:tcPr>
          <w:p w14:paraId="7D4A96B7"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6B8"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6B9"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BA"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BB"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BC"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6BD"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26" w:type="pct"/>
            <w:tcBorders>
              <w:top w:val="nil"/>
              <w:left w:val="single" w:sz="8" w:space="0" w:color="auto"/>
              <w:bottom w:val="single" w:sz="4" w:space="0" w:color="auto"/>
              <w:right w:val="nil"/>
            </w:tcBorders>
            <w:shd w:val="clear" w:color="auto" w:fill="auto"/>
            <w:noWrap/>
            <w:vAlign w:val="center"/>
            <w:hideMark/>
          </w:tcPr>
          <w:p w14:paraId="7D4A96BE"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610</w:t>
            </w:r>
          </w:p>
        </w:tc>
        <w:tc>
          <w:tcPr>
            <w:tcW w:w="100" w:type="pct"/>
            <w:tcBorders>
              <w:top w:val="single" w:sz="8" w:space="0" w:color="auto"/>
              <w:left w:val="single" w:sz="8" w:space="0" w:color="auto"/>
              <w:bottom w:val="nil"/>
              <w:right w:val="single" w:sz="8" w:space="0" w:color="auto"/>
            </w:tcBorders>
            <w:shd w:val="clear" w:color="auto" w:fill="auto"/>
            <w:noWrap/>
            <w:vAlign w:val="center"/>
            <w:hideMark/>
          </w:tcPr>
          <w:p w14:paraId="7D4A96BF"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03</w:t>
            </w:r>
          </w:p>
        </w:tc>
        <w:tc>
          <w:tcPr>
            <w:tcW w:w="100" w:type="pct"/>
            <w:tcBorders>
              <w:top w:val="single" w:sz="4" w:space="0" w:color="auto"/>
              <w:left w:val="nil"/>
              <w:bottom w:val="nil"/>
              <w:right w:val="single" w:sz="8" w:space="0" w:color="auto"/>
            </w:tcBorders>
            <w:shd w:val="clear" w:color="auto" w:fill="auto"/>
            <w:noWrap/>
            <w:vAlign w:val="center"/>
            <w:hideMark/>
          </w:tcPr>
          <w:p w14:paraId="7D4A96C0"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2</w:t>
            </w:r>
          </w:p>
        </w:tc>
        <w:tc>
          <w:tcPr>
            <w:tcW w:w="98" w:type="pct"/>
            <w:gridSpan w:val="2"/>
            <w:tcBorders>
              <w:top w:val="single" w:sz="4" w:space="0" w:color="auto"/>
              <w:left w:val="nil"/>
              <w:bottom w:val="nil"/>
              <w:right w:val="single" w:sz="8" w:space="0" w:color="auto"/>
            </w:tcBorders>
            <w:shd w:val="clear" w:color="auto" w:fill="auto"/>
            <w:noWrap/>
            <w:vAlign w:val="center"/>
            <w:hideMark/>
          </w:tcPr>
          <w:p w14:paraId="7D4A96C1"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w:t>
            </w:r>
          </w:p>
        </w:tc>
        <w:tc>
          <w:tcPr>
            <w:tcW w:w="98" w:type="pct"/>
            <w:gridSpan w:val="2"/>
            <w:tcBorders>
              <w:top w:val="single" w:sz="4" w:space="0" w:color="auto"/>
              <w:left w:val="nil"/>
              <w:bottom w:val="nil"/>
              <w:right w:val="single" w:sz="8" w:space="0" w:color="auto"/>
            </w:tcBorders>
            <w:shd w:val="clear" w:color="auto" w:fill="auto"/>
            <w:noWrap/>
            <w:vAlign w:val="center"/>
            <w:hideMark/>
          </w:tcPr>
          <w:p w14:paraId="7D4A96C2"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12</w:t>
            </w:r>
          </w:p>
        </w:tc>
        <w:tc>
          <w:tcPr>
            <w:tcW w:w="1073" w:type="pct"/>
            <w:gridSpan w:val="4"/>
            <w:tcBorders>
              <w:top w:val="nil"/>
              <w:left w:val="nil"/>
              <w:bottom w:val="nil"/>
              <w:right w:val="nil"/>
            </w:tcBorders>
            <w:shd w:val="clear" w:color="auto" w:fill="auto"/>
            <w:noWrap/>
            <w:vAlign w:val="center"/>
            <w:hideMark/>
          </w:tcPr>
          <w:p w14:paraId="7D4A96C3" w14:textId="5548CF24"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Petroleum market licensing</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6C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2.225.664,77</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C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3.790.059,07</w:t>
            </w:r>
          </w:p>
        </w:tc>
        <w:tc>
          <w:tcPr>
            <w:tcW w:w="368" w:type="pct"/>
            <w:gridSpan w:val="2"/>
            <w:tcBorders>
              <w:top w:val="nil"/>
              <w:left w:val="nil"/>
              <w:bottom w:val="single" w:sz="4" w:space="0" w:color="auto"/>
              <w:right w:val="single" w:sz="8" w:space="0" w:color="auto"/>
            </w:tcBorders>
            <w:shd w:val="clear" w:color="auto" w:fill="auto"/>
            <w:noWrap/>
            <w:vAlign w:val="bottom"/>
          </w:tcPr>
          <w:p w14:paraId="7D4A96C6"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2.398.501,49</w:t>
            </w:r>
          </w:p>
        </w:tc>
      </w:tr>
      <w:tr w:rsidR="00A55ABD" w:rsidRPr="009E1B38" w14:paraId="7D4A96D9"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6C8"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90" w:type="pct"/>
            <w:tcBorders>
              <w:top w:val="nil"/>
              <w:left w:val="nil"/>
              <w:bottom w:val="nil"/>
              <w:right w:val="nil"/>
            </w:tcBorders>
            <w:shd w:val="clear" w:color="auto" w:fill="auto"/>
            <w:noWrap/>
            <w:vAlign w:val="bottom"/>
            <w:hideMark/>
          </w:tcPr>
          <w:p w14:paraId="7D4A96C9"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6CA"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6CB"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CC"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CD"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CE"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6CF"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26" w:type="pct"/>
            <w:tcBorders>
              <w:top w:val="nil"/>
              <w:left w:val="single" w:sz="8" w:space="0" w:color="auto"/>
              <w:bottom w:val="nil"/>
              <w:right w:val="nil"/>
            </w:tcBorders>
            <w:shd w:val="clear" w:color="auto" w:fill="auto"/>
            <w:noWrap/>
            <w:vAlign w:val="center"/>
            <w:hideMark/>
          </w:tcPr>
          <w:p w14:paraId="7D4A96D0"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noProof/>
                <w:sz w:val="16"/>
                <w:szCs w:val="16"/>
                <w:lang w:val="tr-TR" w:eastAsia="tr-TR"/>
              </w:rPr>
              <mc:AlternateContent>
                <mc:Choice Requires="wps">
                  <w:drawing>
                    <wp:anchor distT="0" distB="0" distL="114300" distR="114300" simplePos="0" relativeHeight="251658240" behindDoc="0" locked="0" layoutInCell="1" allowOverlap="1" wp14:anchorId="7D4A9A19" wp14:editId="7D4A9A1A">
                      <wp:simplePos x="0" y="0"/>
                      <wp:positionH relativeFrom="column">
                        <wp:posOffset>-76200</wp:posOffset>
                      </wp:positionH>
                      <wp:positionV relativeFrom="paragraph">
                        <wp:posOffset>144780</wp:posOffset>
                      </wp:positionV>
                      <wp:extent cx="1104900" cy="0"/>
                      <wp:effectExtent l="0" t="0" r="19050" b="19050"/>
                      <wp:wrapNone/>
                      <wp:docPr id="4" name="Düz Bağlayıcı 4"/>
                      <wp:cNvGraphicFramePr/>
                      <a:graphic xmlns:a="http://schemas.openxmlformats.org/drawingml/2006/main">
                        <a:graphicData uri="http://schemas.microsoft.com/office/word/2010/wordprocessingShape">
                          <wps:wsp>
                            <wps:cNvCnPr/>
                            <wps:spPr>
                              <a:xfrm flipH="1">
                                <a:off x="0" y="0"/>
                                <a:ext cx="11049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58D7623" id="Düz Bağlayıcı 4"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1.4pt" to="81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"/>
                  </w:pict>
                </mc:Fallback>
              </mc:AlternateContent>
            </w:r>
            <w:r w:rsidRPr="009E1B38">
              <w:rPr>
                <w:rFonts w:ascii="Times New Roman" w:eastAsia="Times New Roman" w:hAnsi="Times New Roman"/>
                <w:bCs/>
                <w:sz w:val="16"/>
                <w:szCs w:val="16"/>
                <w:lang w:eastAsia="tr-TR"/>
              </w:rPr>
              <w:t>610</w:t>
            </w:r>
          </w:p>
        </w:tc>
        <w:tc>
          <w:tcPr>
            <w:tcW w:w="100" w:type="pct"/>
            <w:tcBorders>
              <w:top w:val="single" w:sz="8" w:space="0" w:color="auto"/>
              <w:left w:val="single" w:sz="8" w:space="0" w:color="auto"/>
              <w:bottom w:val="nil"/>
              <w:right w:val="single" w:sz="8" w:space="0" w:color="auto"/>
            </w:tcBorders>
            <w:shd w:val="clear" w:color="auto" w:fill="auto"/>
            <w:noWrap/>
            <w:vAlign w:val="center"/>
            <w:hideMark/>
          </w:tcPr>
          <w:p w14:paraId="7D4A96D1"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03</w:t>
            </w:r>
          </w:p>
        </w:tc>
        <w:tc>
          <w:tcPr>
            <w:tcW w:w="100" w:type="pct"/>
            <w:tcBorders>
              <w:top w:val="single" w:sz="4" w:space="0" w:color="auto"/>
              <w:left w:val="nil"/>
              <w:bottom w:val="nil"/>
              <w:right w:val="single" w:sz="8" w:space="0" w:color="auto"/>
            </w:tcBorders>
            <w:shd w:val="clear" w:color="auto" w:fill="auto"/>
            <w:noWrap/>
            <w:vAlign w:val="center"/>
            <w:hideMark/>
          </w:tcPr>
          <w:p w14:paraId="7D4A96D2"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2</w:t>
            </w:r>
          </w:p>
        </w:tc>
        <w:tc>
          <w:tcPr>
            <w:tcW w:w="98" w:type="pct"/>
            <w:gridSpan w:val="2"/>
            <w:tcBorders>
              <w:top w:val="single" w:sz="4" w:space="0" w:color="auto"/>
              <w:left w:val="nil"/>
              <w:bottom w:val="nil"/>
              <w:right w:val="single" w:sz="8" w:space="0" w:color="auto"/>
            </w:tcBorders>
            <w:shd w:val="clear" w:color="auto" w:fill="auto"/>
            <w:noWrap/>
            <w:vAlign w:val="center"/>
            <w:hideMark/>
          </w:tcPr>
          <w:p w14:paraId="7D4A96D3"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w:t>
            </w:r>
          </w:p>
        </w:tc>
        <w:tc>
          <w:tcPr>
            <w:tcW w:w="98" w:type="pct"/>
            <w:gridSpan w:val="2"/>
            <w:tcBorders>
              <w:top w:val="single" w:sz="4" w:space="0" w:color="auto"/>
              <w:left w:val="nil"/>
              <w:bottom w:val="nil"/>
              <w:right w:val="single" w:sz="8" w:space="0" w:color="auto"/>
            </w:tcBorders>
            <w:shd w:val="clear" w:color="auto" w:fill="auto"/>
            <w:noWrap/>
            <w:vAlign w:val="center"/>
            <w:hideMark/>
          </w:tcPr>
          <w:p w14:paraId="7D4A96D4" w14:textId="77777777" w:rsidR="000875F4" w:rsidRPr="009E1B38" w:rsidRDefault="000875F4" w:rsidP="000875F4">
            <w:pPr>
              <w:spacing w:after="0" w:line="240" w:lineRule="auto"/>
              <w:jc w:val="lef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13</w:t>
            </w:r>
          </w:p>
        </w:tc>
        <w:tc>
          <w:tcPr>
            <w:tcW w:w="1073" w:type="pct"/>
            <w:gridSpan w:val="4"/>
            <w:tcBorders>
              <w:top w:val="single" w:sz="4" w:space="0" w:color="auto"/>
              <w:left w:val="nil"/>
              <w:bottom w:val="nil"/>
              <w:right w:val="nil"/>
            </w:tcBorders>
            <w:shd w:val="clear" w:color="auto" w:fill="auto"/>
            <w:noWrap/>
            <w:vAlign w:val="center"/>
            <w:hideMark/>
          </w:tcPr>
          <w:p w14:paraId="7D4A96D5" w14:textId="4CA645B1" w:rsidR="000875F4" w:rsidRPr="009E1B38" w:rsidRDefault="00343D3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LPG market licensing</w:t>
            </w:r>
          </w:p>
        </w:tc>
        <w:tc>
          <w:tcPr>
            <w:tcW w:w="353" w:type="pct"/>
            <w:gridSpan w:val="2"/>
            <w:tcBorders>
              <w:top w:val="nil"/>
              <w:left w:val="single" w:sz="8" w:space="0" w:color="auto"/>
              <w:bottom w:val="single" w:sz="4" w:space="0" w:color="auto"/>
              <w:right w:val="single" w:sz="8" w:space="0" w:color="auto"/>
            </w:tcBorders>
            <w:shd w:val="clear" w:color="auto" w:fill="auto"/>
            <w:noWrap/>
            <w:vAlign w:val="bottom"/>
          </w:tcPr>
          <w:p w14:paraId="7D4A96D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412.702,41</w:t>
            </w:r>
          </w:p>
        </w:tc>
        <w:tc>
          <w:tcPr>
            <w:tcW w:w="353" w:type="pct"/>
            <w:gridSpan w:val="2"/>
            <w:tcBorders>
              <w:top w:val="nil"/>
              <w:left w:val="nil"/>
              <w:bottom w:val="single" w:sz="4" w:space="0" w:color="auto"/>
              <w:right w:val="single" w:sz="8" w:space="0" w:color="auto"/>
            </w:tcBorders>
            <w:shd w:val="clear" w:color="auto" w:fill="auto"/>
            <w:noWrap/>
            <w:vAlign w:val="bottom"/>
          </w:tcPr>
          <w:p w14:paraId="7D4A96D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355.750,00</w:t>
            </w:r>
          </w:p>
        </w:tc>
        <w:tc>
          <w:tcPr>
            <w:tcW w:w="368" w:type="pct"/>
            <w:gridSpan w:val="2"/>
            <w:tcBorders>
              <w:top w:val="nil"/>
              <w:left w:val="nil"/>
              <w:bottom w:val="single" w:sz="4" w:space="0" w:color="auto"/>
              <w:right w:val="single" w:sz="8" w:space="0" w:color="auto"/>
            </w:tcBorders>
            <w:shd w:val="clear" w:color="auto" w:fill="auto"/>
            <w:noWrap/>
            <w:vAlign w:val="bottom"/>
          </w:tcPr>
          <w:p w14:paraId="7D4A96D8"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1.022.350,00</w:t>
            </w:r>
          </w:p>
        </w:tc>
      </w:tr>
      <w:tr w:rsidR="00A55ABD" w:rsidRPr="009E1B38" w14:paraId="7D4A96EB"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6DA"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90" w:type="pct"/>
            <w:tcBorders>
              <w:top w:val="nil"/>
              <w:left w:val="nil"/>
              <w:bottom w:val="nil"/>
              <w:right w:val="nil"/>
            </w:tcBorders>
            <w:shd w:val="clear" w:color="auto" w:fill="auto"/>
            <w:noWrap/>
            <w:vAlign w:val="bottom"/>
            <w:hideMark/>
          </w:tcPr>
          <w:p w14:paraId="7D4A96DB"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6DC"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6DD"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DE"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DF"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E0"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6E1"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26" w:type="pct"/>
            <w:tcBorders>
              <w:top w:val="nil"/>
              <w:left w:val="single" w:sz="8" w:space="0" w:color="auto"/>
              <w:bottom w:val="nil"/>
              <w:right w:val="nil"/>
            </w:tcBorders>
            <w:shd w:val="clear" w:color="auto" w:fill="auto"/>
            <w:noWrap/>
            <w:vAlign w:val="center"/>
            <w:hideMark/>
          </w:tcPr>
          <w:p w14:paraId="7D4A96E2" w14:textId="77777777" w:rsidR="000875F4" w:rsidRPr="009E1B38" w:rsidRDefault="000875F4" w:rsidP="000875F4">
            <w:pPr>
              <w:spacing w:after="0" w:line="240" w:lineRule="auto"/>
              <w:jc w:val="center"/>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610</w:t>
            </w:r>
          </w:p>
        </w:tc>
        <w:tc>
          <w:tcPr>
            <w:tcW w:w="100" w:type="pct"/>
            <w:tcBorders>
              <w:top w:val="nil"/>
              <w:left w:val="single" w:sz="8" w:space="0" w:color="auto"/>
              <w:bottom w:val="single" w:sz="8" w:space="0" w:color="auto"/>
              <w:right w:val="single" w:sz="8" w:space="0" w:color="auto"/>
            </w:tcBorders>
            <w:shd w:val="clear" w:color="auto" w:fill="auto"/>
            <w:noWrap/>
            <w:vAlign w:val="center"/>
            <w:hideMark/>
          </w:tcPr>
          <w:p w14:paraId="7D4A96E3"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05</w:t>
            </w:r>
          </w:p>
        </w:tc>
        <w:tc>
          <w:tcPr>
            <w:tcW w:w="100" w:type="pct"/>
            <w:tcBorders>
              <w:top w:val="nil"/>
              <w:left w:val="nil"/>
              <w:bottom w:val="single" w:sz="8" w:space="0" w:color="auto"/>
              <w:right w:val="single" w:sz="8" w:space="0" w:color="auto"/>
            </w:tcBorders>
            <w:shd w:val="clear" w:color="auto" w:fill="auto"/>
            <w:noWrap/>
            <w:vAlign w:val="center"/>
            <w:hideMark/>
          </w:tcPr>
          <w:p w14:paraId="7D4A96E4"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9</w:t>
            </w:r>
          </w:p>
        </w:tc>
        <w:tc>
          <w:tcPr>
            <w:tcW w:w="98" w:type="pct"/>
            <w:gridSpan w:val="2"/>
            <w:tcBorders>
              <w:top w:val="nil"/>
              <w:left w:val="nil"/>
              <w:bottom w:val="single" w:sz="8" w:space="0" w:color="auto"/>
              <w:right w:val="single" w:sz="8" w:space="0" w:color="auto"/>
            </w:tcBorders>
            <w:shd w:val="clear" w:color="auto" w:fill="auto"/>
            <w:noWrap/>
            <w:vAlign w:val="center"/>
            <w:hideMark/>
          </w:tcPr>
          <w:p w14:paraId="7D4A96E5"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w:t>
            </w:r>
          </w:p>
        </w:tc>
        <w:tc>
          <w:tcPr>
            <w:tcW w:w="98" w:type="pct"/>
            <w:gridSpan w:val="2"/>
            <w:tcBorders>
              <w:top w:val="nil"/>
              <w:left w:val="nil"/>
              <w:bottom w:val="single" w:sz="8" w:space="0" w:color="auto"/>
              <w:right w:val="single" w:sz="8" w:space="0" w:color="auto"/>
            </w:tcBorders>
            <w:shd w:val="clear" w:color="auto" w:fill="auto"/>
            <w:noWrap/>
            <w:vAlign w:val="center"/>
            <w:hideMark/>
          </w:tcPr>
          <w:p w14:paraId="7D4A96E6"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99</w:t>
            </w:r>
          </w:p>
        </w:tc>
        <w:tc>
          <w:tcPr>
            <w:tcW w:w="1073" w:type="pct"/>
            <w:gridSpan w:val="4"/>
            <w:tcBorders>
              <w:top w:val="single" w:sz="4" w:space="0" w:color="auto"/>
              <w:left w:val="nil"/>
              <w:bottom w:val="single" w:sz="4" w:space="0" w:color="auto"/>
              <w:right w:val="nil"/>
            </w:tcBorders>
            <w:shd w:val="clear" w:color="auto" w:fill="auto"/>
            <w:vAlign w:val="center"/>
            <w:hideMark/>
          </w:tcPr>
          <w:p w14:paraId="7D4A96E7" w14:textId="3B0924A8"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Other Types of Income Not Defined Above</w:t>
            </w:r>
          </w:p>
        </w:tc>
        <w:tc>
          <w:tcPr>
            <w:tcW w:w="353" w:type="pct"/>
            <w:gridSpan w:val="2"/>
            <w:tcBorders>
              <w:top w:val="nil"/>
              <w:left w:val="single" w:sz="8" w:space="0" w:color="auto"/>
              <w:bottom w:val="single" w:sz="8" w:space="0" w:color="auto"/>
              <w:right w:val="single" w:sz="8" w:space="0" w:color="auto"/>
            </w:tcBorders>
            <w:shd w:val="clear" w:color="auto" w:fill="auto"/>
            <w:noWrap/>
            <w:vAlign w:val="bottom"/>
          </w:tcPr>
          <w:p w14:paraId="7D4A96E8"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7.220.691,11</w:t>
            </w:r>
          </w:p>
        </w:tc>
        <w:tc>
          <w:tcPr>
            <w:tcW w:w="353" w:type="pct"/>
            <w:gridSpan w:val="2"/>
            <w:tcBorders>
              <w:top w:val="nil"/>
              <w:left w:val="nil"/>
              <w:bottom w:val="single" w:sz="8" w:space="0" w:color="auto"/>
              <w:right w:val="single" w:sz="8" w:space="0" w:color="auto"/>
            </w:tcBorders>
            <w:shd w:val="clear" w:color="auto" w:fill="auto"/>
            <w:noWrap/>
            <w:vAlign w:val="bottom"/>
          </w:tcPr>
          <w:p w14:paraId="7D4A96E9"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1.182.430,64</w:t>
            </w:r>
          </w:p>
        </w:tc>
        <w:tc>
          <w:tcPr>
            <w:tcW w:w="368" w:type="pct"/>
            <w:gridSpan w:val="2"/>
            <w:tcBorders>
              <w:top w:val="nil"/>
              <w:left w:val="nil"/>
              <w:bottom w:val="single" w:sz="8" w:space="0" w:color="auto"/>
              <w:right w:val="single" w:sz="8" w:space="0" w:color="auto"/>
            </w:tcBorders>
            <w:shd w:val="clear" w:color="auto" w:fill="auto"/>
            <w:noWrap/>
            <w:vAlign w:val="bottom"/>
          </w:tcPr>
          <w:p w14:paraId="7D4A96EA"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8.590.231,35</w:t>
            </w:r>
          </w:p>
        </w:tc>
      </w:tr>
      <w:tr w:rsidR="0091667E" w:rsidRPr="009E1B38" w14:paraId="7D4A96F8"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6EC"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90" w:type="pct"/>
            <w:tcBorders>
              <w:top w:val="nil"/>
              <w:left w:val="nil"/>
              <w:bottom w:val="nil"/>
              <w:right w:val="nil"/>
            </w:tcBorders>
            <w:shd w:val="clear" w:color="auto" w:fill="auto"/>
            <w:noWrap/>
            <w:vAlign w:val="bottom"/>
            <w:hideMark/>
          </w:tcPr>
          <w:p w14:paraId="7D4A96ED"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6EE"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6EF"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F0"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F1"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F2"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6F3"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595" w:type="pct"/>
            <w:gridSpan w:val="11"/>
            <w:tcBorders>
              <w:top w:val="single" w:sz="8" w:space="0" w:color="auto"/>
              <w:left w:val="single" w:sz="8" w:space="0" w:color="auto"/>
              <w:bottom w:val="single" w:sz="8" w:space="0" w:color="auto"/>
              <w:right w:val="nil"/>
            </w:tcBorders>
            <w:shd w:val="clear" w:color="auto" w:fill="auto"/>
            <w:noWrap/>
            <w:vAlign w:val="center"/>
            <w:hideMark/>
          </w:tcPr>
          <w:p w14:paraId="7D4A96F4" w14:textId="5D5692BB"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TOTAL D</w:t>
            </w:r>
            <w:r w:rsidR="002566F0" w:rsidRPr="009E1B38">
              <w:rPr>
                <w:rFonts w:ascii="Times New Roman" w:eastAsia="Times New Roman" w:hAnsi="Times New Roman"/>
                <w:b/>
                <w:lang w:eastAsia="tr-TR"/>
              </w:rPr>
              <w:t>I</w:t>
            </w:r>
            <w:r w:rsidRPr="009E1B38">
              <w:rPr>
                <w:rFonts w:ascii="Times New Roman" w:eastAsia="Times New Roman" w:hAnsi="Times New Roman"/>
                <w:b/>
                <w:lang w:eastAsia="tr-TR"/>
              </w:rPr>
              <w:t>SCOUNTS AND RETURNS  ( C)</w:t>
            </w:r>
          </w:p>
        </w:tc>
        <w:tc>
          <w:tcPr>
            <w:tcW w:w="353" w:type="pct"/>
            <w:gridSpan w:val="2"/>
            <w:tcBorders>
              <w:top w:val="nil"/>
              <w:left w:val="single" w:sz="8" w:space="0" w:color="auto"/>
              <w:bottom w:val="single" w:sz="8" w:space="0" w:color="auto"/>
              <w:right w:val="single" w:sz="8" w:space="0" w:color="auto"/>
            </w:tcBorders>
            <w:shd w:val="clear" w:color="auto" w:fill="auto"/>
            <w:noWrap/>
            <w:vAlign w:val="bottom"/>
          </w:tcPr>
          <w:p w14:paraId="7D4A96F5" w14:textId="77777777" w:rsidR="000875F4" w:rsidRPr="009E1B38" w:rsidRDefault="000875F4" w:rsidP="000875F4">
            <w:pPr>
              <w:spacing w:after="0" w:line="240" w:lineRule="auto"/>
              <w:jc w:val="righ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11.349.950,08</w:t>
            </w:r>
          </w:p>
        </w:tc>
        <w:tc>
          <w:tcPr>
            <w:tcW w:w="353" w:type="pct"/>
            <w:gridSpan w:val="2"/>
            <w:tcBorders>
              <w:top w:val="nil"/>
              <w:left w:val="nil"/>
              <w:bottom w:val="single" w:sz="8" w:space="0" w:color="auto"/>
              <w:right w:val="single" w:sz="8" w:space="0" w:color="auto"/>
            </w:tcBorders>
            <w:shd w:val="clear" w:color="auto" w:fill="auto"/>
            <w:noWrap/>
            <w:vAlign w:val="bottom"/>
          </w:tcPr>
          <w:p w14:paraId="7D4A96F6" w14:textId="77777777" w:rsidR="000875F4" w:rsidRPr="009E1B38" w:rsidRDefault="000875F4" w:rsidP="000875F4">
            <w:pPr>
              <w:spacing w:after="0" w:line="240" w:lineRule="auto"/>
              <w:jc w:val="righ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6.163.859,34</w:t>
            </w:r>
          </w:p>
        </w:tc>
        <w:tc>
          <w:tcPr>
            <w:tcW w:w="368" w:type="pct"/>
            <w:gridSpan w:val="2"/>
            <w:tcBorders>
              <w:top w:val="nil"/>
              <w:left w:val="nil"/>
              <w:bottom w:val="single" w:sz="8" w:space="0" w:color="auto"/>
              <w:right w:val="single" w:sz="8" w:space="0" w:color="auto"/>
            </w:tcBorders>
            <w:shd w:val="clear" w:color="auto" w:fill="auto"/>
            <w:noWrap/>
            <w:vAlign w:val="bottom"/>
          </w:tcPr>
          <w:p w14:paraId="7D4A96F7"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14.746.407,23</w:t>
            </w:r>
          </w:p>
        </w:tc>
      </w:tr>
      <w:tr w:rsidR="000875F4" w:rsidRPr="009E1B38" w14:paraId="7D4A970A"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6F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90" w:type="pct"/>
            <w:tcBorders>
              <w:top w:val="nil"/>
              <w:left w:val="nil"/>
              <w:bottom w:val="nil"/>
              <w:right w:val="nil"/>
            </w:tcBorders>
            <w:shd w:val="clear" w:color="auto" w:fill="auto"/>
            <w:noWrap/>
            <w:vAlign w:val="bottom"/>
            <w:hideMark/>
          </w:tcPr>
          <w:p w14:paraId="7D4A96FA"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6FB"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6FC"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FD"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FE"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6FF"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700"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26" w:type="pct"/>
            <w:tcBorders>
              <w:top w:val="nil"/>
              <w:left w:val="nil"/>
              <w:bottom w:val="nil"/>
              <w:right w:val="nil"/>
            </w:tcBorders>
            <w:shd w:val="clear" w:color="auto" w:fill="auto"/>
            <w:noWrap/>
            <w:vAlign w:val="bottom"/>
            <w:hideMark/>
          </w:tcPr>
          <w:p w14:paraId="7D4A9701"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0" w:type="pct"/>
            <w:tcBorders>
              <w:top w:val="nil"/>
              <w:left w:val="nil"/>
              <w:bottom w:val="nil"/>
              <w:right w:val="nil"/>
            </w:tcBorders>
            <w:shd w:val="clear" w:color="auto" w:fill="auto"/>
            <w:noWrap/>
            <w:vAlign w:val="bottom"/>
            <w:hideMark/>
          </w:tcPr>
          <w:p w14:paraId="7D4A9702"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0" w:type="pct"/>
            <w:tcBorders>
              <w:top w:val="nil"/>
              <w:left w:val="nil"/>
              <w:bottom w:val="nil"/>
              <w:right w:val="nil"/>
            </w:tcBorders>
            <w:shd w:val="clear" w:color="auto" w:fill="auto"/>
            <w:noWrap/>
            <w:vAlign w:val="bottom"/>
            <w:hideMark/>
          </w:tcPr>
          <w:p w14:paraId="7D4A9703"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8" w:type="pct"/>
            <w:gridSpan w:val="2"/>
            <w:tcBorders>
              <w:top w:val="nil"/>
              <w:left w:val="nil"/>
              <w:bottom w:val="nil"/>
              <w:right w:val="nil"/>
            </w:tcBorders>
            <w:shd w:val="clear" w:color="auto" w:fill="auto"/>
            <w:noWrap/>
            <w:vAlign w:val="bottom"/>
            <w:hideMark/>
          </w:tcPr>
          <w:p w14:paraId="7D4A9704"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8" w:type="pct"/>
            <w:gridSpan w:val="2"/>
            <w:tcBorders>
              <w:top w:val="nil"/>
              <w:left w:val="nil"/>
              <w:bottom w:val="nil"/>
              <w:right w:val="nil"/>
            </w:tcBorders>
            <w:shd w:val="clear" w:color="auto" w:fill="auto"/>
            <w:noWrap/>
            <w:vAlign w:val="bottom"/>
            <w:hideMark/>
          </w:tcPr>
          <w:p w14:paraId="7D4A9705"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73" w:type="pct"/>
            <w:gridSpan w:val="4"/>
            <w:tcBorders>
              <w:top w:val="nil"/>
              <w:left w:val="nil"/>
              <w:bottom w:val="nil"/>
              <w:right w:val="nil"/>
            </w:tcBorders>
            <w:shd w:val="clear" w:color="auto" w:fill="auto"/>
            <w:noWrap/>
            <w:vAlign w:val="bottom"/>
            <w:hideMark/>
          </w:tcPr>
          <w:p w14:paraId="7D4A9706"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3" w:type="pct"/>
            <w:gridSpan w:val="2"/>
            <w:tcBorders>
              <w:top w:val="nil"/>
              <w:left w:val="nil"/>
              <w:bottom w:val="nil"/>
              <w:right w:val="nil"/>
            </w:tcBorders>
            <w:shd w:val="clear" w:color="auto" w:fill="auto"/>
            <w:noWrap/>
            <w:vAlign w:val="bottom"/>
          </w:tcPr>
          <w:p w14:paraId="7D4A9707"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08"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c>
          <w:tcPr>
            <w:tcW w:w="368" w:type="pct"/>
            <w:gridSpan w:val="2"/>
            <w:tcBorders>
              <w:top w:val="nil"/>
              <w:left w:val="nil"/>
              <w:bottom w:val="nil"/>
              <w:right w:val="nil"/>
            </w:tcBorders>
            <w:shd w:val="clear" w:color="auto" w:fill="auto"/>
            <w:noWrap/>
            <w:vAlign w:val="bottom"/>
            <w:hideMark/>
          </w:tcPr>
          <w:p w14:paraId="7D4A9709"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tc>
      </w:tr>
      <w:tr w:rsidR="000875F4" w:rsidRPr="009E1B38" w14:paraId="7D4A9717"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70B"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70C"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70D"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70E"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0F"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10"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11"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712"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595" w:type="pct"/>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D4A9713" w14:textId="516A34C3"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 xml:space="preserve">NET </w:t>
            </w:r>
            <w:r w:rsidR="00343D35" w:rsidRPr="009E1B38">
              <w:rPr>
                <w:rFonts w:ascii="Times New Roman" w:eastAsia="Times New Roman" w:hAnsi="Times New Roman"/>
                <w:b/>
                <w:lang w:eastAsia="tr-TR"/>
              </w:rPr>
              <w:t>INCOME</w:t>
            </w:r>
            <w:r w:rsidRPr="009E1B38">
              <w:rPr>
                <w:rFonts w:ascii="Times New Roman" w:eastAsia="Times New Roman" w:hAnsi="Times New Roman"/>
                <w:b/>
                <w:lang w:eastAsia="tr-TR"/>
              </w:rPr>
              <w:t xml:space="preserve"> (D)=(B - C)</w:t>
            </w:r>
          </w:p>
        </w:tc>
        <w:tc>
          <w:tcPr>
            <w:tcW w:w="353" w:type="pct"/>
            <w:gridSpan w:val="2"/>
            <w:tcBorders>
              <w:top w:val="single" w:sz="8" w:space="0" w:color="auto"/>
              <w:left w:val="nil"/>
              <w:bottom w:val="single" w:sz="8" w:space="0" w:color="auto"/>
              <w:right w:val="single" w:sz="8" w:space="0" w:color="auto"/>
            </w:tcBorders>
            <w:shd w:val="clear" w:color="auto" w:fill="auto"/>
            <w:noWrap/>
            <w:vAlign w:val="bottom"/>
          </w:tcPr>
          <w:p w14:paraId="7D4A9714"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387.044.290,54</w:t>
            </w:r>
          </w:p>
        </w:tc>
        <w:tc>
          <w:tcPr>
            <w:tcW w:w="353" w:type="pct"/>
            <w:gridSpan w:val="2"/>
            <w:tcBorders>
              <w:top w:val="single" w:sz="8" w:space="0" w:color="auto"/>
              <w:left w:val="nil"/>
              <w:bottom w:val="single" w:sz="8" w:space="0" w:color="auto"/>
              <w:right w:val="single" w:sz="8" w:space="0" w:color="auto"/>
            </w:tcBorders>
            <w:shd w:val="clear" w:color="auto" w:fill="auto"/>
            <w:noWrap/>
            <w:vAlign w:val="bottom"/>
          </w:tcPr>
          <w:p w14:paraId="7D4A9715"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438.331.817,05</w:t>
            </w:r>
          </w:p>
        </w:tc>
        <w:tc>
          <w:tcPr>
            <w:tcW w:w="368" w:type="pct"/>
            <w:gridSpan w:val="2"/>
            <w:tcBorders>
              <w:top w:val="single" w:sz="8" w:space="0" w:color="auto"/>
              <w:left w:val="nil"/>
              <w:bottom w:val="single" w:sz="8" w:space="0" w:color="auto"/>
              <w:right w:val="single" w:sz="8" w:space="0" w:color="auto"/>
            </w:tcBorders>
            <w:shd w:val="clear" w:color="auto" w:fill="auto"/>
            <w:noWrap/>
            <w:vAlign w:val="bottom"/>
          </w:tcPr>
          <w:p w14:paraId="7D4A9716"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510.246.243,39</w:t>
            </w:r>
          </w:p>
        </w:tc>
      </w:tr>
      <w:tr w:rsidR="000875F4" w:rsidRPr="009E1B38" w14:paraId="7D4A9729"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718"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90" w:type="pct"/>
            <w:tcBorders>
              <w:top w:val="nil"/>
              <w:left w:val="nil"/>
              <w:bottom w:val="nil"/>
              <w:right w:val="nil"/>
            </w:tcBorders>
            <w:shd w:val="clear" w:color="auto" w:fill="auto"/>
            <w:noWrap/>
            <w:vAlign w:val="bottom"/>
            <w:hideMark/>
          </w:tcPr>
          <w:p w14:paraId="7D4A9719"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71A"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71B"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1C"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1D"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1E"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p>
        </w:tc>
        <w:tc>
          <w:tcPr>
            <w:tcW w:w="41" w:type="pct"/>
            <w:tcBorders>
              <w:top w:val="nil"/>
              <w:left w:val="nil"/>
              <w:bottom w:val="nil"/>
              <w:right w:val="nil"/>
            </w:tcBorders>
            <w:shd w:val="clear" w:color="auto" w:fill="auto"/>
            <w:noWrap/>
            <w:vAlign w:val="bottom"/>
            <w:hideMark/>
          </w:tcPr>
          <w:p w14:paraId="7D4A971F"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26" w:type="pct"/>
            <w:tcBorders>
              <w:top w:val="nil"/>
              <w:left w:val="nil"/>
              <w:bottom w:val="nil"/>
              <w:right w:val="nil"/>
            </w:tcBorders>
            <w:shd w:val="clear" w:color="auto" w:fill="auto"/>
            <w:noWrap/>
            <w:vAlign w:val="bottom"/>
            <w:hideMark/>
          </w:tcPr>
          <w:p w14:paraId="7D4A9720"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0" w:type="pct"/>
            <w:tcBorders>
              <w:top w:val="nil"/>
              <w:left w:val="nil"/>
              <w:bottom w:val="nil"/>
              <w:right w:val="nil"/>
            </w:tcBorders>
            <w:shd w:val="clear" w:color="auto" w:fill="auto"/>
            <w:noWrap/>
            <w:vAlign w:val="bottom"/>
            <w:hideMark/>
          </w:tcPr>
          <w:p w14:paraId="7D4A9721"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0" w:type="pct"/>
            <w:tcBorders>
              <w:top w:val="nil"/>
              <w:left w:val="nil"/>
              <w:bottom w:val="nil"/>
              <w:right w:val="nil"/>
            </w:tcBorders>
            <w:shd w:val="clear" w:color="auto" w:fill="auto"/>
            <w:noWrap/>
            <w:vAlign w:val="bottom"/>
            <w:hideMark/>
          </w:tcPr>
          <w:p w14:paraId="7D4A9722"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8" w:type="pct"/>
            <w:gridSpan w:val="2"/>
            <w:tcBorders>
              <w:top w:val="nil"/>
              <w:left w:val="nil"/>
              <w:bottom w:val="nil"/>
              <w:right w:val="nil"/>
            </w:tcBorders>
            <w:shd w:val="clear" w:color="auto" w:fill="auto"/>
            <w:noWrap/>
            <w:vAlign w:val="bottom"/>
            <w:hideMark/>
          </w:tcPr>
          <w:p w14:paraId="7D4A9723"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98" w:type="pct"/>
            <w:gridSpan w:val="2"/>
            <w:tcBorders>
              <w:top w:val="nil"/>
              <w:left w:val="nil"/>
              <w:bottom w:val="nil"/>
              <w:right w:val="nil"/>
            </w:tcBorders>
            <w:shd w:val="clear" w:color="auto" w:fill="auto"/>
            <w:noWrap/>
            <w:vAlign w:val="bottom"/>
            <w:hideMark/>
          </w:tcPr>
          <w:p w14:paraId="7D4A9724"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1073" w:type="pct"/>
            <w:gridSpan w:val="4"/>
            <w:tcBorders>
              <w:top w:val="nil"/>
              <w:left w:val="nil"/>
              <w:bottom w:val="nil"/>
              <w:right w:val="nil"/>
            </w:tcBorders>
            <w:shd w:val="clear" w:color="auto" w:fill="auto"/>
            <w:noWrap/>
            <w:vAlign w:val="bottom"/>
            <w:hideMark/>
          </w:tcPr>
          <w:p w14:paraId="7D4A9725"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3" w:type="pct"/>
            <w:gridSpan w:val="2"/>
            <w:tcBorders>
              <w:top w:val="nil"/>
              <w:left w:val="nil"/>
              <w:bottom w:val="nil"/>
              <w:right w:val="nil"/>
            </w:tcBorders>
            <w:shd w:val="clear" w:color="auto" w:fill="auto"/>
            <w:noWrap/>
            <w:vAlign w:val="bottom"/>
          </w:tcPr>
          <w:p w14:paraId="7D4A9726"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27"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368" w:type="pct"/>
            <w:gridSpan w:val="2"/>
            <w:tcBorders>
              <w:top w:val="nil"/>
              <w:left w:val="nil"/>
              <w:bottom w:val="nil"/>
              <w:right w:val="nil"/>
            </w:tcBorders>
            <w:shd w:val="clear" w:color="auto" w:fill="auto"/>
            <w:noWrap/>
            <w:vAlign w:val="bottom"/>
            <w:hideMark/>
          </w:tcPr>
          <w:p w14:paraId="7D4A9728"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r>
      <w:tr w:rsidR="007834CB" w:rsidRPr="009E1B38" w14:paraId="7D4A9733" w14:textId="77777777" w:rsidTr="00343D35">
        <w:trPr>
          <w:gridAfter w:val="1"/>
          <w:wAfter w:w="15" w:type="pct"/>
          <w:trHeight w:val="20"/>
        </w:trPr>
        <w:tc>
          <w:tcPr>
            <w:tcW w:w="1216" w:type="pct"/>
            <w:gridSpan w:val="5"/>
            <w:tcBorders>
              <w:top w:val="single" w:sz="8" w:space="0" w:color="auto"/>
              <w:left w:val="single" w:sz="8" w:space="0" w:color="auto"/>
              <w:bottom w:val="single" w:sz="8" w:space="0" w:color="auto"/>
              <w:right w:val="nil"/>
            </w:tcBorders>
            <w:shd w:val="clear" w:color="auto" w:fill="auto"/>
            <w:noWrap/>
            <w:vAlign w:val="bottom"/>
            <w:hideMark/>
          </w:tcPr>
          <w:p w14:paraId="7D4A972A" w14:textId="08632056"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TOTAL EXPENSES (A)</w:t>
            </w:r>
          </w:p>
        </w:tc>
        <w:tc>
          <w:tcPr>
            <w:tcW w:w="353"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D4A972B"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272.071.456,62</w:t>
            </w:r>
          </w:p>
        </w:tc>
        <w:tc>
          <w:tcPr>
            <w:tcW w:w="353" w:type="pct"/>
            <w:gridSpan w:val="2"/>
            <w:tcBorders>
              <w:top w:val="single" w:sz="8" w:space="0" w:color="auto"/>
              <w:left w:val="nil"/>
              <w:bottom w:val="single" w:sz="8" w:space="0" w:color="auto"/>
              <w:right w:val="single" w:sz="8" w:space="0" w:color="auto"/>
            </w:tcBorders>
            <w:shd w:val="clear" w:color="auto" w:fill="auto"/>
            <w:noWrap/>
            <w:vAlign w:val="bottom"/>
          </w:tcPr>
          <w:p w14:paraId="7D4A972C"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304.672.692,38</w:t>
            </w:r>
          </w:p>
        </w:tc>
        <w:tc>
          <w:tcPr>
            <w:tcW w:w="353" w:type="pct"/>
            <w:gridSpan w:val="2"/>
            <w:tcBorders>
              <w:top w:val="single" w:sz="8" w:space="0" w:color="auto"/>
              <w:left w:val="nil"/>
              <w:bottom w:val="single" w:sz="8" w:space="0" w:color="auto"/>
              <w:right w:val="single" w:sz="8" w:space="0" w:color="auto"/>
            </w:tcBorders>
            <w:shd w:val="clear" w:color="auto" w:fill="auto"/>
            <w:noWrap/>
            <w:vAlign w:val="bottom"/>
          </w:tcPr>
          <w:p w14:paraId="7D4A972D"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8"/>
                <w:lang w:eastAsia="tr-TR"/>
              </w:rPr>
              <w:t>622.253.338,35</w:t>
            </w:r>
          </w:p>
        </w:tc>
        <w:tc>
          <w:tcPr>
            <w:tcW w:w="41" w:type="pct"/>
            <w:tcBorders>
              <w:top w:val="nil"/>
              <w:left w:val="nil"/>
              <w:bottom w:val="nil"/>
              <w:right w:val="nil"/>
            </w:tcBorders>
            <w:shd w:val="clear" w:color="auto" w:fill="auto"/>
            <w:noWrap/>
            <w:vAlign w:val="bottom"/>
            <w:hideMark/>
          </w:tcPr>
          <w:p w14:paraId="7D4A972E"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1595" w:type="pct"/>
            <w:gridSpan w:val="11"/>
            <w:tcBorders>
              <w:top w:val="single" w:sz="8" w:space="0" w:color="auto"/>
              <w:left w:val="single" w:sz="8" w:space="0" w:color="auto"/>
              <w:bottom w:val="single" w:sz="8" w:space="0" w:color="auto"/>
              <w:right w:val="nil"/>
            </w:tcBorders>
            <w:shd w:val="clear" w:color="auto" w:fill="auto"/>
            <w:noWrap/>
            <w:vAlign w:val="bottom"/>
            <w:hideMark/>
          </w:tcPr>
          <w:p w14:paraId="7D4A972F" w14:textId="5298342D" w:rsidR="000875F4" w:rsidRPr="009E1B38" w:rsidRDefault="00343D3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RESULT OF ACT</w:t>
            </w:r>
            <w:r w:rsidR="002566F0" w:rsidRPr="009E1B38">
              <w:rPr>
                <w:rFonts w:ascii="Times New Roman" w:eastAsia="Times New Roman" w:hAnsi="Times New Roman"/>
                <w:b/>
                <w:lang w:eastAsia="tr-TR"/>
              </w:rPr>
              <w:t>I</w:t>
            </w:r>
            <w:r w:rsidRPr="009E1B38">
              <w:rPr>
                <w:rFonts w:ascii="Times New Roman" w:eastAsia="Times New Roman" w:hAnsi="Times New Roman"/>
                <w:b/>
                <w:lang w:eastAsia="tr-TR"/>
              </w:rPr>
              <w:t>V</w:t>
            </w:r>
            <w:r w:rsidR="002566F0" w:rsidRPr="009E1B38">
              <w:rPr>
                <w:rFonts w:ascii="Times New Roman" w:eastAsia="Times New Roman" w:hAnsi="Times New Roman"/>
                <w:b/>
                <w:lang w:eastAsia="tr-TR"/>
              </w:rPr>
              <w:t>I</w:t>
            </w:r>
            <w:r w:rsidRPr="009E1B38">
              <w:rPr>
                <w:rFonts w:ascii="Times New Roman" w:eastAsia="Times New Roman" w:hAnsi="Times New Roman"/>
                <w:b/>
                <w:lang w:eastAsia="tr-TR"/>
              </w:rPr>
              <w:t>TY</w:t>
            </w:r>
            <w:r w:rsidR="000875F4" w:rsidRPr="009E1B38">
              <w:rPr>
                <w:rFonts w:ascii="Times New Roman" w:eastAsia="Times New Roman" w:hAnsi="Times New Roman"/>
                <w:b/>
                <w:lang w:eastAsia="tr-TR"/>
              </w:rPr>
              <w:t xml:space="preserve"> (D-A) (+/-)</w:t>
            </w:r>
          </w:p>
        </w:tc>
        <w:tc>
          <w:tcPr>
            <w:tcW w:w="353" w:type="pct"/>
            <w:gridSpan w:val="2"/>
            <w:tcBorders>
              <w:top w:val="single" w:sz="8" w:space="0" w:color="auto"/>
              <w:left w:val="single" w:sz="8" w:space="0" w:color="auto"/>
              <w:bottom w:val="single" w:sz="8" w:space="0" w:color="auto"/>
              <w:right w:val="single" w:sz="8" w:space="0" w:color="auto"/>
            </w:tcBorders>
            <w:shd w:val="clear" w:color="auto" w:fill="auto"/>
            <w:noWrap/>
            <w:vAlign w:val="bottom"/>
          </w:tcPr>
          <w:p w14:paraId="7D4A9730"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114.972.833,92</w:t>
            </w:r>
          </w:p>
        </w:tc>
        <w:tc>
          <w:tcPr>
            <w:tcW w:w="353" w:type="pct"/>
            <w:gridSpan w:val="2"/>
            <w:tcBorders>
              <w:top w:val="single" w:sz="8" w:space="0" w:color="auto"/>
              <w:left w:val="nil"/>
              <w:bottom w:val="single" w:sz="8" w:space="0" w:color="auto"/>
              <w:right w:val="single" w:sz="8" w:space="0" w:color="auto"/>
            </w:tcBorders>
            <w:shd w:val="clear" w:color="auto" w:fill="auto"/>
            <w:noWrap/>
            <w:vAlign w:val="bottom"/>
          </w:tcPr>
          <w:p w14:paraId="7D4A9731"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133.659.124,67</w:t>
            </w:r>
          </w:p>
        </w:tc>
        <w:tc>
          <w:tcPr>
            <w:tcW w:w="368" w:type="pct"/>
            <w:gridSpan w:val="2"/>
            <w:tcBorders>
              <w:top w:val="single" w:sz="8" w:space="0" w:color="auto"/>
              <w:left w:val="nil"/>
              <w:bottom w:val="single" w:sz="8" w:space="0" w:color="auto"/>
              <w:right w:val="single" w:sz="8" w:space="0" w:color="auto"/>
            </w:tcBorders>
            <w:shd w:val="clear" w:color="auto" w:fill="auto"/>
            <w:noWrap/>
            <w:vAlign w:val="bottom"/>
          </w:tcPr>
          <w:p w14:paraId="7D4A9732"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-112.007.094,96</w:t>
            </w:r>
          </w:p>
        </w:tc>
      </w:tr>
      <w:tr w:rsidR="000875F4" w:rsidRPr="009E1B38" w14:paraId="7D4A9745" w14:textId="77777777" w:rsidTr="00343D35">
        <w:trPr>
          <w:gridAfter w:val="1"/>
          <w:wAfter w:w="15" w:type="pct"/>
          <w:trHeight w:val="20"/>
        </w:trPr>
        <w:tc>
          <w:tcPr>
            <w:tcW w:w="115" w:type="pct"/>
            <w:tcBorders>
              <w:top w:val="nil"/>
              <w:left w:val="nil"/>
              <w:bottom w:val="nil"/>
              <w:right w:val="nil"/>
            </w:tcBorders>
            <w:shd w:val="clear" w:color="auto" w:fill="auto"/>
            <w:noWrap/>
            <w:vAlign w:val="bottom"/>
            <w:hideMark/>
          </w:tcPr>
          <w:p w14:paraId="7D4A9734" w14:textId="77777777" w:rsidR="000875F4" w:rsidRPr="009E1B38" w:rsidRDefault="000875F4" w:rsidP="000875F4">
            <w:pPr>
              <w:spacing w:after="0" w:line="240" w:lineRule="auto"/>
              <w:jc w:val="left"/>
              <w:rPr>
                <w:rFonts w:ascii="Times New Roman" w:eastAsia="Times New Roman" w:hAnsi="Times New Roman"/>
                <w:sz w:val="24"/>
                <w:szCs w:val="24"/>
                <w:lang w:eastAsia="tr-TR"/>
              </w:rPr>
            </w:pPr>
          </w:p>
        </w:tc>
        <w:tc>
          <w:tcPr>
            <w:tcW w:w="90" w:type="pct"/>
            <w:tcBorders>
              <w:top w:val="nil"/>
              <w:left w:val="nil"/>
              <w:bottom w:val="nil"/>
              <w:right w:val="nil"/>
            </w:tcBorders>
            <w:shd w:val="clear" w:color="auto" w:fill="auto"/>
            <w:noWrap/>
            <w:vAlign w:val="bottom"/>
            <w:hideMark/>
          </w:tcPr>
          <w:p w14:paraId="7D4A9735"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90" w:type="pct"/>
            <w:tcBorders>
              <w:top w:val="nil"/>
              <w:left w:val="nil"/>
              <w:bottom w:val="nil"/>
              <w:right w:val="nil"/>
            </w:tcBorders>
            <w:shd w:val="clear" w:color="auto" w:fill="auto"/>
            <w:noWrap/>
            <w:vAlign w:val="bottom"/>
            <w:hideMark/>
          </w:tcPr>
          <w:p w14:paraId="7D4A9736"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922" w:type="pct"/>
            <w:gridSpan w:val="2"/>
            <w:tcBorders>
              <w:top w:val="nil"/>
              <w:left w:val="nil"/>
              <w:bottom w:val="nil"/>
              <w:right w:val="nil"/>
            </w:tcBorders>
            <w:shd w:val="clear" w:color="auto" w:fill="auto"/>
            <w:noWrap/>
            <w:vAlign w:val="bottom"/>
            <w:hideMark/>
          </w:tcPr>
          <w:p w14:paraId="7D4A9737"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38"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39"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3A"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41" w:type="pct"/>
            <w:tcBorders>
              <w:top w:val="nil"/>
              <w:left w:val="nil"/>
              <w:bottom w:val="nil"/>
              <w:right w:val="nil"/>
            </w:tcBorders>
            <w:shd w:val="clear" w:color="auto" w:fill="auto"/>
            <w:noWrap/>
            <w:vAlign w:val="bottom"/>
            <w:hideMark/>
          </w:tcPr>
          <w:p w14:paraId="7D4A973B"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126" w:type="pct"/>
            <w:tcBorders>
              <w:top w:val="nil"/>
              <w:left w:val="nil"/>
              <w:bottom w:val="nil"/>
              <w:right w:val="nil"/>
            </w:tcBorders>
            <w:shd w:val="clear" w:color="auto" w:fill="auto"/>
            <w:noWrap/>
            <w:vAlign w:val="bottom"/>
            <w:hideMark/>
          </w:tcPr>
          <w:p w14:paraId="7D4A973C"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100" w:type="pct"/>
            <w:tcBorders>
              <w:top w:val="nil"/>
              <w:left w:val="nil"/>
              <w:bottom w:val="nil"/>
              <w:right w:val="nil"/>
            </w:tcBorders>
            <w:shd w:val="clear" w:color="auto" w:fill="auto"/>
            <w:noWrap/>
            <w:vAlign w:val="bottom"/>
            <w:hideMark/>
          </w:tcPr>
          <w:p w14:paraId="7D4A973D"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100" w:type="pct"/>
            <w:tcBorders>
              <w:top w:val="nil"/>
              <w:left w:val="nil"/>
              <w:bottom w:val="nil"/>
              <w:right w:val="nil"/>
            </w:tcBorders>
            <w:shd w:val="clear" w:color="auto" w:fill="auto"/>
            <w:noWrap/>
            <w:vAlign w:val="bottom"/>
            <w:hideMark/>
          </w:tcPr>
          <w:p w14:paraId="7D4A973E"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98" w:type="pct"/>
            <w:gridSpan w:val="2"/>
            <w:tcBorders>
              <w:top w:val="nil"/>
              <w:left w:val="nil"/>
              <w:bottom w:val="nil"/>
              <w:right w:val="nil"/>
            </w:tcBorders>
            <w:shd w:val="clear" w:color="auto" w:fill="auto"/>
            <w:noWrap/>
            <w:vAlign w:val="bottom"/>
            <w:hideMark/>
          </w:tcPr>
          <w:p w14:paraId="7D4A973F"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98" w:type="pct"/>
            <w:gridSpan w:val="2"/>
            <w:tcBorders>
              <w:top w:val="nil"/>
              <w:left w:val="nil"/>
              <w:bottom w:val="nil"/>
              <w:right w:val="nil"/>
            </w:tcBorders>
            <w:shd w:val="clear" w:color="auto" w:fill="auto"/>
            <w:noWrap/>
            <w:vAlign w:val="bottom"/>
            <w:hideMark/>
          </w:tcPr>
          <w:p w14:paraId="7D4A9740"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1073" w:type="pct"/>
            <w:gridSpan w:val="4"/>
            <w:tcBorders>
              <w:top w:val="nil"/>
              <w:left w:val="nil"/>
              <w:bottom w:val="nil"/>
              <w:right w:val="nil"/>
            </w:tcBorders>
            <w:shd w:val="clear" w:color="auto" w:fill="auto"/>
            <w:noWrap/>
            <w:vAlign w:val="bottom"/>
            <w:hideMark/>
          </w:tcPr>
          <w:p w14:paraId="7D4A9741"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42" w14:textId="77777777" w:rsidR="000875F4" w:rsidRPr="009E1B38" w:rsidRDefault="000875F4" w:rsidP="000875F4">
            <w:pPr>
              <w:spacing w:after="0" w:line="240" w:lineRule="auto"/>
              <w:jc w:val="center"/>
              <w:rPr>
                <w:rFonts w:ascii="Times New Roman" w:eastAsia="Times New Roman" w:hAnsi="Times New Roman"/>
                <w:sz w:val="20"/>
                <w:szCs w:val="20"/>
                <w:lang w:eastAsia="tr-TR"/>
              </w:rPr>
            </w:pPr>
          </w:p>
        </w:tc>
        <w:tc>
          <w:tcPr>
            <w:tcW w:w="353" w:type="pct"/>
            <w:gridSpan w:val="2"/>
            <w:tcBorders>
              <w:top w:val="nil"/>
              <w:left w:val="nil"/>
              <w:bottom w:val="nil"/>
              <w:right w:val="nil"/>
            </w:tcBorders>
            <w:shd w:val="clear" w:color="auto" w:fill="auto"/>
            <w:noWrap/>
            <w:vAlign w:val="bottom"/>
            <w:hideMark/>
          </w:tcPr>
          <w:p w14:paraId="7D4A9743"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tc>
        <w:tc>
          <w:tcPr>
            <w:tcW w:w="368" w:type="pct"/>
            <w:gridSpan w:val="2"/>
            <w:tcBorders>
              <w:top w:val="nil"/>
              <w:left w:val="nil"/>
              <w:bottom w:val="nil"/>
              <w:right w:val="nil"/>
            </w:tcBorders>
            <w:shd w:val="clear" w:color="auto" w:fill="auto"/>
            <w:noWrap/>
            <w:vAlign w:val="bottom"/>
            <w:hideMark/>
          </w:tcPr>
          <w:p w14:paraId="7D4A9744"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tc>
      </w:tr>
    </w:tbl>
    <w:p w14:paraId="7D4A9746" w14:textId="77777777" w:rsidR="009A5906" w:rsidRPr="009E1B38" w:rsidRDefault="009A5906" w:rsidP="00A959D5">
      <w:pPr>
        <w:jc w:val="center"/>
        <w:rPr>
          <w:rFonts w:ascii="Times New Roman" w:hAnsi="Times New Roman"/>
          <w:b/>
          <w:sz w:val="18"/>
          <w:szCs w:val="18"/>
          <w:highlight w:val="yellow"/>
        </w:rPr>
      </w:pPr>
    </w:p>
    <w:p w14:paraId="7D4A9748" w14:textId="5AB022ED" w:rsidR="00933A6E" w:rsidRPr="009E1B38" w:rsidRDefault="00933A6E" w:rsidP="002C3088">
      <w:pPr>
        <w:pStyle w:val="ListeParagraf"/>
        <w:ind w:left="0"/>
        <w:rPr>
          <w:rFonts w:ascii="Times New Roman" w:hAnsi="Times New Roman"/>
          <w:i/>
          <w:sz w:val="20"/>
          <w:szCs w:val="20"/>
        </w:rPr>
      </w:pPr>
      <w:r w:rsidRPr="009E1B38">
        <w:rPr>
          <w:rFonts w:ascii="Times New Roman" w:hAnsi="Times New Roman"/>
          <w:sz w:val="20"/>
          <w:szCs w:val="20"/>
        </w:rPr>
        <w:t>*</w:t>
      </w:r>
      <w:r w:rsidR="002C3088" w:rsidRPr="009E1B38">
        <w:rPr>
          <w:rFonts w:ascii="Times New Roman" w:hAnsi="Times New Roman"/>
          <w:sz w:val="20"/>
          <w:szCs w:val="20"/>
        </w:rPr>
        <w:t xml:space="preserve"> </w:t>
      </w:r>
      <w:r w:rsidR="002C3088" w:rsidRPr="009E1B38">
        <w:rPr>
          <w:rFonts w:ascii="Times New Roman" w:hAnsi="Times New Roman"/>
          <w:i/>
          <w:sz w:val="20"/>
          <w:szCs w:val="20"/>
        </w:rPr>
        <w:t>The reason for the difference between the Income-Expenditure amounts in this table and the Income-Expenditure amounts in the Budget Implementation Results section is that the amounts in the Budget Implementation Results section are collection-based.</w:t>
      </w:r>
    </w:p>
    <w:p w14:paraId="7D4A9749" w14:textId="77777777" w:rsidR="009A5906" w:rsidRPr="009E1B38" w:rsidRDefault="009A5906" w:rsidP="00A959D5">
      <w:pPr>
        <w:jc w:val="center"/>
        <w:rPr>
          <w:rFonts w:ascii="Times New Roman" w:hAnsi="Times New Roman"/>
          <w:b/>
          <w:sz w:val="18"/>
          <w:szCs w:val="18"/>
          <w:highlight w:val="yellow"/>
        </w:rPr>
      </w:pPr>
    </w:p>
    <w:p w14:paraId="7D4A974A" w14:textId="07E74EF0" w:rsidR="005A5806" w:rsidRPr="009E1B38" w:rsidRDefault="00343D35" w:rsidP="00A959D5">
      <w:pPr>
        <w:jc w:val="center"/>
        <w:rPr>
          <w:rFonts w:ascii="Times New Roman" w:hAnsi="Times New Roman"/>
          <w:b/>
          <w:sz w:val="18"/>
          <w:szCs w:val="18"/>
        </w:rPr>
      </w:pPr>
      <w:r w:rsidRPr="009E1B38">
        <w:rPr>
          <w:rFonts w:ascii="Times New Roman" w:hAnsi="Times New Roman"/>
          <w:b/>
        </w:rPr>
        <w:t>ENERGY MARKET REGULATORY AUTHORITY BALANCE SHEET 2019-2021</w:t>
      </w:r>
    </w:p>
    <w:tbl>
      <w:tblPr>
        <w:tblW w:w="6860" w:type="pct"/>
        <w:tblLayout w:type="fixed"/>
        <w:tblCellMar>
          <w:left w:w="70" w:type="dxa"/>
          <w:right w:w="70" w:type="dxa"/>
        </w:tblCellMar>
        <w:tblLook w:val="04A0" w:firstRow="1" w:lastRow="0" w:firstColumn="1" w:lastColumn="0" w:noHBand="0" w:noVBand="1"/>
      </w:tblPr>
      <w:tblGrid>
        <w:gridCol w:w="162"/>
        <w:gridCol w:w="387"/>
        <w:gridCol w:w="2623"/>
        <w:gridCol w:w="1450"/>
        <w:gridCol w:w="1450"/>
        <w:gridCol w:w="1489"/>
        <w:gridCol w:w="167"/>
        <w:gridCol w:w="316"/>
        <w:gridCol w:w="3409"/>
        <w:gridCol w:w="1577"/>
        <w:gridCol w:w="1432"/>
        <w:gridCol w:w="1555"/>
        <w:gridCol w:w="1489"/>
        <w:gridCol w:w="1489"/>
        <w:gridCol w:w="1489"/>
        <w:gridCol w:w="1480"/>
      </w:tblGrid>
      <w:tr w:rsidR="000875F4" w:rsidRPr="009E1B38" w14:paraId="7D4A9757" w14:textId="77777777" w:rsidTr="29720196">
        <w:trPr>
          <w:gridAfter w:val="4"/>
          <w:wAfter w:w="1354" w:type="pct"/>
          <w:trHeight w:val="183"/>
          <w:tblHeader/>
        </w:trPr>
        <w:tc>
          <w:tcPr>
            <w:tcW w:w="37" w:type="pct"/>
            <w:tcBorders>
              <w:top w:val="single" w:sz="8" w:space="0" w:color="auto"/>
              <w:left w:val="single" w:sz="8" w:space="0" w:color="auto"/>
              <w:bottom w:val="single" w:sz="8" w:space="0" w:color="auto"/>
              <w:right w:val="nil"/>
            </w:tcBorders>
            <w:shd w:val="clear" w:color="auto" w:fill="F2F2F2" w:themeFill="background1" w:themeFillShade="F2"/>
            <w:noWrap/>
            <w:vAlign w:val="center"/>
            <w:hideMark/>
          </w:tcPr>
          <w:p w14:paraId="7D4A974B" w14:textId="77777777" w:rsidR="000875F4" w:rsidRPr="009E1B38" w:rsidRDefault="000875F4" w:rsidP="000875F4">
            <w:pPr>
              <w:spacing w:after="0" w:line="240" w:lineRule="auto"/>
              <w:jc w:val="left"/>
              <w:rPr>
                <w:rFonts w:ascii="Times New Roman" w:eastAsia="Times New Roman" w:hAnsi="Times New Roman"/>
                <w:b/>
                <w:bCs/>
                <w:sz w:val="24"/>
                <w:szCs w:val="24"/>
                <w:lang w:eastAsia="tr-TR"/>
              </w:rPr>
            </w:pPr>
            <w:r w:rsidRPr="009E1B38">
              <w:rPr>
                <w:rFonts w:ascii="Times New Roman" w:eastAsia="Times New Roman" w:hAnsi="Times New Roman"/>
                <w:b/>
                <w:bCs/>
                <w:sz w:val="24"/>
                <w:szCs w:val="24"/>
                <w:lang w:eastAsia="tr-TR"/>
              </w:rPr>
              <w:t> </w:t>
            </w:r>
          </w:p>
        </w:tc>
        <w:tc>
          <w:tcPr>
            <w:tcW w:w="88" w:type="pct"/>
            <w:tcBorders>
              <w:top w:val="single" w:sz="8" w:space="0" w:color="auto"/>
              <w:left w:val="nil"/>
              <w:bottom w:val="single" w:sz="8" w:space="0" w:color="auto"/>
              <w:right w:val="nil"/>
            </w:tcBorders>
            <w:shd w:val="clear" w:color="auto" w:fill="F2F2F2" w:themeFill="background1" w:themeFillShade="F2"/>
            <w:noWrap/>
            <w:vAlign w:val="center"/>
            <w:hideMark/>
          </w:tcPr>
          <w:p w14:paraId="7D4A974C" w14:textId="77777777" w:rsidR="000875F4" w:rsidRPr="009E1B38" w:rsidRDefault="000875F4" w:rsidP="000875F4">
            <w:pPr>
              <w:spacing w:after="0" w:line="240" w:lineRule="auto"/>
              <w:jc w:val="center"/>
              <w:rPr>
                <w:rFonts w:ascii="Times New Roman" w:eastAsia="Times New Roman" w:hAnsi="Times New Roman"/>
                <w:b/>
                <w:bCs/>
                <w:sz w:val="24"/>
                <w:szCs w:val="24"/>
                <w:lang w:eastAsia="tr-TR"/>
              </w:rPr>
            </w:pPr>
            <w:r w:rsidRPr="009E1B38">
              <w:rPr>
                <w:rFonts w:ascii="Times New Roman" w:eastAsia="Times New Roman" w:hAnsi="Times New Roman"/>
                <w:b/>
                <w:bCs/>
                <w:sz w:val="24"/>
                <w:szCs w:val="24"/>
                <w:lang w:eastAsia="tr-TR"/>
              </w:rPr>
              <w:t> </w:t>
            </w:r>
          </w:p>
        </w:tc>
        <w:tc>
          <w:tcPr>
            <w:tcW w:w="597" w:type="pct"/>
            <w:tcBorders>
              <w:top w:val="single" w:sz="8" w:space="0" w:color="auto"/>
              <w:left w:val="nil"/>
              <w:bottom w:val="single" w:sz="8" w:space="0" w:color="auto"/>
              <w:right w:val="nil"/>
            </w:tcBorders>
            <w:shd w:val="clear" w:color="auto" w:fill="F2F2F2" w:themeFill="background1" w:themeFillShade="F2"/>
            <w:noWrap/>
            <w:vAlign w:val="center"/>
            <w:hideMark/>
          </w:tcPr>
          <w:p w14:paraId="7D4A974D" w14:textId="14F3B69F" w:rsidR="000875F4" w:rsidRPr="009E1B38" w:rsidRDefault="007A71E2"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ASSETS ACOOUNTS </w:t>
            </w:r>
          </w:p>
        </w:tc>
        <w:tc>
          <w:tcPr>
            <w:tcW w:w="330" w:type="pct"/>
            <w:tcBorders>
              <w:top w:val="single" w:sz="8" w:space="0" w:color="auto"/>
              <w:left w:val="single" w:sz="8" w:space="0" w:color="auto"/>
              <w:bottom w:val="single" w:sz="8" w:space="0" w:color="auto"/>
              <w:right w:val="single" w:sz="8" w:space="0" w:color="auto"/>
            </w:tcBorders>
            <w:shd w:val="clear" w:color="auto" w:fill="F2F2F2" w:themeFill="background1" w:themeFillShade="F2"/>
            <w:noWrap/>
            <w:vAlign w:val="center"/>
            <w:hideMark/>
          </w:tcPr>
          <w:p w14:paraId="7D4A974E"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31.12.2019</w:t>
            </w:r>
          </w:p>
        </w:tc>
        <w:tc>
          <w:tcPr>
            <w:tcW w:w="330" w:type="pct"/>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14:paraId="7D4A974F"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31.12.2020</w:t>
            </w:r>
          </w:p>
        </w:tc>
        <w:tc>
          <w:tcPr>
            <w:tcW w:w="339" w:type="pct"/>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14:paraId="7D4A9750"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31.12.2021</w:t>
            </w:r>
          </w:p>
        </w:tc>
        <w:tc>
          <w:tcPr>
            <w:tcW w:w="38" w:type="pct"/>
            <w:tcBorders>
              <w:top w:val="single" w:sz="8" w:space="0" w:color="auto"/>
              <w:left w:val="nil"/>
              <w:bottom w:val="single" w:sz="8" w:space="0" w:color="auto"/>
              <w:right w:val="nil"/>
            </w:tcBorders>
            <w:shd w:val="clear" w:color="auto" w:fill="F2F2F2" w:themeFill="background1" w:themeFillShade="F2"/>
            <w:noWrap/>
            <w:vAlign w:val="center"/>
            <w:hideMark/>
          </w:tcPr>
          <w:p w14:paraId="7D4A9751" w14:textId="77777777" w:rsidR="000875F4" w:rsidRPr="009E1B38" w:rsidRDefault="000875F4" w:rsidP="000875F4">
            <w:pPr>
              <w:spacing w:after="0" w:line="240" w:lineRule="auto"/>
              <w:jc w:val="right"/>
              <w:rPr>
                <w:rFonts w:ascii="Times New Roman" w:eastAsia="Times New Roman" w:hAnsi="Times New Roman"/>
                <w:b/>
                <w:bCs/>
                <w:sz w:val="26"/>
                <w:szCs w:val="26"/>
                <w:lang w:eastAsia="tr-TR"/>
              </w:rPr>
            </w:pPr>
            <w:r w:rsidRPr="009E1B38">
              <w:rPr>
                <w:rFonts w:ascii="Times New Roman" w:eastAsia="Times New Roman" w:hAnsi="Times New Roman"/>
                <w:b/>
                <w:bCs/>
                <w:sz w:val="26"/>
                <w:szCs w:val="26"/>
                <w:lang w:eastAsia="tr-TR"/>
              </w:rPr>
              <w:t> </w:t>
            </w:r>
          </w:p>
        </w:tc>
        <w:tc>
          <w:tcPr>
            <w:tcW w:w="72" w:type="pct"/>
            <w:tcBorders>
              <w:top w:val="single" w:sz="8" w:space="0" w:color="auto"/>
              <w:left w:val="nil"/>
              <w:bottom w:val="single" w:sz="8" w:space="0" w:color="auto"/>
              <w:right w:val="nil"/>
            </w:tcBorders>
            <w:shd w:val="clear" w:color="auto" w:fill="F2F2F2" w:themeFill="background1" w:themeFillShade="F2"/>
            <w:noWrap/>
            <w:vAlign w:val="center"/>
            <w:hideMark/>
          </w:tcPr>
          <w:p w14:paraId="7D4A9752" w14:textId="77777777" w:rsidR="000875F4" w:rsidRPr="009E1B38" w:rsidRDefault="000875F4" w:rsidP="000875F4">
            <w:pPr>
              <w:spacing w:after="0" w:line="240" w:lineRule="auto"/>
              <w:jc w:val="right"/>
              <w:rPr>
                <w:rFonts w:ascii="Times New Roman" w:eastAsia="Times New Roman" w:hAnsi="Times New Roman"/>
                <w:b/>
                <w:lang w:eastAsia="tr-TR"/>
              </w:rPr>
            </w:pPr>
            <w:r w:rsidRPr="009E1B38">
              <w:rPr>
                <w:rFonts w:ascii="Times New Roman" w:eastAsia="Times New Roman" w:hAnsi="Times New Roman"/>
                <w:b/>
                <w:lang w:eastAsia="tr-TR"/>
              </w:rPr>
              <w:t> </w:t>
            </w:r>
          </w:p>
        </w:tc>
        <w:tc>
          <w:tcPr>
            <w:tcW w:w="776" w:type="pct"/>
            <w:tcBorders>
              <w:top w:val="single" w:sz="8" w:space="0" w:color="auto"/>
              <w:left w:val="nil"/>
              <w:bottom w:val="single" w:sz="8" w:space="0" w:color="auto"/>
              <w:right w:val="nil"/>
            </w:tcBorders>
            <w:shd w:val="clear" w:color="auto" w:fill="F2F2F2" w:themeFill="background1" w:themeFillShade="F2"/>
            <w:noWrap/>
            <w:vAlign w:val="center"/>
            <w:hideMark/>
          </w:tcPr>
          <w:p w14:paraId="7D4A9753" w14:textId="2458C9E8" w:rsidR="000875F4" w:rsidRPr="009E1B38" w:rsidRDefault="002E0843"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LIABILITY ACCOUNTS </w:t>
            </w:r>
          </w:p>
        </w:tc>
        <w:tc>
          <w:tcPr>
            <w:tcW w:w="359" w:type="pct"/>
            <w:tcBorders>
              <w:top w:val="single" w:sz="8" w:space="0" w:color="auto"/>
              <w:left w:val="single" w:sz="8" w:space="0" w:color="auto"/>
              <w:bottom w:val="single" w:sz="8" w:space="0" w:color="auto"/>
              <w:right w:val="single" w:sz="8" w:space="0" w:color="auto"/>
            </w:tcBorders>
            <w:shd w:val="clear" w:color="auto" w:fill="F2F2F2" w:themeFill="background1" w:themeFillShade="F2"/>
            <w:noWrap/>
            <w:vAlign w:val="center"/>
            <w:hideMark/>
          </w:tcPr>
          <w:p w14:paraId="7D4A9754"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31.12.2019</w:t>
            </w:r>
          </w:p>
        </w:tc>
        <w:tc>
          <w:tcPr>
            <w:tcW w:w="326" w:type="pct"/>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14:paraId="7D4A9755"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31.12.2020</w:t>
            </w:r>
          </w:p>
        </w:tc>
        <w:tc>
          <w:tcPr>
            <w:tcW w:w="354" w:type="pct"/>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14:paraId="7D4A9756"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31.12.2021</w:t>
            </w:r>
          </w:p>
        </w:tc>
      </w:tr>
      <w:tr w:rsidR="000875F4" w:rsidRPr="009E1B38" w14:paraId="7D4A9760" w14:textId="77777777" w:rsidTr="29720196">
        <w:trPr>
          <w:gridAfter w:val="4"/>
          <w:wAfter w:w="1354" w:type="pct"/>
          <w:trHeight w:val="20"/>
        </w:trPr>
        <w:tc>
          <w:tcPr>
            <w:tcW w:w="722" w:type="pct"/>
            <w:gridSpan w:val="3"/>
            <w:tcBorders>
              <w:top w:val="single" w:sz="8" w:space="0" w:color="auto"/>
              <w:left w:val="single" w:sz="8" w:space="0" w:color="auto"/>
              <w:bottom w:val="nil"/>
              <w:right w:val="single" w:sz="8" w:space="0" w:color="000000" w:themeColor="text1"/>
            </w:tcBorders>
            <w:shd w:val="clear" w:color="auto" w:fill="auto"/>
            <w:noWrap/>
            <w:vAlign w:val="center"/>
            <w:hideMark/>
          </w:tcPr>
          <w:p w14:paraId="7D4A9758" w14:textId="228A60B3" w:rsidR="000875F4" w:rsidRPr="009E1B38" w:rsidRDefault="00542422"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1</w:t>
            </w:r>
            <w:r w:rsidR="00BA2E45" w:rsidRPr="009E1B38">
              <w:rPr>
                <w:rFonts w:ascii="Times New Roman" w:eastAsia="Times New Roman" w:hAnsi="Times New Roman"/>
                <w:b/>
                <w:lang w:eastAsia="tr-TR"/>
              </w:rPr>
              <w:t>- REVOLVING ASSETS</w:t>
            </w:r>
          </w:p>
        </w:tc>
        <w:tc>
          <w:tcPr>
            <w:tcW w:w="330" w:type="pct"/>
            <w:tcBorders>
              <w:top w:val="nil"/>
              <w:left w:val="nil"/>
              <w:bottom w:val="nil"/>
              <w:right w:val="single" w:sz="8" w:space="0" w:color="auto"/>
            </w:tcBorders>
            <w:shd w:val="clear" w:color="auto" w:fill="auto"/>
            <w:noWrap/>
            <w:vAlign w:val="center"/>
          </w:tcPr>
          <w:p w14:paraId="7D4A9759"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131.753.397,46</w:t>
            </w:r>
          </w:p>
        </w:tc>
        <w:tc>
          <w:tcPr>
            <w:tcW w:w="330" w:type="pct"/>
            <w:tcBorders>
              <w:top w:val="nil"/>
              <w:left w:val="nil"/>
              <w:bottom w:val="nil"/>
              <w:right w:val="single" w:sz="8" w:space="0" w:color="auto"/>
            </w:tcBorders>
            <w:shd w:val="clear" w:color="auto" w:fill="auto"/>
            <w:noWrap/>
            <w:vAlign w:val="center"/>
          </w:tcPr>
          <w:p w14:paraId="7D4A975A"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226.385.178,45</w:t>
            </w:r>
          </w:p>
        </w:tc>
        <w:tc>
          <w:tcPr>
            <w:tcW w:w="339" w:type="pct"/>
            <w:tcBorders>
              <w:top w:val="nil"/>
              <w:left w:val="nil"/>
              <w:bottom w:val="nil"/>
              <w:right w:val="single" w:sz="8" w:space="0" w:color="auto"/>
            </w:tcBorders>
            <w:shd w:val="clear" w:color="auto" w:fill="auto"/>
            <w:noWrap/>
            <w:vAlign w:val="center"/>
          </w:tcPr>
          <w:p w14:paraId="7D4A975B"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241.779.541,31</w:t>
            </w:r>
          </w:p>
        </w:tc>
        <w:tc>
          <w:tcPr>
            <w:tcW w:w="886" w:type="pct"/>
            <w:gridSpan w:val="3"/>
            <w:tcBorders>
              <w:top w:val="single" w:sz="8" w:space="0" w:color="auto"/>
              <w:left w:val="single" w:sz="8" w:space="0" w:color="auto"/>
              <w:bottom w:val="nil"/>
              <w:right w:val="nil"/>
            </w:tcBorders>
            <w:shd w:val="clear" w:color="auto" w:fill="auto"/>
            <w:noWrap/>
            <w:vAlign w:val="center"/>
            <w:hideMark/>
          </w:tcPr>
          <w:p w14:paraId="7D4A975C" w14:textId="2BE68E09"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3-</w:t>
            </w:r>
            <w:r w:rsidR="00542422" w:rsidRPr="009E1B38">
              <w:rPr>
                <w:rFonts w:ascii="Times New Roman" w:eastAsia="Times New Roman" w:hAnsi="Times New Roman"/>
                <w:b/>
                <w:lang w:eastAsia="tr-TR"/>
              </w:rPr>
              <w:t xml:space="preserve"> SHORT TERM LIABILITIES</w:t>
            </w:r>
          </w:p>
        </w:tc>
        <w:tc>
          <w:tcPr>
            <w:tcW w:w="359" w:type="pct"/>
            <w:tcBorders>
              <w:top w:val="nil"/>
              <w:left w:val="single" w:sz="8" w:space="0" w:color="auto"/>
              <w:bottom w:val="nil"/>
              <w:right w:val="single" w:sz="8" w:space="0" w:color="auto"/>
            </w:tcBorders>
            <w:shd w:val="clear" w:color="auto" w:fill="auto"/>
            <w:noWrap/>
            <w:vAlign w:val="center"/>
          </w:tcPr>
          <w:p w14:paraId="7D4A975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68.374.548,00</w:t>
            </w:r>
          </w:p>
        </w:tc>
        <w:tc>
          <w:tcPr>
            <w:tcW w:w="326" w:type="pct"/>
            <w:tcBorders>
              <w:top w:val="nil"/>
              <w:left w:val="nil"/>
              <w:bottom w:val="nil"/>
              <w:right w:val="nil"/>
            </w:tcBorders>
            <w:shd w:val="clear" w:color="auto" w:fill="auto"/>
            <w:noWrap/>
            <w:vAlign w:val="center"/>
          </w:tcPr>
          <w:p w14:paraId="7D4A975E"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30.132.778,61</w:t>
            </w:r>
          </w:p>
        </w:tc>
        <w:tc>
          <w:tcPr>
            <w:tcW w:w="354" w:type="pct"/>
            <w:tcBorders>
              <w:top w:val="nil"/>
              <w:left w:val="single" w:sz="8" w:space="0" w:color="auto"/>
              <w:bottom w:val="nil"/>
              <w:right w:val="single" w:sz="8" w:space="0" w:color="auto"/>
            </w:tcBorders>
            <w:shd w:val="clear" w:color="auto" w:fill="auto"/>
            <w:noWrap/>
            <w:vAlign w:val="center"/>
          </w:tcPr>
          <w:p w14:paraId="7D4A975F"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144.422.700,05</w:t>
            </w:r>
          </w:p>
        </w:tc>
      </w:tr>
      <w:tr w:rsidR="000875F4" w:rsidRPr="009E1B38" w14:paraId="7D4A9770" w14:textId="77777777" w:rsidTr="29720196">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76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685" w:type="pct"/>
            <w:gridSpan w:val="2"/>
            <w:tcBorders>
              <w:top w:val="nil"/>
              <w:left w:val="nil"/>
              <w:bottom w:val="nil"/>
              <w:right w:val="single" w:sz="8" w:space="0" w:color="000000" w:themeColor="text1"/>
            </w:tcBorders>
            <w:shd w:val="clear" w:color="auto" w:fill="auto"/>
            <w:noWrap/>
            <w:vAlign w:val="center"/>
            <w:hideMark/>
          </w:tcPr>
          <w:p w14:paraId="7D4A9762" w14:textId="77777777" w:rsidR="000875F4" w:rsidRPr="009E1B38" w:rsidRDefault="000875F4" w:rsidP="000875F4">
            <w:pPr>
              <w:spacing w:after="0" w:line="240" w:lineRule="auto"/>
              <w:jc w:val="left"/>
              <w:rPr>
                <w:rFonts w:ascii="Times New Roman" w:eastAsia="Times New Roman" w:hAnsi="Times New Roman"/>
                <w:b/>
                <w:lang w:eastAsia="tr-TR"/>
              </w:rPr>
            </w:pPr>
          </w:p>
          <w:p w14:paraId="7D4A9763" w14:textId="10300F90"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bCs/>
                <w:lang w:eastAsia="tr-TR"/>
              </w:rPr>
              <w:t>10-</w:t>
            </w:r>
            <w:r w:rsidR="008769C8" w:rsidRPr="009E1B38">
              <w:rPr>
                <w:rFonts w:ascii="Times New Roman" w:eastAsia="Times New Roman" w:hAnsi="Times New Roman"/>
                <w:b/>
                <w:bCs/>
                <w:lang w:eastAsia="tr-TR"/>
              </w:rPr>
              <w:t>READY ASSETS</w:t>
            </w:r>
          </w:p>
        </w:tc>
        <w:tc>
          <w:tcPr>
            <w:tcW w:w="330" w:type="pct"/>
            <w:tcBorders>
              <w:top w:val="nil"/>
              <w:left w:val="nil"/>
              <w:bottom w:val="nil"/>
              <w:right w:val="single" w:sz="8" w:space="0" w:color="auto"/>
            </w:tcBorders>
            <w:shd w:val="clear" w:color="auto" w:fill="auto"/>
            <w:noWrap/>
            <w:vAlign w:val="center"/>
          </w:tcPr>
          <w:p w14:paraId="7D4A9764"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18.303,67</w:t>
            </w:r>
          </w:p>
        </w:tc>
        <w:tc>
          <w:tcPr>
            <w:tcW w:w="330" w:type="pct"/>
            <w:tcBorders>
              <w:top w:val="nil"/>
              <w:left w:val="nil"/>
              <w:bottom w:val="nil"/>
              <w:right w:val="single" w:sz="8" w:space="0" w:color="auto"/>
            </w:tcBorders>
            <w:shd w:val="clear" w:color="auto" w:fill="auto"/>
            <w:noWrap/>
            <w:vAlign w:val="center"/>
          </w:tcPr>
          <w:p w14:paraId="7D4A9765"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9.600,00</w:t>
            </w:r>
          </w:p>
        </w:tc>
        <w:tc>
          <w:tcPr>
            <w:tcW w:w="339" w:type="pct"/>
            <w:tcBorders>
              <w:top w:val="nil"/>
              <w:left w:val="nil"/>
              <w:bottom w:val="nil"/>
              <w:right w:val="single" w:sz="8" w:space="0" w:color="auto"/>
            </w:tcBorders>
            <w:shd w:val="clear" w:color="auto" w:fill="auto"/>
            <w:noWrap/>
            <w:vAlign w:val="center"/>
          </w:tcPr>
          <w:p w14:paraId="7D4A9766"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8" w:type="pct"/>
            <w:tcBorders>
              <w:top w:val="nil"/>
              <w:left w:val="nil"/>
              <w:bottom w:val="nil"/>
              <w:right w:val="nil"/>
            </w:tcBorders>
            <w:shd w:val="clear" w:color="auto" w:fill="auto"/>
            <w:noWrap/>
            <w:vAlign w:val="center"/>
            <w:hideMark/>
          </w:tcPr>
          <w:p w14:paraId="7D4A976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48" w:type="pct"/>
            <w:gridSpan w:val="2"/>
            <w:tcBorders>
              <w:top w:val="nil"/>
              <w:left w:val="nil"/>
              <w:bottom w:val="nil"/>
              <w:right w:val="nil"/>
            </w:tcBorders>
            <w:shd w:val="clear" w:color="auto" w:fill="auto"/>
            <w:noWrap/>
            <w:vAlign w:val="center"/>
            <w:hideMark/>
          </w:tcPr>
          <w:p w14:paraId="7D4A9768" w14:textId="77777777" w:rsidR="000875F4" w:rsidRPr="009E1B38" w:rsidRDefault="000875F4" w:rsidP="000875F4">
            <w:pPr>
              <w:spacing w:after="0" w:line="240" w:lineRule="auto"/>
              <w:jc w:val="left"/>
              <w:rPr>
                <w:rFonts w:ascii="Times New Roman" w:eastAsia="Times New Roman" w:hAnsi="Times New Roman"/>
                <w:b/>
                <w:lang w:eastAsia="tr-TR"/>
              </w:rPr>
            </w:pPr>
          </w:p>
          <w:p w14:paraId="7D4A9769" w14:textId="5B845FEE" w:rsidR="000875F4" w:rsidRPr="009E1B38" w:rsidRDefault="00FB7E6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32- ACTIVITY DEBTS</w:t>
            </w:r>
          </w:p>
        </w:tc>
        <w:tc>
          <w:tcPr>
            <w:tcW w:w="359" w:type="pct"/>
            <w:tcBorders>
              <w:top w:val="nil"/>
              <w:left w:val="single" w:sz="8" w:space="0" w:color="auto"/>
              <w:bottom w:val="nil"/>
              <w:right w:val="single" w:sz="8" w:space="0" w:color="auto"/>
            </w:tcBorders>
            <w:shd w:val="clear" w:color="auto" w:fill="auto"/>
            <w:noWrap/>
            <w:vAlign w:val="center"/>
          </w:tcPr>
          <w:p w14:paraId="7D4A976A"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p w14:paraId="7D4A976B"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1.038.155,68</w:t>
            </w:r>
          </w:p>
        </w:tc>
        <w:tc>
          <w:tcPr>
            <w:tcW w:w="326" w:type="pct"/>
            <w:tcBorders>
              <w:top w:val="nil"/>
              <w:left w:val="nil"/>
              <w:bottom w:val="nil"/>
              <w:right w:val="nil"/>
            </w:tcBorders>
            <w:shd w:val="clear" w:color="auto" w:fill="auto"/>
            <w:noWrap/>
            <w:vAlign w:val="center"/>
          </w:tcPr>
          <w:p w14:paraId="7D4A976C"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p w14:paraId="7D4A976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center"/>
          </w:tcPr>
          <w:p w14:paraId="7D4A976E"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p w14:paraId="7D4A976F"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r>
      <w:tr w:rsidR="000875F4" w:rsidRPr="009E1B38" w14:paraId="7D4A977D"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77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center"/>
            <w:hideMark/>
          </w:tcPr>
          <w:p w14:paraId="7D4A977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773" w14:textId="6C16F182" w:rsidR="000875F4" w:rsidRPr="009E1B38" w:rsidRDefault="000875F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102-Bank</w:t>
            </w:r>
            <w:r w:rsidR="008769C8" w:rsidRPr="009E1B38">
              <w:rPr>
                <w:rFonts w:ascii="Times New Roman" w:eastAsia="Times New Roman" w:hAnsi="Times New Roman"/>
                <w:lang w:eastAsia="tr-TR"/>
              </w:rPr>
              <w:t xml:space="preserve"> Account</w:t>
            </w:r>
          </w:p>
        </w:tc>
        <w:tc>
          <w:tcPr>
            <w:tcW w:w="330" w:type="pct"/>
            <w:tcBorders>
              <w:top w:val="nil"/>
              <w:left w:val="nil"/>
              <w:bottom w:val="nil"/>
              <w:right w:val="single" w:sz="8" w:space="0" w:color="auto"/>
            </w:tcBorders>
            <w:shd w:val="clear" w:color="auto" w:fill="auto"/>
            <w:noWrap/>
            <w:vAlign w:val="center"/>
          </w:tcPr>
          <w:p w14:paraId="7D4A977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18.303,67</w:t>
            </w:r>
          </w:p>
        </w:tc>
        <w:tc>
          <w:tcPr>
            <w:tcW w:w="330" w:type="pct"/>
            <w:tcBorders>
              <w:top w:val="nil"/>
              <w:left w:val="nil"/>
              <w:bottom w:val="nil"/>
              <w:right w:val="single" w:sz="8" w:space="0" w:color="auto"/>
            </w:tcBorders>
            <w:shd w:val="clear" w:color="auto" w:fill="auto"/>
            <w:noWrap/>
            <w:vAlign w:val="center"/>
          </w:tcPr>
          <w:p w14:paraId="7D4A9775"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9.600,00</w:t>
            </w:r>
          </w:p>
        </w:tc>
        <w:tc>
          <w:tcPr>
            <w:tcW w:w="339" w:type="pct"/>
            <w:tcBorders>
              <w:top w:val="nil"/>
              <w:left w:val="nil"/>
              <w:bottom w:val="nil"/>
              <w:right w:val="single" w:sz="8" w:space="0" w:color="auto"/>
            </w:tcBorders>
            <w:shd w:val="clear" w:color="auto" w:fill="auto"/>
            <w:noWrap/>
            <w:vAlign w:val="center"/>
          </w:tcPr>
          <w:p w14:paraId="7D4A9776"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8" w:type="pct"/>
            <w:tcBorders>
              <w:top w:val="nil"/>
              <w:left w:val="nil"/>
              <w:bottom w:val="nil"/>
              <w:right w:val="nil"/>
            </w:tcBorders>
            <w:shd w:val="clear" w:color="auto" w:fill="auto"/>
            <w:noWrap/>
            <w:vAlign w:val="center"/>
            <w:hideMark/>
          </w:tcPr>
          <w:p w14:paraId="7D4A977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center"/>
            <w:hideMark/>
          </w:tcPr>
          <w:p w14:paraId="7D4A9778"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center"/>
            <w:hideMark/>
          </w:tcPr>
          <w:p w14:paraId="7D4A9779" w14:textId="01A50FB1" w:rsidR="000875F4" w:rsidRPr="009E1B38" w:rsidRDefault="008E5063"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320- Budget Deposit Account</w:t>
            </w:r>
          </w:p>
        </w:tc>
        <w:tc>
          <w:tcPr>
            <w:tcW w:w="359" w:type="pct"/>
            <w:tcBorders>
              <w:top w:val="nil"/>
              <w:left w:val="single" w:sz="8" w:space="0" w:color="auto"/>
              <w:bottom w:val="nil"/>
              <w:right w:val="single" w:sz="8" w:space="0" w:color="auto"/>
            </w:tcBorders>
            <w:shd w:val="clear" w:color="auto" w:fill="auto"/>
            <w:noWrap/>
            <w:vAlign w:val="center"/>
          </w:tcPr>
          <w:p w14:paraId="7D4A977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1.038.155,68</w:t>
            </w:r>
          </w:p>
        </w:tc>
        <w:tc>
          <w:tcPr>
            <w:tcW w:w="326" w:type="pct"/>
            <w:tcBorders>
              <w:top w:val="nil"/>
              <w:left w:val="nil"/>
              <w:bottom w:val="nil"/>
              <w:right w:val="nil"/>
            </w:tcBorders>
            <w:shd w:val="clear" w:color="auto" w:fill="auto"/>
            <w:noWrap/>
            <w:vAlign w:val="center"/>
          </w:tcPr>
          <w:p w14:paraId="7D4A977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center"/>
          </w:tcPr>
          <w:p w14:paraId="7D4A977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0,00</w:t>
            </w:r>
          </w:p>
        </w:tc>
      </w:tr>
      <w:tr w:rsidR="000875F4" w:rsidRPr="009E1B38" w14:paraId="7D4A9788" w14:textId="77777777" w:rsidTr="29720196">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14:paraId="7D4A977E"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685" w:type="pct"/>
            <w:gridSpan w:val="2"/>
            <w:tcBorders>
              <w:top w:val="nil"/>
              <w:left w:val="nil"/>
              <w:bottom w:val="nil"/>
              <w:right w:val="single" w:sz="8" w:space="0" w:color="000000" w:themeColor="text1"/>
            </w:tcBorders>
            <w:shd w:val="clear" w:color="auto" w:fill="auto"/>
            <w:noWrap/>
            <w:vAlign w:val="bottom"/>
            <w:hideMark/>
          </w:tcPr>
          <w:p w14:paraId="7D4A977F" w14:textId="00FCF426"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bCs/>
                <w:lang w:eastAsia="tr-TR"/>
              </w:rPr>
              <w:t>12-</w:t>
            </w:r>
            <w:r w:rsidR="008769C8" w:rsidRPr="009E1B38">
              <w:rPr>
                <w:rFonts w:ascii="Times New Roman" w:eastAsia="Times New Roman" w:hAnsi="Times New Roman"/>
                <w:b/>
                <w:bCs/>
                <w:lang w:eastAsia="tr-TR"/>
              </w:rPr>
              <w:t>RECEIVABLES</w:t>
            </w:r>
          </w:p>
        </w:tc>
        <w:tc>
          <w:tcPr>
            <w:tcW w:w="330" w:type="pct"/>
            <w:tcBorders>
              <w:top w:val="nil"/>
              <w:left w:val="nil"/>
              <w:bottom w:val="nil"/>
              <w:right w:val="single" w:sz="8" w:space="0" w:color="auto"/>
            </w:tcBorders>
            <w:shd w:val="clear" w:color="auto" w:fill="auto"/>
            <w:noWrap/>
            <w:vAlign w:val="bottom"/>
          </w:tcPr>
          <w:p w14:paraId="7D4A9780"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21.047.729,69</w:t>
            </w:r>
          </w:p>
        </w:tc>
        <w:tc>
          <w:tcPr>
            <w:tcW w:w="330" w:type="pct"/>
            <w:tcBorders>
              <w:top w:val="nil"/>
              <w:left w:val="nil"/>
              <w:bottom w:val="nil"/>
              <w:right w:val="single" w:sz="8" w:space="0" w:color="auto"/>
            </w:tcBorders>
            <w:shd w:val="clear" w:color="auto" w:fill="auto"/>
            <w:noWrap/>
            <w:vAlign w:val="bottom"/>
          </w:tcPr>
          <w:p w14:paraId="7D4A9781"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16.640.383,32</w:t>
            </w:r>
          </w:p>
        </w:tc>
        <w:tc>
          <w:tcPr>
            <w:tcW w:w="339" w:type="pct"/>
            <w:tcBorders>
              <w:top w:val="nil"/>
              <w:left w:val="nil"/>
              <w:bottom w:val="nil"/>
              <w:right w:val="single" w:sz="8" w:space="0" w:color="auto"/>
            </w:tcBorders>
            <w:shd w:val="clear" w:color="auto" w:fill="auto"/>
            <w:noWrap/>
            <w:vAlign w:val="bottom"/>
          </w:tcPr>
          <w:p w14:paraId="7D4A9782"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39.709.798,96</w:t>
            </w:r>
          </w:p>
        </w:tc>
        <w:tc>
          <w:tcPr>
            <w:tcW w:w="38" w:type="pct"/>
            <w:tcBorders>
              <w:top w:val="nil"/>
              <w:left w:val="nil"/>
              <w:bottom w:val="nil"/>
              <w:right w:val="nil"/>
            </w:tcBorders>
            <w:shd w:val="clear" w:color="auto" w:fill="auto"/>
            <w:noWrap/>
            <w:vAlign w:val="center"/>
            <w:hideMark/>
          </w:tcPr>
          <w:p w14:paraId="7D4A978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48" w:type="pct"/>
            <w:gridSpan w:val="2"/>
            <w:tcBorders>
              <w:top w:val="nil"/>
              <w:left w:val="nil"/>
              <w:bottom w:val="nil"/>
              <w:right w:val="nil"/>
            </w:tcBorders>
            <w:shd w:val="clear" w:color="auto" w:fill="auto"/>
            <w:noWrap/>
            <w:vAlign w:val="center"/>
            <w:hideMark/>
          </w:tcPr>
          <w:p w14:paraId="7D4A9784" w14:textId="66470353" w:rsidR="000875F4" w:rsidRPr="009E1B38" w:rsidRDefault="00B91CAB"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33- DEPOSIT FOREIGN ASSETS</w:t>
            </w:r>
          </w:p>
        </w:tc>
        <w:tc>
          <w:tcPr>
            <w:tcW w:w="359" w:type="pct"/>
            <w:tcBorders>
              <w:top w:val="nil"/>
              <w:left w:val="single" w:sz="8" w:space="0" w:color="auto"/>
              <w:bottom w:val="nil"/>
              <w:right w:val="single" w:sz="8" w:space="0" w:color="auto"/>
            </w:tcBorders>
            <w:shd w:val="clear" w:color="auto" w:fill="auto"/>
            <w:noWrap/>
            <w:vAlign w:val="center"/>
          </w:tcPr>
          <w:p w14:paraId="7D4A9785"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17.356.384,65</w:t>
            </w:r>
          </w:p>
        </w:tc>
        <w:tc>
          <w:tcPr>
            <w:tcW w:w="326" w:type="pct"/>
            <w:tcBorders>
              <w:top w:val="nil"/>
              <w:left w:val="nil"/>
              <w:bottom w:val="nil"/>
              <w:right w:val="nil"/>
            </w:tcBorders>
            <w:shd w:val="clear" w:color="auto" w:fill="auto"/>
            <w:noWrap/>
            <w:vAlign w:val="center"/>
          </w:tcPr>
          <w:p w14:paraId="7D4A9786"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27.770.226,89</w:t>
            </w:r>
          </w:p>
        </w:tc>
        <w:tc>
          <w:tcPr>
            <w:tcW w:w="354" w:type="pct"/>
            <w:tcBorders>
              <w:top w:val="nil"/>
              <w:left w:val="single" w:sz="8" w:space="0" w:color="auto"/>
              <w:bottom w:val="nil"/>
              <w:right w:val="single" w:sz="8" w:space="0" w:color="auto"/>
            </w:tcBorders>
            <w:shd w:val="clear" w:color="auto" w:fill="auto"/>
            <w:noWrap/>
            <w:vAlign w:val="center"/>
          </w:tcPr>
          <w:p w14:paraId="7D4A9787"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11.193.410,66</w:t>
            </w:r>
          </w:p>
        </w:tc>
      </w:tr>
      <w:tr w:rsidR="000875F4" w:rsidRPr="009E1B38" w14:paraId="7D4A9795"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14:paraId="7D4A9789"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88" w:type="pct"/>
            <w:tcBorders>
              <w:top w:val="nil"/>
              <w:left w:val="nil"/>
              <w:bottom w:val="nil"/>
              <w:right w:val="nil"/>
            </w:tcBorders>
            <w:shd w:val="clear" w:color="auto" w:fill="auto"/>
            <w:noWrap/>
            <w:vAlign w:val="bottom"/>
            <w:hideMark/>
          </w:tcPr>
          <w:p w14:paraId="7D4A978A"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14:paraId="7D4A978B" w14:textId="3143D96A" w:rsidR="000875F4" w:rsidRPr="009E1B38" w:rsidRDefault="000875F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120-</w:t>
            </w:r>
            <w:r w:rsidR="008769C8" w:rsidRPr="009E1B38">
              <w:rPr>
                <w:rFonts w:ascii="Times New Roman" w:eastAsia="Times New Roman" w:hAnsi="Times New Roman"/>
                <w:lang w:eastAsia="tr-TR"/>
              </w:rPr>
              <w:t xml:space="preserve"> Receivables from income account</w:t>
            </w:r>
          </w:p>
        </w:tc>
        <w:tc>
          <w:tcPr>
            <w:tcW w:w="330" w:type="pct"/>
            <w:tcBorders>
              <w:top w:val="nil"/>
              <w:left w:val="nil"/>
              <w:bottom w:val="nil"/>
              <w:right w:val="single" w:sz="8" w:space="0" w:color="auto"/>
            </w:tcBorders>
            <w:shd w:val="clear" w:color="auto" w:fill="auto"/>
            <w:noWrap/>
            <w:vAlign w:val="bottom"/>
          </w:tcPr>
          <w:p w14:paraId="7D4A978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13.664.522,63</w:t>
            </w:r>
          </w:p>
        </w:tc>
        <w:tc>
          <w:tcPr>
            <w:tcW w:w="330" w:type="pct"/>
            <w:tcBorders>
              <w:top w:val="nil"/>
              <w:left w:val="nil"/>
              <w:right w:val="single" w:sz="8" w:space="0" w:color="auto"/>
            </w:tcBorders>
            <w:shd w:val="clear" w:color="auto" w:fill="auto"/>
            <w:noWrap/>
            <w:vAlign w:val="bottom"/>
          </w:tcPr>
          <w:p w14:paraId="7D4A978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39" w:type="pct"/>
            <w:tcBorders>
              <w:top w:val="nil"/>
              <w:left w:val="nil"/>
              <w:bottom w:val="nil"/>
              <w:right w:val="single" w:sz="8" w:space="0" w:color="auto"/>
            </w:tcBorders>
            <w:shd w:val="clear" w:color="auto" w:fill="auto"/>
            <w:noWrap/>
            <w:vAlign w:val="bottom"/>
          </w:tcPr>
          <w:p w14:paraId="7D4A978E"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8" w:type="pct"/>
            <w:tcBorders>
              <w:top w:val="nil"/>
              <w:left w:val="nil"/>
              <w:bottom w:val="nil"/>
              <w:right w:val="nil"/>
            </w:tcBorders>
            <w:shd w:val="clear" w:color="auto" w:fill="auto"/>
            <w:noWrap/>
            <w:vAlign w:val="center"/>
            <w:hideMark/>
          </w:tcPr>
          <w:p w14:paraId="7D4A978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center"/>
            <w:hideMark/>
          </w:tcPr>
          <w:p w14:paraId="7D4A9790"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center"/>
            <w:hideMark/>
          </w:tcPr>
          <w:p w14:paraId="7D4A9791" w14:textId="26D9DA43" w:rsidR="000875F4" w:rsidRPr="009E1B38" w:rsidRDefault="00F565F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330-Deposits and Guarantees Taken</w:t>
            </w:r>
          </w:p>
        </w:tc>
        <w:tc>
          <w:tcPr>
            <w:tcW w:w="359" w:type="pct"/>
            <w:tcBorders>
              <w:top w:val="nil"/>
              <w:left w:val="single" w:sz="8" w:space="0" w:color="auto"/>
              <w:bottom w:val="nil"/>
              <w:right w:val="single" w:sz="8" w:space="0" w:color="auto"/>
            </w:tcBorders>
            <w:shd w:val="clear" w:color="auto" w:fill="auto"/>
            <w:noWrap/>
            <w:vAlign w:val="center"/>
          </w:tcPr>
          <w:p w14:paraId="7D4A979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2.700.775,40</w:t>
            </w:r>
          </w:p>
        </w:tc>
        <w:tc>
          <w:tcPr>
            <w:tcW w:w="326" w:type="pct"/>
            <w:tcBorders>
              <w:top w:val="nil"/>
              <w:left w:val="nil"/>
              <w:bottom w:val="nil"/>
              <w:right w:val="nil"/>
            </w:tcBorders>
            <w:shd w:val="clear" w:color="auto" w:fill="auto"/>
            <w:noWrap/>
            <w:vAlign w:val="center"/>
          </w:tcPr>
          <w:p w14:paraId="7D4A979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11.663.650,13</w:t>
            </w:r>
          </w:p>
        </w:tc>
        <w:tc>
          <w:tcPr>
            <w:tcW w:w="354" w:type="pct"/>
            <w:tcBorders>
              <w:top w:val="nil"/>
              <w:left w:val="single" w:sz="8" w:space="0" w:color="auto"/>
              <w:bottom w:val="nil"/>
              <w:right w:val="single" w:sz="8" w:space="0" w:color="auto"/>
            </w:tcBorders>
            <w:shd w:val="clear" w:color="auto" w:fill="auto"/>
            <w:noWrap/>
            <w:vAlign w:val="center"/>
          </w:tcPr>
          <w:p w14:paraId="7D4A979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10.878.829,00</w:t>
            </w:r>
          </w:p>
        </w:tc>
      </w:tr>
      <w:tr w:rsidR="000875F4" w:rsidRPr="009E1B38" w14:paraId="7D4A97A2"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14:paraId="7D4A9796"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88" w:type="pct"/>
            <w:tcBorders>
              <w:top w:val="nil"/>
              <w:left w:val="nil"/>
              <w:bottom w:val="nil"/>
              <w:right w:val="nil"/>
            </w:tcBorders>
            <w:shd w:val="clear" w:color="auto" w:fill="auto"/>
            <w:noWrap/>
            <w:vAlign w:val="bottom"/>
            <w:hideMark/>
          </w:tcPr>
          <w:p w14:paraId="7D4A9797"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14:paraId="7D4A9798"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30" w:type="pct"/>
            <w:tcBorders>
              <w:top w:val="nil"/>
              <w:left w:val="nil"/>
              <w:bottom w:val="nil"/>
              <w:right w:val="single" w:sz="8" w:space="0" w:color="auto"/>
            </w:tcBorders>
            <w:shd w:val="clear" w:color="auto" w:fill="auto"/>
            <w:noWrap/>
            <w:vAlign w:val="bottom"/>
          </w:tcPr>
          <w:p w14:paraId="7D4A979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30" w:type="pct"/>
            <w:tcBorders>
              <w:top w:val="nil"/>
              <w:left w:val="nil"/>
              <w:bottom w:val="nil"/>
              <w:right w:val="single" w:sz="4" w:space="0" w:color="auto"/>
            </w:tcBorders>
            <w:shd w:val="clear" w:color="auto" w:fill="auto"/>
            <w:noWrap/>
            <w:vAlign w:val="bottom"/>
          </w:tcPr>
          <w:p w14:paraId="7D4A979A"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tc>
        <w:tc>
          <w:tcPr>
            <w:tcW w:w="339" w:type="pct"/>
            <w:tcBorders>
              <w:top w:val="nil"/>
              <w:left w:val="single" w:sz="4" w:space="0" w:color="auto"/>
              <w:bottom w:val="nil"/>
              <w:right w:val="single" w:sz="8" w:space="0" w:color="auto"/>
            </w:tcBorders>
            <w:shd w:val="clear" w:color="auto" w:fill="auto"/>
            <w:noWrap/>
            <w:vAlign w:val="bottom"/>
          </w:tcPr>
          <w:p w14:paraId="7D4A979B"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tc>
        <w:tc>
          <w:tcPr>
            <w:tcW w:w="38" w:type="pct"/>
            <w:tcBorders>
              <w:top w:val="nil"/>
              <w:left w:val="nil"/>
              <w:bottom w:val="nil"/>
              <w:right w:val="nil"/>
            </w:tcBorders>
            <w:shd w:val="clear" w:color="auto" w:fill="auto"/>
            <w:noWrap/>
            <w:vAlign w:val="center"/>
            <w:hideMark/>
          </w:tcPr>
          <w:p w14:paraId="7D4A979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center"/>
            <w:hideMark/>
          </w:tcPr>
          <w:p w14:paraId="7D4A979D"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center"/>
            <w:hideMark/>
          </w:tcPr>
          <w:p w14:paraId="7D4A979E" w14:textId="513B626C" w:rsidR="000875F4" w:rsidRPr="009E1B38" w:rsidRDefault="00F565F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333-Deposits Account</w:t>
            </w:r>
          </w:p>
        </w:tc>
        <w:tc>
          <w:tcPr>
            <w:tcW w:w="359" w:type="pct"/>
            <w:tcBorders>
              <w:top w:val="nil"/>
              <w:left w:val="single" w:sz="8" w:space="0" w:color="auto"/>
              <w:bottom w:val="nil"/>
              <w:right w:val="single" w:sz="8" w:space="0" w:color="auto"/>
            </w:tcBorders>
            <w:shd w:val="clear" w:color="auto" w:fill="auto"/>
            <w:noWrap/>
            <w:vAlign w:val="center"/>
          </w:tcPr>
          <w:p w14:paraId="7D4A979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14.655.609,25</w:t>
            </w:r>
          </w:p>
        </w:tc>
        <w:tc>
          <w:tcPr>
            <w:tcW w:w="326" w:type="pct"/>
            <w:tcBorders>
              <w:top w:val="nil"/>
              <w:left w:val="nil"/>
              <w:bottom w:val="nil"/>
              <w:right w:val="nil"/>
            </w:tcBorders>
            <w:shd w:val="clear" w:color="auto" w:fill="auto"/>
            <w:noWrap/>
            <w:vAlign w:val="center"/>
          </w:tcPr>
          <w:p w14:paraId="7D4A97A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16.106.576,76</w:t>
            </w:r>
          </w:p>
        </w:tc>
        <w:tc>
          <w:tcPr>
            <w:tcW w:w="354" w:type="pct"/>
            <w:tcBorders>
              <w:top w:val="nil"/>
              <w:left w:val="single" w:sz="8" w:space="0" w:color="auto"/>
              <w:bottom w:val="nil"/>
              <w:right w:val="single" w:sz="8" w:space="0" w:color="auto"/>
            </w:tcBorders>
            <w:shd w:val="clear" w:color="auto" w:fill="auto"/>
            <w:noWrap/>
            <w:vAlign w:val="center"/>
          </w:tcPr>
          <w:p w14:paraId="7D4A97A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314.581,66</w:t>
            </w:r>
          </w:p>
        </w:tc>
      </w:tr>
      <w:tr w:rsidR="000875F4" w:rsidRPr="009E1B38" w14:paraId="7D4A97AE"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14:paraId="7D4A97A3"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88" w:type="pct"/>
            <w:tcBorders>
              <w:top w:val="nil"/>
              <w:left w:val="nil"/>
              <w:bottom w:val="nil"/>
              <w:right w:val="nil"/>
            </w:tcBorders>
            <w:shd w:val="clear" w:color="auto" w:fill="auto"/>
            <w:noWrap/>
            <w:vAlign w:val="bottom"/>
            <w:hideMark/>
          </w:tcPr>
          <w:p w14:paraId="7D4A97A4"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14:paraId="7D4A97A5" w14:textId="788D90F7" w:rsidR="000875F4" w:rsidRPr="009E1B38" w:rsidRDefault="000875F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121-</w:t>
            </w:r>
            <w:r w:rsidR="008769C8" w:rsidRPr="009E1B38">
              <w:rPr>
                <w:rFonts w:ascii="Times New Roman" w:eastAsia="Times New Roman" w:hAnsi="Times New Roman"/>
                <w:lang w:eastAsia="tr-TR"/>
              </w:rPr>
              <w:t>Non-P</w:t>
            </w:r>
            <w:r w:rsidR="00403F82" w:rsidRPr="009E1B38">
              <w:rPr>
                <w:rFonts w:ascii="Times New Roman" w:eastAsia="Times New Roman" w:hAnsi="Times New Roman"/>
                <w:lang w:eastAsia="tr-TR"/>
              </w:rPr>
              <w:t>erforming Receivables</w:t>
            </w:r>
          </w:p>
        </w:tc>
        <w:tc>
          <w:tcPr>
            <w:tcW w:w="330" w:type="pct"/>
            <w:tcBorders>
              <w:top w:val="nil"/>
              <w:left w:val="nil"/>
              <w:bottom w:val="nil"/>
              <w:right w:val="single" w:sz="8" w:space="0" w:color="auto"/>
            </w:tcBorders>
            <w:shd w:val="clear" w:color="auto" w:fill="auto"/>
            <w:noWrap/>
            <w:vAlign w:val="bottom"/>
          </w:tcPr>
          <w:p w14:paraId="7D4A97A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7.383.207,06</w:t>
            </w:r>
          </w:p>
        </w:tc>
        <w:tc>
          <w:tcPr>
            <w:tcW w:w="330" w:type="pct"/>
            <w:tcBorders>
              <w:top w:val="nil"/>
              <w:left w:val="nil"/>
              <w:bottom w:val="nil"/>
              <w:right w:val="single" w:sz="4" w:space="0" w:color="auto"/>
            </w:tcBorders>
            <w:shd w:val="clear" w:color="auto" w:fill="auto"/>
            <w:noWrap/>
            <w:vAlign w:val="bottom"/>
          </w:tcPr>
          <w:p w14:paraId="7D4A97A7"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16.640.383,32</w:t>
            </w:r>
          </w:p>
        </w:tc>
        <w:tc>
          <w:tcPr>
            <w:tcW w:w="339" w:type="pct"/>
            <w:tcBorders>
              <w:top w:val="nil"/>
              <w:left w:val="single" w:sz="4" w:space="0" w:color="auto"/>
              <w:bottom w:val="nil"/>
              <w:right w:val="nil"/>
            </w:tcBorders>
            <w:shd w:val="clear" w:color="auto" w:fill="auto"/>
            <w:noWrap/>
            <w:vAlign w:val="bottom"/>
          </w:tcPr>
          <w:p w14:paraId="7D4A97A8"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39.709.798,96</w:t>
            </w:r>
          </w:p>
        </w:tc>
        <w:tc>
          <w:tcPr>
            <w:tcW w:w="38" w:type="pct"/>
            <w:tcBorders>
              <w:top w:val="nil"/>
              <w:left w:val="single" w:sz="8" w:space="0" w:color="auto"/>
              <w:bottom w:val="nil"/>
              <w:right w:val="nil"/>
            </w:tcBorders>
            <w:shd w:val="clear" w:color="auto" w:fill="auto"/>
            <w:noWrap/>
            <w:vAlign w:val="center"/>
            <w:hideMark/>
          </w:tcPr>
          <w:p w14:paraId="7D4A97A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48" w:type="pct"/>
            <w:gridSpan w:val="2"/>
            <w:tcBorders>
              <w:top w:val="nil"/>
              <w:left w:val="nil"/>
              <w:bottom w:val="nil"/>
              <w:right w:val="nil"/>
            </w:tcBorders>
            <w:shd w:val="clear" w:color="auto" w:fill="auto"/>
            <w:noWrap/>
            <w:vAlign w:val="center"/>
            <w:hideMark/>
          </w:tcPr>
          <w:p w14:paraId="7D4A97AA" w14:textId="2BC42EB1"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36-</w:t>
            </w:r>
            <w:r w:rsidR="00B95CE5" w:rsidRPr="009E1B38">
              <w:rPr>
                <w:rFonts w:ascii="Times New Roman" w:eastAsia="Times New Roman" w:hAnsi="Times New Roman"/>
                <w:b/>
                <w:lang w:eastAsia="tr-TR"/>
              </w:rPr>
              <w:t xml:space="preserve"> OTHER LIABILITIES PAYABLE</w:t>
            </w:r>
          </w:p>
        </w:tc>
        <w:tc>
          <w:tcPr>
            <w:tcW w:w="359" w:type="pct"/>
            <w:tcBorders>
              <w:top w:val="nil"/>
              <w:left w:val="single" w:sz="8" w:space="0" w:color="auto"/>
              <w:bottom w:val="nil"/>
              <w:right w:val="single" w:sz="8" w:space="0" w:color="auto"/>
            </w:tcBorders>
            <w:shd w:val="clear" w:color="auto" w:fill="auto"/>
            <w:noWrap/>
            <w:vAlign w:val="center"/>
          </w:tcPr>
          <w:p w14:paraId="7D4A97AB"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49.980.007,67</w:t>
            </w:r>
          </w:p>
        </w:tc>
        <w:tc>
          <w:tcPr>
            <w:tcW w:w="326" w:type="pct"/>
            <w:tcBorders>
              <w:top w:val="nil"/>
              <w:left w:val="nil"/>
              <w:bottom w:val="nil"/>
              <w:right w:val="nil"/>
            </w:tcBorders>
            <w:shd w:val="clear" w:color="auto" w:fill="auto"/>
            <w:noWrap/>
            <w:vAlign w:val="center"/>
          </w:tcPr>
          <w:p w14:paraId="7D4A97AC"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2.362.551,72</w:t>
            </w:r>
          </w:p>
        </w:tc>
        <w:tc>
          <w:tcPr>
            <w:tcW w:w="354" w:type="pct"/>
            <w:tcBorders>
              <w:top w:val="nil"/>
              <w:left w:val="single" w:sz="8" w:space="0" w:color="auto"/>
              <w:bottom w:val="nil"/>
              <w:right w:val="single" w:sz="8" w:space="0" w:color="auto"/>
            </w:tcBorders>
            <w:shd w:val="clear" w:color="auto" w:fill="auto"/>
            <w:noWrap/>
            <w:vAlign w:val="center"/>
          </w:tcPr>
          <w:p w14:paraId="7D4A97A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132.813.872,02</w:t>
            </w:r>
          </w:p>
        </w:tc>
      </w:tr>
      <w:tr w:rsidR="000875F4" w:rsidRPr="009E1B38" w14:paraId="7D4A97BA" w14:textId="77777777" w:rsidTr="29720196">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14:paraId="7D4A97AF"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685" w:type="pct"/>
            <w:gridSpan w:val="2"/>
            <w:tcBorders>
              <w:top w:val="nil"/>
              <w:left w:val="nil"/>
              <w:bottom w:val="nil"/>
              <w:right w:val="single" w:sz="8" w:space="0" w:color="000000" w:themeColor="text1"/>
            </w:tcBorders>
            <w:shd w:val="clear" w:color="auto" w:fill="auto"/>
            <w:noWrap/>
            <w:vAlign w:val="bottom"/>
            <w:hideMark/>
          </w:tcPr>
          <w:p w14:paraId="7D4A97B0" w14:textId="06547DF5"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bCs/>
                <w:lang w:eastAsia="tr-TR"/>
              </w:rPr>
              <w:t>13-</w:t>
            </w:r>
            <w:r w:rsidR="00403F82" w:rsidRPr="009E1B38">
              <w:rPr>
                <w:rFonts w:ascii="Times New Roman" w:eastAsia="Times New Roman" w:hAnsi="Times New Roman"/>
                <w:b/>
                <w:bCs/>
                <w:lang w:eastAsia="tr-TR"/>
              </w:rPr>
              <w:t xml:space="preserve"> RECEIVABLES</w:t>
            </w:r>
          </w:p>
        </w:tc>
        <w:tc>
          <w:tcPr>
            <w:tcW w:w="330" w:type="pct"/>
            <w:tcBorders>
              <w:top w:val="nil"/>
              <w:left w:val="nil"/>
              <w:bottom w:val="nil"/>
              <w:right w:val="single" w:sz="8" w:space="0" w:color="auto"/>
            </w:tcBorders>
            <w:shd w:val="clear" w:color="auto" w:fill="auto"/>
            <w:noWrap/>
            <w:vAlign w:val="bottom"/>
          </w:tcPr>
          <w:p w14:paraId="7D4A97B1"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110.123.247,25</w:t>
            </w:r>
          </w:p>
        </w:tc>
        <w:tc>
          <w:tcPr>
            <w:tcW w:w="330" w:type="pct"/>
            <w:tcBorders>
              <w:top w:val="nil"/>
              <w:left w:val="nil"/>
              <w:bottom w:val="nil"/>
              <w:right w:val="single" w:sz="4" w:space="0" w:color="auto"/>
            </w:tcBorders>
            <w:shd w:val="clear" w:color="auto" w:fill="auto"/>
            <w:noWrap/>
            <w:vAlign w:val="bottom"/>
          </w:tcPr>
          <w:p w14:paraId="7D4A97B2"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209.161.566,57</w:t>
            </w:r>
          </w:p>
        </w:tc>
        <w:tc>
          <w:tcPr>
            <w:tcW w:w="339" w:type="pct"/>
            <w:tcBorders>
              <w:top w:val="nil"/>
              <w:left w:val="single" w:sz="4" w:space="0" w:color="auto"/>
              <w:bottom w:val="nil"/>
              <w:right w:val="single" w:sz="8" w:space="0" w:color="auto"/>
            </w:tcBorders>
            <w:shd w:val="clear" w:color="auto" w:fill="auto"/>
            <w:noWrap/>
            <w:vAlign w:val="bottom"/>
          </w:tcPr>
          <w:p w14:paraId="7D4A97B3"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197.410.874,11</w:t>
            </w:r>
          </w:p>
        </w:tc>
        <w:tc>
          <w:tcPr>
            <w:tcW w:w="38" w:type="pct"/>
            <w:tcBorders>
              <w:top w:val="nil"/>
              <w:left w:val="nil"/>
              <w:bottom w:val="nil"/>
              <w:right w:val="nil"/>
            </w:tcBorders>
            <w:shd w:val="clear" w:color="auto" w:fill="auto"/>
            <w:noWrap/>
            <w:vAlign w:val="center"/>
            <w:hideMark/>
          </w:tcPr>
          <w:p w14:paraId="7D4A97B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center"/>
            <w:hideMark/>
          </w:tcPr>
          <w:p w14:paraId="7D4A97B5"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center"/>
            <w:hideMark/>
          </w:tcPr>
          <w:p w14:paraId="7D4A97B6" w14:textId="0C055EAA" w:rsidR="000875F4" w:rsidRPr="009E1B38" w:rsidRDefault="007C1D9A" w:rsidP="000875F4">
            <w:pPr>
              <w:spacing w:after="0"/>
              <w:jc w:val="left"/>
              <w:rPr>
                <w:rFonts w:ascii="Times New Roman" w:eastAsia="Times New Roman" w:hAnsi="Times New Roman"/>
                <w:lang w:eastAsia="tr-TR"/>
              </w:rPr>
            </w:pPr>
            <w:r w:rsidRPr="009E1B38">
              <w:rPr>
                <w:rFonts w:ascii="Times New Roman" w:eastAsia="Times New Roman" w:hAnsi="Times New Roman"/>
                <w:lang w:eastAsia="tr-TR"/>
              </w:rPr>
              <w:t>360-Taxes and Funds Payable</w:t>
            </w:r>
          </w:p>
        </w:tc>
        <w:tc>
          <w:tcPr>
            <w:tcW w:w="359" w:type="pct"/>
            <w:tcBorders>
              <w:top w:val="nil"/>
              <w:left w:val="single" w:sz="8" w:space="0" w:color="auto"/>
              <w:bottom w:val="nil"/>
              <w:right w:val="single" w:sz="8" w:space="0" w:color="auto"/>
            </w:tcBorders>
            <w:shd w:val="clear" w:color="auto" w:fill="auto"/>
            <w:noWrap/>
            <w:vAlign w:val="center"/>
          </w:tcPr>
          <w:p w14:paraId="7D4A97B7" w14:textId="77777777" w:rsidR="000875F4" w:rsidRPr="009E1B38" w:rsidRDefault="000875F4" w:rsidP="000875F4">
            <w:pPr>
              <w:spacing w:after="0"/>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1.952.023,89</w:t>
            </w:r>
          </w:p>
        </w:tc>
        <w:tc>
          <w:tcPr>
            <w:tcW w:w="326" w:type="pct"/>
            <w:tcBorders>
              <w:top w:val="nil"/>
              <w:left w:val="nil"/>
              <w:bottom w:val="nil"/>
              <w:right w:val="nil"/>
            </w:tcBorders>
            <w:shd w:val="clear" w:color="auto" w:fill="auto"/>
            <w:noWrap/>
            <w:vAlign w:val="center"/>
          </w:tcPr>
          <w:p w14:paraId="7D4A97B8" w14:textId="77777777" w:rsidR="000875F4" w:rsidRPr="009E1B38" w:rsidRDefault="000875F4" w:rsidP="000875F4">
            <w:pPr>
              <w:spacing w:after="0"/>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2.362.551,72</w:t>
            </w:r>
          </w:p>
        </w:tc>
        <w:tc>
          <w:tcPr>
            <w:tcW w:w="354" w:type="pct"/>
            <w:tcBorders>
              <w:top w:val="nil"/>
              <w:left w:val="single" w:sz="8" w:space="0" w:color="auto"/>
              <w:bottom w:val="nil"/>
              <w:right w:val="single" w:sz="8" w:space="0" w:color="auto"/>
            </w:tcBorders>
            <w:shd w:val="clear" w:color="auto" w:fill="auto"/>
            <w:noWrap/>
            <w:vAlign w:val="center"/>
          </w:tcPr>
          <w:p w14:paraId="7D4A97B9" w14:textId="77777777" w:rsidR="000875F4" w:rsidRPr="009E1B38" w:rsidRDefault="000875F4" w:rsidP="000875F4">
            <w:pPr>
              <w:spacing w:after="0"/>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2.237.295,77</w:t>
            </w:r>
          </w:p>
        </w:tc>
      </w:tr>
      <w:tr w:rsidR="000875F4" w:rsidRPr="009E1B38" w14:paraId="7D4A97C7"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14:paraId="7D4A97BB"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88" w:type="pct"/>
            <w:tcBorders>
              <w:top w:val="nil"/>
              <w:left w:val="nil"/>
              <w:bottom w:val="nil"/>
              <w:right w:val="nil"/>
            </w:tcBorders>
            <w:shd w:val="clear" w:color="auto" w:fill="auto"/>
            <w:noWrap/>
            <w:vAlign w:val="bottom"/>
            <w:hideMark/>
          </w:tcPr>
          <w:p w14:paraId="7D4A97BC"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14:paraId="7D4A97BD" w14:textId="5D9E5697" w:rsidR="000875F4" w:rsidRPr="009E1B38" w:rsidRDefault="000875F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135-</w:t>
            </w:r>
            <w:r w:rsidR="009B6F19" w:rsidRPr="009E1B38">
              <w:rPr>
                <w:rFonts w:ascii="Times New Roman" w:eastAsia="Times New Roman" w:hAnsi="Times New Roman"/>
                <w:lang w:eastAsia="tr-TR"/>
              </w:rPr>
              <w:t xml:space="preserve"> Single Treasure Corporation Account Receivables</w:t>
            </w:r>
          </w:p>
        </w:tc>
        <w:tc>
          <w:tcPr>
            <w:tcW w:w="330" w:type="pct"/>
            <w:tcBorders>
              <w:top w:val="nil"/>
              <w:left w:val="nil"/>
              <w:bottom w:val="nil"/>
              <w:right w:val="single" w:sz="8" w:space="0" w:color="auto"/>
            </w:tcBorders>
            <w:shd w:val="clear" w:color="auto" w:fill="auto"/>
            <w:noWrap/>
            <w:vAlign w:val="bottom"/>
          </w:tcPr>
          <w:p w14:paraId="7D4A97B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110.123.247,25</w:t>
            </w:r>
          </w:p>
        </w:tc>
        <w:tc>
          <w:tcPr>
            <w:tcW w:w="330" w:type="pct"/>
            <w:tcBorders>
              <w:top w:val="nil"/>
              <w:left w:val="nil"/>
              <w:bottom w:val="nil"/>
              <w:right w:val="single" w:sz="4" w:space="0" w:color="auto"/>
            </w:tcBorders>
            <w:shd w:val="clear" w:color="auto" w:fill="auto"/>
            <w:noWrap/>
            <w:vAlign w:val="bottom"/>
          </w:tcPr>
          <w:p w14:paraId="7D4A97BF"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209.161.566,57</w:t>
            </w:r>
          </w:p>
        </w:tc>
        <w:tc>
          <w:tcPr>
            <w:tcW w:w="339" w:type="pct"/>
            <w:tcBorders>
              <w:top w:val="nil"/>
              <w:left w:val="single" w:sz="4" w:space="0" w:color="auto"/>
              <w:bottom w:val="nil"/>
              <w:right w:val="nil"/>
            </w:tcBorders>
            <w:shd w:val="clear" w:color="auto" w:fill="auto"/>
            <w:noWrap/>
            <w:vAlign w:val="bottom"/>
          </w:tcPr>
          <w:p w14:paraId="7D4A97C0"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197.410.874,11</w:t>
            </w:r>
          </w:p>
        </w:tc>
        <w:tc>
          <w:tcPr>
            <w:tcW w:w="38" w:type="pct"/>
            <w:tcBorders>
              <w:top w:val="nil"/>
              <w:left w:val="single" w:sz="8" w:space="0" w:color="auto"/>
              <w:bottom w:val="nil"/>
              <w:right w:val="nil"/>
            </w:tcBorders>
            <w:shd w:val="clear" w:color="auto" w:fill="auto"/>
            <w:noWrap/>
            <w:vAlign w:val="center"/>
            <w:hideMark/>
          </w:tcPr>
          <w:p w14:paraId="7D4A97C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center"/>
            <w:hideMark/>
          </w:tcPr>
          <w:p w14:paraId="7D4A97C2"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center"/>
            <w:hideMark/>
          </w:tcPr>
          <w:p w14:paraId="7D4A97C3" w14:textId="16204BAB" w:rsidR="000875F4" w:rsidRPr="009E1B38" w:rsidRDefault="005F25CF" w:rsidP="000875F4">
            <w:pPr>
              <w:spacing w:after="0"/>
              <w:jc w:val="left"/>
              <w:rPr>
                <w:rFonts w:ascii="Times New Roman" w:eastAsia="Times New Roman" w:hAnsi="Times New Roman"/>
                <w:lang w:eastAsia="tr-TR"/>
              </w:rPr>
            </w:pPr>
            <w:r w:rsidRPr="009E1B38">
              <w:rPr>
                <w:rFonts w:ascii="Times New Roman" w:eastAsia="Times New Roman" w:hAnsi="Times New Roman"/>
                <w:lang w:eastAsia="tr-TR"/>
              </w:rPr>
              <w:t>361 Social Security Deductions Payable</w:t>
            </w:r>
          </w:p>
        </w:tc>
        <w:tc>
          <w:tcPr>
            <w:tcW w:w="359" w:type="pct"/>
            <w:tcBorders>
              <w:top w:val="nil"/>
              <w:left w:val="single" w:sz="8" w:space="0" w:color="auto"/>
              <w:bottom w:val="nil"/>
              <w:right w:val="single" w:sz="8" w:space="0" w:color="auto"/>
            </w:tcBorders>
            <w:shd w:val="clear" w:color="auto" w:fill="auto"/>
            <w:noWrap/>
            <w:vAlign w:val="center"/>
          </w:tcPr>
          <w:p w14:paraId="7D4A97C4" w14:textId="77777777" w:rsidR="000875F4" w:rsidRPr="009E1B38" w:rsidRDefault="000875F4" w:rsidP="000875F4">
            <w:pPr>
              <w:spacing w:after="0"/>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26" w:type="pct"/>
            <w:tcBorders>
              <w:top w:val="nil"/>
              <w:left w:val="nil"/>
              <w:bottom w:val="nil"/>
              <w:right w:val="nil"/>
            </w:tcBorders>
            <w:shd w:val="clear" w:color="auto" w:fill="auto"/>
            <w:noWrap/>
            <w:vAlign w:val="center"/>
          </w:tcPr>
          <w:p w14:paraId="7D4A97C5" w14:textId="77777777" w:rsidR="000875F4" w:rsidRPr="009E1B38" w:rsidRDefault="000875F4" w:rsidP="000875F4">
            <w:pPr>
              <w:spacing w:after="0"/>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center"/>
          </w:tcPr>
          <w:p w14:paraId="7D4A97C6" w14:textId="77777777" w:rsidR="000875F4" w:rsidRPr="009E1B38" w:rsidRDefault="000875F4" w:rsidP="000875F4">
            <w:pPr>
              <w:spacing w:after="0"/>
              <w:jc w:val="right"/>
              <w:rPr>
                <w:rFonts w:ascii="Times New Roman" w:eastAsiaTheme="minorHAnsi" w:hAnsi="Times New Roman"/>
                <w:sz w:val="16"/>
                <w:szCs w:val="12"/>
              </w:rPr>
            </w:pPr>
            <w:r w:rsidRPr="009E1B38">
              <w:rPr>
                <w:rFonts w:ascii="Times New Roman" w:eastAsiaTheme="minorHAnsi" w:hAnsi="Times New Roman"/>
                <w:sz w:val="16"/>
                <w:szCs w:val="12"/>
              </w:rPr>
              <w:t>157.382,39</w:t>
            </w:r>
          </w:p>
        </w:tc>
      </w:tr>
      <w:tr w:rsidR="000875F4" w:rsidRPr="009E1B38" w14:paraId="7D4A97D8" w14:textId="77777777" w:rsidTr="29720196">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7C8"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685" w:type="pct"/>
            <w:gridSpan w:val="2"/>
            <w:tcBorders>
              <w:top w:val="nil"/>
              <w:left w:val="nil"/>
              <w:bottom w:val="nil"/>
              <w:right w:val="single" w:sz="8" w:space="0" w:color="000000" w:themeColor="text1"/>
            </w:tcBorders>
            <w:shd w:val="clear" w:color="auto" w:fill="auto"/>
            <w:noWrap/>
            <w:vAlign w:val="center"/>
            <w:hideMark/>
          </w:tcPr>
          <w:p w14:paraId="7D4A97C9" w14:textId="7E482999"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14-</w:t>
            </w:r>
            <w:r w:rsidR="00AD2DB3" w:rsidRPr="009E1B38">
              <w:rPr>
                <w:rFonts w:ascii="Times New Roman" w:eastAsia="Times New Roman" w:hAnsi="Times New Roman"/>
                <w:b/>
                <w:lang w:eastAsia="tr-TR"/>
              </w:rPr>
              <w:t xml:space="preserve"> OTHER RECEIVABLES</w:t>
            </w:r>
          </w:p>
        </w:tc>
        <w:tc>
          <w:tcPr>
            <w:tcW w:w="330" w:type="pct"/>
            <w:tcBorders>
              <w:top w:val="nil"/>
              <w:left w:val="nil"/>
              <w:bottom w:val="nil"/>
              <w:right w:val="single" w:sz="8" w:space="0" w:color="auto"/>
            </w:tcBorders>
            <w:shd w:val="clear" w:color="auto" w:fill="auto"/>
            <w:noWrap/>
            <w:vAlign w:val="center"/>
          </w:tcPr>
          <w:p w14:paraId="7D4A97CA"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561.936,85</w:t>
            </w:r>
          </w:p>
        </w:tc>
        <w:tc>
          <w:tcPr>
            <w:tcW w:w="330" w:type="pct"/>
            <w:tcBorders>
              <w:top w:val="nil"/>
              <w:left w:val="nil"/>
              <w:bottom w:val="nil"/>
              <w:right w:val="single" w:sz="4" w:space="0" w:color="auto"/>
            </w:tcBorders>
            <w:shd w:val="clear" w:color="auto" w:fill="auto"/>
            <w:noWrap/>
            <w:vAlign w:val="center"/>
          </w:tcPr>
          <w:p w14:paraId="7D4A97CB"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571.448,56</w:t>
            </w:r>
          </w:p>
        </w:tc>
        <w:tc>
          <w:tcPr>
            <w:tcW w:w="339" w:type="pct"/>
            <w:tcBorders>
              <w:top w:val="nil"/>
              <w:left w:val="single" w:sz="4" w:space="0" w:color="auto"/>
              <w:bottom w:val="nil"/>
              <w:right w:val="single" w:sz="8" w:space="0" w:color="auto"/>
            </w:tcBorders>
            <w:shd w:val="clear" w:color="auto" w:fill="auto"/>
            <w:noWrap/>
            <w:vAlign w:val="center"/>
          </w:tcPr>
          <w:p w14:paraId="7D4A97CC"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564.942,31</w:t>
            </w:r>
          </w:p>
        </w:tc>
        <w:tc>
          <w:tcPr>
            <w:tcW w:w="38" w:type="pct"/>
            <w:tcBorders>
              <w:top w:val="nil"/>
              <w:left w:val="nil"/>
              <w:bottom w:val="nil"/>
              <w:right w:val="nil"/>
            </w:tcBorders>
            <w:shd w:val="clear" w:color="auto" w:fill="auto"/>
            <w:noWrap/>
            <w:vAlign w:val="center"/>
            <w:hideMark/>
          </w:tcPr>
          <w:p w14:paraId="7D4A97C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center"/>
            <w:hideMark/>
          </w:tcPr>
          <w:p w14:paraId="7D4A97CE"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bottom"/>
            <w:hideMark/>
          </w:tcPr>
          <w:p w14:paraId="7D4A97CF" w14:textId="5AFE0420" w:rsidR="000875F4" w:rsidRPr="009E1B38" w:rsidRDefault="000875F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362-</w:t>
            </w:r>
            <w:r w:rsidR="002E550F" w:rsidRPr="009E1B38">
              <w:rPr>
                <w:rFonts w:ascii="Times New Roman" w:hAnsi="Times New Roman"/>
              </w:rPr>
              <w:t xml:space="preserve"> </w:t>
            </w:r>
            <w:r w:rsidR="002E550F" w:rsidRPr="009E1B38">
              <w:rPr>
                <w:rFonts w:ascii="Times New Roman" w:eastAsia="Times New Roman" w:hAnsi="Times New Roman"/>
                <w:lang w:eastAsia="tr-TR"/>
              </w:rPr>
              <w:t>Collection Account for Funds or Other Public Administrations</w:t>
            </w:r>
          </w:p>
          <w:p w14:paraId="7D4A97D0" w14:textId="190A05FF" w:rsidR="000875F4" w:rsidRPr="009E1B38" w:rsidRDefault="00F363B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 xml:space="preserve">363-Public </w:t>
            </w:r>
            <w:r w:rsidR="00656644" w:rsidRPr="009E1B38">
              <w:rPr>
                <w:rFonts w:ascii="Times New Roman" w:eastAsia="Times New Roman" w:hAnsi="Times New Roman"/>
                <w:lang w:eastAsia="tr-TR"/>
              </w:rPr>
              <w:t>Authorities</w:t>
            </w:r>
            <w:r w:rsidRPr="009E1B38">
              <w:rPr>
                <w:rFonts w:ascii="Times New Roman" w:eastAsia="Times New Roman" w:hAnsi="Times New Roman"/>
                <w:lang w:eastAsia="tr-TR"/>
              </w:rPr>
              <w:t xml:space="preserve"> Shares Account</w:t>
            </w:r>
          </w:p>
        </w:tc>
        <w:tc>
          <w:tcPr>
            <w:tcW w:w="359" w:type="pct"/>
            <w:tcBorders>
              <w:top w:val="nil"/>
              <w:left w:val="single" w:sz="8" w:space="0" w:color="auto"/>
              <w:bottom w:val="nil"/>
              <w:right w:val="single" w:sz="8" w:space="0" w:color="auto"/>
            </w:tcBorders>
            <w:shd w:val="clear" w:color="auto" w:fill="auto"/>
            <w:noWrap/>
            <w:vAlign w:val="bottom"/>
          </w:tcPr>
          <w:p w14:paraId="7D4A97D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p w14:paraId="7D4A97D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48.027.983,78</w:t>
            </w:r>
          </w:p>
        </w:tc>
        <w:tc>
          <w:tcPr>
            <w:tcW w:w="326" w:type="pct"/>
            <w:tcBorders>
              <w:top w:val="nil"/>
              <w:left w:val="nil"/>
              <w:bottom w:val="nil"/>
              <w:right w:val="nil"/>
            </w:tcBorders>
            <w:shd w:val="clear" w:color="auto" w:fill="auto"/>
            <w:noWrap/>
            <w:vAlign w:val="center"/>
          </w:tcPr>
          <w:p w14:paraId="7D4A97D3"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p w14:paraId="7D4A97D4"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0,00</w:t>
            </w:r>
          </w:p>
          <w:p w14:paraId="7D4A97D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bottom"/>
          </w:tcPr>
          <w:p w14:paraId="7D4A97D6" w14:textId="77777777" w:rsidR="000875F4" w:rsidRPr="009E1B38" w:rsidRDefault="000875F4" w:rsidP="000875F4">
            <w:pPr>
              <w:spacing w:after="0" w:line="240" w:lineRule="auto"/>
              <w:jc w:val="right"/>
              <w:rPr>
                <w:rFonts w:ascii="Times New Roman" w:eastAsiaTheme="minorHAnsi" w:hAnsi="Times New Roman"/>
                <w:sz w:val="16"/>
                <w:szCs w:val="12"/>
              </w:rPr>
            </w:pPr>
            <w:r w:rsidRPr="009E1B38">
              <w:rPr>
                <w:rFonts w:ascii="Times New Roman" w:eastAsiaTheme="minorHAnsi" w:hAnsi="Times New Roman"/>
                <w:sz w:val="16"/>
                <w:szCs w:val="12"/>
              </w:rPr>
              <w:t>13.685,43</w:t>
            </w:r>
          </w:p>
          <w:p w14:paraId="7D4A97D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130.405.508,43</w:t>
            </w:r>
          </w:p>
        </w:tc>
      </w:tr>
      <w:tr w:rsidR="000875F4" w:rsidRPr="009E1B38" w14:paraId="7D4A97EE"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7D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center"/>
            <w:hideMark/>
          </w:tcPr>
          <w:p w14:paraId="7D4A97DA"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7DB" w14:textId="48BAA44D" w:rsidR="000875F4" w:rsidRPr="009E1B38" w:rsidRDefault="000875F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140-</w:t>
            </w:r>
            <w:r w:rsidR="007107EC" w:rsidRPr="009E1B38">
              <w:rPr>
                <w:rFonts w:ascii="Times New Roman" w:eastAsia="Times New Roman" w:hAnsi="Times New Roman"/>
                <w:lang w:eastAsia="tr-TR"/>
              </w:rPr>
              <w:t xml:space="preserve"> Receivables from Persons Account</w:t>
            </w:r>
          </w:p>
        </w:tc>
        <w:tc>
          <w:tcPr>
            <w:tcW w:w="330" w:type="pct"/>
            <w:tcBorders>
              <w:top w:val="nil"/>
              <w:left w:val="nil"/>
              <w:bottom w:val="nil"/>
              <w:right w:val="single" w:sz="8" w:space="0" w:color="auto"/>
            </w:tcBorders>
            <w:shd w:val="clear" w:color="auto" w:fill="auto"/>
            <w:noWrap/>
            <w:vAlign w:val="center"/>
          </w:tcPr>
          <w:p w14:paraId="7D4A97D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561.936,85</w:t>
            </w:r>
          </w:p>
        </w:tc>
        <w:tc>
          <w:tcPr>
            <w:tcW w:w="330" w:type="pct"/>
            <w:tcBorders>
              <w:top w:val="nil"/>
              <w:left w:val="nil"/>
              <w:bottom w:val="nil"/>
              <w:right w:val="single" w:sz="4" w:space="0" w:color="auto"/>
            </w:tcBorders>
            <w:shd w:val="clear" w:color="auto" w:fill="auto"/>
            <w:noWrap/>
            <w:vAlign w:val="center"/>
          </w:tcPr>
          <w:p w14:paraId="7D4A97D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571.448,56</w:t>
            </w:r>
          </w:p>
        </w:tc>
        <w:tc>
          <w:tcPr>
            <w:tcW w:w="339" w:type="pct"/>
            <w:tcBorders>
              <w:top w:val="nil"/>
              <w:left w:val="single" w:sz="4" w:space="0" w:color="auto"/>
              <w:bottom w:val="nil"/>
              <w:right w:val="single" w:sz="8" w:space="0" w:color="auto"/>
            </w:tcBorders>
            <w:shd w:val="clear" w:color="auto" w:fill="auto"/>
            <w:noWrap/>
            <w:vAlign w:val="center"/>
          </w:tcPr>
          <w:p w14:paraId="7D4A97D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564.942,31</w:t>
            </w:r>
          </w:p>
        </w:tc>
        <w:tc>
          <w:tcPr>
            <w:tcW w:w="886" w:type="pct"/>
            <w:gridSpan w:val="3"/>
            <w:tcBorders>
              <w:top w:val="nil"/>
              <w:left w:val="single" w:sz="8" w:space="0" w:color="auto"/>
              <w:bottom w:val="nil"/>
              <w:right w:val="nil"/>
            </w:tcBorders>
            <w:shd w:val="clear" w:color="auto" w:fill="auto"/>
            <w:noWrap/>
            <w:vAlign w:val="center"/>
            <w:hideMark/>
          </w:tcPr>
          <w:p w14:paraId="7D4A97DF" w14:textId="6554181A"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 xml:space="preserve">    37-</w:t>
            </w:r>
            <w:r w:rsidR="00F81116" w:rsidRPr="009E1B38">
              <w:rPr>
                <w:rFonts w:ascii="Times New Roman" w:hAnsi="Times New Roman"/>
              </w:rPr>
              <w:t xml:space="preserve"> </w:t>
            </w:r>
            <w:r w:rsidR="00F81116" w:rsidRPr="009E1B38">
              <w:rPr>
                <w:rFonts w:ascii="Times New Roman" w:eastAsia="Times New Roman" w:hAnsi="Times New Roman"/>
                <w:b/>
                <w:lang w:eastAsia="tr-TR"/>
              </w:rPr>
              <w:t>PROVISIONS FOR LIABILITIES AND EXPENSE</w:t>
            </w:r>
          </w:p>
          <w:p w14:paraId="7D4A97E0" w14:textId="16C25613" w:rsidR="000875F4" w:rsidRPr="009E1B38" w:rsidRDefault="000875F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 xml:space="preserve">           372-</w:t>
            </w:r>
            <w:r w:rsidR="00987344" w:rsidRPr="009E1B38">
              <w:rPr>
                <w:rFonts w:ascii="Times New Roman" w:eastAsia="Times New Roman" w:hAnsi="Times New Roman"/>
                <w:lang w:eastAsia="tr-TR"/>
              </w:rPr>
              <w:t xml:space="preserve"> Allowance for Retirement Pay</w:t>
            </w:r>
          </w:p>
          <w:p w14:paraId="7D4A97E1" w14:textId="15CAF577"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4-</w:t>
            </w:r>
            <w:r w:rsidR="00AE7145" w:rsidRPr="009E1B38">
              <w:rPr>
                <w:rFonts w:ascii="Times New Roman" w:eastAsia="Times New Roman" w:hAnsi="Times New Roman"/>
                <w:b/>
                <w:lang w:eastAsia="tr-TR"/>
              </w:rPr>
              <w:t xml:space="preserve"> LONG-TERM FOREIGN ASSETS</w:t>
            </w:r>
          </w:p>
        </w:tc>
        <w:tc>
          <w:tcPr>
            <w:tcW w:w="359" w:type="pct"/>
            <w:tcBorders>
              <w:top w:val="nil"/>
              <w:left w:val="single" w:sz="8" w:space="0" w:color="auto"/>
              <w:bottom w:val="nil"/>
              <w:right w:val="single" w:sz="8" w:space="0" w:color="auto"/>
            </w:tcBorders>
            <w:shd w:val="clear" w:color="auto" w:fill="auto"/>
            <w:noWrap/>
            <w:vAlign w:val="center"/>
          </w:tcPr>
          <w:p w14:paraId="7D4A97E2"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p w14:paraId="7D4A97E3"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p w14:paraId="7D4A97E4"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0,00</w:t>
            </w:r>
          </w:p>
          <w:p w14:paraId="7D4A97E5"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2.511.430,00</w:t>
            </w:r>
          </w:p>
        </w:tc>
        <w:tc>
          <w:tcPr>
            <w:tcW w:w="326" w:type="pct"/>
            <w:tcBorders>
              <w:top w:val="nil"/>
              <w:left w:val="nil"/>
              <w:bottom w:val="nil"/>
              <w:right w:val="nil"/>
            </w:tcBorders>
            <w:shd w:val="clear" w:color="auto" w:fill="auto"/>
            <w:noWrap/>
            <w:vAlign w:val="center"/>
          </w:tcPr>
          <w:p w14:paraId="7D4A97E6"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p w14:paraId="7D4A97E7"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p w14:paraId="7D4A97E8"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0,00</w:t>
            </w:r>
          </w:p>
          <w:p w14:paraId="7D4A97E9"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1.464.630,00</w:t>
            </w:r>
          </w:p>
        </w:tc>
        <w:tc>
          <w:tcPr>
            <w:tcW w:w="354" w:type="pct"/>
            <w:tcBorders>
              <w:top w:val="nil"/>
              <w:left w:val="single" w:sz="8" w:space="0" w:color="auto"/>
              <w:bottom w:val="nil"/>
              <w:right w:val="single" w:sz="8" w:space="0" w:color="auto"/>
            </w:tcBorders>
            <w:shd w:val="clear" w:color="auto" w:fill="auto"/>
            <w:noWrap/>
            <w:vAlign w:val="center"/>
          </w:tcPr>
          <w:p w14:paraId="7D4A97EA" w14:textId="77777777" w:rsidR="000875F4" w:rsidRPr="009E1B38" w:rsidRDefault="000875F4" w:rsidP="000875F4">
            <w:pPr>
              <w:spacing w:after="0" w:line="240" w:lineRule="auto"/>
              <w:jc w:val="right"/>
              <w:rPr>
                <w:rFonts w:ascii="Times New Roman" w:eastAsiaTheme="minorHAnsi" w:hAnsi="Times New Roman"/>
                <w:b/>
                <w:sz w:val="16"/>
                <w:szCs w:val="12"/>
              </w:rPr>
            </w:pPr>
          </w:p>
          <w:p w14:paraId="7D4A97EB" w14:textId="77777777" w:rsidR="000875F4" w:rsidRPr="009E1B38" w:rsidRDefault="000875F4" w:rsidP="000875F4">
            <w:pPr>
              <w:spacing w:after="0" w:line="240" w:lineRule="auto"/>
              <w:jc w:val="right"/>
              <w:rPr>
                <w:rFonts w:ascii="Times New Roman" w:eastAsiaTheme="minorHAnsi" w:hAnsi="Times New Roman"/>
                <w:b/>
                <w:sz w:val="16"/>
                <w:szCs w:val="12"/>
              </w:rPr>
            </w:pPr>
            <w:r w:rsidRPr="009E1B38">
              <w:rPr>
                <w:rFonts w:ascii="Times New Roman" w:eastAsiaTheme="minorHAnsi" w:hAnsi="Times New Roman"/>
                <w:b/>
                <w:sz w:val="16"/>
                <w:szCs w:val="12"/>
              </w:rPr>
              <w:t>415.417,37</w:t>
            </w:r>
          </w:p>
          <w:p w14:paraId="7D4A97EC" w14:textId="77777777" w:rsidR="000875F4" w:rsidRPr="009E1B38" w:rsidRDefault="000875F4" w:rsidP="000875F4">
            <w:pPr>
              <w:spacing w:after="0" w:line="240" w:lineRule="auto"/>
              <w:jc w:val="right"/>
              <w:rPr>
                <w:rFonts w:ascii="Times New Roman" w:eastAsiaTheme="minorHAnsi" w:hAnsi="Times New Roman"/>
                <w:sz w:val="16"/>
                <w:szCs w:val="12"/>
              </w:rPr>
            </w:pPr>
            <w:r w:rsidRPr="009E1B38">
              <w:rPr>
                <w:rFonts w:ascii="Times New Roman" w:eastAsiaTheme="minorHAnsi" w:hAnsi="Times New Roman"/>
                <w:sz w:val="16"/>
                <w:szCs w:val="12"/>
              </w:rPr>
              <w:t>415.417,37</w:t>
            </w:r>
          </w:p>
          <w:p w14:paraId="7D4A97E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22.011.665,45</w:t>
            </w:r>
          </w:p>
        </w:tc>
      </w:tr>
      <w:tr w:rsidR="000875F4" w:rsidRPr="009E1B38" w14:paraId="7D4A97F9" w14:textId="77777777" w:rsidTr="29720196">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7E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lastRenderedPageBreak/>
              <w:t> </w:t>
            </w:r>
          </w:p>
        </w:tc>
        <w:tc>
          <w:tcPr>
            <w:tcW w:w="685" w:type="pct"/>
            <w:gridSpan w:val="2"/>
            <w:tcBorders>
              <w:top w:val="nil"/>
              <w:left w:val="nil"/>
              <w:bottom w:val="nil"/>
              <w:right w:val="single" w:sz="8" w:space="0" w:color="000000" w:themeColor="text1"/>
            </w:tcBorders>
            <w:shd w:val="clear" w:color="auto" w:fill="auto"/>
            <w:noWrap/>
            <w:vAlign w:val="center"/>
            <w:hideMark/>
          </w:tcPr>
          <w:p w14:paraId="7D4A97F0" w14:textId="5F3720FF"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15-</w:t>
            </w:r>
            <w:r w:rsidR="009560A0" w:rsidRPr="009E1B38">
              <w:rPr>
                <w:rFonts w:ascii="Times New Roman" w:eastAsia="Times New Roman" w:hAnsi="Times New Roman"/>
                <w:b/>
                <w:lang w:eastAsia="tr-TR"/>
              </w:rPr>
              <w:t xml:space="preserve"> STOCKS ACCOUNT</w:t>
            </w:r>
          </w:p>
        </w:tc>
        <w:tc>
          <w:tcPr>
            <w:tcW w:w="330" w:type="pct"/>
            <w:tcBorders>
              <w:top w:val="nil"/>
              <w:left w:val="nil"/>
              <w:bottom w:val="nil"/>
              <w:right w:val="single" w:sz="8" w:space="0" w:color="auto"/>
            </w:tcBorders>
            <w:shd w:val="clear" w:color="auto" w:fill="auto"/>
            <w:noWrap/>
            <w:vAlign w:val="center"/>
          </w:tcPr>
          <w:p w14:paraId="7D4A97F1"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14:paraId="7D4A97F2"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sz w:val="16"/>
                <w:szCs w:val="16"/>
                <w:lang w:eastAsia="tr-TR"/>
              </w:rPr>
              <w:t>0,00</w:t>
            </w:r>
          </w:p>
        </w:tc>
        <w:tc>
          <w:tcPr>
            <w:tcW w:w="339" w:type="pct"/>
            <w:tcBorders>
              <w:top w:val="nil"/>
              <w:left w:val="nil"/>
              <w:bottom w:val="nil"/>
              <w:right w:val="single" w:sz="8" w:space="0" w:color="auto"/>
            </w:tcBorders>
            <w:shd w:val="clear" w:color="auto" w:fill="auto"/>
            <w:noWrap/>
            <w:vAlign w:val="bottom"/>
          </w:tcPr>
          <w:p w14:paraId="7D4A97F3"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sz w:val="16"/>
                <w:szCs w:val="16"/>
                <w:lang w:eastAsia="tr-TR"/>
              </w:rPr>
              <w:t>0,00</w:t>
            </w:r>
          </w:p>
        </w:tc>
        <w:tc>
          <w:tcPr>
            <w:tcW w:w="38" w:type="pct"/>
            <w:tcBorders>
              <w:top w:val="nil"/>
              <w:left w:val="nil"/>
              <w:bottom w:val="nil"/>
              <w:right w:val="nil"/>
            </w:tcBorders>
            <w:shd w:val="clear" w:color="auto" w:fill="auto"/>
            <w:noWrap/>
            <w:vAlign w:val="bottom"/>
            <w:hideMark/>
          </w:tcPr>
          <w:p w14:paraId="7D4A97F4"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p>
        </w:tc>
        <w:tc>
          <w:tcPr>
            <w:tcW w:w="848" w:type="pct"/>
            <w:gridSpan w:val="2"/>
            <w:tcBorders>
              <w:top w:val="nil"/>
              <w:left w:val="nil"/>
              <w:bottom w:val="nil"/>
              <w:right w:val="nil"/>
            </w:tcBorders>
            <w:shd w:val="clear" w:color="auto" w:fill="auto"/>
            <w:noWrap/>
            <w:vAlign w:val="bottom"/>
            <w:hideMark/>
          </w:tcPr>
          <w:p w14:paraId="7D4A97F5" w14:textId="75E0A362"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43-</w:t>
            </w:r>
            <w:r w:rsidR="003234BE" w:rsidRPr="009E1B38">
              <w:rPr>
                <w:rFonts w:ascii="Times New Roman" w:eastAsia="Times New Roman" w:hAnsi="Times New Roman"/>
                <w:b/>
                <w:lang w:eastAsia="tr-TR"/>
              </w:rPr>
              <w:t xml:space="preserve"> OTHER DEBTS</w:t>
            </w:r>
          </w:p>
        </w:tc>
        <w:tc>
          <w:tcPr>
            <w:tcW w:w="359" w:type="pct"/>
            <w:tcBorders>
              <w:top w:val="nil"/>
              <w:left w:val="single" w:sz="8" w:space="0" w:color="auto"/>
              <w:bottom w:val="nil"/>
              <w:right w:val="single" w:sz="8" w:space="0" w:color="auto"/>
            </w:tcBorders>
            <w:shd w:val="clear" w:color="auto" w:fill="auto"/>
            <w:noWrap/>
            <w:vAlign w:val="center"/>
          </w:tcPr>
          <w:p w14:paraId="7D4A97F6"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2.511.430,00</w:t>
            </w:r>
          </w:p>
        </w:tc>
        <w:tc>
          <w:tcPr>
            <w:tcW w:w="326" w:type="pct"/>
            <w:tcBorders>
              <w:top w:val="nil"/>
              <w:left w:val="nil"/>
              <w:bottom w:val="nil"/>
              <w:right w:val="nil"/>
            </w:tcBorders>
            <w:shd w:val="clear" w:color="auto" w:fill="auto"/>
            <w:noWrap/>
            <w:vAlign w:val="center"/>
          </w:tcPr>
          <w:p w14:paraId="7D4A97F7"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1.464.630,00</w:t>
            </w:r>
          </w:p>
        </w:tc>
        <w:tc>
          <w:tcPr>
            <w:tcW w:w="354" w:type="pct"/>
            <w:tcBorders>
              <w:top w:val="nil"/>
              <w:left w:val="single" w:sz="8" w:space="0" w:color="auto"/>
              <w:bottom w:val="nil"/>
              <w:right w:val="single" w:sz="8" w:space="0" w:color="auto"/>
            </w:tcBorders>
            <w:shd w:val="clear" w:color="auto" w:fill="auto"/>
            <w:noWrap/>
            <w:vAlign w:val="bottom"/>
          </w:tcPr>
          <w:p w14:paraId="7D4A97F8"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5.485.577,40</w:t>
            </w:r>
          </w:p>
        </w:tc>
      </w:tr>
      <w:tr w:rsidR="000875F4" w:rsidRPr="009E1B38" w14:paraId="7D4A9806"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7FA"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center"/>
            <w:hideMark/>
          </w:tcPr>
          <w:p w14:paraId="7D4A97F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7FC" w14:textId="343640BD" w:rsidR="000875F4" w:rsidRPr="009E1B38" w:rsidRDefault="000875F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150-</w:t>
            </w:r>
            <w:r w:rsidR="009B750B" w:rsidRPr="009E1B38">
              <w:rPr>
                <w:rFonts w:ascii="Times New Roman" w:eastAsia="Times New Roman" w:hAnsi="Times New Roman"/>
                <w:lang w:eastAsia="tr-TR"/>
              </w:rPr>
              <w:t xml:space="preserve"> Raw Materials and Supplies</w:t>
            </w:r>
          </w:p>
        </w:tc>
        <w:tc>
          <w:tcPr>
            <w:tcW w:w="330" w:type="pct"/>
            <w:tcBorders>
              <w:top w:val="nil"/>
              <w:left w:val="nil"/>
              <w:bottom w:val="nil"/>
              <w:right w:val="single" w:sz="8" w:space="0" w:color="auto"/>
            </w:tcBorders>
            <w:shd w:val="clear" w:color="auto" w:fill="auto"/>
            <w:noWrap/>
            <w:vAlign w:val="center"/>
          </w:tcPr>
          <w:p w14:paraId="7D4A97F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14:paraId="7D4A97F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39" w:type="pct"/>
            <w:tcBorders>
              <w:top w:val="nil"/>
              <w:left w:val="nil"/>
              <w:bottom w:val="nil"/>
              <w:right w:val="single" w:sz="8" w:space="0" w:color="auto"/>
            </w:tcBorders>
            <w:shd w:val="clear" w:color="auto" w:fill="auto"/>
            <w:noWrap/>
            <w:vAlign w:val="center"/>
          </w:tcPr>
          <w:p w14:paraId="7D4A97F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8" w:type="pct"/>
            <w:tcBorders>
              <w:top w:val="nil"/>
              <w:left w:val="nil"/>
              <w:bottom w:val="nil"/>
              <w:right w:val="nil"/>
            </w:tcBorders>
            <w:shd w:val="clear" w:color="auto" w:fill="auto"/>
            <w:noWrap/>
            <w:vAlign w:val="bottom"/>
            <w:hideMark/>
          </w:tcPr>
          <w:p w14:paraId="7D4A980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72" w:type="pct"/>
            <w:tcBorders>
              <w:top w:val="nil"/>
              <w:left w:val="nil"/>
              <w:bottom w:val="nil"/>
              <w:right w:val="nil"/>
            </w:tcBorders>
            <w:shd w:val="clear" w:color="auto" w:fill="auto"/>
            <w:noWrap/>
            <w:vAlign w:val="bottom"/>
            <w:hideMark/>
          </w:tcPr>
          <w:p w14:paraId="7D4A9801"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bottom"/>
            <w:hideMark/>
          </w:tcPr>
          <w:p w14:paraId="7D4A9802" w14:textId="7D62CC79" w:rsidR="000875F4" w:rsidRPr="009E1B38" w:rsidRDefault="000875F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430-</w:t>
            </w:r>
            <w:r w:rsidR="007B35CC" w:rsidRPr="009E1B38">
              <w:rPr>
                <w:rFonts w:ascii="Times New Roman" w:eastAsia="Times New Roman" w:hAnsi="Times New Roman"/>
                <w:lang w:eastAsia="tr-TR"/>
              </w:rPr>
              <w:t xml:space="preserve"> Deposits and Guarantees Received</w:t>
            </w:r>
          </w:p>
        </w:tc>
        <w:tc>
          <w:tcPr>
            <w:tcW w:w="359" w:type="pct"/>
            <w:tcBorders>
              <w:top w:val="nil"/>
              <w:left w:val="single" w:sz="8" w:space="0" w:color="auto"/>
              <w:bottom w:val="nil"/>
              <w:right w:val="single" w:sz="8" w:space="0" w:color="auto"/>
            </w:tcBorders>
            <w:shd w:val="clear" w:color="auto" w:fill="auto"/>
            <w:noWrap/>
            <w:vAlign w:val="center"/>
          </w:tcPr>
          <w:p w14:paraId="7D4A980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2.511.430,00</w:t>
            </w:r>
          </w:p>
        </w:tc>
        <w:tc>
          <w:tcPr>
            <w:tcW w:w="326" w:type="pct"/>
            <w:tcBorders>
              <w:top w:val="nil"/>
              <w:left w:val="nil"/>
              <w:bottom w:val="nil"/>
              <w:right w:val="nil"/>
            </w:tcBorders>
            <w:shd w:val="clear" w:color="auto" w:fill="auto"/>
            <w:noWrap/>
            <w:vAlign w:val="center"/>
          </w:tcPr>
          <w:p w14:paraId="7D4A980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1.464.630,00</w:t>
            </w:r>
          </w:p>
        </w:tc>
        <w:tc>
          <w:tcPr>
            <w:tcW w:w="354" w:type="pct"/>
            <w:tcBorders>
              <w:top w:val="nil"/>
              <w:left w:val="single" w:sz="8" w:space="0" w:color="auto"/>
              <w:bottom w:val="nil"/>
              <w:right w:val="single" w:sz="8" w:space="0" w:color="auto"/>
            </w:tcBorders>
            <w:shd w:val="clear" w:color="auto" w:fill="auto"/>
            <w:noWrap/>
            <w:vAlign w:val="bottom"/>
          </w:tcPr>
          <w:p w14:paraId="7D4A980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5.485.577,40</w:t>
            </w:r>
          </w:p>
        </w:tc>
      </w:tr>
      <w:tr w:rsidR="000875F4" w:rsidRPr="009E1B38" w14:paraId="7D4A9814" w14:textId="77777777" w:rsidTr="29720196">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07"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685" w:type="pct"/>
            <w:gridSpan w:val="2"/>
            <w:tcBorders>
              <w:top w:val="nil"/>
              <w:left w:val="nil"/>
              <w:bottom w:val="nil"/>
              <w:right w:val="single" w:sz="8" w:space="0" w:color="000000" w:themeColor="text1"/>
            </w:tcBorders>
            <w:shd w:val="clear" w:color="auto" w:fill="auto"/>
            <w:noWrap/>
            <w:vAlign w:val="center"/>
            <w:hideMark/>
          </w:tcPr>
          <w:p w14:paraId="7D4A9808" w14:textId="0BD49CFD"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16-</w:t>
            </w:r>
            <w:r w:rsidR="001C4F54" w:rsidRPr="009E1B38">
              <w:rPr>
                <w:rFonts w:ascii="Times New Roman" w:eastAsia="Times New Roman" w:hAnsi="Times New Roman"/>
                <w:b/>
                <w:lang w:eastAsia="tr-TR"/>
              </w:rPr>
              <w:t>PREPAYMENTS</w:t>
            </w:r>
          </w:p>
        </w:tc>
        <w:tc>
          <w:tcPr>
            <w:tcW w:w="330" w:type="pct"/>
            <w:tcBorders>
              <w:top w:val="nil"/>
              <w:left w:val="nil"/>
              <w:bottom w:val="nil"/>
              <w:right w:val="single" w:sz="8" w:space="0" w:color="auto"/>
            </w:tcBorders>
            <w:shd w:val="clear" w:color="auto" w:fill="auto"/>
            <w:noWrap/>
            <w:vAlign w:val="center"/>
          </w:tcPr>
          <w:p w14:paraId="7D4A9809"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2.180,00</w:t>
            </w:r>
          </w:p>
        </w:tc>
        <w:tc>
          <w:tcPr>
            <w:tcW w:w="330" w:type="pct"/>
            <w:tcBorders>
              <w:top w:val="nil"/>
              <w:left w:val="nil"/>
              <w:bottom w:val="nil"/>
              <w:right w:val="single" w:sz="8" w:space="0" w:color="auto"/>
            </w:tcBorders>
            <w:shd w:val="clear" w:color="auto" w:fill="auto"/>
            <w:noWrap/>
            <w:vAlign w:val="center"/>
          </w:tcPr>
          <w:p w14:paraId="7D4A980A"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2.180,00</w:t>
            </w:r>
          </w:p>
        </w:tc>
        <w:tc>
          <w:tcPr>
            <w:tcW w:w="339" w:type="pct"/>
            <w:tcBorders>
              <w:top w:val="nil"/>
              <w:left w:val="nil"/>
              <w:bottom w:val="nil"/>
              <w:right w:val="single" w:sz="8" w:space="0" w:color="auto"/>
            </w:tcBorders>
            <w:shd w:val="clear" w:color="auto" w:fill="auto"/>
            <w:noWrap/>
            <w:vAlign w:val="center"/>
          </w:tcPr>
          <w:p w14:paraId="7D4A980B"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4.093.925,93</w:t>
            </w:r>
          </w:p>
        </w:tc>
        <w:tc>
          <w:tcPr>
            <w:tcW w:w="38" w:type="pct"/>
            <w:tcBorders>
              <w:top w:val="nil"/>
              <w:left w:val="nil"/>
              <w:bottom w:val="nil"/>
              <w:right w:val="nil"/>
            </w:tcBorders>
            <w:shd w:val="clear" w:color="auto" w:fill="auto"/>
            <w:noWrap/>
            <w:vAlign w:val="center"/>
            <w:hideMark/>
          </w:tcPr>
          <w:p w14:paraId="7D4A980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48" w:type="pct"/>
            <w:gridSpan w:val="2"/>
            <w:tcBorders>
              <w:top w:val="nil"/>
              <w:left w:val="nil"/>
              <w:bottom w:val="nil"/>
              <w:right w:val="nil"/>
            </w:tcBorders>
            <w:shd w:val="clear" w:color="auto" w:fill="auto"/>
            <w:noWrap/>
            <w:vAlign w:val="center"/>
            <w:hideMark/>
          </w:tcPr>
          <w:p w14:paraId="7D4A980D" w14:textId="77777777" w:rsidR="000875F4" w:rsidRPr="009E1B38" w:rsidRDefault="000875F4" w:rsidP="000875F4">
            <w:pPr>
              <w:spacing w:after="0" w:line="240" w:lineRule="auto"/>
              <w:jc w:val="left"/>
              <w:rPr>
                <w:rFonts w:ascii="Times New Roman" w:eastAsia="Times New Roman" w:hAnsi="Times New Roman"/>
                <w:b/>
                <w:lang w:eastAsia="tr-TR"/>
              </w:rPr>
            </w:pPr>
          </w:p>
          <w:p w14:paraId="7D4A980E" w14:textId="153ADB75"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47-</w:t>
            </w:r>
            <w:r w:rsidR="00F81116" w:rsidRPr="009E1B38">
              <w:rPr>
                <w:rFonts w:ascii="Times New Roman" w:hAnsi="Times New Roman"/>
              </w:rPr>
              <w:t xml:space="preserve"> </w:t>
            </w:r>
            <w:r w:rsidR="00F81116" w:rsidRPr="009E1B38">
              <w:rPr>
                <w:rFonts w:ascii="Times New Roman" w:eastAsia="Times New Roman" w:hAnsi="Times New Roman"/>
                <w:b/>
                <w:lang w:eastAsia="tr-TR"/>
              </w:rPr>
              <w:t>PROVISIONS FOR LIABILITIES AND EXPENSE</w:t>
            </w:r>
          </w:p>
        </w:tc>
        <w:tc>
          <w:tcPr>
            <w:tcW w:w="359" w:type="pct"/>
            <w:tcBorders>
              <w:top w:val="nil"/>
              <w:left w:val="single" w:sz="8" w:space="0" w:color="auto"/>
              <w:bottom w:val="nil"/>
              <w:right w:val="single" w:sz="8" w:space="0" w:color="auto"/>
            </w:tcBorders>
            <w:shd w:val="clear" w:color="auto" w:fill="auto"/>
            <w:noWrap/>
            <w:vAlign w:val="center"/>
          </w:tcPr>
          <w:p w14:paraId="7D4A980F" w14:textId="77777777" w:rsidR="000875F4" w:rsidRPr="009E1B38" w:rsidRDefault="000875F4" w:rsidP="000875F4">
            <w:pPr>
              <w:spacing w:after="0" w:line="240" w:lineRule="auto"/>
              <w:jc w:val="right"/>
              <w:rPr>
                <w:rFonts w:ascii="Times New Roman" w:eastAsia="Times New Roman" w:hAnsi="Times New Roman"/>
                <w:b/>
                <w:sz w:val="16"/>
                <w:szCs w:val="16"/>
                <w:lang w:eastAsia="tr-TR"/>
              </w:rPr>
            </w:pPr>
          </w:p>
          <w:p w14:paraId="7D4A9810"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sz w:val="16"/>
                <w:szCs w:val="16"/>
                <w:lang w:eastAsia="tr-TR"/>
              </w:rPr>
              <w:t>0,00</w:t>
            </w:r>
          </w:p>
        </w:tc>
        <w:tc>
          <w:tcPr>
            <w:tcW w:w="326" w:type="pct"/>
            <w:tcBorders>
              <w:top w:val="nil"/>
              <w:left w:val="nil"/>
              <w:bottom w:val="nil"/>
              <w:right w:val="nil"/>
            </w:tcBorders>
            <w:shd w:val="clear" w:color="auto" w:fill="auto"/>
            <w:noWrap/>
            <w:vAlign w:val="center"/>
          </w:tcPr>
          <w:p w14:paraId="7D4A9811"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p>
          <w:p w14:paraId="7D4A9812"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bottom"/>
          </w:tcPr>
          <w:p w14:paraId="7D4A9813"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16.526.088,05</w:t>
            </w:r>
          </w:p>
        </w:tc>
      </w:tr>
      <w:tr w:rsidR="000875F4" w:rsidRPr="009E1B38" w14:paraId="7D4A9821"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15"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center"/>
            <w:hideMark/>
          </w:tcPr>
          <w:p w14:paraId="7D4A9816"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817" w14:textId="507EF816" w:rsidR="000875F4" w:rsidRPr="009E1B38" w:rsidRDefault="00772562"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160- Business advance and credits account</w:t>
            </w:r>
          </w:p>
        </w:tc>
        <w:tc>
          <w:tcPr>
            <w:tcW w:w="330" w:type="pct"/>
            <w:tcBorders>
              <w:top w:val="nil"/>
              <w:left w:val="nil"/>
              <w:bottom w:val="nil"/>
              <w:right w:val="single" w:sz="8" w:space="0" w:color="auto"/>
            </w:tcBorders>
            <w:shd w:val="clear" w:color="auto" w:fill="auto"/>
            <w:noWrap/>
            <w:vAlign w:val="center"/>
          </w:tcPr>
          <w:p w14:paraId="7D4A981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2.180,00</w:t>
            </w:r>
          </w:p>
        </w:tc>
        <w:tc>
          <w:tcPr>
            <w:tcW w:w="330" w:type="pct"/>
            <w:tcBorders>
              <w:top w:val="nil"/>
              <w:left w:val="nil"/>
              <w:bottom w:val="nil"/>
              <w:right w:val="single" w:sz="8" w:space="0" w:color="auto"/>
            </w:tcBorders>
            <w:shd w:val="clear" w:color="auto" w:fill="auto"/>
            <w:noWrap/>
            <w:vAlign w:val="bottom"/>
          </w:tcPr>
          <w:p w14:paraId="7D4A981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39" w:type="pct"/>
            <w:tcBorders>
              <w:top w:val="nil"/>
              <w:left w:val="nil"/>
              <w:bottom w:val="nil"/>
              <w:right w:val="single" w:sz="8" w:space="0" w:color="auto"/>
            </w:tcBorders>
            <w:shd w:val="clear" w:color="auto" w:fill="auto"/>
            <w:noWrap/>
            <w:vAlign w:val="bottom"/>
          </w:tcPr>
          <w:p w14:paraId="7D4A981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8" w:type="pct"/>
            <w:tcBorders>
              <w:top w:val="nil"/>
              <w:left w:val="nil"/>
              <w:bottom w:val="nil"/>
              <w:right w:val="nil"/>
            </w:tcBorders>
            <w:shd w:val="clear" w:color="auto" w:fill="auto"/>
            <w:noWrap/>
            <w:vAlign w:val="bottom"/>
            <w:hideMark/>
          </w:tcPr>
          <w:p w14:paraId="7D4A981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72" w:type="pct"/>
            <w:tcBorders>
              <w:top w:val="nil"/>
              <w:left w:val="nil"/>
              <w:bottom w:val="nil"/>
              <w:right w:val="nil"/>
            </w:tcBorders>
            <w:shd w:val="clear" w:color="auto" w:fill="auto"/>
            <w:noWrap/>
            <w:vAlign w:val="bottom"/>
            <w:hideMark/>
          </w:tcPr>
          <w:p w14:paraId="7D4A981C"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bottom"/>
            <w:hideMark/>
          </w:tcPr>
          <w:p w14:paraId="7D4A981D" w14:textId="0CD1C77B" w:rsidR="000875F4" w:rsidRPr="009E1B38" w:rsidRDefault="00772562"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472-</w:t>
            </w:r>
            <w:r w:rsidR="00987344" w:rsidRPr="009E1B38">
              <w:rPr>
                <w:rFonts w:ascii="Times New Roman" w:eastAsia="Times New Roman" w:hAnsi="Times New Roman"/>
                <w:lang w:eastAsia="tr-TR"/>
              </w:rPr>
              <w:t xml:space="preserve"> Allowance for Retirement Pay</w:t>
            </w:r>
          </w:p>
        </w:tc>
        <w:tc>
          <w:tcPr>
            <w:tcW w:w="359" w:type="pct"/>
            <w:tcBorders>
              <w:top w:val="nil"/>
              <w:left w:val="single" w:sz="8" w:space="0" w:color="auto"/>
              <w:bottom w:val="nil"/>
              <w:right w:val="single" w:sz="8" w:space="0" w:color="auto"/>
            </w:tcBorders>
            <w:shd w:val="clear" w:color="auto" w:fill="auto"/>
            <w:noWrap/>
            <w:vAlign w:val="center"/>
          </w:tcPr>
          <w:p w14:paraId="7D4A981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26" w:type="pct"/>
            <w:tcBorders>
              <w:top w:val="nil"/>
              <w:left w:val="nil"/>
              <w:bottom w:val="nil"/>
              <w:right w:val="nil"/>
            </w:tcBorders>
            <w:shd w:val="clear" w:color="auto" w:fill="auto"/>
            <w:noWrap/>
            <w:vAlign w:val="center"/>
          </w:tcPr>
          <w:p w14:paraId="7D4A981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bottom"/>
          </w:tcPr>
          <w:p w14:paraId="7D4A982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16.526.088,05</w:t>
            </w:r>
          </w:p>
        </w:tc>
      </w:tr>
      <w:tr w:rsidR="000875F4" w:rsidRPr="009E1B38" w14:paraId="7D4A982F"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2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center"/>
            <w:hideMark/>
          </w:tcPr>
          <w:p w14:paraId="7D4A982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824" w14:textId="4F173D20" w:rsidR="000875F4" w:rsidRPr="009E1B38" w:rsidRDefault="00772562"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162- Out of budget advance payment and credits account</w:t>
            </w:r>
          </w:p>
        </w:tc>
        <w:tc>
          <w:tcPr>
            <w:tcW w:w="330" w:type="pct"/>
            <w:tcBorders>
              <w:top w:val="nil"/>
              <w:left w:val="nil"/>
              <w:bottom w:val="nil"/>
              <w:right w:val="single" w:sz="8" w:space="0" w:color="auto"/>
            </w:tcBorders>
            <w:shd w:val="clear" w:color="auto" w:fill="auto"/>
            <w:noWrap/>
            <w:vAlign w:val="center"/>
          </w:tcPr>
          <w:p w14:paraId="7D4A982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0,00</w:t>
            </w:r>
          </w:p>
        </w:tc>
        <w:tc>
          <w:tcPr>
            <w:tcW w:w="330" w:type="pct"/>
            <w:tcBorders>
              <w:top w:val="nil"/>
              <w:left w:val="nil"/>
              <w:bottom w:val="nil"/>
              <w:right w:val="single" w:sz="8" w:space="0" w:color="auto"/>
            </w:tcBorders>
            <w:shd w:val="clear" w:color="auto" w:fill="auto"/>
            <w:noWrap/>
            <w:vAlign w:val="center"/>
          </w:tcPr>
          <w:p w14:paraId="7D4A982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2.180,00</w:t>
            </w:r>
          </w:p>
        </w:tc>
        <w:tc>
          <w:tcPr>
            <w:tcW w:w="339" w:type="pct"/>
            <w:tcBorders>
              <w:top w:val="nil"/>
              <w:left w:val="nil"/>
              <w:bottom w:val="nil"/>
              <w:right w:val="single" w:sz="8" w:space="0" w:color="auto"/>
            </w:tcBorders>
            <w:shd w:val="clear" w:color="auto" w:fill="auto"/>
            <w:noWrap/>
            <w:vAlign w:val="center"/>
          </w:tcPr>
          <w:p w14:paraId="7D4A982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4.093.925,93</w:t>
            </w:r>
          </w:p>
        </w:tc>
        <w:tc>
          <w:tcPr>
            <w:tcW w:w="886" w:type="pct"/>
            <w:gridSpan w:val="3"/>
            <w:tcBorders>
              <w:top w:val="nil"/>
              <w:left w:val="single" w:sz="8" w:space="0" w:color="auto"/>
              <w:bottom w:val="nil"/>
              <w:right w:val="nil"/>
            </w:tcBorders>
            <w:shd w:val="clear" w:color="auto" w:fill="auto"/>
            <w:noWrap/>
            <w:vAlign w:val="center"/>
            <w:hideMark/>
          </w:tcPr>
          <w:p w14:paraId="7D4A9828" w14:textId="77777777"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 xml:space="preserve">  </w:t>
            </w:r>
          </w:p>
          <w:p w14:paraId="7D4A9829" w14:textId="77777777" w:rsidR="000875F4" w:rsidRPr="009E1B38" w:rsidRDefault="000875F4" w:rsidP="000875F4">
            <w:pPr>
              <w:spacing w:after="0" w:line="240" w:lineRule="auto"/>
              <w:jc w:val="left"/>
              <w:rPr>
                <w:rFonts w:ascii="Times New Roman" w:eastAsia="Times New Roman" w:hAnsi="Times New Roman"/>
                <w:b/>
                <w:lang w:eastAsia="tr-TR"/>
              </w:rPr>
            </w:pPr>
          </w:p>
          <w:p w14:paraId="7D4A982A" w14:textId="77777777" w:rsidR="000875F4" w:rsidRPr="009E1B38" w:rsidRDefault="000875F4" w:rsidP="000875F4">
            <w:pPr>
              <w:spacing w:after="0" w:line="240" w:lineRule="auto"/>
              <w:jc w:val="left"/>
              <w:rPr>
                <w:rFonts w:ascii="Times New Roman" w:eastAsia="Times New Roman" w:hAnsi="Times New Roman"/>
                <w:b/>
                <w:lang w:eastAsia="tr-TR"/>
              </w:rPr>
            </w:pPr>
          </w:p>
          <w:p w14:paraId="7D4A982B" w14:textId="7E773557" w:rsidR="000875F4" w:rsidRPr="009E1B38" w:rsidRDefault="00772562"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5-</w:t>
            </w:r>
            <w:r w:rsidR="008A38CE" w:rsidRPr="009E1B38">
              <w:rPr>
                <w:rFonts w:ascii="Times New Roman" w:eastAsia="Times New Roman" w:hAnsi="Times New Roman"/>
                <w:b/>
                <w:lang w:eastAsia="tr-TR"/>
              </w:rPr>
              <w:t xml:space="preserve"> EQU</w:t>
            </w:r>
            <w:r w:rsidR="00500F0F" w:rsidRPr="009E1B38">
              <w:rPr>
                <w:rFonts w:ascii="Times New Roman" w:eastAsia="Times New Roman" w:hAnsi="Times New Roman"/>
                <w:b/>
                <w:lang w:eastAsia="tr-TR"/>
              </w:rPr>
              <w:t>I</w:t>
            </w:r>
            <w:r w:rsidR="008A38CE" w:rsidRPr="009E1B38">
              <w:rPr>
                <w:rFonts w:ascii="Times New Roman" w:eastAsia="Times New Roman" w:hAnsi="Times New Roman"/>
                <w:b/>
                <w:lang w:eastAsia="tr-TR"/>
              </w:rPr>
              <w:t>T</w:t>
            </w:r>
            <w:r w:rsidR="00500F0F" w:rsidRPr="009E1B38">
              <w:rPr>
                <w:rFonts w:ascii="Times New Roman" w:eastAsia="Times New Roman" w:hAnsi="Times New Roman"/>
                <w:b/>
                <w:lang w:eastAsia="tr-TR"/>
              </w:rPr>
              <w:t>I</w:t>
            </w:r>
            <w:r w:rsidR="008A38CE" w:rsidRPr="009E1B38">
              <w:rPr>
                <w:rFonts w:ascii="Times New Roman" w:eastAsia="Times New Roman" w:hAnsi="Times New Roman"/>
                <w:b/>
                <w:lang w:eastAsia="tr-TR"/>
              </w:rPr>
              <w:t>ES</w:t>
            </w:r>
            <w:r w:rsidR="008A38CE" w:rsidRPr="009E1B38">
              <w:rPr>
                <w:rFonts w:ascii="Times New Roman" w:eastAsia="Times New Roman" w:hAnsi="Times New Roman"/>
                <w:b/>
                <w:lang w:eastAsia="tr-TR"/>
              </w:rPr>
              <w:tab/>
            </w:r>
          </w:p>
        </w:tc>
        <w:tc>
          <w:tcPr>
            <w:tcW w:w="359" w:type="pct"/>
            <w:tcBorders>
              <w:top w:val="nil"/>
              <w:left w:val="single" w:sz="8" w:space="0" w:color="auto"/>
              <w:bottom w:val="nil"/>
              <w:right w:val="single" w:sz="8" w:space="0" w:color="auto"/>
            </w:tcBorders>
            <w:shd w:val="clear" w:color="auto" w:fill="auto"/>
            <w:noWrap/>
            <w:vAlign w:val="bottom"/>
          </w:tcPr>
          <w:p w14:paraId="7D4A982C"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409.136.656,31</w:t>
            </w:r>
          </w:p>
        </w:tc>
        <w:tc>
          <w:tcPr>
            <w:tcW w:w="326" w:type="pct"/>
            <w:tcBorders>
              <w:top w:val="nil"/>
              <w:left w:val="nil"/>
              <w:bottom w:val="nil"/>
              <w:right w:val="nil"/>
            </w:tcBorders>
            <w:shd w:val="clear" w:color="auto" w:fill="auto"/>
            <w:noWrap/>
            <w:vAlign w:val="bottom"/>
          </w:tcPr>
          <w:p w14:paraId="7D4A982D"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542.795.780,98</w:t>
            </w:r>
          </w:p>
        </w:tc>
        <w:tc>
          <w:tcPr>
            <w:tcW w:w="354" w:type="pct"/>
            <w:tcBorders>
              <w:top w:val="nil"/>
              <w:left w:val="single" w:sz="8" w:space="0" w:color="auto"/>
              <w:bottom w:val="nil"/>
              <w:right w:val="single" w:sz="8" w:space="0" w:color="auto"/>
            </w:tcBorders>
            <w:shd w:val="clear" w:color="auto" w:fill="auto"/>
            <w:noWrap/>
            <w:vAlign w:val="bottom"/>
          </w:tcPr>
          <w:p w14:paraId="7D4A982E"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419.253.055,35</w:t>
            </w:r>
          </w:p>
        </w:tc>
      </w:tr>
      <w:tr w:rsidR="000875F4" w:rsidRPr="009E1B38" w14:paraId="7D4A983B" w14:textId="77777777" w:rsidTr="29720196">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3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685" w:type="pct"/>
            <w:gridSpan w:val="2"/>
            <w:tcBorders>
              <w:top w:val="nil"/>
              <w:left w:val="nil"/>
              <w:bottom w:val="nil"/>
              <w:right w:val="single" w:sz="8" w:space="0" w:color="000000" w:themeColor="text1"/>
            </w:tcBorders>
            <w:shd w:val="clear" w:color="auto" w:fill="auto"/>
            <w:noWrap/>
            <w:vAlign w:val="center"/>
            <w:hideMark/>
          </w:tcPr>
          <w:p w14:paraId="7D4A9831" w14:textId="69FC8B3D"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18-</w:t>
            </w:r>
            <w:r w:rsidR="00085908" w:rsidRPr="009E1B38">
              <w:rPr>
                <w:rFonts w:ascii="Times New Roman" w:eastAsia="Times New Roman" w:hAnsi="Times New Roman"/>
                <w:b/>
                <w:lang w:eastAsia="tr-TR"/>
              </w:rPr>
              <w:t xml:space="preserve"> INCOME AND EXPENDITURE FORECASTS FOR NEXT MONTHS.</w:t>
            </w:r>
          </w:p>
        </w:tc>
        <w:tc>
          <w:tcPr>
            <w:tcW w:w="330" w:type="pct"/>
            <w:tcBorders>
              <w:top w:val="nil"/>
              <w:left w:val="nil"/>
              <w:bottom w:val="nil"/>
              <w:right w:val="single" w:sz="8" w:space="0" w:color="auto"/>
            </w:tcBorders>
            <w:shd w:val="clear" w:color="auto" w:fill="auto"/>
            <w:noWrap/>
            <w:vAlign w:val="center"/>
          </w:tcPr>
          <w:p w14:paraId="7D4A9832"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14:paraId="7D4A9833"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sz w:val="16"/>
                <w:szCs w:val="16"/>
                <w:lang w:eastAsia="tr-TR"/>
              </w:rPr>
              <w:t>0,00</w:t>
            </w:r>
          </w:p>
        </w:tc>
        <w:tc>
          <w:tcPr>
            <w:tcW w:w="339" w:type="pct"/>
            <w:tcBorders>
              <w:top w:val="nil"/>
              <w:left w:val="nil"/>
              <w:bottom w:val="nil"/>
              <w:right w:val="single" w:sz="8" w:space="0" w:color="auto"/>
            </w:tcBorders>
            <w:shd w:val="clear" w:color="auto" w:fill="auto"/>
            <w:noWrap/>
            <w:vAlign w:val="bottom"/>
          </w:tcPr>
          <w:p w14:paraId="7D4A9834"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sz w:val="16"/>
                <w:szCs w:val="16"/>
                <w:lang w:eastAsia="tr-TR"/>
              </w:rPr>
              <w:t>0,00</w:t>
            </w:r>
          </w:p>
        </w:tc>
        <w:tc>
          <w:tcPr>
            <w:tcW w:w="38" w:type="pct"/>
            <w:tcBorders>
              <w:top w:val="nil"/>
              <w:left w:val="nil"/>
              <w:bottom w:val="nil"/>
              <w:right w:val="nil"/>
            </w:tcBorders>
            <w:shd w:val="clear" w:color="auto" w:fill="auto"/>
            <w:noWrap/>
            <w:vAlign w:val="center"/>
            <w:hideMark/>
          </w:tcPr>
          <w:p w14:paraId="7D4A9835" w14:textId="77777777" w:rsidR="000875F4" w:rsidRPr="009E1B38" w:rsidRDefault="000875F4" w:rsidP="000875F4">
            <w:pPr>
              <w:spacing w:after="0" w:line="240" w:lineRule="auto"/>
              <w:jc w:val="lef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 </w:t>
            </w:r>
          </w:p>
        </w:tc>
        <w:tc>
          <w:tcPr>
            <w:tcW w:w="848" w:type="pct"/>
            <w:gridSpan w:val="2"/>
            <w:tcBorders>
              <w:top w:val="nil"/>
              <w:left w:val="nil"/>
              <w:bottom w:val="nil"/>
              <w:right w:val="nil"/>
            </w:tcBorders>
            <w:shd w:val="clear" w:color="auto" w:fill="auto"/>
            <w:noWrap/>
            <w:vAlign w:val="bottom"/>
            <w:hideMark/>
          </w:tcPr>
          <w:p w14:paraId="24161005" w14:textId="796E33D9" w:rsidR="000875F4" w:rsidRPr="009E1B38" w:rsidRDefault="000875F4" w:rsidP="29720196">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50-</w:t>
            </w:r>
            <w:r w:rsidR="29720196" w:rsidRPr="009E1B38">
              <w:rPr>
                <w:rFonts w:ascii="Times New Roman" w:eastAsia="Times New Roman" w:hAnsi="Times New Roman"/>
                <w:b/>
                <w:lang w:eastAsia="tr-TR"/>
              </w:rPr>
              <w:t xml:space="preserve"> </w:t>
            </w:r>
            <w:r w:rsidRPr="009E1B38">
              <w:rPr>
                <w:rFonts w:ascii="Times New Roman" w:eastAsia="Times New Roman" w:hAnsi="Times New Roman"/>
                <w:b/>
                <w:lang w:eastAsia="tr-TR"/>
              </w:rPr>
              <w:t xml:space="preserve">NET </w:t>
            </w:r>
            <w:r w:rsidR="29720196" w:rsidRPr="009E1B38">
              <w:rPr>
                <w:rFonts w:ascii="Times New Roman" w:eastAsia="Times New Roman" w:hAnsi="Times New Roman"/>
                <w:b/>
                <w:lang w:eastAsia="tr-TR"/>
              </w:rPr>
              <w:t>VALUE</w:t>
            </w:r>
          </w:p>
          <w:p w14:paraId="7D4A9836" w14:textId="796E33D9" w:rsidR="000875F4" w:rsidRPr="009E1B38" w:rsidRDefault="000875F4" w:rsidP="000875F4">
            <w:pPr>
              <w:spacing w:after="0" w:line="240" w:lineRule="auto"/>
              <w:jc w:val="left"/>
              <w:rPr>
                <w:rFonts w:ascii="Times New Roman" w:eastAsia="Times New Roman" w:hAnsi="Times New Roman"/>
                <w:b/>
                <w:lang w:eastAsia="tr-TR"/>
              </w:rPr>
            </w:pPr>
          </w:p>
        </w:tc>
        <w:tc>
          <w:tcPr>
            <w:tcW w:w="359" w:type="pct"/>
            <w:tcBorders>
              <w:top w:val="nil"/>
              <w:left w:val="single" w:sz="8" w:space="0" w:color="auto"/>
              <w:bottom w:val="nil"/>
              <w:right w:val="single" w:sz="8" w:space="0" w:color="auto"/>
            </w:tcBorders>
            <w:shd w:val="clear" w:color="auto" w:fill="auto"/>
            <w:noWrap/>
            <w:vAlign w:val="center"/>
          </w:tcPr>
          <w:p w14:paraId="7D4A9837" w14:textId="77777777" w:rsidR="000875F4" w:rsidRPr="009E1B38" w:rsidRDefault="000875F4" w:rsidP="000875F4">
            <w:pPr>
              <w:spacing w:after="0" w:line="240" w:lineRule="auto"/>
              <w:jc w:val="right"/>
              <w:rPr>
                <w:rFonts w:ascii="Times New Roman" w:eastAsia="Times New Roman" w:hAnsi="Times New Roman"/>
                <w:b/>
                <w:sz w:val="16"/>
                <w:szCs w:val="16"/>
                <w:lang w:eastAsia="tr-TR"/>
              </w:rPr>
            </w:pPr>
          </w:p>
          <w:p w14:paraId="7D4A9838"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sz w:val="16"/>
                <w:szCs w:val="16"/>
                <w:lang w:eastAsia="tr-TR"/>
              </w:rPr>
              <w:t>0,00</w:t>
            </w:r>
          </w:p>
        </w:tc>
        <w:tc>
          <w:tcPr>
            <w:tcW w:w="326" w:type="pct"/>
            <w:tcBorders>
              <w:top w:val="nil"/>
              <w:left w:val="nil"/>
              <w:bottom w:val="nil"/>
              <w:right w:val="nil"/>
            </w:tcBorders>
            <w:shd w:val="clear" w:color="auto" w:fill="auto"/>
            <w:noWrap/>
            <w:vAlign w:val="bottom"/>
          </w:tcPr>
          <w:p w14:paraId="7D4A9839"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160.847.447,45</w:t>
            </w:r>
          </w:p>
        </w:tc>
        <w:tc>
          <w:tcPr>
            <w:tcW w:w="354" w:type="pct"/>
            <w:tcBorders>
              <w:top w:val="nil"/>
              <w:left w:val="single" w:sz="8" w:space="0" w:color="auto"/>
              <w:bottom w:val="nil"/>
              <w:right w:val="single" w:sz="8" w:space="0" w:color="auto"/>
            </w:tcBorders>
            <w:shd w:val="clear" w:color="auto" w:fill="auto"/>
            <w:noWrap/>
            <w:vAlign w:val="bottom"/>
          </w:tcPr>
          <w:p w14:paraId="7D4A983A"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176.240.768,79</w:t>
            </w:r>
          </w:p>
        </w:tc>
      </w:tr>
      <w:tr w:rsidR="000875F4" w:rsidRPr="009E1B38" w14:paraId="7D4A9848" w14:textId="77777777" w:rsidTr="000875F4">
        <w:trPr>
          <w:gridAfter w:val="4"/>
          <w:wAfter w:w="1354" w:type="pct"/>
          <w:trHeight w:val="217"/>
        </w:trPr>
        <w:tc>
          <w:tcPr>
            <w:tcW w:w="37" w:type="pct"/>
            <w:tcBorders>
              <w:top w:val="nil"/>
              <w:left w:val="single" w:sz="8" w:space="0" w:color="auto"/>
              <w:bottom w:val="nil"/>
              <w:right w:val="nil"/>
            </w:tcBorders>
            <w:shd w:val="clear" w:color="auto" w:fill="auto"/>
            <w:noWrap/>
            <w:vAlign w:val="center"/>
            <w:hideMark/>
          </w:tcPr>
          <w:p w14:paraId="7D4A983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center"/>
            <w:hideMark/>
          </w:tcPr>
          <w:p w14:paraId="7D4A983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83E" w14:textId="73513875" w:rsidR="000875F4" w:rsidRPr="009E1B38" w:rsidRDefault="000875F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181-</w:t>
            </w:r>
            <w:r w:rsidR="002B417A" w:rsidRPr="009E1B38">
              <w:rPr>
                <w:rFonts w:ascii="Times New Roman" w:eastAsia="Times New Roman" w:hAnsi="Times New Roman"/>
                <w:lang w:eastAsia="tr-TR"/>
              </w:rPr>
              <w:t xml:space="preserve"> Revenue Accruals Account</w:t>
            </w:r>
          </w:p>
        </w:tc>
        <w:tc>
          <w:tcPr>
            <w:tcW w:w="330" w:type="pct"/>
            <w:tcBorders>
              <w:top w:val="nil"/>
              <w:left w:val="nil"/>
              <w:bottom w:val="nil"/>
              <w:right w:val="single" w:sz="8" w:space="0" w:color="auto"/>
            </w:tcBorders>
            <w:shd w:val="clear" w:color="auto" w:fill="auto"/>
            <w:noWrap/>
            <w:vAlign w:val="center"/>
          </w:tcPr>
          <w:p w14:paraId="7D4A983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14:paraId="7D4A984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39" w:type="pct"/>
            <w:tcBorders>
              <w:top w:val="nil"/>
              <w:left w:val="nil"/>
              <w:bottom w:val="nil"/>
              <w:right w:val="single" w:sz="8" w:space="0" w:color="auto"/>
            </w:tcBorders>
            <w:shd w:val="clear" w:color="auto" w:fill="auto"/>
            <w:noWrap/>
            <w:vAlign w:val="bottom"/>
          </w:tcPr>
          <w:p w14:paraId="7D4A9841" w14:textId="77777777" w:rsidR="000875F4" w:rsidRPr="009E1B38" w:rsidRDefault="000875F4" w:rsidP="000875F4">
            <w:pPr>
              <w:spacing w:after="0" w:line="240" w:lineRule="auto"/>
              <w:jc w:val="right"/>
              <w:rPr>
                <w:rFonts w:ascii="Times New Roman" w:eastAsia="Times New Roman" w:hAnsi="Times New Roman"/>
                <w:b/>
                <w:sz w:val="16"/>
                <w:szCs w:val="16"/>
                <w:lang w:eastAsia="tr-TR"/>
              </w:rPr>
            </w:pPr>
            <w:r w:rsidRPr="009E1B38">
              <w:rPr>
                <w:rFonts w:ascii="Times New Roman" w:eastAsia="Times New Roman" w:hAnsi="Times New Roman"/>
                <w:sz w:val="16"/>
                <w:szCs w:val="16"/>
                <w:lang w:eastAsia="tr-TR"/>
              </w:rPr>
              <w:t>0,00</w:t>
            </w:r>
          </w:p>
        </w:tc>
        <w:tc>
          <w:tcPr>
            <w:tcW w:w="38" w:type="pct"/>
            <w:tcBorders>
              <w:top w:val="nil"/>
              <w:left w:val="nil"/>
              <w:bottom w:val="nil"/>
              <w:right w:val="nil"/>
            </w:tcBorders>
            <w:shd w:val="clear" w:color="auto" w:fill="auto"/>
            <w:noWrap/>
            <w:vAlign w:val="center"/>
            <w:hideMark/>
          </w:tcPr>
          <w:p w14:paraId="7D4A984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72" w:type="pct"/>
            <w:tcBorders>
              <w:top w:val="nil"/>
              <w:left w:val="nil"/>
              <w:bottom w:val="nil"/>
              <w:right w:val="nil"/>
            </w:tcBorders>
            <w:shd w:val="clear" w:color="auto" w:fill="auto"/>
            <w:noWrap/>
            <w:vAlign w:val="bottom"/>
            <w:hideMark/>
          </w:tcPr>
          <w:p w14:paraId="7D4A9843"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bottom"/>
            <w:hideMark/>
          </w:tcPr>
          <w:p w14:paraId="2DF44033" w14:textId="275B8692" w:rsidR="00637658" w:rsidRPr="009E1B38" w:rsidRDefault="29720196" w:rsidP="29720196">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500- Net Value Account</w:t>
            </w:r>
          </w:p>
          <w:p w14:paraId="7D4A9844" w14:textId="275B8692"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nil"/>
              <w:right w:val="single" w:sz="8" w:space="0" w:color="auto"/>
            </w:tcBorders>
            <w:shd w:val="clear" w:color="auto" w:fill="auto"/>
            <w:noWrap/>
            <w:vAlign w:val="center"/>
          </w:tcPr>
          <w:p w14:paraId="7D4A984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26" w:type="pct"/>
            <w:tcBorders>
              <w:top w:val="nil"/>
              <w:left w:val="nil"/>
              <w:bottom w:val="nil"/>
              <w:right w:val="nil"/>
            </w:tcBorders>
            <w:shd w:val="clear" w:color="auto" w:fill="auto"/>
            <w:noWrap/>
            <w:vAlign w:val="bottom"/>
          </w:tcPr>
          <w:p w14:paraId="7D4A984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160.847.447,45</w:t>
            </w:r>
          </w:p>
        </w:tc>
        <w:tc>
          <w:tcPr>
            <w:tcW w:w="354" w:type="pct"/>
            <w:tcBorders>
              <w:top w:val="nil"/>
              <w:left w:val="single" w:sz="8" w:space="0" w:color="auto"/>
              <w:bottom w:val="nil"/>
              <w:right w:val="single" w:sz="8" w:space="0" w:color="auto"/>
            </w:tcBorders>
            <w:shd w:val="clear" w:color="auto" w:fill="auto"/>
            <w:noWrap/>
            <w:vAlign w:val="bottom"/>
          </w:tcPr>
          <w:p w14:paraId="7D4A984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176.240.768,79</w:t>
            </w:r>
          </w:p>
        </w:tc>
      </w:tr>
      <w:tr w:rsidR="000875F4" w:rsidRPr="009E1B38" w14:paraId="7D4A9853" w14:textId="77777777" w:rsidTr="29720196">
        <w:trPr>
          <w:gridAfter w:val="4"/>
          <w:wAfter w:w="1354" w:type="pct"/>
          <w:trHeight w:val="602"/>
        </w:trPr>
        <w:tc>
          <w:tcPr>
            <w:tcW w:w="722" w:type="pct"/>
            <w:gridSpan w:val="3"/>
            <w:tcBorders>
              <w:top w:val="nil"/>
              <w:left w:val="single" w:sz="8" w:space="0" w:color="auto"/>
              <w:bottom w:val="nil"/>
              <w:right w:val="single" w:sz="8" w:space="0" w:color="000000" w:themeColor="text1"/>
            </w:tcBorders>
            <w:shd w:val="clear" w:color="auto" w:fill="auto"/>
            <w:noWrap/>
            <w:vAlign w:val="center"/>
            <w:hideMark/>
          </w:tcPr>
          <w:p w14:paraId="7D4A9849" w14:textId="0D943F73"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2-</w:t>
            </w:r>
            <w:r w:rsidR="00F2477A" w:rsidRPr="009E1B38">
              <w:rPr>
                <w:rFonts w:ascii="Times New Roman" w:eastAsia="Times New Roman" w:hAnsi="Times New Roman"/>
                <w:b/>
                <w:lang w:eastAsia="tr-TR"/>
              </w:rPr>
              <w:t xml:space="preserve"> FIXED ASSETS</w:t>
            </w:r>
          </w:p>
        </w:tc>
        <w:tc>
          <w:tcPr>
            <w:tcW w:w="330" w:type="pct"/>
            <w:tcBorders>
              <w:top w:val="nil"/>
              <w:left w:val="nil"/>
              <w:bottom w:val="nil"/>
              <w:right w:val="single" w:sz="8" w:space="0" w:color="auto"/>
            </w:tcBorders>
            <w:shd w:val="clear" w:color="auto" w:fill="auto"/>
            <w:noWrap/>
            <w:vAlign w:val="center"/>
          </w:tcPr>
          <w:p w14:paraId="7D4A984A"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348.269.236,85</w:t>
            </w:r>
          </w:p>
        </w:tc>
        <w:tc>
          <w:tcPr>
            <w:tcW w:w="330" w:type="pct"/>
            <w:tcBorders>
              <w:top w:val="nil"/>
              <w:left w:val="nil"/>
              <w:bottom w:val="nil"/>
              <w:right w:val="single" w:sz="8" w:space="0" w:color="auto"/>
            </w:tcBorders>
            <w:shd w:val="clear" w:color="auto" w:fill="auto"/>
            <w:noWrap/>
            <w:vAlign w:val="center"/>
          </w:tcPr>
          <w:p w14:paraId="7D4A984B"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348.008.011,14</w:t>
            </w:r>
          </w:p>
        </w:tc>
        <w:tc>
          <w:tcPr>
            <w:tcW w:w="339" w:type="pct"/>
            <w:tcBorders>
              <w:top w:val="nil"/>
              <w:left w:val="nil"/>
              <w:bottom w:val="nil"/>
              <w:right w:val="single" w:sz="8" w:space="0" w:color="auto"/>
            </w:tcBorders>
            <w:shd w:val="clear" w:color="auto" w:fill="auto"/>
            <w:noWrap/>
            <w:vAlign w:val="center"/>
          </w:tcPr>
          <w:p w14:paraId="7D4A984C"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343.907.879,54</w:t>
            </w:r>
          </w:p>
        </w:tc>
        <w:tc>
          <w:tcPr>
            <w:tcW w:w="38" w:type="pct"/>
            <w:tcBorders>
              <w:top w:val="nil"/>
              <w:left w:val="nil"/>
              <w:bottom w:val="nil"/>
              <w:right w:val="nil"/>
            </w:tcBorders>
            <w:shd w:val="clear" w:color="auto" w:fill="auto"/>
            <w:noWrap/>
            <w:vAlign w:val="bottom"/>
            <w:hideMark/>
          </w:tcPr>
          <w:p w14:paraId="7D4A984D" w14:textId="77777777" w:rsidR="000875F4" w:rsidRPr="009E1B38" w:rsidRDefault="000875F4" w:rsidP="000875F4">
            <w:pPr>
              <w:spacing w:after="0" w:line="240" w:lineRule="auto"/>
              <w:jc w:val="left"/>
              <w:rPr>
                <w:rFonts w:ascii="Times New Roman" w:eastAsia="Times New Roman" w:hAnsi="Times New Roman"/>
                <w:sz w:val="16"/>
                <w:szCs w:val="20"/>
                <w:lang w:eastAsia="tr-TR"/>
              </w:rPr>
            </w:pPr>
          </w:p>
        </w:tc>
        <w:tc>
          <w:tcPr>
            <w:tcW w:w="848" w:type="pct"/>
            <w:gridSpan w:val="2"/>
            <w:tcBorders>
              <w:top w:val="nil"/>
              <w:left w:val="nil"/>
              <w:bottom w:val="nil"/>
              <w:right w:val="nil"/>
            </w:tcBorders>
            <w:shd w:val="clear" w:color="auto" w:fill="auto"/>
            <w:noWrap/>
          </w:tcPr>
          <w:p w14:paraId="7D4A984F" w14:textId="29F46824" w:rsidR="000875F4" w:rsidRPr="009E1B38" w:rsidRDefault="29720196"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 xml:space="preserve">57-RECENT YEARS </w:t>
            </w:r>
            <w:r w:rsidR="00B34AF0" w:rsidRPr="009E1B38">
              <w:rPr>
                <w:rFonts w:ascii="Times New Roman" w:eastAsia="Times New Roman" w:hAnsi="Times New Roman"/>
                <w:b/>
                <w:lang w:eastAsia="tr-TR"/>
              </w:rPr>
              <w:t>POS</w:t>
            </w:r>
            <w:r w:rsidR="00500F0F" w:rsidRPr="009E1B38">
              <w:rPr>
                <w:rFonts w:ascii="Times New Roman" w:eastAsia="Times New Roman" w:hAnsi="Times New Roman"/>
                <w:b/>
                <w:lang w:eastAsia="tr-TR"/>
              </w:rPr>
              <w:t>I</w:t>
            </w:r>
            <w:r w:rsidR="00B34AF0" w:rsidRPr="009E1B38">
              <w:rPr>
                <w:rFonts w:ascii="Times New Roman" w:eastAsia="Times New Roman" w:hAnsi="Times New Roman"/>
                <w:b/>
                <w:lang w:eastAsia="tr-TR"/>
              </w:rPr>
              <w:t>T</w:t>
            </w:r>
            <w:r w:rsidR="00500F0F" w:rsidRPr="009E1B38">
              <w:rPr>
                <w:rFonts w:ascii="Times New Roman" w:eastAsia="Times New Roman" w:hAnsi="Times New Roman"/>
                <w:b/>
                <w:lang w:eastAsia="tr-TR"/>
              </w:rPr>
              <w:t>I</w:t>
            </w:r>
            <w:r w:rsidR="00B34AF0" w:rsidRPr="009E1B38">
              <w:rPr>
                <w:rFonts w:ascii="Times New Roman" w:eastAsia="Times New Roman" w:hAnsi="Times New Roman"/>
                <w:b/>
                <w:lang w:eastAsia="tr-TR"/>
              </w:rPr>
              <w:t>VE ACT</w:t>
            </w:r>
            <w:r w:rsidR="00500F0F" w:rsidRPr="009E1B38">
              <w:rPr>
                <w:rFonts w:ascii="Times New Roman" w:eastAsia="Times New Roman" w:hAnsi="Times New Roman"/>
                <w:b/>
                <w:lang w:eastAsia="tr-TR"/>
              </w:rPr>
              <w:t>I</w:t>
            </w:r>
            <w:r w:rsidR="00B34AF0" w:rsidRPr="009E1B38">
              <w:rPr>
                <w:rFonts w:ascii="Times New Roman" w:eastAsia="Times New Roman" w:hAnsi="Times New Roman"/>
                <w:b/>
                <w:lang w:eastAsia="tr-TR"/>
              </w:rPr>
              <w:t>V</w:t>
            </w:r>
            <w:r w:rsidR="00500F0F" w:rsidRPr="009E1B38">
              <w:rPr>
                <w:rFonts w:ascii="Times New Roman" w:eastAsia="Times New Roman" w:hAnsi="Times New Roman"/>
                <w:b/>
                <w:lang w:eastAsia="tr-TR"/>
              </w:rPr>
              <w:t>I</w:t>
            </w:r>
            <w:r w:rsidR="00B34AF0" w:rsidRPr="009E1B38">
              <w:rPr>
                <w:rFonts w:ascii="Times New Roman" w:eastAsia="Times New Roman" w:hAnsi="Times New Roman"/>
                <w:b/>
                <w:lang w:eastAsia="tr-TR"/>
              </w:rPr>
              <w:t>TY</w:t>
            </w:r>
            <w:r w:rsidRPr="009E1B38">
              <w:rPr>
                <w:rFonts w:ascii="Times New Roman" w:eastAsia="Times New Roman" w:hAnsi="Times New Roman"/>
                <w:b/>
                <w:lang w:eastAsia="tr-TR"/>
              </w:rPr>
              <w:t xml:space="preserve"> RESULTS</w:t>
            </w:r>
          </w:p>
        </w:tc>
        <w:tc>
          <w:tcPr>
            <w:tcW w:w="359" w:type="pct"/>
            <w:tcBorders>
              <w:top w:val="nil"/>
              <w:left w:val="single" w:sz="8" w:space="0" w:color="auto"/>
              <w:bottom w:val="nil"/>
              <w:right w:val="single" w:sz="8" w:space="0" w:color="auto"/>
            </w:tcBorders>
            <w:shd w:val="clear" w:color="auto" w:fill="auto"/>
            <w:noWrap/>
            <w:vAlign w:val="center"/>
          </w:tcPr>
          <w:p w14:paraId="7D4A9850"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294.163.722,39</w:t>
            </w:r>
          </w:p>
        </w:tc>
        <w:tc>
          <w:tcPr>
            <w:tcW w:w="326" w:type="pct"/>
            <w:tcBorders>
              <w:top w:val="nil"/>
              <w:left w:val="nil"/>
              <w:bottom w:val="nil"/>
              <w:right w:val="nil"/>
            </w:tcBorders>
            <w:shd w:val="clear" w:color="auto" w:fill="auto"/>
            <w:noWrap/>
            <w:vAlign w:val="center"/>
          </w:tcPr>
          <w:p w14:paraId="7D4A9851"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248.289.208,86</w:t>
            </w:r>
          </w:p>
        </w:tc>
        <w:tc>
          <w:tcPr>
            <w:tcW w:w="354" w:type="pct"/>
            <w:tcBorders>
              <w:top w:val="nil"/>
              <w:left w:val="single" w:sz="8" w:space="0" w:color="auto"/>
              <w:bottom w:val="nil"/>
              <w:right w:val="single" w:sz="8" w:space="0" w:color="auto"/>
            </w:tcBorders>
            <w:shd w:val="clear" w:color="auto" w:fill="auto"/>
            <w:noWrap/>
            <w:vAlign w:val="center"/>
          </w:tcPr>
          <w:p w14:paraId="7D4A9852"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638.773.907,07</w:t>
            </w:r>
          </w:p>
        </w:tc>
      </w:tr>
      <w:tr w:rsidR="000875F4" w:rsidRPr="009E1B38" w14:paraId="7D4A985F" w14:textId="77777777" w:rsidTr="29720196">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5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685" w:type="pct"/>
            <w:gridSpan w:val="2"/>
            <w:tcBorders>
              <w:top w:val="nil"/>
              <w:left w:val="nil"/>
              <w:bottom w:val="nil"/>
              <w:right w:val="single" w:sz="8" w:space="0" w:color="000000" w:themeColor="text1"/>
            </w:tcBorders>
            <w:shd w:val="clear" w:color="auto" w:fill="auto"/>
            <w:noWrap/>
            <w:vAlign w:val="bottom"/>
            <w:hideMark/>
          </w:tcPr>
          <w:p w14:paraId="7D4A9855" w14:textId="4FD80ABF"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22-</w:t>
            </w:r>
            <w:r w:rsidR="001D19F7" w:rsidRPr="009E1B38">
              <w:rPr>
                <w:rFonts w:ascii="Times New Roman" w:eastAsia="Times New Roman" w:hAnsi="Times New Roman"/>
                <w:b/>
                <w:lang w:eastAsia="tr-TR"/>
              </w:rPr>
              <w:t xml:space="preserve"> </w:t>
            </w:r>
            <w:r w:rsidR="00637658" w:rsidRPr="009E1B38">
              <w:rPr>
                <w:rFonts w:ascii="Times New Roman" w:eastAsia="Times New Roman" w:hAnsi="Times New Roman"/>
                <w:b/>
                <w:lang w:eastAsia="tr-TR"/>
              </w:rPr>
              <w:t>ACT</w:t>
            </w:r>
            <w:r w:rsidR="002566F0" w:rsidRPr="009E1B38">
              <w:rPr>
                <w:rFonts w:ascii="Times New Roman" w:eastAsia="Times New Roman" w:hAnsi="Times New Roman"/>
                <w:b/>
                <w:lang w:eastAsia="tr-TR"/>
              </w:rPr>
              <w:t>I</w:t>
            </w:r>
            <w:r w:rsidR="00637658" w:rsidRPr="009E1B38">
              <w:rPr>
                <w:rFonts w:ascii="Times New Roman" w:eastAsia="Times New Roman" w:hAnsi="Times New Roman"/>
                <w:b/>
                <w:lang w:eastAsia="tr-TR"/>
              </w:rPr>
              <w:t>V</w:t>
            </w:r>
            <w:r w:rsidR="00500F0F" w:rsidRPr="009E1B38">
              <w:rPr>
                <w:rFonts w:ascii="Times New Roman" w:eastAsia="Times New Roman" w:hAnsi="Times New Roman"/>
                <w:b/>
                <w:lang w:eastAsia="tr-TR"/>
              </w:rPr>
              <w:t>I</w:t>
            </w:r>
            <w:r w:rsidR="00637658" w:rsidRPr="009E1B38">
              <w:rPr>
                <w:rFonts w:ascii="Times New Roman" w:eastAsia="Times New Roman" w:hAnsi="Times New Roman"/>
                <w:b/>
                <w:lang w:eastAsia="tr-TR"/>
              </w:rPr>
              <w:t>TY</w:t>
            </w:r>
            <w:r w:rsidR="001D19F7" w:rsidRPr="009E1B38">
              <w:rPr>
                <w:rFonts w:ascii="Times New Roman" w:eastAsia="Times New Roman" w:hAnsi="Times New Roman"/>
                <w:b/>
                <w:lang w:eastAsia="tr-TR"/>
              </w:rPr>
              <w:t xml:space="preserve"> RECEİVABLES</w:t>
            </w:r>
          </w:p>
        </w:tc>
        <w:tc>
          <w:tcPr>
            <w:tcW w:w="330" w:type="pct"/>
            <w:tcBorders>
              <w:top w:val="nil"/>
              <w:left w:val="nil"/>
              <w:bottom w:val="nil"/>
              <w:right w:val="single" w:sz="8" w:space="0" w:color="auto"/>
            </w:tcBorders>
            <w:shd w:val="clear" w:color="auto" w:fill="auto"/>
            <w:noWrap/>
            <w:vAlign w:val="bottom"/>
          </w:tcPr>
          <w:p w14:paraId="7D4A9856"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571.122,83</w:t>
            </w:r>
          </w:p>
        </w:tc>
        <w:tc>
          <w:tcPr>
            <w:tcW w:w="330" w:type="pct"/>
            <w:tcBorders>
              <w:top w:val="nil"/>
              <w:left w:val="nil"/>
              <w:bottom w:val="nil"/>
              <w:right w:val="single" w:sz="8" w:space="0" w:color="auto"/>
            </w:tcBorders>
            <w:shd w:val="clear" w:color="auto" w:fill="auto"/>
            <w:noWrap/>
            <w:vAlign w:val="bottom"/>
          </w:tcPr>
          <w:p w14:paraId="7D4A9857"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300.000,00</w:t>
            </w:r>
          </w:p>
        </w:tc>
        <w:tc>
          <w:tcPr>
            <w:tcW w:w="339" w:type="pct"/>
            <w:tcBorders>
              <w:top w:val="nil"/>
              <w:left w:val="nil"/>
              <w:bottom w:val="nil"/>
              <w:right w:val="single" w:sz="8" w:space="0" w:color="auto"/>
            </w:tcBorders>
            <w:shd w:val="clear" w:color="auto" w:fill="auto"/>
            <w:noWrap/>
            <w:vAlign w:val="bottom"/>
          </w:tcPr>
          <w:p w14:paraId="7D4A9858"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300.000,00</w:t>
            </w:r>
          </w:p>
        </w:tc>
        <w:tc>
          <w:tcPr>
            <w:tcW w:w="38" w:type="pct"/>
            <w:tcBorders>
              <w:top w:val="nil"/>
              <w:left w:val="nil"/>
              <w:bottom w:val="nil"/>
              <w:right w:val="nil"/>
            </w:tcBorders>
            <w:shd w:val="clear" w:color="auto" w:fill="auto"/>
            <w:noWrap/>
            <w:vAlign w:val="bottom"/>
            <w:hideMark/>
          </w:tcPr>
          <w:p w14:paraId="7D4A9859"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72" w:type="pct"/>
            <w:tcBorders>
              <w:top w:val="nil"/>
              <w:left w:val="nil"/>
              <w:bottom w:val="nil"/>
              <w:right w:val="nil"/>
            </w:tcBorders>
            <w:shd w:val="clear" w:color="auto" w:fill="auto"/>
            <w:noWrap/>
            <w:vAlign w:val="bottom"/>
            <w:hideMark/>
          </w:tcPr>
          <w:p w14:paraId="7D4A985A"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bottom"/>
            <w:hideMark/>
          </w:tcPr>
          <w:p w14:paraId="7D4A985B" w14:textId="2018A87E" w:rsidR="000875F4" w:rsidRPr="009E1B38" w:rsidRDefault="00B34AF0"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570-Recent years positive activity results</w:t>
            </w:r>
          </w:p>
        </w:tc>
        <w:tc>
          <w:tcPr>
            <w:tcW w:w="359" w:type="pct"/>
            <w:tcBorders>
              <w:top w:val="nil"/>
              <w:left w:val="single" w:sz="8" w:space="0" w:color="auto"/>
              <w:bottom w:val="nil"/>
              <w:right w:val="single" w:sz="8" w:space="0" w:color="auto"/>
            </w:tcBorders>
            <w:shd w:val="clear" w:color="auto" w:fill="auto"/>
            <w:noWrap/>
            <w:vAlign w:val="center"/>
          </w:tcPr>
          <w:p w14:paraId="7D4A985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294.163.722,39</w:t>
            </w:r>
          </w:p>
        </w:tc>
        <w:tc>
          <w:tcPr>
            <w:tcW w:w="326" w:type="pct"/>
            <w:tcBorders>
              <w:top w:val="nil"/>
              <w:left w:val="nil"/>
              <w:bottom w:val="nil"/>
              <w:right w:val="nil"/>
            </w:tcBorders>
            <w:shd w:val="clear" w:color="auto" w:fill="auto"/>
            <w:noWrap/>
            <w:vAlign w:val="center"/>
          </w:tcPr>
          <w:p w14:paraId="7D4A985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248.289.208,86</w:t>
            </w:r>
          </w:p>
        </w:tc>
        <w:tc>
          <w:tcPr>
            <w:tcW w:w="354" w:type="pct"/>
            <w:tcBorders>
              <w:top w:val="nil"/>
              <w:left w:val="single" w:sz="8" w:space="0" w:color="auto"/>
              <w:bottom w:val="nil"/>
              <w:right w:val="single" w:sz="8" w:space="0" w:color="auto"/>
            </w:tcBorders>
            <w:shd w:val="clear" w:color="auto" w:fill="auto"/>
            <w:noWrap/>
            <w:vAlign w:val="bottom"/>
          </w:tcPr>
          <w:p w14:paraId="7D4A985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638.773.907,07</w:t>
            </w:r>
          </w:p>
        </w:tc>
      </w:tr>
      <w:tr w:rsidR="000875F4" w:rsidRPr="009E1B38" w14:paraId="7D4A987A"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6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bottom"/>
            <w:hideMark/>
          </w:tcPr>
          <w:p w14:paraId="7D4A986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bottom"/>
            <w:hideMark/>
          </w:tcPr>
          <w:p w14:paraId="7D4A9862" w14:textId="3A1FF1AD" w:rsidR="000875F4" w:rsidRPr="009E1B38" w:rsidRDefault="000875F4"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226-</w:t>
            </w:r>
            <w:r w:rsidR="002D7C54" w:rsidRPr="009E1B38">
              <w:rPr>
                <w:rFonts w:ascii="Times New Roman" w:eastAsia="Times New Roman" w:hAnsi="Times New Roman"/>
                <w:lang w:eastAsia="tr-TR"/>
              </w:rPr>
              <w:t xml:space="preserve"> Deposits and Guarantees Given</w:t>
            </w:r>
          </w:p>
        </w:tc>
        <w:tc>
          <w:tcPr>
            <w:tcW w:w="330" w:type="pct"/>
            <w:tcBorders>
              <w:top w:val="nil"/>
              <w:left w:val="nil"/>
              <w:bottom w:val="nil"/>
              <w:right w:val="single" w:sz="8" w:space="0" w:color="auto"/>
            </w:tcBorders>
            <w:shd w:val="clear" w:color="auto" w:fill="auto"/>
            <w:noWrap/>
            <w:vAlign w:val="bottom"/>
          </w:tcPr>
          <w:p w14:paraId="7D4A986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571.122,83</w:t>
            </w:r>
          </w:p>
        </w:tc>
        <w:tc>
          <w:tcPr>
            <w:tcW w:w="330" w:type="pct"/>
            <w:tcBorders>
              <w:top w:val="nil"/>
              <w:left w:val="nil"/>
              <w:bottom w:val="nil"/>
              <w:right w:val="single" w:sz="8" w:space="0" w:color="auto"/>
            </w:tcBorders>
            <w:shd w:val="clear" w:color="auto" w:fill="auto"/>
            <w:noWrap/>
            <w:vAlign w:val="bottom"/>
          </w:tcPr>
          <w:p w14:paraId="7D4A986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300.000,00</w:t>
            </w:r>
          </w:p>
        </w:tc>
        <w:tc>
          <w:tcPr>
            <w:tcW w:w="339" w:type="pct"/>
            <w:tcBorders>
              <w:top w:val="nil"/>
              <w:left w:val="nil"/>
              <w:bottom w:val="nil"/>
              <w:right w:val="single" w:sz="8" w:space="0" w:color="auto"/>
            </w:tcBorders>
            <w:shd w:val="clear" w:color="auto" w:fill="auto"/>
            <w:noWrap/>
            <w:vAlign w:val="bottom"/>
          </w:tcPr>
          <w:p w14:paraId="7D4A986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300.000,00</w:t>
            </w:r>
          </w:p>
        </w:tc>
        <w:tc>
          <w:tcPr>
            <w:tcW w:w="38" w:type="pct"/>
            <w:tcBorders>
              <w:top w:val="nil"/>
              <w:left w:val="nil"/>
              <w:bottom w:val="nil"/>
              <w:right w:val="nil"/>
            </w:tcBorders>
            <w:shd w:val="clear" w:color="auto" w:fill="auto"/>
            <w:noWrap/>
            <w:vAlign w:val="bottom"/>
            <w:hideMark/>
          </w:tcPr>
          <w:p w14:paraId="7D4A9866"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848" w:type="pct"/>
            <w:gridSpan w:val="2"/>
            <w:tcBorders>
              <w:top w:val="nil"/>
              <w:left w:val="nil"/>
              <w:bottom w:val="nil"/>
              <w:right w:val="nil"/>
            </w:tcBorders>
            <w:shd w:val="clear" w:color="auto" w:fill="auto"/>
            <w:noWrap/>
            <w:vAlign w:val="center"/>
            <w:hideMark/>
          </w:tcPr>
          <w:p w14:paraId="7D4A9867" w14:textId="275B8692" w:rsidR="000875F4" w:rsidRPr="009E1B38" w:rsidRDefault="000875F4" w:rsidP="000875F4">
            <w:pPr>
              <w:spacing w:after="0" w:line="240" w:lineRule="auto"/>
              <w:jc w:val="left"/>
              <w:rPr>
                <w:rFonts w:ascii="Times New Roman" w:eastAsia="Times New Roman" w:hAnsi="Times New Roman"/>
                <w:b/>
                <w:lang w:eastAsia="tr-TR"/>
              </w:rPr>
            </w:pPr>
          </w:p>
          <w:p w14:paraId="1FFD6B1D" w14:textId="275B8692" w:rsidR="00B34AF0" w:rsidRPr="009E1B38" w:rsidRDefault="29720196" w:rsidP="00637658">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 xml:space="preserve">58- RECENT YEARS NEGATIVE ACTIVITY RESULTS       </w:t>
            </w:r>
          </w:p>
          <w:p w14:paraId="7D4A9869" w14:textId="78F95E6E" w:rsidR="000875F4" w:rsidRPr="009E1B38" w:rsidRDefault="00637658"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lang w:eastAsia="tr-TR"/>
              </w:rPr>
              <w:t>580-</w:t>
            </w:r>
            <w:r w:rsidR="00B34AF0" w:rsidRPr="009E1B38">
              <w:rPr>
                <w:rFonts w:ascii="Times New Roman" w:eastAsia="Times New Roman" w:hAnsi="Times New Roman"/>
                <w:b/>
                <w:lang w:eastAsia="tr-TR"/>
              </w:rPr>
              <w:t xml:space="preserve"> R</w:t>
            </w:r>
            <w:r w:rsidR="00B34AF0" w:rsidRPr="009E1B38">
              <w:rPr>
                <w:rFonts w:ascii="Times New Roman" w:eastAsia="Times New Roman" w:hAnsi="Times New Roman"/>
                <w:lang w:eastAsia="tr-TR"/>
              </w:rPr>
              <w:t>ecent years positive activity results account</w:t>
            </w:r>
          </w:p>
          <w:p w14:paraId="7D4A986A" w14:textId="535D3A92" w:rsidR="000875F4" w:rsidRPr="009E1B38" w:rsidRDefault="00B34AF0"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59-PER</w:t>
            </w:r>
            <w:r w:rsidR="00500F0F" w:rsidRPr="009E1B38">
              <w:rPr>
                <w:rFonts w:ascii="Times New Roman" w:eastAsia="Times New Roman" w:hAnsi="Times New Roman"/>
                <w:b/>
                <w:lang w:eastAsia="tr-TR"/>
              </w:rPr>
              <w:t>I</w:t>
            </w:r>
            <w:r w:rsidRPr="009E1B38">
              <w:rPr>
                <w:rFonts w:ascii="Times New Roman" w:eastAsia="Times New Roman" w:hAnsi="Times New Roman"/>
                <w:b/>
                <w:lang w:eastAsia="tr-TR"/>
              </w:rPr>
              <w:t>OD ACT</w:t>
            </w:r>
            <w:r w:rsidR="00500F0F" w:rsidRPr="009E1B38">
              <w:rPr>
                <w:rFonts w:ascii="Times New Roman" w:eastAsia="Times New Roman" w:hAnsi="Times New Roman"/>
                <w:b/>
                <w:lang w:eastAsia="tr-TR"/>
              </w:rPr>
              <w:t>I</w:t>
            </w:r>
            <w:r w:rsidRPr="009E1B38">
              <w:rPr>
                <w:rFonts w:ascii="Times New Roman" w:eastAsia="Times New Roman" w:hAnsi="Times New Roman"/>
                <w:b/>
                <w:lang w:eastAsia="tr-TR"/>
              </w:rPr>
              <w:t>V</w:t>
            </w:r>
            <w:r w:rsidR="00500F0F" w:rsidRPr="009E1B38">
              <w:rPr>
                <w:rFonts w:ascii="Times New Roman" w:eastAsia="Times New Roman" w:hAnsi="Times New Roman"/>
                <w:b/>
                <w:lang w:eastAsia="tr-TR"/>
              </w:rPr>
              <w:t>I</w:t>
            </w:r>
            <w:r w:rsidRPr="009E1B38">
              <w:rPr>
                <w:rFonts w:ascii="Times New Roman" w:eastAsia="Times New Roman" w:hAnsi="Times New Roman"/>
                <w:b/>
                <w:lang w:eastAsia="tr-TR"/>
              </w:rPr>
              <w:t>TY RESULTS</w:t>
            </w:r>
          </w:p>
        </w:tc>
        <w:tc>
          <w:tcPr>
            <w:tcW w:w="359" w:type="pct"/>
            <w:tcBorders>
              <w:top w:val="nil"/>
              <w:left w:val="single" w:sz="8" w:space="0" w:color="auto"/>
              <w:bottom w:val="nil"/>
              <w:right w:val="single" w:sz="8" w:space="0" w:color="auto"/>
            </w:tcBorders>
            <w:shd w:val="clear" w:color="auto" w:fill="auto"/>
            <w:noWrap/>
            <w:vAlign w:val="bottom"/>
          </w:tcPr>
          <w:p w14:paraId="7D4A986B"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p w14:paraId="7D4A986C"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p>
          <w:p w14:paraId="7D4A986D"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0,00</w:t>
            </w:r>
          </w:p>
          <w:p w14:paraId="7D4A986E"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p>
          <w:p w14:paraId="7D4A986F"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114.972.933,92</w:t>
            </w:r>
          </w:p>
        </w:tc>
        <w:tc>
          <w:tcPr>
            <w:tcW w:w="326" w:type="pct"/>
            <w:tcBorders>
              <w:top w:val="nil"/>
              <w:left w:val="nil"/>
              <w:bottom w:val="nil"/>
              <w:right w:val="nil"/>
            </w:tcBorders>
            <w:shd w:val="clear" w:color="auto" w:fill="auto"/>
            <w:noWrap/>
            <w:vAlign w:val="bottom"/>
          </w:tcPr>
          <w:p w14:paraId="7D4A9870"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p w14:paraId="7D4A9871"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p>
          <w:p w14:paraId="7D4A9872"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0,00</w:t>
            </w:r>
          </w:p>
          <w:p w14:paraId="7D4A9873"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p>
          <w:p w14:paraId="7D4A9874"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133.659.124,67</w:t>
            </w:r>
          </w:p>
        </w:tc>
        <w:tc>
          <w:tcPr>
            <w:tcW w:w="354" w:type="pct"/>
            <w:tcBorders>
              <w:top w:val="nil"/>
              <w:left w:val="single" w:sz="8" w:space="0" w:color="auto"/>
              <w:bottom w:val="nil"/>
              <w:right w:val="single" w:sz="8" w:space="0" w:color="auto"/>
            </w:tcBorders>
            <w:shd w:val="clear" w:color="auto" w:fill="auto"/>
            <w:noWrap/>
            <w:vAlign w:val="bottom"/>
          </w:tcPr>
          <w:p w14:paraId="7D4A9875" w14:textId="77777777" w:rsidR="000875F4" w:rsidRPr="009E1B38" w:rsidRDefault="000875F4" w:rsidP="000875F4">
            <w:pPr>
              <w:spacing w:after="0" w:line="240" w:lineRule="auto"/>
              <w:jc w:val="right"/>
              <w:rPr>
                <w:rFonts w:ascii="Times New Roman" w:eastAsiaTheme="minorHAnsi" w:hAnsi="Times New Roman"/>
                <w:b/>
                <w:sz w:val="16"/>
                <w:szCs w:val="12"/>
              </w:rPr>
            </w:pPr>
            <w:r w:rsidRPr="009E1B38">
              <w:rPr>
                <w:rFonts w:ascii="Times New Roman" w:eastAsiaTheme="minorHAnsi" w:hAnsi="Times New Roman"/>
                <w:b/>
                <w:sz w:val="16"/>
                <w:szCs w:val="12"/>
              </w:rPr>
              <w:t>-283.754.525,55</w:t>
            </w:r>
          </w:p>
          <w:p w14:paraId="7D4A9876" w14:textId="77777777" w:rsidR="000875F4" w:rsidRPr="009E1B38" w:rsidRDefault="000875F4" w:rsidP="000875F4">
            <w:pPr>
              <w:spacing w:after="0" w:line="240" w:lineRule="auto"/>
              <w:jc w:val="right"/>
              <w:rPr>
                <w:rFonts w:ascii="Times New Roman" w:eastAsiaTheme="minorHAnsi" w:hAnsi="Times New Roman"/>
                <w:sz w:val="16"/>
                <w:szCs w:val="12"/>
              </w:rPr>
            </w:pPr>
          </w:p>
          <w:p w14:paraId="7D4A9877" w14:textId="77777777" w:rsidR="000875F4" w:rsidRPr="009E1B38" w:rsidRDefault="000875F4" w:rsidP="000875F4">
            <w:pPr>
              <w:spacing w:after="0" w:line="240" w:lineRule="auto"/>
              <w:jc w:val="right"/>
              <w:rPr>
                <w:rFonts w:ascii="Times New Roman" w:eastAsiaTheme="minorHAnsi" w:hAnsi="Times New Roman"/>
                <w:sz w:val="16"/>
                <w:szCs w:val="12"/>
              </w:rPr>
            </w:pPr>
            <w:r w:rsidRPr="009E1B38">
              <w:rPr>
                <w:rFonts w:ascii="Times New Roman" w:eastAsiaTheme="minorHAnsi" w:hAnsi="Times New Roman"/>
                <w:sz w:val="16"/>
                <w:szCs w:val="12"/>
              </w:rPr>
              <w:t>-283.754.525,55</w:t>
            </w:r>
          </w:p>
          <w:p w14:paraId="7D4A9878" w14:textId="77777777" w:rsidR="000875F4" w:rsidRPr="009E1B38" w:rsidRDefault="000875F4" w:rsidP="000875F4">
            <w:pPr>
              <w:spacing w:after="0" w:line="240" w:lineRule="auto"/>
              <w:jc w:val="right"/>
              <w:rPr>
                <w:rFonts w:ascii="Times New Roman" w:eastAsiaTheme="minorHAnsi" w:hAnsi="Times New Roman"/>
                <w:sz w:val="16"/>
                <w:szCs w:val="12"/>
              </w:rPr>
            </w:pPr>
          </w:p>
          <w:p w14:paraId="7D4A9879"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-112.007.094,96</w:t>
            </w:r>
          </w:p>
        </w:tc>
      </w:tr>
      <w:tr w:rsidR="000875F4" w:rsidRPr="009E1B38" w14:paraId="7D4A988D" w14:textId="77777777" w:rsidTr="29720196">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7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685" w:type="pct"/>
            <w:gridSpan w:val="2"/>
            <w:tcBorders>
              <w:top w:val="nil"/>
              <w:left w:val="nil"/>
              <w:bottom w:val="nil"/>
              <w:right w:val="single" w:sz="8" w:space="0" w:color="000000" w:themeColor="text1"/>
            </w:tcBorders>
            <w:shd w:val="clear" w:color="auto" w:fill="auto"/>
            <w:noWrap/>
            <w:vAlign w:val="center"/>
            <w:hideMark/>
          </w:tcPr>
          <w:p w14:paraId="7D4A987C" w14:textId="77777777" w:rsidR="000875F4" w:rsidRPr="009E1B38" w:rsidRDefault="000875F4" w:rsidP="000875F4">
            <w:pPr>
              <w:spacing w:after="0" w:line="240" w:lineRule="auto"/>
              <w:jc w:val="left"/>
              <w:rPr>
                <w:rFonts w:ascii="Times New Roman" w:eastAsia="Times New Roman" w:hAnsi="Times New Roman"/>
                <w:b/>
                <w:lang w:eastAsia="tr-TR"/>
              </w:rPr>
            </w:pPr>
          </w:p>
          <w:p w14:paraId="7D4A987D" w14:textId="4749FC81"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25-</w:t>
            </w:r>
            <w:r w:rsidR="007343EF" w:rsidRPr="009E1B38">
              <w:rPr>
                <w:rFonts w:ascii="Times New Roman" w:eastAsia="Times New Roman" w:hAnsi="Times New Roman"/>
                <w:b/>
                <w:lang w:eastAsia="tr-TR"/>
              </w:rPr>
              <w:t xml:space="preserve"> TANGIBLE ASSETS</w:t>
            </w:r>
          </w:p>
        </w:tc>
        <w:tc>
          <w:tcPr>
            <w:tcW w:w="330" w:type="pct"/>
            <w:tcBorders>
              <w:top w:val="nil"/>
              <w:left w:val="nil"/>
              <w:bottom w:val="nil"/>
              <w:right w:val="single" w:sz="8" w:space="0" w:color="auto"/>
            </w:tcBorders>
            <w:shd w:val="clear" w:color="auto" w:fill="auto"/>
            <w:noWrap/>
            <w:vAlign w:val="center"/>
          </w:tcPr>
          <w:p w14:paraId="7D4A987E"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347.698.114,02</w:t>
            </w:r>
          </w:p>
        </w:tc>
        <w:tc>
          <w:tcPr>
            <w:tcW w:w="330" w:type="pct"/>
            <w:tcBorders>
              <w:top w:val="nil"/>
              <w:left w:val="nil"/>
              <w:bottom w:val="nil"/>
              <w:right w:val="single" w:sz="8" w:space="0" w:color="auto"/>
            </w:tcBorders>
            <w:shd w:val="clear" w:color="auto" w:fill="auto"/>
            <w:noWrap/>
            <w:vAlign w:val="center"/>
          </w:tcPr>
          <w:p w14:paraId="7D4A987F"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347.708.011,14</w:t>
            </w:r>
          </w:p>
        </w:tc>
        <w:tc>
          <w:tcPr>
            <w:tcW w:w="339" w:type="pct"/>
            <w:tcBorders>
              <w:top w:val="nil"/>
              <w:left w:val="nil"/>
              <w:bottom w:val="nil"/>
              <w:right w:val="single" w:sz="8" w:space="0" w:color="auto"/>
            </w:tcBorders>
            <w:shd w:val="clear" w:color="auto" w:fill="auto"/>
            <w:noWrap/>
            <w:vAlign w:val="center"/>
          </w:tcPr>
          <w:p w14:paraId="7D4A9880"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heme="minorHAnsi" w:hAnsi="Times New Roman"/>
                <w:b/>
                <w:sz w:val="16"/>
                <w:szCs w:val="12"/>
              </w:rPr>
              <w:t>343.607.879,54</w:t>
            </w:r>
          </w:p>
        </w:tc>
        <w:tc>
          <w:tcPr>
            <w:tcW w:w="38" w:type="pct"/>
            <w:tcBorders>
              <w:top w:val="nil"/>
              <w:left w:val="nil"/>
              <w:bottom w:val="nil"/>
              <w:right w:val="nil"/>
            </w:tcBorders>
            <w:shd w:val="clear" w:color="auto" w:fill="auto"/>
            <w:noWrap/>
            <w:vAlign w:val="bottom"/>
            <w:hideMark/>
          </w:tcPr>
          <w:p w14:paraId="7D4A9881"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72" w:type="pct"/>
            <w:tcBorders>
              <w:top w:val="nil"/>
              <w:left w:val="nil"/>
              <w:bottom w:val="nil"/>
              <w:right w:val="nil"/>
            </w:tcBorders>
            <w:shd w:val="clear" w:color="auto" w:fill="auto"/>
            <w:noWrap/>
            <w:vAlign w:val="center"/>
            <w:hideMark/>
          </w:tcPr>
          <w:p w14:paraId="7D4A9882"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center"/>
            <w:hideMark/>
          </w:tcPr>
          <w:p w14:paraId="7D4A9883" w14:textId="275B8692" w:rsidR="000875F4" w:rsidRPr="009E1B38" w:rsidRDefault="000875F4" w:rsidP="000875F4">
            <w:pPr>
              <w:spacing w:after="0" w:line="240" w:lineRule="auto"/>
              <w:jc w:val="left"/>
              <w:rPr>
                <w:rFonts w:ascii="Times New Roman" w:eastAsia="Times New Roman" w:hAnsi="Times New Roman"/>
                <w:lang w:eastAsia="tr-TR"/>
              </w:rPr>
            </w:pPr>
          </w:p>
          <w:p w14:paraId="65D1DD39" w14:textId="275B8692" w:rsidR="00B34AF0" w:rsidRPr="009E1B38" w:rsidRDefault="29720196" w:rsidP="29720196">
            <w:pPr>
              <w:pStyle w:val="HTMLncedenBiimlendirilmi"/>
              <w:spacing w:line="540" w:lineRule="atLeast"/>
              <w:rPr>
                <w:rFonts w:ascii="Times New Roman" w:eastAsia="Times New Roman" w:hAnsi="Times New Roman"/>
                <w:sz w:val="22"/>
                <w:szCs w:val="22"/>
                <w:lang w:eastAsia="tr-TR"/>
              </w:rPr>
            </w:pPr>
            <w:r w:rsidRPr="009E1B38">
              <w:rPr>
                <w:rFonts w:ascii="Times New Roman" w:eastAsia="Times New Roman" w:hAnsi="Times New Roman"/>
                <w:sz w:val="22"/>
                <w:szCs w:val="22"/>
                <w:lang w:eastAsia="tr-TR"/>
              </w:rPr>
              <w:t>590-</w:t>
            </w:r>
            <w:r w:rsidRPr="009E1B38">
              <w:rPr>
                <w:rStyle w:val="Balk3Char"/>
                <w:rFonts w:ascii="Times New Roman" w:hAnsi="Times New Roman" w:cs="Times New Roman"/>
                <w:color w:val="202124"/>
                <w:sz w:val="22"/>
                <w:szCs w:val="22"/>
              </w:rPr>
              <w:t xml:space="preserve"> </w:t>
            </w:r>
            <w:r w:rsidRPr="009E1B38">
              <w:rPr>
                <w:rFonts w:ascii="Times New Roman" w:eastAsia="Times New Roman" w:hAnsi="Times New Roman"/>
                <w:sz w:val="22"/>
                <w:szCs w:val="22"/>
                <w:lang w:eastAsia="tr-TR"/>
              </w:rPr>
              <w:t>Period Positive Activity Result Account</w:t>
            </w:r>
          </w:p>
          <w:p w14:paraId="0185DBBA" w14:textId="275B8692" w:rsidR="00B34AF0" w:rsidRPr="009E1B38" w:rsidRDefault="00B34AF0" w:rsidP="29720196">
            <w:pPr>
              <w:pStyle w:val="HTMLncedenBiimlendirilmi"/>
              <w:spacing w:line="540" w:lineRule="atLeast"/>
              <w:rPr>
                <w:rFonts w:ascii="Times New Roman" w:eastAsia="Times New Roman" w:hAnsi="Times New Roman"/>
                <w:sz w:val="22"/>
                <w:szCs w:val="22"/>
                <w:lang w:eastAsia="tr-TR"/>
              </w:rPr>
            </w:pPr>
          </w:p>
          <w:p w14:paraId="7D4A9885" w14:textId="1F20A506" w:rsidR="000875F4" w:rsidRPr="009E1B38" w:rsidRDefault="00637658"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591-</w:t>
            </w:r>
            <w:r w:rsidR="00B34AF0" w:rsidRPr="009E1B38">
              <w:rPr>
                <w:rFonts w:ascii="Times New Roman" w:eastAsia="Times New Roman" w:hAnsi="Times New Roman"/>
                <w:lang w:eastAsia="tr-TR"/>
              </w:rPr>
              <w:t xml:space="preserve"> Period Negative Activity Result </w:t>
            </w:r>
          </w:p>
        </w:tc>
        <w:tc>
          <w:tcPr>
            <w:tcW w:w="359" w:type="pct"/>
            <w:tcBorders>
              <w:top w:val="nil"/>
              <w:left w:val="single" w:sz="8" w:space="0" w:color="auto"/>
              <w:bottom w:val="nil"/>
              <w:right w:val="single" w:sz="8" w:space="0" w:color="auto"/>
            </w:tcBorders>
            <w:shd w:val="clear" w:color="auto" w:fill="auto"/>
            <w:noWrap/>
            <w:vAlign w:val="bottom"/>
          </w:tcPr>
          <w:p w14:paraId="7D4A9886"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114.972.933,92</w:t>
            </w:r>
          </w:p>
          <w:p w14:paraId="7D4A988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0,00</w:t>
            </w:r>
          </w:p>
        </w:tc>
        <w:tc>
          <w:tcPr>
            <w:tcW w:w="326" w:type="pct"/>
            <w:tcBorders>
              <w:top w:val="nil"/>
              <w:left w:val="nil"/>
              <w:bottom w:val="nil"/>
              <w:right w:val="nil"/>
            </w:tcBorders>
            <w:shd w:val="clear" w:color="auto" w:fill="auto"/>
            <w:noWrap/>
            <w:vAlign w:val="bottom"/>
          </w:tcPr>
          <w:p w14:paraId="7D4A9888" w14:textId="77777777" w:rsidR="000875F4" w:rsidRPr="009E1B38" w:rsidRDefault="000875F4" w:rsidP="000875F4">
            <w:pPr>
              <w:spacing w:after="0" w:line="240" w:lineRule="auto"/>
              <w:jc w:val="right"/>
              <w:rPr>
                <w:rFonts w:ascii="Times New Roman" w:eastAsia="Times New Roman" w:hAnsi="Times New Roman"/>
                <w:bCs/>
                <w:sz w:val="16"/>
                <w:szCs w:val="16"/>
                <w:lang w:eastAsia="tr-TR"/>
              </w:rPr>
            </w:pPr>
            <w:r w:rsidRPr="009E1B38">
              <w:rPr>
                <w:rFonts w:ascii="Times New Roman" w:eastAsia="Times New Roman" w:hAnsi="Times New Roman"/>
                <w:bCs/>
                <w:sz w:val="16"/>
                <w:szCs w:val="16"/>
                <w:lang w:eastAsia="tr-TR"/>
              </w:rPr>
              <w:t>133.659.124,67</w:t>
            </w:r>
          </w:p>
          <w:p w14:paraId="7D4A988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center"/>
          </w:tcPr>
          <w:p w14:paraId="7D4A988A" w14:textId="77777777" w:rsidR="000875F4" w:rsidRPr="009E1B38" w:rsidRDefault="000875F4" w:rsidP="000875F4">
            <w:pPr>
              <w:spacing w:after="0" w:line="240" w:lineRule="auto"/>
              <w:jc w:val="right"/>
              <w:rPr>
                <w:rFonts w:ascii="Times New Roman" w:eastAsiaTheme="minorHAnsi" w:hAnsi="Times New Roman"/>
                <w:sz w:val="16"/>
                <w:szCs w:val="12"/>
              </w:rPr>
            </w:pPr>
          </w:p>
          <w:p w14:paraId="7D4A988B" w14:textId="77777777" w:rsidR="000875F4" w:rsidRPr="009E1B38" w:rsidRDefault="000875F4" w:rsidP="000875F4">
            <w:pPr>
              <w:spacing w:after="0" w:line="240" w:lineRule="auto"/>
              <w:jc w:val="right"/>
              <w:rPr>
                <w:rFonts w:ascii="Times New Roman" w:eastAsiaTheme="minorHAnsi" w:hAnsi="Times New Roman"/>
                <w:sz w:val="16"/>
                <w:szCs w:val="12"/>
              </w:rPr>
            </w:pPr>
            <w:r w:rsidRPr="009E1B38">
              <w:rPr>
                <w:rFonts w:ascii="Times New Roman" w:eastAsiaTheme="minorHAnsi" w:hAnsi="Times New Roman"/>
                <w:sz w:val="16"/>
                <w:szCs w:val="12"/>
              </w:rPr>
              <w:t>0,00</w:t>
            </w:r>
          </w:p>
          <w:p w14:paraId="7D4A988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-112.007.094,96</w:t>
            </w:r>
          </w:p>
        </w:tc>
      </w:tr>
      <w:tr w:rsidR="000875F4" w:rsidRPr="009E1B38" w14:paraId="7D4A989A"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8E"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center"/>
            <w:hideMark/>
          </w:tcPr>
          <w:p w14:paraId="7D4A988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890" w14:textId="639578C2" w:rsidR="000875F4" w:rsidRPr="009E1B38" w:rsidRDefault="00064067"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250- Land and Parcels Account</w:t>
            </w:r>
          </w:p>
        </w:tc>
        <w:tc>
          <w:tcPr>
            <w:tcW w:w="330" w:type="pct"/>
            <w:tcBorders>
              <w:top w:val="nil"/>
              <w:left w:val="nil"/>
              <w:bottom w:val="nil"/>
              <w:right w:val="single" w:sz="8" w:space="0" w:color="auto"/>
            </w:tcBorders>
            <w:shd w:val="clear" w:color="auto" w:fill="auto"/>
            <w:noWrap/>
            <w:vAlign w:val="center"/>
          </w:tcPr>
          <w:p w14:paraId="7D4A989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96.310.000,00</w:t>
            </w:r>
          </w:p>
        </w:tc>
        <w:tc>
          <w:tcPr>
            <w:tcW w:w="330" w:type="pct"/>
            <w:tcBorders>
              <w:top w:val="nil"/>
              <w:left w:val="nil"/>
              <w:bottom w:val="nil"/>
              <w:right w:val="single" w:sz="8" w:space="0" w:color="auto"/>
            </w:tcBorders>
            <w:shd w:val="clear" w:color="auto" w:fill="auto"/>
            <w:noWrap/>
            <w:vAlign w:val="center"/>
          </w:tcPr>
          <w:p w14:paraId="7D4A989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96.310.000,00</w:t>
            </w:r>
          </w:p>
        </w:tc>
        <w:tc>
          <w:tcPr>
            <w:tcW w:w="339" w:type="pct"/>
            <w:tcBorders>
              <w:top w:val="nil"/>
              <w:left w:val="nil"/>
              <w:bottom w:val="nil"/>
              <w:right w:val="single" w:sz="8" w:space="0" w:color="auto"/>
            </w:tcBorders>
            <w:shd w:val="clear" w:color="auto" w:fill="auto"/>
            <w:noWrap/>
            <w:vAlign w:val="center"/>
          </w:tcPr>
          <w:p w14:paraId="7D4A989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96.310.000,00</w:t>
            </w:r>
          </w:p>
        </w:tc>
        <w:tc>
          <w:tcPr>
            <w:tcW w:w="38" w:type="pct"/>
            <w:tcBorders>
              <w:top w:val="nil"/>
              <w:left w:val="nil"/>
              <w:bottom w:val="nil"/>
              <w:right w:val="nil"/>
            </w:tcBorders>
            <w:shd w:val="clear" w:color="auto" w:fill="auto"/>
            <w:noWrap/>
            <w:vAlign w:val="bottom"/>
            <w:hideMark/>
          </w:tcPr>
          <w:p w14:paraId="7D4A9894"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72" w:type="pct"/>
            <w:tcBorders>
              <w:top w:val="nil"/>
              <w:left w:val="nil"/>
              <w:bottom w:val="nil"/>
              <w:right w:val="nil"/>
            </w:tcBorders>
            <w:shd w:val="clear" w:color="auto" w:fill="auto"/>
            <w:noWrap/>
            <w:vAlign w:val="bottom"/>
            <w:hideMark/>
          </w:tcPr>
          <w:p w14:paraId="7D4A9895"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bottom"/>
            <w:hideMark/>
          </w:tcPr>
          <w:p w14:paraId="7D4A9896"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14:paraId="7D4A9897"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326" w:type="pct"/>
            <w:tcBorders>
              <w:top w:val="nil"/>
              <w:left w:val="nil"/>
              <w:bottom w:val="nil"/>
              <w:right w:val="nil"/>
            </w:tcBorders>
            <w:shd w:val="clear" w:color="auto" w:fill="auto"/>
            <w:noWrap/>
            <w:vAlign w:val="bottom"/>
          </w:tcPr>
          <w:p w14:paraId="7D4A9898"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14:paraId="7D4A9899"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r>
      <w:tr w:rsidR="000875F4" w:rsidRPr="009E1B38" w14:paraId="7D4A98A7"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9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center"/>
            <w:hideMark/>
          </w:tcPr>
          <w:p w14:paraId="7D4A989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89D" w14:textId="47AA626E" w:rsidR="000875F4" w:rsidRPr="009E1B38" w:rsidRDefault="00064067"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252- Buildings Account</w:t>
            </w:r>
          </w:p>
        </w:tc>
        <w:tc>
          <w:tcPr>
            <w:tcW w:w="330" w:type="pct"/>
            <w:tcBorders>
              <w:top w:val="nil"/>
              <w:left w:val="nil"/>
              <w:bottom w:val="nil"/>
              <w:right w:val="single" w:sz="8" w:space="0" w:color="auto"/>
            </w:tcBorders>
            <w:shd w:val="clear" w:color="auto" w:fill="auto"/>
            <w:noWrap/>
            <w:vAlign w:val="center"/>
          </w:tcPr>
          <w:p w14:paraId="7D4A989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14.915.698,80</w:t>
            </w:r>
          </w:p>
        </w:tc>
        <w:tc>
          <w:tcPr>
            <w:tcW w:w="330" w:type="pct"/>
            <w:tcBorders>
              <w:top w:val="nil"/>
              <w:left w:val="nil"/>
              <w:bottom w:val="nil"/>
              <w:right w:val="single" w:sz="8" w:space="0" w:color="auto"/>
            </w:tcBorders>
            <w:shd w:val="clear" w:color="auto" w:fill="auto"/>
            <w:noWrap/>
            <w:vAlign w:val="center"/>
          </w:tcPr>
          <w:p w14:paraId="7D4A989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14.915.698,86</w:t>
            </w:r>
          </w:p>
        </w:tc>
        <w:tc>
          <w:tcPr>
            <w:tcW w:w="339" w:type="pct"/>
            <w:tcBorders>
              <w:top w:val="nil"/>
              <w:left w:val="nil"/>
              <w:bottom w:val="nil"/>
              <w:right w:val="single" w:sz="8" w:space="0" w:color="auto"/>
            </w:tcBorders>
            <w:shd w:val="clear" w:color="auto" w:fill="auto"/>
            <w:noWrap/>
            <w:vAlign w:val="center"/>
          </w:tcPr>
          <w:p w14:paraId="7D4A98A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14.915.698,86</w:t>
            </w:r>
          </w:p>
        </w:tc>
        <w:tc>
          <w:tcPr>
            <w:tcW w:w="38" w:type="pct"/>
            <w:tcBorders>
              <w:top w:val="nil"/>
              <w:left w:val="nil"/>
              <w:bottom w:val="nil"/>
              <w:right w:val="nil"/>
            </w:tcBorders>
            <w:shd w:val="clear" w:color="auto" w:fill="auto"/>
            <w:noWrap/>
            <w:vAlign w:val="bottom"/>
            <w:hideMark/>
          </w:tcPr>
          <w:p w14:paraId="7D4A98A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72" w:type="pct"/>
            <w:tcBorders>
              <w:top w:val="nil"/>
              <w:left w:val="nil"/>
              <w:bottom w:val="nil"/>
              <w:right w:val="nil"/>
            </w:tcBorders>
            <w:shd w:val="clear" w:color="auto" w:fill="auto"/>
            <w:noWrap/>
            <w:vAlign w:val="bottom"/>
            <w:hideMark/>
          </w:tcPr>
          <w:p w14:paraId="7D4A98A2"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bottom"/>
            <w:hideMark/>
          </w:tcPr>
          <w:p w14:paraId="7D4A98A3"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14:paraId="7D4A98A4"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326" w:type="pct"/>
            <w:tcBorders>
              <w:top w:val="nil"/>
              <w:left w:val="nil"/>
              <w:bottom w:val="nil"/>
              <w:right w:val="nil"/>
            </w:tcBorders>
            <w:shd w:val="clear" w:color="auto" w:fill="auto"/>
            <w:noWrap/>
            <w:vAlign w:val="bottom"/>
            <w:hideMark/>
          </w:tcPr>
          <w:p w14:paraId="7D4A98A5"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14:paraId="7D4A98A6"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r>
      <w:tr w:rsidR="000875F4" w:rsidRPr="009E1B38" w14:paraId="7D4A98B4"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A8"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lastRenderedPageBreak/>
              <w:t> </w:t>
            </w:r>
          </w:p>
        </w:tc>
        <w:tc>
          <w:tcPr>
            <w:tcW w:w="88" w:type="pct"/>
            <w:tcBorders>
              <w:top w:val="nil"/>
              <w:left w:val="nil"/>
              <w:bottom w:val="nil"/>
              <w:right w:val="nil"/>
            </w:tcBorders>
            <w:shd w:val="clear" w:color="auto" w:fill="auto"/>
            <w:noWrap/>
            <w:vAlign w:val="center"/>
            <w:hideMark/>
          </w:tcPr>
          <w:p w14:paraId="7D4A98A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8AA" w14:textId="7BD4A5AD" w:rsidR="000875F4" w:rsidRPr="009E1B38" w:rsidRDefault="00064067"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253- Facility, Machine and Equipment</w:t>
            </w:r>
          </w:p>
        </w:tc>
        <w:tc>
          <w:tcPr>
            <w:tcW w:w="330" w:type="pct"/>
            <w:tcBorders>
              <w:top w:val="nil"/>
              <w:left w:val="nil"/>
              <w:bottom w:val="nil"/>
              <w:right w:val="single" w:sz="8" w:space="0" w:color="auto"/>
            </w:tcBorders>
            <w:shd w:val="clear" w:color="auto" w:fill="auto"/>
            <w:noWrap/>
            <w:vAlign w:val="center"/>
          </w:tcPr>
          <w:p w14:paraId="7D4A98A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5.534.290,08</w:t>
            </w:r>
          </w:p>
        </w:tc>
        <w:tc>
          <w:tcPr>
            <w:tcW w:w="330" w:type="pct"/>
            <w:tcBorders>
              <w:top w:val="nil"/>
              <w:left w:val="nil"/>
              <w:bottom w:val="nil"/>
              <w:right w:val="single" w:sz="8" w:space="0" w:color="auto"/>
            </w:tcBorders>
            <w:shd w:val="clear" w:color="auto" w:fill="auto"/>
            <w:noWrap/>
            <w:vAlign w:val="center"/>
          </w:tcPr>
          <w:p w14:paraId="7D4A98A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5.504.656,26</w:t>
            </w:r>
          </w:p>
        </w:tc>
        <w:tc>
          <w:tcPr>
            <w:tcW w:w="339" w:type="pct"/>
            <w:tcBorders>
              <w:top w:val="nil"/>
              <w:left w:val="nil"/>
              <w:bottom w:val="nil"/>
              <w:right w:val="single" w:sz="8" w:space="0" w:color="auto"/>
            </w:tcBorders>
            <w:shd w:val="clear" w:color="auto" w:fill="auto"/>
            <w:noWrap/>
            <w:vAlign w:val="center"/>
          </w:tcPr>
          <w:p w14:paraId="7D4A98A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5.597.857,52</w:t>
            </w:r>
          </w:p>
        </w:tc>
        <w:tc>
          <w:tcPr>
            <w:tcW w:w="38" w:type="pct"/>
            <w:tcBorders>
              <w:top w:val="nil"/>
              <w:left w:val="nil"/>
              <w:bottom w:val="nil"/>
              <w:right w:val="nil"/>
            </w:tcBorders>
            <w:shd w:val="clear" w:color="auto" w:fill="auto"/>
            <w:noWrap/>
            <w:vAlign w:val="center"/>
            <w:hideMark/>
          </w:tcPr>
          <w:p w14:paraId="7D4A98AE"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bottom"/>
            <w:hideMark/>
          </w:tcPr>
          <w:p w14:paraId="7D4A98AF"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bottom"/>
            <w:hideMark/>
          </w:tcPr>
          <w:p w14:paraId="7D4A98B0"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14:paraId="7D4A98B1"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326" w:type="pct"/>
            <w:tcBorders>
              <w:top w:val="nil"/>
              <w:left w:val="nil"/>
              <w:bottom w:val="nil"/>
              <w:right w:val="nil"/>
            </w:tcBorders>
            <w:shd w:val="clear" w:color="auto" w:fill="auto"/>
            <w:noWrap/>
            <w:vAlign w:val="bottom"/>
            <w:hideMark/>
          </w:tcPr>
          <w:p w14:paraId="7D4A98B2"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14:paraId="7D4A98B3"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r>
      <w:tr w:rsidR="000875F4" w:rsidRPr="009E1B38" w14:paraId="7D4A98C1"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B5"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center"/>
            <w:hideMark/>
          </w:tcPr>
          <w:p w14:paraId="7D4A98B6"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8B7" w14:textId="129A654D" w:rsidR="000875F4" w:rsidRPr="009E1B38" w:rsidRDefault="00064067"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254-Vehicles Account</w:t>
            </w:r>
          </w:p>
        </w:tc>
        <w:tc>
          <w:tcPr>
            <w:tcW w:w="330" w:type="pct"/>
            <w:tcBorders>
              <w:top w:val="nil"/>
              <w:left w:val="nil"/>
              <w:bottom w:val="nil"/>
              <w:right w:val="single" w:sz="8" w:space="0" w:color="auto"/>
            </w:tcBorders>
            <w:shd w:val="clear" w:color="auto" w:fill="auto"/>
            <w:noWrap/>
            <w:vAlign w:val="center"/>
          </w:tcPr>
          <w:p w14:paraId="7D4A98B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14:paraId="7D4A98B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39" w:type="pct"/>
            <w:tcBorders>
              <w:top w:val="nil"/>
              <w:left w:val="nil"/>
              <w:bottom w:val="nil"/>
              <w:right w:val="single" w:sz="8" w:space="0" w:color="auto"/>
            </w:tcBorders>
            <w:shd w:val="clear" w:color="auto" w:fill="auto"/>
            <w:noWrap/>
            <w:vAlign w:val="bottom"/>
          </w:tcPr>
          <w:p w14:paraId="7D4A98B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tc>
        <w:tc>
          <w:tcPr>
            <w:tcW w:w="38" w:type="pct"/>
            <w:tcBorders>
              <w:top w:val="nil"/>
              <w:left w:val="nil"/>
              <w:bottom w:val="nil"/>
              <w:right w:val="nil"/>
            </w:tcBorders>
            <w:shd w:val="clear" w:color="auto" w:fill="auto"/>
            <w:noWrap/>
            <w:vAlign w:val="center"/>
            <w:hideMark/>
          </w:tcPr>
          <w:p w14:paraId="7D4A98B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bottom"/>
            <w:hideMark/>
          </w:tcPr>
          <w:p w14:paraId="7D4A98BC"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bottom"/>
            <w:hideMark/>
          </w:tcPr>
          <w:p w14:paraId="7D4A98BD"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14:paraId="7D4A98BE"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326" w:type="pct"/>
            <w:tcBorders>
              <w:top w:val="nil"/>
              <w:left w:val="nil"/>
              <w:bottom w:val="nil"/>
              <w:right w:val="nil"/>
            </w:tcBorders>
            <w:shd w:val="clear" w:color="auto" w:fill="auto"/>
            <w:noWrap/>
            <w:vAlign w:val="bottom"/>
            <w:hideMark/>
          </w:tcPr>
          <w:p w14:paraId="7D4A98BF"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14:paraId="7D4A98C0"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r>
      <w:tr w:rsidR="000875F4" w:rsidRPr="009E1B38" w14:paraId="7D4A98CE"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C2"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center"/>
            <w:hideMark/>
          </w:tcPr>
          <w:p w14:paraId="7D4A98C3"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8C4" w14:textId="12703A55" w:rsidR="000875F4" w:rsidRPr="009E1B38" w:rsidRDefault="00465223"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255-Fixtures Account</w:t>
            </w:r>
          </w:p>
        </w:tc>
        <w:tc>
          <w:tcPr>
            <w:tcW w:w="330" w:type="pct"/>
            <w:tcBorders>
              <w:top w:val="nil"/>
              <w:left w:val="nil"/>
              <w:bottom w:val="nil"/>
              <w:right w:val="single" w:sz="8" w:space="0" w:color="auto"/>
            </w:tcBorders>
            <w:shd w:val="clear" w:color="auto" w:fill="auto"/>
            <w:noWrap/>
            <w:vAlign w:val="center"/>
          </w:tcPr>
          <w:p w14:paraId="7D4A98C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40.935.378,38</w:t>
            </w:r>
          </w:p>
        </w:tc>
        <w:tc>
          <w:tcPr>
            <w:tcW w:w="330" w:type="pct"/>
            <w:tcBorders>
              <w:top w:val="nil"/>
              <w:left w:val="nil"/>
              <w:bottom w:val="nil"/>
              <w:right w:val="single" w:sz="8" w:space="0" w:color="auto"/>
            </w:tcBorders>
            <w:shd w:val="clear" w:color="auto" w:fill="auto"/>
            <w:noWrap/>
            <w:vAlign w:val="center"/>
          </w:tcPr>
          <w:p w14:paraId="7D4A98C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43.720.953,55</w:t>
            </w:r>
          </w:p>
        </w:tc>
        <w:tc>
          <w:tcPr>
            <w:tcW w:w="339" w:type="pct"/>
            <w:tcBorders>
              <w:top w:val="nil"/>
              <w:left w:val="nil"/>
              <w:bottom w:val="nil"/>
              <w:right w:val="single" w:sz="8" w:space="0" w:color="auto"/>
            </w:tcBorders>
            <w:shd w:val="clear" w:color="auto" w:fill="auto"/>
            <w:noWrap/>
            <w:vAlign w:val="center"/>
          </w:tcPr>
          <w:p w14:paraId="7D4A98C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45.024.457,01</w:t>
            </w:r>
          </w:p>
        </w:tc>
        <w:tc>
          <w:tcPr>
            <w:tcW w:w="38" w:type="pct"/>
            <w:tcBorders>
              <w:top w:val="nil"/>
              <w:left w:val="nil"/>
              <w:bottom w:val="nil"/>
              <w:right w:val="nil"/>
            </w:tcBorders>
            <w:shd w:val="clear" w:color="auto" w:fill="auto"/>
            <w:noWrap/>
            <w:vAlign w:val="center"/>
            <w:hideMark/>
          </w:tcPr>
          <w:p w14:paraId="7D4A98C8"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bottom"/>
            <w:hideMark/>
          </w:tcPr>
          <w:p w14:paraId="7D4A98C9"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bottom"/>
            <w:hideMark/>
          </w:tcPr>
          <w:p w14:paraId="7D4A98CA"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14:paraId="7D4A98CB"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326" w:type="pct"/>
            <w:tcBorders>
              <w:top w:val="nil"/>
              <w:left w:val="nil"/>
              <w:bottom w:val="nil"/>
              <w:right w:val="nil"/>
            </w:tcBorders>
            <w:shd w:val="clear" w:color="auto" w:fill="auto"/>
            <w:noWrap/>
            <w:vAlign w:val="bottom"/>
            <w:hideMark/>
          </w:tcPr>
          <w:p w14:paraId="7D4A98CC"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14:paraId="7D4A98CD" w14:textId="77777777" w:rsidR="000875F4" w:rsidRPr="009E1B38" w:rsidRDefault="000875F4" w:rsidP="000875F4">
            <w:pPr>
              <w:spacing w:after="0" w:line="240" w:lineRule="auto"/>
              <w:jc w:val="righ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r>
      <w:tr w:rsidR="000875F4" w:rsidRPr="009E1B38" w14:paraId="7D4A98DB"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8CF"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bottom w:val="nil"/>
              <w:right w:val="nil"/>
            </w:tcBorders>
            <w:shd w:val="clear" w:color="auto" w:fill="auto"/>
            <w:noWrap/>
            <w:vAlign w:val="center"/>
            <w:hideMark/>
          </w:tcPr>
          <w:p w14:paraId="7D4A98D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14:paraId="7D4A98D1" w14:textId="57F58B8D" w:rsidR="000875F4" w:rsidRPr="009E1B38" w:rsidRDefault="00465223"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257-Accumulated Amortizations Account (-)</w:t>
            </w:r>
          </w:p>
        </w:tc>
        <w:tc>
          <w:tcPr>
            <w:tcW w:w="330" w:type="pct"/>
            <w:tcBorders>
              <w:top w:val="nil"/>
              <w:left w:val="nil"/>
              <w:bottom w:val="nil"/>
              <w:right w:val="single" w:sz="8" w:space="0" w:color="auto"/>
            </w:tcBorders>
            <w:shd w:val="clear" w:color="auto" w:fill="auto"/>
            <w:noWrap/>
            <w:vAlign w:val="center"/>
          </w:tcPr>
          <w:p w14:paraId="7D4A98D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-47.137.253,54</w:t>
            </w:r>
          </w:p>
        </w:tc>
        <w:tc>
          <w:tcPr>
            <w:tcW w:w="330" w:type="pct"/>
            <w:tcBorders>
              <w:top w:val="nil"/>
              <w:left w:val="nil"/>
              <w:bottom w:val="nil"/>
              <w:right w:val="single" w:sz="8" w:space="0" w:color="auto"/>
            </w:tcBorders>
            <w:shd w:val="clear" w:color="auto" w:fill="auto"/>
            <w:noWrap/>
            <w:vAlign w:val="center"/>
          </w:tcPr>
          <w:p w14:paraId="7D4A98D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-49.883.297,47</w:t>
            </w:r>
          </w:p>
        </w:tc>
        <w:tc>
          <w:tcPr>
            <w:tcW w:w="339" w:type="pct"/>
            <w:tcBorders>
              <w:top w:val="nil"/>
              <w:left w:val="nil"/>
              <w:bottom w:val="nil"/>
              <w:right w:val="single" w:sz="8" w:space="0" w:color="auto"/>
            </w:tcBorders>
            <w:shd w:val="clear" w:color="auto" w:fill="auto"/>
            <w:noWrap/>
            <w:vAlign w:val="center"/>
          </w:tcPr>
          <w:p w14:paraId="7D4A98D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-55.380.133,79</w:t>
            </w:r>
          </w:p>
        </w:tc>
        <w:tc>
          <w:tcPr>
            <w:tcW w:w="38" w:type="pct"/>
            <w:tcBorders>
              <w:top w:val="nil"/>
              <w:left w:val="nil"/>
              <w:bottom w:val="nil"/>
              <w:right w:val="nil"/>
            </w:tcBorders>
            <w:shd w:val="clear" w:color="auto" w:fill="auto"/>
            <w:noWrap/>
            <w:vAlign w:val="bottom"/>
            <w:hideMark/>
          </w:tcPr>
          <w:p w14:paraId="7D4A98D5"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72" w:type="pct"/>
            <w:tcBorders>
              <w:top w:val="nil"/>
              <w:left w:val="nil"/>
              <w:bottom w:val="nil"/>
              <w:right w:val="nil"/>
            </w:tcBorders>
            <w:shd w:val="clear" w:color="auto" w:fill="auto"/>
            <w:noWrap/>
            <w:vAlign w:val="bottom"/>
            <w:hideMark/>
          </w:tcPr>
          <w:p w14:paraId="7D4A98D6"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bottom"/>
            <w:hideMark/>
          </w:tcPr>
          <w:p w14:paraId="7D4A98D7"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14:paraId="7D4A98D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326" w:type="pct"/>
            <w:tcBorders>
              <w:top w:val="nil"/>
              <w:left w:val="nil"/>
              <w:bottom w:val="nil"/>
              <w:right w:val="nil"/>
            </w:tcBorders>
            <w:shd w:val="clear" w:color="auto" w:fill="auto"/>
            <w:noWrap/>
            <w:vAlign w:val="bottom"/>
            <w:hideMark/>
          </w:tcPr>
          <w:p w14:paraId="7D4A98D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14:paraId="7D4A98D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r>
      <w:tr w:rsidR="000875F4" w:rsidRPr="009E1B38" w14:paraId="7D4A98E8" w14:textId="77777777" w:rsidTr="000875F4">
        <w:trPr>
          <w:gridAfter w:val="4"/>
          <w:wAfter w:w="1354" w:type="pct"/>
          <w:trHeight w:val="20"/>
        </w:trPr>
        <w:tc>
          <w:tcPr>
            <w:tcW w:w="37" w:type="pct"/>
            <w:tcBorders>
              <w:top w:val="nil"/>
              <w:left w:val="single" w:sz="8" w:space="0" w:color="auto"/>
              <w:right w:val="nil"/>
            </w:tcBorders>
            <w:shd w:val="clear" w:color="auto" w:fill="auto"/>
            <w:noWrap/>
            <w:vAlign w:val="center"/>
            <w:hideMark/>
          </w:tcPr>
          <w:p w14:paraId="7D4A98DC"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88" w:type="pct"/>
            <w:tcBorders>
              <w:top w:val="nil"/>
              <w:left w:val="nil"/>
              <w:right w:val="nil"/>
            </w:tcBorders>
            <w:shd w:val="clear" w:color="auto" w:fill="auto"/>
            <w:noWrap/>
            <w:vAlign w:val="center"/>
            <w:hideMark/>
          </w:tcPr>
          <w:p w14:paraId="7D4A98D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597" w:type="pct"/>
            <w:tcBorders>
              <w:top w:val="nil"/>
              <w:left w:val="nil"/>
              <w:right w:val="single" w:sz="8" w:space="0" w:color="auto"/>
            </w:tcBorders>
            <w:shd w:val="clear" w:color="auto" w:fill="auto"/>
            <w:noWrap/>
            <w:vAlign w:val="center"/>
            <w:hideMark/>
          </w:tcPr>
          <w:p w14:paraId="7D4A98DE" w14:textId="1284D646" w:rsidR="000875F4" w:rsidRPr="009E1B38" w:rsidRDefault="00465223"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258-Investments Account</w:t>
            </w:r>
          </w:p>
        </w:tc>
        <w:tc>
          <w:tcPr>
            <w:tcW w:w="330" w:type="pct"/>
            <w:tcBorders>
              <w:top w:val="nil"/>
              <w:left w:val="nil"/>
              <w:right w:val="single" w:sz="8" w:space="0" w:color="auto"/>
            </w:tcBorders>
            <w:shd w:val="clear" w:color="auto" w:fill="auto"/>
            <w:noWrap/>
            <w:vAlign w:val="center"/>
          </w:tcPr>
          <w:p w14:paraId="7D4A98D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221.626.421,16</w:t>
            </w:r>
          </w:p>
        </w:tc>
        <w:tc>
          <w:tcPr>
            <w:tcW w:w="330" w:type="pct"/>
            <w:tcBorders>
              <w:top w:val="nil"/>
              <w:left w:val="nil"/>
              <w:right w:val="single" w:sz="8" w:space="0" w:color="auto"/>
            </w:tcBorders>
            <w:shd w:val="clear" w:color="auto" w:fill="auto"/>
            <w:noWrap/>
            <w:vAlign w:val="center"/>
          </w:tcPr>
          <w:p w14:paraId="7D4A98E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233.268.040,46</w:t>
            </w:r>
          </w:p>
        </w:tc>
        <w:tc>
          <w:tcPr>
            <w:tcW w:w="339" w:type="pct"/>
            <w:tcBorders>
              <w:top w:val="nil"/>
              <w:left w:val="nil"/>
              <w:right w:val="single" w:sz="8" w:space="0" w:color="auto"/>
            </w:tcBorders>
            <w:shd w:val="clear" w:color="auto" w:fill="auto"/>
            <w:noWrap/>
            <w:vAlign w:val="center"/>
          </w:tcPr>
          <w:p w14:paraId="7D4A98E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233.268.040,46</w:t>
            </w:r>
          </w:p>
        </w:tc>
        <w:tc>
          <w:tcPr>
            <w:tcW w:w="38" w:type="pct"/>
            <w:tcBorders>
              <w:top w:val="nil"/>
              <w:left w:val="nil"/>
              <w:right w:val="nil"/>
            </w:tcBorders>
            <w:shd w:val="clear" w:color="auto" w:fill="auto"/>
            <w:noWrap/>
            <w:vAlign w:val="bottom"/>
            <w:hideMark/>
          </w:tcPr>
          <w:p w14:paraId="7D4A98E2"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72" w:type="pct"/>
            <w:tcBorders>
              <w:top w:val="nil"/>
              <w:left w:val="nil"/>
              <w:right w:val="nil"/>
            </w:tcBorders>
            <w:shd w:val="clear" w:color="auto" w:fill="auto"/>
            <w:noWrap/>
            <w:vAlign w:val="bottom"/>
            <w:hideMark/>
          </w:tcPr>
          <w:p w14:paraId="7D4A98E3"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right w:val="nil"/>
            </w:tcBorders>
            <w:shd w:val="clear" w:color="auto" w:fill="auto"/>
            <w:noWrap/>
            <w:vAlign w:val="bottom"/>
            <w:hideMark/>
          </w:tcPr>
          <w:p w14:paraId="7D4A98E4"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right w:val="single" w:sz="8" w:space="0" w:color="auto"/>
            </w:tcBorders>
            <w:shd w:val="clear" w:color="auto" w:fill="auto"/>
            <w:noWrap/>
            <w:vAlign w:val="bottom"/>
            <w:hideMark/>
          </w:tcPr>
          <w:p w14:paraId="7D4A98E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326" w:type="pct"/>
            <w:tcBorders>
              <w:top w:val="nil"/>
              <w:left w:val="nil"/>
              <w:right w:val="nil"/>
            </w:tcBorders>
            <w:shd w:val="clear" w:color="auto" w:fill="auto"/>
            <w:noWrap/>
            <w:vAlign w:val="bottom"/>
            <w:hideMark/>
          </w:tcPr>
          <w:p w14:paraId="7D4A98E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54" w:type="pct"/>
            <w:tcBorders>
              <w:top w:val="nil"/>
              <w:left w:val="single" w:sz="8" w:space="0" w:color="auto"/>
              <w:right w:val="single" w:sz="8" w:space="0" w:color="auto"/>
            </w:tcBorders>
            <w:shd w:val="clear" w:color="auto" w:fill="auto"/>
            <w:noWrap/>
            <w:vAlign w:val="bottom"/>
            <w:hideMark/>
          </w:tcPr>
          <w:p w14:paraId="7D4A98E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r>
      <w:tr w:rsidR="000875F4" w:rsidRPr="009E1B38" w14:paraId="7D4A98F5" w14:textId="77777777" w:rsidTr="000875F4">
        <w:trPr>
          <w:gridAfter w:val="4"/>
          <w:wAfter w:w="1354" w:type="pct"/>
          <w:trHeight w:val="20"/>
        </w:trPr>
        <w:tc>
          <w:tcPr>
            <w:tcW w:w="37" w:type="pct"/>
            <w:tcBorders>
              <w:top w:val="nil"/>
              <w:left w:val="single" w:sz="8" w:space="0" w:color="auto"/>
              <w:bottom w:val="single" w:sz="4" w:space="0" w:color="auto"/>
              <w:right w:val="nil"/>
            </w:tcBorders>
            <w:shd w:val="clear" w:color="auto" w:fill="auto"/>
            <w:noWrap/>
            <w:vAlign w:val="bottom"/>
            <w:hideMark/>
          </w:tcPr>
          <w:p w14:paraId="7D4A98E9"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88" w:type="pct"/>
            <w:tcBorders>
              <w:top w:val="nil"/>
              <w:left w:val="nil"/>
              <w:bottom w:val="single" w:sz="4" w:space="0" w:color="auto"/>
              <w:right w:val="nil"/>
            </w:tcBorders>
            <w:shd w:val="clear" w:color="auto" w:fill="auto"/>
            <w:noWrap/>
            <w:vAlign w:val="center"/>
            <w:hideMark/>
          </w:tcPr>
          <w:p w14:paraId="7D4A98EA"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597" w:type="pct"/>
            <w:tcBorders>
              <w:top w:val="nil"/>
              <w:left w:val="nil"/>
              <w:bottom w:val="single" w:sz="4" w:space="0" w:color="auto"/>
              <w:right w:val="single" w:sz="8" w:space="0" w:color="auto"/>
            </w:tcBorders>
            <w:shd w:val="clear" w:color="auto" w:fill="auto"/>
            <w:noWrap/>
            <w:vAlign w:val="center"/>
            <w:hideMark/>
          </w:tcPr>
          <w:p w14:paraId="7D4A98EB" w14:textId="2C9B4536" w:rsidR="000875F4" w:rsidRPr="009E1B38" w:rsidRDefault="00465223"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259-Investments Advance Payments Account</w:t>
            </w:r>
          </w:p>
        </w:tc>
        <w:tc>
          <w:tcPr>
            <w:tcW w:w="330" w:type="pct"/>
            <w:tcBorders>
              <w:top w:val="nil"/>
              <w:left w:val="nil"/>
              <w:bottom w:val="single" w:sz="4" w:space="0" w:color="auto"/>
              <w:right w:val="single" w:sz="8" w:space="0" w:color="auto"/>
            </w:tcBorders>
            <w:shd w:val="clear" w:color="auto" w:fill="auto"/>
            <w:noWrap/>
            <w:vAlign w:val="center"/>
          </w:tcPr>
          <w:p w14:paraId="7D4A98E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15.513.578,84</w:t>
            </w:r>
          </w:p>
        </w:tc>
        <w:tc>
          <w:tcPr>
            <w:tcW w:w="330" w:type="pct"/>
            <w:tcBorders>
              <w:top w:val="nil"/>
              <w:left w:val="nil"/>
              <w:bottom w:val="single" w:sz="4" w:space="0" w:color="auto"/>
              <w:right w:val="single" w:sz="8" w:space="0" w:color="auto"/>
            </w:tcBorders>
            <w:shd w:val="clear" w:color="auto" w:fill="auto"/>
            <w:noWrap/>
            <w:vAlign w:val="center"/>
          </w:tcPr>
          <w:p w14:paraId="7D4A98E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3.871.959,48</w:t>
            </w:r>
          </w:p>
        </w:tc>
        <w:tc>
          <w:tcPr>
            <w:tcW w:w="339" w:type="pct"/>
            <w:tcBorders>
              <w:top w:val="nil"/>
              <w:left w:val="nil"/>
              <w:bottom w:val="single" w:sz="4" w:space="0" w:color="auto"/>
              <w:right w:val="single" w:sz="8" w:space="0" w:color="auto"/>
            </w:tcBorders>
            <w:shd w:val="clear" w:color="auto" w:fill="auto"/>
            <w:noWrap/>
            <w:vAlign w:val="center"/>
          </w:tcPr>
          <w:p w14:paraId="7D4A98E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3.871.959,48</w:t>
            </w:r>
          </w:p>
        </w:tc>
        <w:tc>
          <w:tcPr>
            <w:tcW w:w="38" w:type="pct"/>
            <w:tcBorders>
              <w:top w:val="nil"/>
              <w:left w:val="nil"/>
              <w:bottom w:val="single" w:sz="4" w:space="0" w:color="auto"/>
              <w:right w:val="nil"/>
            </w:tcBorders>
            <w:shd w:val="clear" w:color="auto" w:fill="auto"/>
            <w:noWrap/>
            <w:vAlign w:val="bottom"/>
            <w:hideMark/>
          </w:tcPr>
          <w:p w14:paraId="7D4A98EF"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72" w:type="pct"/>
            <w:tcBorders>
              <w:top w:val="nil"/>
              <w:left w:val="nil"/>
              <w:bottom w:val="single" w:sz="4" w:space="0" w:color="auto"/>
              <w:right w:val="nil"/>
            </w:tcBorders>
            <w:shd w:val="clear" w:color="auto" w:fill="auto"/>
            <w:noWrap/>
            <w:vAlign w:val="bottom"/>
            <w:hideMark/>
          </w:tcPr>
          <w:p w14:paraId="7D4A98F0"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single" w:sz="4" w:space="0" w:color="auto"/>
              <w:right w:val="nil"/>
            </w:tcBorders>
            <w:shd w:val="clear" w:color="auto" w:fill="auto"/>
            <w:noWrap/>
            <w:vAlign w:val="bottom"/>
            <w:hideMark/>
          </w:tcPr>
          <w:p w14:paraId="7D4A98F1"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single" w:sz="4" w:space="0" w:color="auto"/>
              <w:right w:val="single" w:sz="8" w:space="0" w:color="auto"/>
            </w:tcBorders>
            <w:shd w:val="clear" w:color="auto" w:fill="auto"/>
            <w:noWrap/>
            <w:vAlign w:val="bottom"/>
            <w:hideMark/>
          </w:tcPr>
          <w:p w14:paraId="7D4A98F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326" w:type="pct"/>
            <w:tcBorders>
              <w:top w:val="nil"/>
              <w:left w:val="nil"/>
              <w:bottom w:val="single" w:sz="4" w:space="0" w:color="auto"/>
              <w:right w:val="nil"/>
            </w:tcBorders>
            <w:shd w:val="clear" w:color="auto" w:fill="auto"/>
            <w:noWrap/>
            <w:vAlign w:val="bottom"/>
            <w:hideMark/>
          </w:tcPr>
          <w:p w14:paraId="7D4A98F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54" w:type="pct"/>
            <w:tcBorders>
              <w:top w:val="nil"/>
              <w:left w:val="single" w:sz="8" w:space="0" w:color="auto"/>
              <w:bottom w:val="single" w:sz="4" w:space="0" w:color="auto"/>
              <w:right w:val="single" w:sz="8" w:space="0" w:color="auto"/>
            </w:tcBorders>
            <w:shd w:val="clear" w:color="auto" w:fill="auto"/>
            <w:noWrap/>
            <w:vAlign w:val="bottom"/>
            <w:hideMark/>
          </w:tcPr>
          <w:p w14:paraId="7D4A98F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r>
      <w:tr w:rsidR="000875F4" w:rsidRPr="009E1B38" w14:paraId="7D4A9901" w14:textId="77777777" w:rsidTr="29720196">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14:paraId="7D4A98F6"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685" w:type="pct"/>
            <w:gridSpan w:val="2"/>
            <w:tcBorders>
              <w:top w:val="nil"/>
              <w:left w:val="nil"/>
              <w:bottom w:val="nil"/>
              <w:right w:val="single" w:sz="8" w:space="0" w:color="000000" w:themeColor="text1"/>
            </w:tcBorders>
            <w:shd w:val="clear" w:color="auto" w:fill="auto"/>
            <w:noWrap/>
            <w:vAlign w:val="center"/>
            <w:hideMark/>
          </w:tcPr>
          <w:p w14:paraId="7D4A98F7" w14:textId="6692D578"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26-</w:t>
            </w:r>
            <w:r w:rsidR="00FE64D1" w:rsidRPr="009E1B38">
              <w:rPr>
                <w:rFonts w:ascii="Times New Roman" w:eastAsiaTheme="minorHAnsi" w:hAnsi="Times New Roman"/>
                <w:b/>
              </w:rPr>
              <w:t xml:space="preserve"> I</w:t>
            </w:r>
            <w:r w:rsidR="00FE64D1" w:rsidRPr="009E1B38">
              <w:rPr>
                <w:rFonts w:ascii="Times New Roman" w:eastAsia="Times New Roman" w:hAnsi="Times New Roman"/>
                <w:b/>
                <w:lang w:eastAsia="tr-TR"/>
              </w:rPr>
              <w:t>NTANGIBLE ASSETS</w:t>
            </w:r>
          </w:p>
        </w:tc>
        <w:tc>
          <w:tcPr>
            <w:tcW w:w="330" w:type="pct"/>
            <w:tcBorders>
              <w:top w:val="nil"/>
              <w:left w:val="nil"/>
              <w:bottom w:val="nil"/>
              <w:right w:val="single" w:sz="8" w:space="0" w:color="auto"/>
            </w:tcBorders>
            <w:shd w:val="clear" w:color="auto" w:fill="auto"/>
            <w:noWrap/>
            <w:vAlign w:val="center"/>
          </w:tcPr>
          <w:p w14:paraId="7D4A98F8"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30" w:type="pct"/>
            <w:tcBorders>
              <w:top w:val="nil"/>
              <w:left w:val="nil"/>
              <w:bottom w:val="nil"/>
              <w:right w:val="single" w:sz="8" w:space="0" w:color="auto"/>
            </w:tcBorders>
            <w:shd w:val="clear" w:color="auto" w:fill="auto"/>
            <w:noWrap/>
            <w:vAlign w:val="center"/>
          </w:tcPr>
          <w:p w14:paraId="7D4A98F9"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39" w:type="pct"/>
            <w:tcBorders>
              <w:top w:val="nil"/>
              <w:left w:val="nil"/>
              <w:bottom w:val="nil"/>
              <w:right w:val="single" w:sz="8" w:space="0" w:color="auto"/>
            </w:tcBorders>
            <w:shd w:val="clear" w:color="auto" w:fill="auto"/>
            <w:noWrap/>
            <w:vAlign w:val="center"/>
          </w:tcPr>
          <w:p w14:paraId="7D4A98FA"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0,00</w:t>
            </w:r>
          </w:p>
        </w:tc>
        <w:tc>
          <w:tcPr>
            <w:tcW w:w="38" w:type="pct"/>
            <w:tcBorders>
              <w:top w:val="nil"/>
              <w:left w:val="nil"/>
              <w:bottom w:val="nil"/>
              <w:right w:val="nil"/>
            </w:tcBorders>
            <w:shd w:val="clear" w:color="auto" w:fill="auto"/>
            <w:noWrap/>
            <w:vAlign w:val="center"/>
            <w:hideMark/>
          </w:tcPr>
          <w:p w14:paraId="7D4A98FB"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center"/>
            <w:hideMark/>
          </w:tcPr>
          <w:p w14:paraId="7D4A98FC"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center"/>
            <w:hideMark/>
          </w:tcPr>
          <w:p w14:paraId="7D4A98FD"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nil"/>
              <w:right w:val="single" w:sz="8" w:space="0" w:color="auto"/>
            </w:tcBorders>
            <w:shd w:val="clear" w:color="auto" w:fill="auto"/>
            <w:noWrap/>
            <w:vAlign w:val="center"/>
            <w:hideMark/>
          </w:tcPr>
          <w:p w14:paraId="7D4A98F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326" w:type="pct"/>
            <w:tcBorders>
              <w:top w:val="nil"/>
              <w:left w:val="nil"/>
              <w:bottom w:val="nil"/>
              <w:right w:val="nil"/>
            </w:tcBorders>
            <w:shd w:val="clear" w:color="auto" w:fill="auto"/>
            <w:noWrap/>
            <w:vAlign w:val="center"/>
            <w:hideMark/>
          </w:tcPr>
          <w:p w14:paraId="7D4A98F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center"/>
            <w:hideMark/>
          </w:tcPr>
          <w:p w14:paraId="7D4A990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r>
      <w:tr w:rsidR="000875F4" w:rsidRPr="009E1B38" w14:paraId="7D4A990E"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14:paraId="7D4A9902"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88" w:type="pct"/>
            <w:tcBorders>
              <w:top w:val="nil"/>
              <w:left w:val="nil"/>
              <w:bottom w:val="nil"/>
              <w:right w:val="nil"/>
            </w:tcBorders>
            <w:shd w:val="clear" w:color="auto" w:fill="auto"/>
            <w:noWrap/>
            <w:vAlign w:val="bottom"/>
            <w:hideMark/>
          </w:tcPr>
          <w:p w14:paraId="7D4A9903"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597" w:type="pct"/>
            <w:tcBorders>
              <w:top w:val="nil"/>
              <w:left w:val="nil"/>
              <w:bottom w:val="nil"/>
              <w:right w:val="single" w:sz="8" w:space="0" w:color="auto"/>
            </w:tcBorders>
            <w:shd w:val="clear" w:color="auto" w:fill="auto"/>
            <w:vAlign w:val="center"/>
            <w:hideMark/>
          </w:tcPr>
          <w:p w14:paraId="7D4A9904" w14:textId="0126EAB0" w:rsidR="000875F4" w:rsidRPr="009E1B38" w:rsidRDefault="000E08B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260-Rights Account</w:t>
            </w:r>
          </w:p>
        </w:tc>
        <w:tc>
          <w:tcPr>
            <w:tcW w:w="330" w:type="pct"/>
            <w:tcBorders>
              <w:top w:val="nil"/>
              <w:left w:val="nil"/>
              <w:bottom w:val="nil"/>
              <w:right w:val="single" w:sz="8" w:space="0" w:color="auto"/>
            </w:tcBorders>
            <w:shd w:val="clear" w:color="auto" w:fill="auto"/>
            <w:noWrap/>
            <w:vAlign w:val="center"/>
          </w:tcPr>
          <w:p w14:paraId="7D4A990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13.988.931,81</w:t>
            </w:r>
          </w:p>
        </w:tc>
        <w:tc>
          <w:tcPr>
            <w:tcW w:w="330" w:type="pct"/>
            <w:tcBorders>
              <w:top w:val="nil"/>
              <w:left w:val="nil"/>
              <w:bottom w:val="nil"/>
              <w:right w:val="single" w:sz="8" w:space="0" w:color="auto"/>
            </w:tcBorders>
            <w:shd w:val="clear" w:color="auto" w:fill="auto"/>
            <w:noWrap/>
            <w:vAlign w:val="center"/>
          </w:tcPr>
          <w:p w14:paraId="7D4A990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20.055.411,15</w:t>
            </w:r>
          </w:p>
        </w:tc>
        <w:tc>
          <w:tcPr>
            <w:tcW w:w="339" w:type="pct"/>
            <w:tcBorders>
              <w:top w:val="nil"/>
              <w:left w:val="nil"/>
              <w:bottom w:val="nil"/>
              <w:right w:val="single" w:sz="8" w:space="0" w:color="auto"/>
            </w:tcBorders>
            <w:shd w:val="clear" w:color="auto" w:fill="auto"/>
            <w:noWrap/>
            <w:vAlign w:val="center"/>
          </w:tcPr>
          <w:p w14:paraId="7D4A990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22.247.109,43</w:t>
            </w:r>
          </w:p>
        </w:tc>
        <w:tc>
          <w:tcPr>
            <w:tcW w:w="38" w:type="pct"/>
            <w:tcBorders>
              <w:top w:val="nil"/>
              <w:left w:val="nil"/>
              <w:bottom w:val="nil"/>
              <w:right w:val="nil"/>
            </w:tcBorders>
            <w:shd w:val="clear" w:color="auto" w:fill="auto"/>
            <w:noWrap/>
            <w:vAlign w:val="center"/>
            <w:hideMark/>
          </w:tcPr>
          <w:p w14:paraId="7D4A9908"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center"/>
            <w:hideMark/>
          </w:tcPr>
          <w:p w14:paraId="7D4A9909"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nil"/>
              <w:right w:val="nil"/>
            </w:tcBorders>
            <w:shd w:val="clear" w:color="auto" w:fill="auto"/>
            <w:noWrap/>
            <w:vAlign w:val="center"/>
            <w:hideMark/>
          </w:tcPr>
          <w:p w14:paraId="7D4A990A"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nil"/>
              <w:right w:val="single" w:sz="8" w:space="0" w:color="auto"/>
            </w:tcBorders>
            <w:shd w:val="clear" w:color="auto" w:fill="auto"/>
            <w:noWrap/>
            <w:vAlign w:val="center"/>
            <w:hideMark/>
          </w:tcPr>
          <w:p w14:paraId="7D4A990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326" w:type="pct"/>
            <w:tcBorders>
              <w:top w:val="nil"/>
              <w:left w:val="nil"/>
              <w:bottom w:val="nil"/>
              <w:right w:val="nil"/>
            </w:tcBorders>
            <w:shd w:val="clear" w:color="auto" w:fill="auto"/>
            <w:noWrap/>
            <w:vAlign w:val="center"/>
            <w:hideMark/>
          </w:tcPr>
          <w:p w14:paraId="7D4A990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center"/>
            <w:hideMark/>
          </w:tcPr>
          <w:p w14:paraId="7D4A990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r>
      <w:tr w:rsidR="000875F4" w:rsidRPr="009E1B38" w14:paraId="7D4A991B" w14:textId="77777777" w:rsidTr="000875F4">
        <w:trPr>
          <w:gridAfter w:val="4"/>
          <w:wAfter w:w="1354" w:type="pct"/>
          <w:trHeight w:val="20"/>
        </w:trPr>
        <w:tc>
          <w:tcPr>
            <w:tcW w:w="37" w:type="pct"/>
            <w:tcBorders>
              <w:top w:val="nil"/>
              <w:left w:val="single" w:sz="8" w:space="0" w:color="auto"/>
              <w:bottom w:val="single" w:sz="4" w:space="0" w:color="auto"/>
              <w:right w:val="nil"/>
            </w:tcBorders>
            <w:shd w:val="clear" w:color="auto" w:fill="auto"/>
            <w:noWrap/>
            <w:vAlign w:val="bottom"/>
            <w:hideMark/>
          </w:tcPr>
          <w:p w14:paraId="7D4A990F"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r w:rsidRPr="009E1B38">
              <w:rPr>
                <w:rFonts w:ascii="Times New Roman" w:eastAsia="Times New Roman" w:hAnsi="Times New Roman"/>
                <w:sz w:val="20"/>
                <w:szCs w:val="20"/>
                <w:lang w:eastAsia="tr-TR"/>
              </w:rPr>
              <w:t> </w:t>
            </w:r>
          </w:p>
        </w:tc>
        <w:tc>
          <w:tcPr>
            <w:tcW w:w="88" w:type="pct"/>
            <w:tcBorders>
              <w:top w:val="nil"/>
              <w:left w:val="nil"/>
              <w:bottom w:val="single" w:sz="4" w:space="0" w:color="auto"/>
              <w:right w:val="nil"/>
            </w:tcBorders>
            <w:shd w:val="clear" w:color="auto" w:fill="auto"/>
            <w:noWrap/>
            <w:vAlign w:val="bottom"/>
            <w:hideMark/>
          </w:tcPr>
          <w:p w14:paraId="7D4A9910" w14:textId="77777777" w:rsidR="000875F4" w:rsidRPr="009E1B38" w:rsidRDefault="000875F4" w:rsidP="000875F4">
            <w:pPr>
              <w:spacing w:after="0" w:line="240" w:lineRule="auto"/>
              <w:jc w:val="left"/>
              <w:rPr>
                <w:rFonts w:ascii="Times New Roman" w:eastAsia="Times New Roman" w:hAnsi="Times New Roman"/>
                <w:sz w:val="20"/>
                <w:szCs w:val="20"/>
                <w:lang w:eastAsia="tr-TR"/>
              </w:rPr>
            </w:pPr>
          </w:p>
        </w:tc>
        <w:tc>
          <w:tcPr>
            <w:tcW w:w="597" w:type="pct"/>
            <w:tcBorders>
              <w:top w:val="nil"/>
              <w:left w:val="nil"/>
              <w:bottom w:val="single" w:sz="4" w:space="0" w:color="auto"/>
              <w:right w:val="single" w:sz="8" w:space="0" w:color="auto"/>
            </w:tcBorders>
            <w:shd w:val="clear" w:color="auto" w:fill="auto"/>
            <w:noWrap/>
            <w:vAlign w:val="center"/>
            <w:hideMark/>
          </w:tcPr>
          <w:p w14:paraId="7D4A9911" w14:textId="7A907649" w:rsidR="000875F4" w:rsidRPr="009E1B38" w:rsidRDefault="000E08B5"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268- Accumulated Amortizations Account (-)</w:t>
            </w:r>
          </w:p>
        </w:tc>
        <w:tc>
          <w:tcPr>
            <w:tcW w:w="330" w:type="pct"/>
            <w:tcBorders>
              <w:top w:val="nil"/>
              <w:left w:val="nil"/>
              <w:bottom w:val="single" w:sz="4" w:space="0" w:color="auto"/>
              <w:right w:val="single" w:sz="8" w:space="0" w:color="auto"/>
            </w:tcBorders>
            <w:shd w:val="clear" w:color="auto" w:fill="auto"/>
            <w:noWrap/>
            <w:vAlign w:val="center"/>
          </w:tcPr>
          <w:p w14:paraId="7D4A991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-13.988.931,81</w:t>
            </w:r>
          </w:p>
        </w:tc>
        <w:tc>
          <w:tcPr>
            <w:tcW w:w="330" w:type="pct"/>
            <w:tcBorders>
              <w:top w:val="nil"/>
              <w:left w:val="nil"/>
              <w:bottom w:val="single" w:sz="4" w:space="0" w:color="auto"/>
              <w:right w:val="single" w:sz="8" w:space="0" w:color="auto"/>
            </w:tcBorders>
            <w:shd w:val="clear" w:color="auto" w:fill="auto"/>
            <w:noWrap/>
            <w:vAlign w:val="center"/>
          </w:tcPr>
          <w:p w14:paraId="7D4A991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-20.055.411,15</w:t>
            </w:r>
          </w:p>
        </w:tc>
        <w:tc>
          <w:tcPr>
            <w:tcW w:w="339" w:type="pct"/>
            <w:tcBorders>
              <w:top w:val="nil"/>
              <w:left w:val="nil"/>
              <w:bottom w:val="single" w:sz="4" w:space="0" w:color="auto"/>
              <w:right w:val="single" w:sz="8" w:space="0" w:color="auto"/>
            </w:tcBorders>
            <w:shd w:val="clear" w:color="auto" w:fill="auto"/>
            <w:noWrap/>
            <w:vAlign w:val="center"/>
          </w:tcPr>
          <w:p w14:paraId="7D4A991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heme="minorHAnsi" w:hAnsi="Times New Roman"/>
                <w:sz w:val="16"/>
                <w:szCs w:val="12"/>
              </w:rPr>
              <w:t>-22.247.109,43</w:t>
            </w:r>
          </w:p>
        </w:tc>
        <w:tc>
          <w:tcPr>
            <w:tcW w:w="38" w:type="pct"/>
            <w:tcBorders>
              <w:top w:val="nil"/>
              <w:left w:val="nil"/>
              <w:bottom w:val="single" w:sz="4" w:space="0" w:color="auto"/>
              <w:right w:val="nil"/>
            </w:tcBorders>
            <w:shd w:val="clear" w:color="auto" w:fill="auto"/>
            <w:noWrap/>
            <w:vAlign w:val="center"/>
            <w:hideMark/>
          </w:tcPr>
          <w:p w14:paraId="7D4A9915"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single" w:sz="4" w:space="0" w:color="auto"/>
              <w:right w:val="nil"/>
            </w:tcBorders>
            <w:shd w:val="clear" w:color="auto" w:fill="auto"/>
            <w:noWrap/>
            <w:vAlign w:val="center"/>
            <w:hideMark/>
          </w:tcPr>
          <w:p w14:paraId="7D4A9916"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nil"/>
              <w:left w:val="nil"/>
              <w:bottom w:val="single" w:sz="4" w:space="0" w:color="auto"/>
              <w:right w:val="nil"/>
            </w:tcBorders>
            <w:shd w:val="clear" w:color="auto" w:fill="auto"/>
            <w:noWrap/>
            <w:vAlign w:val="center"/>
            <w:hideMark/>
          </w:tcPr>
          <w:p w14:paraId="7D4A9917"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single" w:sz="4" w:space="0" w:color="auto"/>
              <w:right w:val="single" w:sz="8" w:space="0" w:color="auto"/>
            </w:tcBorders>
            <w:shd w:val="clear" w:color="auto" w:fill="auto"/>
            <w:noWrap/>
            <w:vAlign w:val="center"/>
            <w:hideMark/>
          </w:tcPr>
          <w:p w14:paraId="7D4A991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326" w:type="pct"/>
            <w:tcBorders>
              <w:top w:val="nil"/>
              <w:left w:val="nil"/>
              <w:bottom w:val="single" w:sz="4" w:space="0" w:color="auto"/>
              <w:right w:val="nil"/>
            </w:tcBorders>
            <w:shd w:val="clear" w:color="auto" w:fill="auto"/>
            <w:noWrap/>
            <w:vAlign w:val="center"/>
            <w:hideMark/>
          </w:tcPr>
          <w:p w14:paraId="7D4A991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54" w:type="pct"/>
            <w:tcBorders>
              <w:top w:val="nil"/>
              <w:left w:val="single" w:sz="8" w:space="0" w:color="auto"/>
              <w:bottom w:val="single" w:sz="4" w:space="0" w:color="auto"/>
              <w:right w:val="single" w:sz="8" w:space="0" w:color="auto"/>
            </w:tcBorders>
            <w:shd w:val="clear" w:color="auto" w:fill="auto"/>
            <w:noWrap/>
            <w:vAlign w:val="center"/>
            <w:hideMark/>
          </w:tcPr>
          <w:p w14:paraId="7D4A991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r>
      <w:tr w:rsidR="000875F4" w:rsidRPr="009E1B38" w14:paraId="7D4A9927" w14:textId="77777777" w:rsidTr="000875F4">
        <w:trPr>
          <w:gridAfter w:val="4"/>
          <w:wAfter w:w="1354" w:type="pct"/>
          <w:trHeight w:val="20"/>
        </w:trPr>
        <w:tc>
          <w:tcPr>
            <w:tcW w:w="72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A991C" w14:textId="77777777"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 xml:space="preserve">  </w:t>
            </w:r>
          </w:p>
          <w:p w14:paraId="7D4A991D" w14:textId="77777777" w:rsidR="000875F4" w:rsidRPr="009E1B38" w:rsidRDefault="000875F4" w:rsidP="000875F4">
            <w:pPr>
              <w:spacing w:after="0" w:line="240" w:lineRule="auto"/>
              <w:jc w:val="left"/>
              <w:rPr>
                <w:rFonts w:ascii="Times New Roman" w:eastAsia="Times New Roman" w:hAnsi="Times New Roman"/>
                <w:b/>
                <w:lang w:eastAsia="tr-TR"/>
              </w:rPr>
            </w:pPr>
          </w:p>
          <w:p w14:paraId="7D4A991F" w14:textId="4D58CBBF" w:rsidR="000875F4" w:rsidRPr="009E1B38" w:rsidRDefault="005324E1"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 xml:space="preserve">TOTAL ACTIVE </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A9920"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480.022.634,31</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4A9921"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574.393.189,59</w:t>
            </w:r>
          </w:p>
        </w:tc>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4A9922"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heme="minorHAnsi" w:hAnsi="Times New Roman"/>
                <w:b/>
                <w:bCs/>
                <w:sz w:val="16"/>
                <w:szCs w:val="16"/>
              </w:rPr>
              <w:t>585.687.420,85</w:t>
            </w:r>
          </w:p>
        </w:tc>
        <w:tc>
          <w:tcPr>
            <w:tcW w:w="88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A9923" w14:textId="069963AA" w:rsidR="000875F4" w:rsidRPr="009E1B38" w:rsidRDefault="00637658"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 xml:space="preserve">   </w:t>
            </w:r>
            <w:r w:rsidR="00B34AF0" w:rsidRPr="009E1B38">
              <w:rPr>
                <w:rFonts w:ascii="Times New Roman" w:eastAsia="Times New Roman" w:hAnsi="Times New Roman"/>
                <w:b/>
                <w:lang w:eastAsia="tr-TR"/>
              </w:rPr>
              <w:t>TOTAL L</w:t>
            </w:r>
            <w:r w:rsidR="006D5975" w:rsidRPr="009E1B38">
              <w:rPr>
                <w:rFonts w:ascii="Times New Roman" w:eastAsia="Times New Roman" w:hAnsi="Times New Roman"/>
                <w:b/>
                <w:lang w:eastAsia="tr-TR"/>
              </w:rPr>
              <w:t>I</w:t>
            </w:r>
            <w:r w:rsidR="00B34AF0" w:rsidRPr="009E1B38">
              <w:rPr>
                <w:rFonts w:ascii="Times New Roman" w:eastAsia="Times New Roman" w:hAnsi="Times New Roman"/>
                <w:b/>
                <w:lang w:eastAsia="tr-TR"/>
              </w:rPr>
              <w:t>AB</w:t>
            </w:r>
            <w:r w:rsidR="006D5975" w:rsidRPr="009E1B38">
              <w:rPr>
                <w:rFonts w:ascii="Times New Roman" w:eastAsia="Times New Roman" w:hAnsi="Times New Roman"/>
                <w:b/>
                <w:lang w:eastAsia="tr-TR"/>
              </w:rPr>
              <w:t>I</w:t>
            </w:r>
            <w:r w:rsidR="00B34AF0" w:rsidRPr="009E1B38">
              <w:rPr>
                <w:rFonts w:ascii="Times New Roman" w:eastAsia="Times New Roman" w:hAnsi="Times New Roman"/>
                <w:b/>
                <w:lang w:eastAsia="tr-TR"/>
              </w:rPr>
              <w:t>L</w:t>
            </w:r>
            <w:r w:rsidR="006D5975" w:rsidRPr="009E1B38">
              <w:rPr>
                <w:rFonts w:ascii="Times New Roman" w:eastAsia="Times New Roman" w:hAnsi="Times New Roman"/>
                <w:b/>
                <w:lang w:eastAsia="tr-TR"/>
              </w:rPr>
              <w:t>I</w:t>
            </w:r>
            <w:r w:rsidR="00B34AF0" w:rsidRPr="009E1B38">
              <w:rPr>
                <w:rFonts w:ascii="Times New Roman" w:eastAsia="Times New Roman" w:hAnsi="Times New Roman"/>
                <w:b/>
                <w:lang w:eastAsia="tr-TR"/>
              </w:rPr>
              <w:t>T</w:t>
            </w:r>
            <w:r w:rsidR="006D5975" w:rsidRPr="009E1B38">
              <w:rPr>
                <w:rFonts w:ascii="Times New Roman" w:eastAsia="Times New Roman" w:hAnsi="Times New Roman"/>
                <w:b/>
                <w:lang w:eastAsia="tr-TR"/>
              </w:rPr>
              <w:t>I</w:t>
            </w:r>
            <w:r w:rsidR="00B34AF0" w:rsidRPr="009E1B38">
              <w:rPr>
                <w:rFonts w:ascii="Times New Roman" w:eastAsia="Times New Roman" w:hAnsi="Times New Roman"/>
                <w:b/>
                <w:lang w:eastAsia="tr-TR"/>
              </w:rPr>
              <w:t>ES</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4A9924"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480.022.634,31</w:t>
            </w:r>
          </w:p>
        </w:tc>
        <w:tc>
          <w:tcPr>
            <w:tcW w:w="3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A9925"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imes New Roman" w:hAnsi="Times New Roman"/>
                <w:b/>
                <w:bCs/>
                <w:sz w:val="18"/>
                <w:szCs w:val="18"/>
                <w:lang w:eastAsia="tr-TR"/>
              </w:rPr>
              <w:t>574.393.189,59</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4A9926" w14:textId="77777777" w:rsidR="000875F4" w:rsidRPr="009E1B38" w:rsidRDefault="000875F4" w:rsidP="000875F4">
            <w:pPr>
              <w:spacing w:after="0" w:line="240" w:lineRule="auto"/>
              <w:jc w:val="right"/>
              <w:rPr>
                <w:rFonts w:ascii="Times New Roman" w:eastAsia="Times New Roman" w:hAnsi="Times New Roman"/>
                <w:b/>
                <w:bCs/>
                <w:sz w:val="18"/>
                <w:szCs w:val="18"/>
                <w:lang w:eastAsia="tr-TR"/>
              </w:rPr>
            </w:pPr>
            <w:r w:rsidRPr="009E1B38">
              <w:rPr>
                <w:rFonts w:ascii="Times New Roman" w:eastAsiaTheme="minorHAnsi" w:hAnsi="Times New Roman"/>
                <w:b/>
                <w:bCs/>
                <w:sz w:val="16"/>
                <w:szCs w:val="16"/>
              </w:rPr>
              <w:t>585.687.420,85</w:t>
            </w:r>
          </w:p>
        </w:tc>
      </w:tr>
      <w:tr w:rsidR="000875F4" w:rsidRPr="009E1B38" w14:paraId="7D4A9930" w14:textId="77777777" w:rsidTr="000875F4">
        <w:trPr>
          <w:gridAfter w:val="4"/>
          <w:wAfter w:w="1354" w:type="pct"/>
          <w:trHeight w:val="558"/>
        </w:trPr>
        <w:tc>
          <w:tcPr>
            <w:tcW w:w="72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A9928" w14:textId="0E082D4A" w:rsidR="000875F4" w:rsidRPr="009E1B38" w:rsidRDefault="008A77B4" w:rsidP="000875F4">
            <w:pPr>
              <w:spacing w:after="0" w:line="240" w:lineRule="auto"/>
              <w:jc w:val="left"/>
              <w:rPr>
                <w:rFonts w:ascii="Times New Roman" w:eastAsia="Times New Roman" w:hAnsi="Times New Roman"/>
                <w:b/>
                <w:u w:val="single"/>
                <w:lang w:eastAsia="tr-TR"/>
              </w:rPr>
            </w:pPr>
            <w:r w:rsidRPr="009E1B38">
              <w:rPr>
                <w:rFonts w:ascii="Times New Roman" w:eastAsia="Times New Roman" w:hAnsi="Times New Roman"/>
                <w:b/>
                <w:u w:val="single"/>
                <w:lang w:eastAsia="tr-TR"/>
              </w:rPr>
              <w:t>OFF-BALANCE SHEET</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A992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4A992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4A992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88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A992C" w14:textId="1639654F" w:rsidR="000875F4" w:rsidRPr="009E1B38" w:rsidRDefault="00B34AF0" w:rsidP="000875F4">
            <w:pPr>
              <w:spacing w:after="0" w:line="240" w:lineRule="auto"/>
              <w:jc w:val="left"/>
              <w:rPr>
                <w:rFonts w:ascii="Times New Roman" w:eastAsia="Times New Roman" w:hAnsi="Times New Roman"/>
                <w:b/>
                <w:u w:val="single"/>
                <w:lang w:eastAsia="tr-TR"/>
              </w:rPr>
            </w:pPr>
            <w:r w:rsidRPr="009E1B38">
              <w:rPr>
                <w:rFonts w:ascii="Times New Roman" w:eastAsia="Times New Roman" w:hAnsi="Times New Roman"/>
                <w:b/>
                <w:u w:val="single"/>
                <w:lang w:eastAsia="tr-TR"/>
              </w:rPr>
              <w:t>OFF-BALANCE SHEET ACCOUNTS</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A992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3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A992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4A992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r>
      <w:tr w:rsidR="000875F4" w:rsidRPr="009E1B38" w14:paraId="7D4A99A8" w14:textId="77777777" w:rsidTr="000875F4">
        <w:trPr>
          <w:gridAfter w:val="4"/>
          <w:wAfter w:w="1354" w:type="pct"/>
          <w:trHeight w:val="20"/>
        </w:trPr>
        <w:tc>
          <w:tcPr>
            <w:tcW w:w="37" w:type="pct"/>
            <w:tcBorders>
              <w:top w:val="single" w:sz="4" w:space="0" w:color="auto"/>
              <w:left w:val="single" w:sz="8" w:space="0" w:color="auto"/>
              <w:bottom w:val="nil"/>
              <w:right w:val="nil"/>
            </w:tcBorders>
            <w:shd w:val="clear" w:color="auto" w:fill="auto"/>
            <w:noWrap/>
            <w:vAlign w:val="center"/>
            <w:hideMark/>
          </w:tcPr>
          <w:p w14:paraId="7D4A9931" w14:textId="77777777" w:rsidR="000875F4" w:rsidRPr="009E1B38" w:rsidRDefault="000875F4" w:rsidP="000875F4">
            <w:pPr>
              <w:spacing w:after="0" w:line="240" w:lineRule="auto"/>
              <w:jc w:val="left"/>
              <w:rPr>
                <w:rFonts w:ascii="Times New Roman" w:eastAsia="Times New Roman" w:hAnsi="Times New Roman"/>
                <w:b/>
                <w:bCs/>
                <w:sz w:val="16"/>
                <w:szCs w:val="16"/>
                <w:u w:val="single"/>
                <w:lang w:eastAsia="tr-TR"/>
              </w:rPr>
            </w:pPr>
          </w:p>
        </w:tc>
        <w:tc>
          <w:tcPr>
            <w:tcW w:w="88" w:type="pct"/>
            <w:tcBorders>
              <w:top w:val="single" w:sz="4" w:space="0" w:color="auto"/>
              <w:left w:val="nil"/>
              <w:bottom w:val="nil"/>
              <w:right w:val="nil"/>
            </w:tcBorders>
            <w:shd w:val="clear" w:color="auto" w:fill="auto"/>
            <w:noWrap/>
            <w:vAlign w:val="center"/>
            <w:hideMark/>
          </w:tcPr>
          <w:p w14:paraId="7D4A9932" w14:textId="77777777" w:rsidR="000875F4" w:rsidRPr="009E1B38" w:rsidRDefault="000875F4" w:rsidP="000875F4">
            <w:pPr>
              <w:spacing w:after="0" w:line="240" w:lineRule="auto"/>
              <w:jc w:val="left"/>
              <w:rPr>
                <w:rFonts w:ascii="Times New Roman" w:eastAsia="Times New Roman" w:hAnsi="Times New Roman"/>
                <w:b/>
                <w:bCs/>
                <w:sz w:val="16"/>
                <w:szCs w:val="16"/>
                <w:u w:val="single"/>
                <w:lang w:eastAsia="tr-TR"/>
              </w:rPr>
            </w:pPr>
          </w:p>
        </w:tc>
        <w:tc>
          <w:tcPr>
            <w:tcW w:w="597" w:type="pct"/>
            <w:tcBorders>
              <w:top w:val="single" w:sz="4" w:space="0" w:color="auto"/>
              <w:left w:val="nil"/>
              <w:bottom w:val="nil"/>
              <w:right w:val="single" w:sz="8" w:space="0" w:color="auto"/>
            </w:tcBorders>
            <w:shd w:val="clear" w:color="auto" w:fill="auto"/>
            <w:noWrap/>
            <w:vAlign w:val="center"/>
            <w:hideMark/>
          </w:tcPr>
          <w:p w14:paraId="1B20F40B" w14:textId="275B8692" w:rsidR="00B34AF0" w:rsidRPr="009E1B38" w:rsidRDefault="29720196" w:rsidP="00637658">
            <w:pPr>
              <w:spacing w:after="0"/>
              <w:jc w:val="left"/>
              <w:rPr>
                <w:rFonts w:ascii="Times New Roman" w:eastAsia="Times New Roman" w:hAnsi="Times New Roman"/>
                <w:lang w:eastAsia="tr-TR"/>
              </w:rPr>
            </w:pPr>
            <w:r w:rsidRPr="009E1B38">
              <w:rPr>
                <w:rFonts w:ascii="Times New Roman" w:eastAsia="Times New Roman" w:hAnsi="Times New Roman"/>
              </w:rPr>
              <w:t>910- Guarantee Letters Account</w:t>
            </w:r>
            <w:r w:rsidRPr="009E1B38">
              <w:rPr>
                <w:rFonts w:ascii="Times New Roman" w:eastAsia="Times New Roman" w:hAnsi="Times New Roman"/>
                <w:lang w:eastAsia="tr-TR"/>
              </w:rPr>
              <w:t xml:space="preserve"> </w:t>
            </w:r>
          </w:p>
          <w:p w14:paraId="7D4A9934" w14:textId="275B8692" w:rsidR="000875F4" w:rsidRPr="009E1B38" w:rsidRDefault="29720196" w:rsidP="000875F4">
            <w:pPr>
              <w:spacing w:after="0"/>
              <w:jc w:val="left"/>
              <w:rPr>
                <w:rFonts w:ascii="Times New Roman" w:eastAsia="Times New Roman" w:hAnsi="Times New Roman"/>
                <w:lang w:eastAsia="tr-TR"/>
              </w:rPr>
            </w:pPr>
            <w:r w:rsidRPr="009E1B38">
              <w:rPr>
                <w:rFonts w:ascii="Times New Roman" w:eastAsia="Times New Roman" w:hAnsi="Times New Roman"/>
                <w:lang w:eastAsia="tr-TR"/>
              </w:rPr>
              <w:t>911-</w:t>
            </w:r>
            <w:r w:rsidRPr="009E1B38">
              <w:rPr>
                <w:rFonts w:ascii="Times New Roman" w:hAnsi="Times New Roman"/>
              </w:rPr>
              <w:t xml:space="preserve"> </w:t>
            </w:r>
            <w:r w:rsidRPr="009E1B38">
              <w:rPr>
                <w:rFonts w:ascii="Times New Roman" w:eastAsia="Times New Roman" w:hAnsi="Times New Roman"/>
                <w:lang w:eastAsia="tr-TR"/>
              </w:rPr>
              <w:t>Received Letters of Guarantee Trust Account</w:t>
            </w:r>
          </w:p>
          <w:p w14:paraId="22A7A56F" w14:textId="275B8692" w:rsidR="00B34AF0" w:rsidRPr="009E1B38" w:rsidRDefault="29720196" w:rsidP="29720196">
            <w:pPr>
              <w:pStyle w:val="AralkYok"/>
              <w:rPr>
                <w:rFonts w:ascii="Times New Roman" w:eastAsia="Times New Roman" w:hAnsi="Times New Roman" w:cs="Times New Roman"/>
                <w:lang w:val="en-US"/>
              </w:rPr>
            </w:pPr>
            <w:r w:rsidRPr="009E1B38">
              <w:rPr>
                <w:rFonts w:ascii="Times New Roman" w:eastAsia="Times New Roman" w:hAnsi="Times New Roman" w:cs="Times New Roman"/>
                <w:lang w:val="en-US"/>
              </w:rPr>
              <w:t>920- Expense Commitments Account</w:t>
            </w:r>
          </w:p>
          <w:p w14:paraId="7D4A9936" w14:textId="275B8692" w:rsidR="000875F4" w:rsidRPr="009E1B38" w:rsidRDefault="29720196" w:rsidP="000875F4">
            <w:pPr>
              <w:spacing w:after="0"/>
              <w:jc w:val="left"/>
              <w:rPr>
                <w:rFonts w:ascii="Times New Roman" w:eastAsia="Times New Roman" w:hAnsi="Times New Roman"/>
                <w:lang w:eastAsia="tr-TR"/>
              </w:rPr>
            </w:pPr>
            <w:r w:rsidRPr="009E1B38">
              <w:rPr>
                <w:rFonts w:ascii="Times New Roman" w:eastAsia="Times New Roman" w:hAnsi="Times New Roman"/>
                <w:lang w:eastAsia="tr-TR"/>
              </w:rPr>
              <w:t>921-</w:t>
            </w:r>
            <w:r w:rsidRPr="009E1B38">
              <w:rPr>
                <w:rFonts w:ascii="Times New Roman" w:hAnsi="Times New Roman"/>
              </w:rPr>
              <w:t xml:space="preserve"> </w:t>
            </w:r>
            <w:r w:rsidRPr="009E1B38">
              <w:rPr>
                <w:rFonts w:ascii="Times New Roman" w:eastAsia="Times New Roman" w:hAnsi="Times New Roman"/>
                <w:lang w:eastAsia="tr-TR"/>
              </w:rPr>
              <w:t>Provision for Expense Commitments Account</w:t>
            </w:r>
          </w:p>
          <w:p w14:paraId="6CB6243A" w14:textId="275B8692" w:rsidR="00B34AF0" w:rsidRPr="009E1B38" w:rsidRDefault="29720196" w:rsidP="29720196">
            <w:pPr>
              <w:pStyle w:val="AralkYok"/>
              <w:jc w:val="both"/>
              <w:rPr>
                <w:rFonts w:ascii="Times New Roman" w:eastAsia="Times New Roman" w:hAnsi="Times New Roman" w:cs="Times New Roman"/>
                <w:lang w:val="en-US"/>
              </w:rPr>
            </w:pPr>
            <w:r w:rsidRPr="009E1B38">
              <w:rPr>
                <w:rFonts w:ascii="Times New Roman" w:eastAsia="Times New Roman" w:hAnsi="Times New Roman" w:cs="Times New Roman"/>
                <w:lang w:val="en-US"/>
              </w:rPr>
              <w:t>948-Receivables Tracked on Behalf of Other Units</w:t>
            </w:r>
          </w:p>
          <w:p w14:paraId="4443B386" w14:textId="0DDCAB7A" w:rsidR="002E550F" w:rsidRPr="009E1B38" w:rsidRDefault="29720196" w:rsidP="00B34AF0">
            <w:pPr>
              <w:pStyle w:val="AralkYok"/>
              <w:jc w:val="both"/>
              <w:rPr>
                <w:rFonts w:ascii="Times New Roman" w:eastAsia="Times New Roman" w:hAnsi="Times New Roman" w:cs="Times New Roman"/>
                <w:lang w:val="en-US"/>
              </w:rPr>
            </w:pPr>
            <w:r w:rsidRPr="009E1B38">
              <w:rPr>
                <w:rFonts w:ascii="Times New Roman" w:eastAsia="Times New Roman" w:hAnsi="Times New Roman" w:cs="Times New Roman"/>
                <w:lang w:val="en-US"/>
              </w:rPr>
              <w:t>949-</w:t>
            </w:r>
            <w:r w:rsidRPr="009E1B38">
              <w:rPr>
                <w:rFonts w:ascii="Times New Roman" w:hAnsi="Times New Roman" w:cs="Times New Roman"/>
                <w:lang w:val="en-US"/>
              </w:rPr>
              <w:t xml:space="preserve"> </w:t>
            </w:r>
            <w:r w:rsidRPr="009E1B38">
              <w:rPr>
                <w:rFonts w:ascii="Times New Roman" w:eastAsia="Times New Roman" w:hAnsi="Times New Roman" w:cs="Times New Roman"/>
                <w:lang w:val="en-US"/>
              </w:rPr>
              <w:t>Receivables Account Tracked on Behalf of Other Units</w:t>
            </w:r>
          </w:p>
          <w:p w14:paraId="7EE7C4CA" w14:textId="275B8692" w:rsidR="00B34AF0" w:rsidRPr="009E1B38" w:rsidRDefault="29720196" w:rsidP="29720196">
            <w:pPr>
              <w:pStyle w:val="AralkYok"/>
              <w:jc w:val="both"/>
              <w:rPr>
                <w:rFonts w:ascii="Times New Roman" w:eastAsia="Times New Roman" w:hAnsi="Times New Roman" w:cs="Times New Roman"/>
                <w:lang w:val="en-US"/>
              </w:rPr>
            </w:pPr>
            <w:r w:rsidRPr="009E1B38">
              <w:rPr>
                <w:rFonts w:ascii="Times New Roman" w:eastAsia="Times New Roman" w:hAnsi="Times New Roman" w:cs="Times New Roman"/>
                <w:lang w:val="en-US"/>
              </w:rPr>
              <w:t>998- Other off-balance sheet accounts</w:t>
            </w:r>
          </w:p>
          <w:p w14:paraId="7D4A993A" w14:textId="6ACF96C3" w:rsidR="000875F4" w:rsidRPr="009E1B38" w:rsidRDefault="00637658" w:rsidP="000875F4">
            <w:pPr>
              <w:spacing w:after="0"/>
              <w:jc w:val="left"/>
              <w:rPr>
                <w:rFonts w:ascii="Times New Roman" w:eastAsia="Times New Roman" w:hAnsi="Times New Roman"/>
                <w:lang w:eastAsia="tr-TR"/>
              </w:rPr>
            </w:pPr>
            <w:r w:rsidRPr="009E1B38">
              <w:rPr>
                <w:rFonts w:ascii="Times New Roman" w:eastAsia="Times New Roman" w:hAnsi="Times New Roman"/>
                <w:lang w:eastAsia="tr-TR"/>
              </w:rPr>
              <w:t>999-</w:t>
            </w:r>
            <w:r w:rsidR="002E550F" w:rsidRPr="009E1B38">
              <w:rPr>
                <w:rFonts w:ascii="Times New Roman" w:hAnsi="Times New Roman"/>
              </w:rPr>
              <w:t xml:space="preserve"> </w:t>
            </w:r>
            <w:r w:rsidR="002E550F" w:rsidRPr="009E1B38">
              <w:rPr>
                <w:rFonts w:ascii="Times New Roman" w:eastAsia="Times New Roman" w:hAnsi="Times New Roman"/>
                <w:lang w:eastAsia="tr-TR"/>
              </w:rPr>
              <w:t>Other Off-balance Accounts Provision Account</w:t>
            </w:r>
          </w:p>
        </w:tc>
        <w:tc>
          <w:tcPr>
            <w:tcW w:w="330" w:type="pct"/>
            <w:tcBorders>
              <w:top w:val="single" w:sz="4" w:space="0" w:color="auto"/>
              <w:left w:val="nil"/>
              <w:bottom w:val="nil"/>
              <w:right w:val="single" w:sz="8" w:space="0" w:color="auto"/>
            </w:tcBorders>
            <w:shd w:val="clear" w:color="auto" w:fill="auto"/>
            <w:noWrap/>
            <w:vAlign w:val="center"/>
          </w:tcPr>
          <w:p w14:paraId="7D4A993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2.148.994.388,68</w:t>
            </w:r>
          </w:p>
          <w:p w14:paraId="7D4A993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3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2.148.994.388,68</w:t>
            </w:r>
          </w:p>
          <w:p w14:paraId="7D4A993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3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4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47.441.722,04</w:t>
            </w:r>
          </w:p>
          <w:p w14:paraId="7D4A994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47.441.722,04</w:t>
            </w:r>
          </w:p>
          <w:p w14:paraId="7D4A994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4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p w14:paraId="7D4A994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4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p w14:paraId="7D4A994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4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4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3.699.991.839,283.699.991.839,28</w:t>
            </w:r>
          </w:p>
          <w:p w14:paraId="7D4A994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30" w:type="pct"/>
            <w:tcBorders>
              <w:top w:val="single" w:sz="4" w:space="0" w:color="auto"/>
              <w:left w:val="nil"/>
              <w:bottom w:val="nil"/>
              <w:right w:val="single" w:sz="4" w:space="0" w:color="auto"/>
            </w:tcBorders>
            <w:shd w:val="clear" w:color="auto" w:fill="auto"/>
            <w:noWrap/>
            <w:vAlign w:val="center"/>
          </w:tcPr>
          <w:p w14:paraId="7D4A994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2.177.444.363,88</w:t>
            </w:r>
          </w:p>
          <w:p w14:paraId="7D4A994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4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2.177.444.363,88</w:t>
            </w:r>
          </w:p>
          <w:p w14:paraId="7D4A994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4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4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6.490.766,01</w:t>
            </w:r>
          </w:p>
          <w:p w14:paraId="7D4A995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6.490.766,01</w:t>
            </w:r>
          </w:p>
          <w:p w14:paraId="7D4A995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5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310.365,98</w:t>
            </w:r>
          </w:p>
          <w:p w14:paraId="7D4A995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5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310.365,98</w:t>
            </w:r>
          </w:p>
          <w:p w14:paraId="7D4A995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5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5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4.297.123.884,00</w:t>
            </w:r>
          </w:p>
          <w:p w14:paraId="7D4A995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4.297.123.884,00</w:t>
            </w:r>
          </w:p>
          <w:p w14:paraId="7D4A995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39" w:type="pct"/>
            <w:tcBorders>
              <w:top w:val="single" w:sz="4" w:space="0" w:color="auto"/>
              <w:left w:val="single" w:sz="4" w:space="0" w:color="auto"/>
              <w:bottom w:val="nil"/>
              <w:right w:val="single" w:sz="8" w:space="0" w:color="auto"/>
            </w:tcBorders>
            <w:shd w:val="clear" w:color="auto" w:fill="auto"/>
            <w:noWrap/>
            <w:vAlign w:val="center"/>
          </w:tcPr>
          <w:p w14:paraId="7D4A995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2.103.282.754,82</w:t>
            </w:r>
          </w:p>
          <w:p w14:paraId="7D4A995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5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2.103.282.754,82</w:t>
            </w:r>
          </w:p>
          <w:p w14:paraId="7D4A995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5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5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2.358.461,67</w:t>
            </w:r>
          </w:p>
          <w:p w14:paraId="7D4A996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2.358.461,67</w:t>
            </w:r>
          </w:p>
          <w:p w14:paraId="7D4A996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6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267.176.,82</w:t>
            </w:r>
          </w:p>
          <w:p w14:paraId="7D4A996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6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267.176.,82</w:t>
            </w:r>
          </w:p>
          <w:p w14:paraId="7D4A996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6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6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5.004.168.080,775.004.168.080,77</w:t>
            </w:r>
          </w:p>
          <w:p w14:paraId="7D4A996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8" w:type="pct"/>
            <w:tcBorders>
              <w:top w:val="single" w:sz="4" w:space="0" w:color="auto"/>
              <w:left w:val="nil"/>
              <w:bottom w:val="nil"/>
              <w:right w:val="nil"/>
            </w:tcBorders>
            <w:shd w:val="clear" w:color="auto" w:fill="auto"/>
            <w:noWrap/>
            <w:vAlign w:val="center"/>
            <w:hideMark/>
          </w:tcPr>
          <w:p w14:paraId="7D4A9969"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single" w:sz="4" w:space="0" w:color="auto"/>
              <w:left w:val="nil"/>
              <w:bottom w:val="nil"/>
              <w:right w:val="nil"/>
            </w:tcBorders>
            <w:shd w:val="clear" w:color="auto" w:fill="auto"/>
            <w:noWrap/>
            <w:vAlign w:val="center"/>
          </w:tcPr>
          <w:p w14:paraId="7D4A996A"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776" w:type="pct"/>
            <w:tcBorders>
              <w:top w:val="single" w:sz="4" w:space="0" w:color="auto"/>
              <w:left w:val="nil"/>
              <w:bottom w:val="nil"/>
              <w:right w:val="nil"/>
            </w:tcBorders>
            <w:shd w:val="clear" w:color="auto" w:fill="auto"/>
            <w:noWrap/>
            <w:vAlign w:val="center"/>
          </w:tcPr>
          <w:p w14:paraId="7D4A996B" w14:textId="02DC7D3D" w:rsidR="000875F4" w:rsidRPr="009E1B38" w:rsidRDefault="00637658"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910-</w:t>
            </w:r>
            <w:r w:rsidR="002E550F" w:rsidRPr="009E1B38">
              <w:rPr>
                <w:rFonts w:ascii="Times New Roman" w:hAnsi="Times New Roman"/>
              </w:rPr>
              <w:t xml:space="preserve"> </w:t>
            </w:r>
            <w:r w:rsidR="002E550F" w:rsidRPr="009E1B38">
              <w:rPr>
                <w:rFonts w:ascii="Times New Roman" w:eastAsia="Times New Roman" w:hAnsi="Times New Roman"/>
                <w:lang w:eastAsia="tr-TR"/>
              </w:rPr>
              <w:t>Calculation of Letters of Guarantee Received</w:t>
            </w:r>
          </w:p>
          <w:p w14:paraId="7D4A996C" w14:textId="275B8692" w:rsidR="000875F4" w:rsidRPr="009E1B38" w:rsidRDefault="000875F4" w:rsidP="000875F4">
            <w:pPr>
              <w:spacing w:after="0" w:line="240" w:lineRule="auto"/>
              <w:jc w:val="left"/>
              <w:rPr>
                <w:rFonts w:ascii="Times New Roman" w:eastAsia="Times New Roman" w:hAnsi="Times New Roman"/>
                <w:lang w:eastAsia="tr-TR"/>
              </w:rPr>
            </w:pPr>
          </w:p>
          <w:p w14:paraId="7D4A996E" w14:textId="275B8692" w:rsidR="000875F4" w:rsidRPr="009E1B38" w:rsidRDefault="29720196"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911-Guarantee letters deposits account</w:t>
            </w:r>
          </w:p>
          <w:p w14:paraId="7D4A9970" w14:textId="275B8692" w:rsidR="000875F4" w:rsidRPr="009E1B38" w:rsidRDefault="29720196"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920-</w:t>
            </w:r>
            <w:r w:rsidRPr="009E1B38">
              <w:rPr>
                <w:rFonts w:ascii="Times New Roman" w:hAnsi="Times New Roman"/>
              </w:rPr>
              <w:t xml:space="preserve"> </w:t>
            </w:r>
            <w:r w:rsidRPr="009E1B38">
              <w:rPr>
                <w:rFonts w:ascii="Times New Roman" w:eastAsia="Times New Roman" w:hAnsi="Times New Roman"/>
                <w:lang w:eastAsia="tr-TR"/>
              </w:rPr>
              <w:t>Expense Commitments Account</w:t>
            </w:r>
          </w:p>
          <w:p w14:paraId="57835D24" w14:textId="275B8692" w:rsidR="00B34AF0" w:rsidRPr="009E1B38" w:rsidRDefault="29720196" w:rsidP="29720196">
            <w:pPr>
              <w:spacing w:after="0" w:line="240" w:lineRule="auto"/>
              <w:rPr>
                <w:rFonts w:ascii="Times New Roman" w:eastAsia="Times New Roman" w:hAnsi="Times New Roman"/>
                <w:lang w:eastAsia="tr-TR"/>
              </w:rPr>
            </w:pPr>
            <w:r w:rsidRPr="009E1B38">
              <w:rPr>
                <w:rFonts w:ascii="Times New Roman" w:eastAsia="Times New Roman" w:hAnsi="Times New Roman"/>
                <w:lang w:eastAsia="tr-TR"/>
              </w:rPr>
              <w:t>921-Provision for Expense Commitments</w:t>
            </w:r>
          </w:p>
          <w:p w14:paraId="7D4A9971" w14:textId="20AE3DBE" w:rsidR="000875F4" w:rsidRPr="009E1B38" w:rsidRDefault="000875F4" w:rsidP="000875F4">
            <w:pPr>
              <w:spacing w:after="0" w:line="240" w:lineRule="auto"/>
              <w:jc w:val="left"/>
              <w:rPr>
                <w:rFonts w:ascii="Times New Roman" w:eastAsia="Times New Roman" w:hAnsi="Times New Roman"/>
                <w:lang w:eastAsia="tr-TR"/>
              </w:rPr>
            </w:pPr>
          </w:p>
          <w:p w14:paraId="7D4A9972" w14:textId="77777777" w:rsidR="000875F4" w:rsidRPr="009E1B38" w:rsidRDefault="000875F4" w:rsidP="000875F4">
            <w:pPr>
              <w:spacing w:after="0" w:line="240" w:lineRule="auto"/>
              <w:jc w:val="left"/>
              <w:rPr>
                <w:rFonts w:ascii="Times New Roman" w:eastAsia="Times New Roman" w:hAnsi="Times New Roman"/>
                <w:lang w:eastAsia="tr-TR"/>
              </w:rPr>
            </w:pPr>
          </w:p>
          <w:p w14:paraId="7D4A9973" w14:textId="275B8692" w:rsidR="000875F4" w:rsidRPr="009E1B38" w:rsidRDefault="29720196"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948-</w:t>
            </w:r>
            <w:r w:rsidRPr="009E1B38">
              <w:rPr>
                <w:rFonts w:ascii="Times New Roman" w:hAnsi="Times New Roman"/>
              </w:rPr>
              <w:t xml:space="preserve"> </w:t>
            </w:r>
            <w:r w:rsidRPr="009E1B38">
              <w:rPr>
                <w:rFonts w:ascii="Times New Roman" w:eastAsia="Times New Roman" w:hAnsi="Times New Roman"/>
                <w:lang w:eastAsia="tr-TR"/>
              </w:rPr>
              <w:t>Accounts Receivable Tracked on Behalf of Other Units</w:t>
            </w:r>
          </w:p>
          <w:p w14:paraId="62E5D172" w14:textId="275B8692" w:rsidR="00B34AF0" w:rsidRPr="009E1B38" w:rsidRDefault="29720196" w:rsidP="29720196">
            <w:pPr>
              <w:spacing w:after="0" w:line="240" w:lineRule="auto"/>
              <w:rPr>
                <w:rFonts w:ascii="Times New Roman" w:eastAsia="Times New Roman" w:hAnsi="Times New Roman"/>
                <w:lang w:eastAsia="tr-TR"/>
              </w:rPr>
            </w:pPr>
            <w:r w:rsidRPr="009E1B38">
              <w:rPr>
                <w:rFonts w:ascii="Times New Roman" w:eastAsia="Times New Roman" w:hAnsi="Times New Roman"/>
                <w:lang w:eastAsia="tr-TR"/>
              </w:rPr>
              <w:t>949-Deposit Receivables Account Tracked on Behalf of Other Units</w:t>
            </w:r>
          </w:p>
          <w:p w14:paraId="7D4A9975" w14:textId="37BCC34A" w:rsidR="000875F4" w:rsidRPr="009E1B38" w:rsidRDefault="00637658"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998-</w:t>
            </w:r>
            <w:r w:rsidR="002E550F" w:rsidRPr="009E1B38">
              <w:rPr>
                <w:rFonts w:ascii="Times New Roman" w:hAnsi="Times New Roman"/>
              </w:rPr>
              <w:t xml:space="preserve"> </w:t>
            </w:r>
            <w:r w:rsidR="002E550F" w:rsidRPr="009E1B38">
              <w:rPr>
                <w:rFonts w:ascii="Times New Roman" w:eastAsia="Times New Roman" w:hAnsi="Times New Roman"/>
                <w:lang w:eastAsia="tr-TR"/>
              </w:rPr>
              <w:t xml:space="preserve">Other </w:t>
            </w:r>
            <w:r w:rsidR="00656644" w:rsidRPr="009E1B38">
              <w:rPr>
                <w:rFonts w:ascii="Times New Roman" w:eastAsia="Times New Roman" w:hAnsi="Times New Roman"/>
                <w:lang w:eastAsia="tr-TR"/>
              </w:rPr>
              <w:t>Official</w:t>
            </w:r>
            <w:r w:rsidR="002E550F" w:rsidRPr="009E1B38">
              <w:rPr>
                <w:rFonts w:ascii="Times New Roman" w:eastAsia="Times New Roman" w:hAnsi="Times New Roman"/>
                <w:lang w:eastAsia="tr-TR"/>
              </w:rPr>
              <w:t xml:space="preserve"> Accounts</w:t>
            </w:r>
          </w:p>
          <w:p w14:paraId="7D4A9976" w14:textId="4A938A79" w:rsidR="000875F4" w:rsidRPr="009E1B38" w:rsidRDefault="00637658" w:rsidP="000875F4">
            <w:pPr>
              <w:spacing w:after="0" w:line="240" w:lineRule="auto"/>
              <w:jc w:val="left"/>
              <w:rPr>
                <w:rFonts w:ascii="Times New Roman" w:eastAsia="Times New Roman" w:hAnsi="Times New Roman"/>
                <w:lang w:eastAsia="tr-TR"/>
              </w:rPr>
            </w:pPr>
            <w:r w:rsidRPr="009E1B38">
              <w:rPr>
                <w:rFonts w:ascii="Times New Roman" w:eastAsia="Times New Roman" w:hAnsi="Times New Roman"/>
                <w:lang w:eastAsia="tr-TR"/>
              </w:rPr>
              <w:t>999-</w:t>
            </w:r>
            <w:r w:rsidR="00B34AF0" w:rsidRPr="009E1B38">
              <w:rPr>
                <w:rFonts w:ascii="Times New Roman" w:eastAsia="Times New Roman" w:hAnsi="Times New Roman"/>
                <w:lang w:eastAsia="tr-TR"/>
              </w:rPr>
              <w:t xml:space="preserve"> Other off-balance account</w:t>
            </w:r>
          </w:p>
          <w:p w14:paraId="7D4A9977"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single" w:sz="4" w:space="0" w:color="auto"/>
              <w:left w:val="single" w:sz="8" w:space="0" w:color="auto"/>
              <w:bottom w:val="nil"/>
              <w:right w:val="single" w:sz="8" w:space="0" w:color="auto"/>
            </w:tcBorders>
            <w:shd w:val="clear" w:color="auto" w:fill="auto"/>
            <w:noWrap/>
            <w:vAlign w:val="center"/>
          </w:tcPr>
          <w:p w14:paraId="7D4A997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2.148.994.388,68</w:t>
            </w:r>
          </w:p>
          <w:p w14:paraId="7D4A997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7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2.148.994.388,68</w:t>
            </w:r>
          </w:p>
          <w:p w14:paraId="7D4A997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7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7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47.441.722,04</w:t>
            </w:r>
          </w:p>
          <w:p w14:paraId="7D4A997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7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47.441.722,04</w:t>
            </w:r>
          </w:p>
          <w:p w14:paraId="7D4A998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8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p w14:paraId="7D4A998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8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0,00</w:t>
            </w:r>
          </w:p>
          <w:p w14:paraId="7D4A998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8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3.699.991.839,28</w:t>
            </w:r>
          </w:p>
          <w:p w14:paraId="7D4A998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3.699.991.839,28</w:t>
            </w:r>
          </w:p>
          <w:p w14:paraId="7D4A998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26" w:type="pct"/>
            <w:tcBorders>
              <w:top w:val="single" w:sz="4" w:space="0" w:color="auto"/>
              <w:left w:val="nil"/>
              <w:bottom w:val="nil"/>
              <w:right w:val="nil"/>
            </w:tcBorders>
            <w:shd w:val="clear" w:color="auto" w:fill="auto"/>
            <w:noWrap/>
            <w:vAlign w:val="center"/>
          </w:tcPr>
          <w:p w14:paraId="7D4A998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2.177.444.363,88</w:t>
            </w:r>
          </w:p>
          <w:p w14:paraId="7D4A998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8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2.177.444.363,88</w:t>
            </w:r>
          </w:p>
          <w:p w14:paraId="7D4A998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8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8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6.490.766,01</w:t>
            </w:r>
          </w:p>
          <w:p w14:paraId="7D4A998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8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6.490.766,01</w:t>
            </w:r>
          </w:p>
          <w:p w14:paraId="7D4A999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9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310.365,98</w:t>
            </w:r>
          </w:p>
          <w:p w14:paraId="7D4A999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9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310.365,98</w:t>
            </w:r>
          </w:p>
          <w:p w14:paraId="7D4A999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9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4.297.123.884,00</w:t>
            </w:r>
          </w:p>
          <w:p w14:paraId="7D4A999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4.297.123.884,00</w:t>
            </w:r>
          </w:p>
          <w:p w14:paraId="7D4A999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54" w:type="pct"/>
            <w:tcBorders>
              <w:top w:val="single" w:sz="4" w:space="0" w:color="auto"/>
              <w:left w:val="single" w:sz="8" w:space="0" w:color="auto"/>
              <w:bottom w:val="nil"/>
              <w:right w:val="single" w:sz="8" w:space="0" w:color="auto"/>
            </w:tcBorders>
            <w:shd w:val="clear" w:color="auto" w:fill="auto"/>
            <w:noWrap/>
            <w:vAlign w:val="center"/>
          </w:tcPr>
          <w:p w14:paraId="7D4A9998"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2.103.282.754,82</w:t>
            </w:r>
          </w:p>
          <w:p w14:paraId="7D4A9999"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9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2.103.282.754,82</w:t>
            </w:r>
          </w:p>
          <w:p w14:paraId="7D4A999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9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9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2.358.461,67</w:t>
            </w:r>
          </w:p>
          <w:p w14:paraId="7D4A999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9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2.358.461,67</w:t>
            </w:r>
          </w:p>
          <w:p w14:paraId="7D4A99A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A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267.176,82</w:t>
            </w:r>
          </w:p>
          <w:p w14:paraId="7D4A99A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A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267.176,82</w:t>
            </w:r>
          </w:p>
          <w:p w14:paraId="7D4A99A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p w14:paraId="7D4A99A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5.004.168.080,77</w:t>
            </w:r>
          </w:p>
          <w:p w14:paraId="7D4A99A6"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5.004.168.080,77</w:t>
            </w:r>
          </w:p>
          <w:p w14:paraId="7D4A99A7"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r>
      <w:tr w:rsidR="000875F4" w:rsidRPr="009E1B38" w14:paraId="7D4A99B6"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9A9" w14:textId="77777777" w:rsidR="000875F4" w:rsidRPr="009E1B38" w:rsidRDefault="000875F4" w:rsidP="000875F4">
            <w:pPr>
              <w:spacing w:after="0" w:line="240" w:lineRule="auto"/>
              <w:jc w:val="left"/>
              <w:rPr>
                <w:rFonts w:ascii="Times New Roman" w:eastAsia="Times New Roman" w:hAnsi="Times New Roman"/>
                <w:b/>
                <w:bCs/>
                <w:sz w:val="16"/>
                <w:szCs w:val="16"/>
                <w:u w:val="single"/>
                <w:lang w:eastAsia="tr-TR"/>
              </w:rPr>
            </w:pPr>
          </w:p>
        </w:tc>
        <w:tc>
          <w:tcPr>
            <w:tcW w:w="88" w:type="pct"/>
            <w:tcBorders>
              <w:top w:val="nil"/>
              <w:left w:val="nil"/>
              <w:bottom w:val="nil"/>
              <w:right w:val="nil"/>
            </w:tcBorders>
            <w:shd w:val="clear" w:color="auto" w:fill="auto"/>
            <w:noWrap/>
            <w:vAlign w:val="center"/>
            <w:hideMark/>
          </w:tcPr>
          <w:p w14:paraId="7D4A99AA" w14:textId="77777777" w:rsidR="000875F4" w:rsidRPr="009E1B38" w:rsidRDefault="000875F4" w:rsidP="000875F4">
            <w:pPr>
              <w:spacing w:after="0" w:line="240" w:lineRule="auto"/>
              <w:jc w:val="left"/>
              <w:rPr>
                <w:rFonts w:ascii="Times New Roman" w:eastAsia="Times New Roman" w:hAnsi="Times New Roman"/>
                <w:b/>
                <w:bCs/>
                <w:sz w:val="16"/>
                <w:szCs w:val="16"/>
                <w:u w:val="single"/>
                <w:lang w:eastAsia="tr-TR"/>
              </w:rPr>
            </w:pPr>
          </w:p>
        </w:tc>
        <w:tc>
          <w:tcPr>
            <w:tcW w:w="597" w:type="pct"/>
            <w:tcBorders>
              <w:top w:val="nil"/>
              <w:left w:val="nil"/>
              <w:bottom w:val="nil"/>
              <w:right w:val="single" w:sz="8" w:space="0" w:color="auto"/>
            </w:tcBorders>
            <w:shd w:val="clear" w:color="auto" w:fill="auto"/>
            <w:noWrap/>
            <w:vAlign w:val="bottom"/>
            <w:hideMark/>
          </w:tcPr>
          <w:p w14:paraId="7D4A99AB" w14:textId="77777777" w:rsidR="000875F4" w:rsidRPr="009E1B38" w:rsidRDefault="000875F4" w:rsidP="000875F4">
            <w:pPr>
              <w:spacing w:after="0"/>
              <w:jc w:val="left"/>
              <w:rPr>
                <w:rFonts w:ascii="Times New Roman" w:eastAsia="Times New Roman" w:hAnsi="Times New Roman"/>
                <w:lang w:eastAsia="tr-TR"/>
              </w:rPr>
            </w:pPr>
          </w:p>
          <w:p w14:paraId="7D4A99AC" w14:textId="77777777" w:rsidR="000875F4" w:rsidRPr="009E1B38" w:rsidRDefault="000875F4" w:rsidP="000875F4">
            <w:pPr>
              <w:spacing w:after="0"/>
              <w:jc w:val="left"/>
              <w:rPr>
                <w:rFonts w:ascii="Times New Roman" w:eastAsia="Times New Roman" w:hAnsi="Times New Roman"/>
                <w:lang w:eastAsia="tr-TR"/>
              </w:rPr>
            </w:pPr>
          </w:p>
        </w:tc>
        <w:tc>
          <w:tcPr>
            <w:tcW w:w="330" w:type="pct"/>
            <w:tcBorders>
              <w:top w:val="nil"/>
              <w:left w:val="nil"/>
              <w:bottom w:val="nil"/>
              <w:right w:val="single" w:sz="8" w:space="0" w:color="auto"/>
            </w:tcBorders>
            <w:shd w:val="clear" w:color="auto" w:fill="auto"/>
            <w:noWrap/>
            <w:vAlign w:val="bottom"/>
          </w:tcPr>
          <w:p w14:paraId="7D4A99AD"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30" w:type="pct"/>
            <w:tcBorders>
              <w:top w:val="nil"/>
              <w:left w:val="nil"/>
              <w:bottom w:val="nil"/>
              <w:right w:val="single" w:sz="4" w:space="0" w:color="auto"/>
            </w:tcBorders>
            <w:shd w:val="clear" w:color="auto" w:fill="auto"/>
            <w:noWrap/>
            <w:vAlign w:val="bottom"/>
          </w:tcPr>
          <w:p w14:paraId="7D4A99AE"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39" w:type="pct"/>
            <w:tcBorders>
              <w:top w:val="nil"/>
              <w:left w:val="single" w:sz="4" w:space="0" w:color="auto"/>
              <w:bottom w:val="nil"/>
              <w:right w:val="nil"/>
            </w:tcBorders>
            <w:shd w:val="clear" w:color="auto" w:fill="auto"/>
            <w:noWrap/>
            <w:vAlign w:val="bottom"/>
          </w:tcPr>
          <w:p w14:paraId="7D4A99AF"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8" w:type="pct"/>
            <w:tcBorders>
              <w:top w:val="nil"/>
              <w:left w:val="single" w:sz="8" w:space="0" w:color="auto"/>
              <w:bottom w:val="nil"/>
              <w:right w:val="nil"/>
            </w:tcBorders>
            <w:shd w:val="clear" w:color="auto" w:fill="auto"/>
            <w:noWrap/>
            <w:vAlign w:val="center"/>
            <w:hideMark/>
          </w:tcPr>
          <w:p w14:paraId="7D4A99B0"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center"/>
            <w:hideMark/>
          </w:tcPr>
          <w:p w14:paraId="7D4A99B1"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776" w:type="pct"/>
            <w:tcBorders>
              <w:top w:val="nil"/>
              <w:left w:val="nil"/>
              <w:bottom w:val="nil"/>
              <w:right w:val="nil"/>
            </w:tcBorders>
            <w:shd w:val="clear" w:color="auto" w:fill="auto"/>
            <w:noWrap/>
            <w:vAlign w:val="bottom"/>
          </w:tcPr>
          <w:p w14:paraId="7D4A99B2"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nil"/>
              <w:right w:val="single" w:sz="8" w:space="0" w:color="auto"/>
            </w:tcBorders>
            <w:shd w:val="clear" w:color="auto" w:fill="auto"/>
            <w:noWrap/>
            <w:vAlign w:val="bottom"/>
          </w:tcPr>
          <w:p w14:paraId="7D4A99B3"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26" w:type="pct"/>
            <w:tcBorders>
              <w:top w:val="nil"/>
              <w:left w:val="nil"/>
              <w:bottom w:val="nil"/>
              <w:right w:val="nil"/>
            </w:tcBorders>
            <w:shd w:val="clear" w:color="auto" w:fill="auto"/>
            <w:noWrap/>
            <w:vAlign w:val="bottom"/>
          </w:tcPr>
          <w:p w14:paraId="7D4A99B4"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bottom"/>
          </w:tcPr>
          <w:p w14:paraId="7D4A99B5"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r>
      <w:tr w:rsidR="000875F4" w:rsidRPr="009E1B38" w14:paraId="7D4A99C3" w14:textId="77777777"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7D4A99B7" w14:textId="77777777" w:rsidR="000875F4" w:rsidRPr="009E1B38" w:rsidRDefault="000875F4" w:rsidP="000875F4">
            <w:pPr>
              <w:spacing w:after="0" w:line="240" w:lineRule="auto"/>
              <w:jc w:val="left"/>
              <w:rPr>
                <w:rFonts w:ascii="Times New Roman" w:eastAsia="Times New Roman" w:hAnsi="Times New Roman"/>
                <w:b/>
                <w:bCs/>
                <w:sz w:val="16"/>
                <w:szCs w:val="16"/>
                <w:u w:val="single"/>
                <w:lang w:eastAsia="tr-TR"/>
              </w:rPr>
            </w:pPr>
          </w:p>
        </w:tc>
        <w:tc>
          <w:tcPr>
            <w:tcW w:w="88" w:type="pct"/>
            <w:tcBorders>
              <w:top w:val="nil"/>
              <w:left w:val="nil"/>
              <w:bottom w:val="nil"/>
              <w:right w:val="nil"/>
            </w:tcBorders>
            <w:shd w:val="clear" w:color="auto" w:fill="auto"/>
            <w:noWrap/>
            <w:vAlign w:val="center"/>
            <w:hideMark/>
          </w:tcPr>
          <w:p w14:paraId="7D4A99B8" w14:textId="77777777" w:rsidR="000875F4" w:rsidRPr="009E1B38" w:rsidRDefault="000875F4" w:rsidP="000875F4">
            <w:pPr>
              <w:spacing w:after="0" w:line="240" w:lineRule="auto"/>
              <w:jc w:val="left"/>
              <w:rPr>
                <w:rFonts w:ascii="Times New Roman" w:eastAsia="Times New Roman" w:hAnsi="Times New Roman"/>
                <w:b/>
                <w:bCs/>
                <w:sz w:val="16"/>
                <w:szCs w:val="16"/>
                <w:u w:val="single"/>
                <w:lang w:eastAsia="tr-TR"/>
              </w:rPr>
            </w:pPr>
          </w:p>
        </w:tc>
        <w:tc>
          <w:tcPr>
            <w:tcW w:w="597" w:type="pct"/>
            <w:tcBorders>
              <w:top w:val="nil"/>
              <w:left w:val="nil"/>
              <w:bottom w:val="nil"/>
              <w:right w:val="single" w:sz="8" w:space="0" w:color="auto"/>
            </w:tcBorders>
            <w:shd w:val="clear" w:color="auto" w:fill="auto"/>
            <w:noWrap/>
            <w:vAlign w:val="center"/>
            <w:hideMark/>
          </w:tcPr>
          <w:p w14:paraId="7D4A99B9" w14:textId="77777777" w:rsidR="000875F4" w:rsidRPr="009E1B38" w:rsidRDefault="000875F4" w:rsidP="000875F4">
            <w:pPr>
              <w:spacing w:after="0"/>
              <w:jc w:val="left"/>
              <w:rPr>
                <w:rFonts w:ascii="Times New Roman" w:eastAsia="Times New Roman" w:hAnsi="Times New Roman"/>
                <w:lang w:eastAsia="tr-TR"/>
              </w:rPr>
            </w:pPr>
          </w:p>
        </w:tc>
        <w:tc>
          <w:tcPr>
            <w:tcW w:w="330" w:type="pct"/>
            <w:tcBorders>
              <w:top w:val="nil"/>
              <w:left w:val="nil"/>
              <w:bottom w:val="nil"/>
              <w:right w:val="single" w:sz="8" w:space="0" w:color="auto"/>
            </w:tcBorders>
            <w:shd w:val="clear" w:color="auto" w:fill="auto"/>
            <w:noWrap/>
            <w:vAlign w:val="center"/>
          </w:tcPr>
          <w:p w14:paraId="7D4A99BA"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30" w:type="pct"/>
            <w:tcBorders>
              <w:top w:val="nil"/>
              <w:left w:val="nil"/>
              <w:bottom w:val="nil"/>
              <w:right w:val="single" w:sz="4" w:space="0" w:color="auto"/>
            </w:tcBorders>
            <w:shd w:val="clear" w:color="auto" w:fill="auto"/>
            <w:noWrap/>
            <w:vAlign w:val="center"/>
          </w:tcPr>
          <w:p w14:paraId="7D4A99BB"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39" w:type="pct"/>
            <w:tcBorders>
              <w:top w:val="nil"/>
              <w:left w:val="single" w:sz="4" w:space="0" w:color="auto"/>
              <w:bottom w:val="nil"/>
              <w:right w:val="single" w:sz="8" w:space="0" w:color="auto"/>
            </w:tcBorders>
            <w:shd w:val="clear" w:color="auto" w:fill="auto"/>
            <w:noWrap/>
            <w:vAlign w:val="center"/>
          </w:tcPr>
          <w:p w14:paraId="7D4A99BC"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8" w:type="pct"/>
            <w:tcBorders>
              <w:top w:val="nil"/>
              <w:left w:val="nil"/>
              <w:bottom w:val="nil"/>
              <w:right w:val="nil"/>
            </w:tcBorders>
            <w:shd w:val="clear" w:color="auto" w:fill="auto"/>
            <w:noWrap/>
            <w:vAlign w:val="center"/>
            <w:hideMark/>
          </w:tcPr>
          <w:p w14:paraId="7D4A99BD"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r w:rsidRPr="009E1B38">
              <w:rPr>
                <w:rFonts w:ascii="Times New Roman" w:eastAsia="Times New Roman" w:hAnsi="Times New Roman"/>
                <w:sz w:val="16"/>
                <w:szCs w:val="16"/>
                <w:lang w:eastAsia="tr-TR"/>
              </w:rPr>
              <w:t> </w:t>
            </w:r>
          </w:p>
        </w:tc>
        <w:tc>
          <w:tcPr>
            <w:tcW w:w="72" w:type="pct"/>
            <w:tcBorders>
              <w:top w:val="nil"/>
              <w:left w:val="nil"/>
              <w:bottom w:val="nil"/>
              <w:right w:val="nil"/>
            </w:tcBorders>
            <w:shd w:val="clear" w:color="auto" w:fill="auto"/>
            <w:noWrap/>
            <w:vAlign w:val="center"/>
            <w:hideMark/>
          </w:tcPr>
          <w:p w14:paraId="7D4A99BE" w14:textId="77777777" w:rsidR="000875F4" w:rsidRPr="009E1B38" w:rsidRDefault="000875F4" w:rsidP="000875F4">
            <w:pPr>
              <w:spacing w:after="0" w:line="240" w:lineRule="auto"/>
              <w:jc w:val="left"/>
              <w:rPr>
                <w:rFonts w:ascii="Times New Roman" w:eastAsia="Times New Roman" w:hAnsi="Times New Roman"/>
                <w:sz w:val="16"/>
                <w:szCs w:val="16"/>
                <w:lang w:eastAsia="tr-TR"/>
              </w:rPr>
            </w:pPr>
          </w:p>
        </w:tc>
        <w:tc>
          <w:tcPr>
            <w:tcW w:w="776" w:type="pct"/>
            <w:tcBorders>
              <w:top w:val="nil"/>
              <w:left w:val="nil"/>
              <w:bottom w:val="nil"/>
              <w:right w:val="nil"/>
            </w:tcBorders>
            <w:shd w:val="clear" w:color="auto" w:fill="auto"/>
            <w:noWrap/>
            <w:vAlign w:val="center"/>
          </w:tcPr>
          <w:p w14:paraId="7D4A99BF" w14:textId="77777777" w:rsidR="000875F4" w:rsidRPr="009E1B38" w:rsidRDefault="000875F4" w:rsidP="000875F4">
            <w:pPr>
              <w:spacing w:after="0" w:line="240" w:lineRule="auto"/>
              <w:jc w:val="left"/>
              <w:rPr>
                <w:rFonts w:ascii="Times New Roman" w:eastAsia="Times New Roman" w:hAnsi="Times New Roman"/>
                <w:lang w:eastAsia="tr-TR"/>
              </w:rPr>
            </w:pPr>
          </w:p>
        </w:tc>
        <w:tc>
          <w:tcPr>
            <w:tcW w:w="359" w:type="pct"/>
            <w:tcBorders>
              <w:top w:val="nil"/>
              <w:left w:val="single" w:sz="8" w:space="0" w:color="auto"/>
              <w:bottom w:val="nil"/>
              <w:right w:val="single" w:sz="8" w:space="0" w:color="auto"/>
            </w:tcBorders>
            <w:shd w:val="clear" w:color="auto" w:fill="auto"/>
            <w:noWrap/>
            <w:vAlign w:val="center"/>
            <w:hideMark/>
          </w:tcPr>
          <w:p w14:paraId="7D4A99C0"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26" w:type="pct"/>
            <w:tcBorders>
              <w:top w:val="nil"/>
              <w:left w:val="nil"/>
              <w:bottom w:val="nil"/>
              <w:right w:val="nil"/>
            </w:tcBorders>
            <w:shd w:val="clear" w:color="auto" w:fill="auto"/>
            <w:noWrap/>
            <w:vAlign w:val="center"/>
            <w:hideMark/>
          </w:tcPr>
          <w:p w14:paraId="7D4A99C1"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center"/>
          </w:tcPr>
          <w:p w14:paraId="7D4A99C2" w14:textId="77777777" w:rsidR="000875F4" w:rsidRPr="009E1B38" w:rsidRDefault="000875F4" w:rsidP="000875F4">
            <w:pPr>
              <w:spacing w:after="0" w:line="240" w:lineRule="auto"/>
              <w:jc w:val="right"/>
              <w:rPr>
                <w:rFonts w:ascii="Times New Roman" w:eastAsia="Times New Roman" w:hAnsi="Times New Roman"/>
                <w:sz w:val="16"/>
                <w:szCs w:val="16"/>
                <w:lang w:eastAsia="tr-TR"/>
              </w:rPr>
            </w:pPr>
          </w:p>
        </w:tc>
      </w:tr>
      <w:tr w:rsidR="000875F4" w:rsidRPr="009E1B38" w14:paraId="7D4A99D0" w14:textId="77777777" w:rsidTr="29720196">
        <w:trPr>
          <w:trHeight w:val="20"/>
        </w:trPr>
        <w:tc>
          <w:tcPr>
            <w:tcW w:w="722" w:type="pct"/>
            <w:gridSpan w:val="3"/>
            <w:tcBorders>
              <w:top w:val="nil"/>
              <w:left w:val="single" w:sz="8" w:space="0" w:color="auto"/>
              <w:bottom w:val="single" w:sz="8" w:space="0" w:color="auto"/>
              <w:right w:val="single" w:sz="8" w:space="0" w:color="000000" w:themeColor="text1"/>
            </w:tcBorders>
            <w:shd w:val="clear" w:color="auto" w:fill="auto"/>
            <w:noWrap/>
            <w:vAlign w:val="center"/>
            <w:hideMark/>
          </w:tcPr>
          <w:p w14:paraId="7D4A99C4" w14:textId="400FCEA4" w:rsidR="000875F4" w:rsidRPr="009E1B38" w:rsidRDefault="000875F4"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lastRenderedPageBreak/>
              <w:t xml:space="preserve">   </w:t>
            </w:r>
            <w:r w:rsidR="00AB17F4" w:rsidRPr="009E1B38">
              <w:rPr>
                <w:rFonts w:ascii="Times New Roman" w:eastAsia="Times New Roman" w:hAnsi="Times New Roman"/>
                <w:b/>
                <w:lang w:eastAsia="tr-TR"/>
              </w:rPr>
              <w:t>TOTAL OFF-BALANCE SHEET</w:t>
            </w:r>
          </w:p>
        </w:tc>
        <w:tc>
          <w:tcPr>
            <w:tcW w:w="330" w:type="pct"/>
            <w:tcBorders>
              <w:top w:val="nil"/>
              <w:left w:val="nil"/>
              <w:bottom w:val="single" w:sz="8" w:space="0" w:color="auto"/>
              <w:right w:val="single" w:sz="8" w:space="0" w:color="auto"/>
            </w:tcBorders>
            <w:shd w:val="clear" w:color="auto" w:fill="auto"/>
            <w:noWrap/>
            <w:vAlign w:val="center"/>
          </w:tcPr>
          <w:p w14:paraId="7D4A99C5"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8"/>
                <w:lang w:eastAsia="tr-TR"/>
              </w:rPr>
              <w:t>5.896.427.950,00</w:t>
            </w:r>
          </w:p>
        </w:tc>
        <w:tc>
          <w:tcPr>
            <w:tcW w:w="330" w:type="pct"/>
            <w:tcBorders>
              <w:top w:val="nil"/>
              <w:left w:val="nil"/>
              <w:bottom w:val="single" w:sz="8" w:space="0" w:color="auto"/>
              <w:right w:val="single" w:sz="8" w:space="0" w:color="auto"/>
            </w:tcBorders>
            <w:shd w:val="clear" w:color="auto" w:fill="auto"/>
            <w:noWrap/>
            <w:vAlign w:val="center"/>
          </w:tcPr>
          <w:p w14:paraId="7D4A99C6"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8"/>
                <w:lang w:eastAsia="tr-TR"/>
              </w:rPr>
              <w:t>6.481.369.379,87</w:t>
            </w:r>
          </w:p>
        </w:tc>
        <w:tc>
          <w:tcPr>
            <w:tcW w:w="339" w:type="pct"/>
            <w:tcBorders>
              <w:top w:val="nil"/>
              <w:left w:val="nil"/>
              <w:bottom w:val="single" w:sz="8" w:space="0" w:color="auto"/>
              <w:right w:val="single" w:sz="8" w:space="0" w:color="auto"/>
            </w:tcBorders>
            <w:shd w:val="clear" w:color="auto" w:fill="auto"/>
            <w:noWrap/>
            <w:vAlign w:val="center"/>
          </w:tcPr>
          <w:p w14:paraId="7D4A99C7" w14:textId="77777777" w:rsidR="000875F4" w:rsidRPr="009E1B38" w:rsidRDefault="000875F4" w:rsidP="000875F4">
            <w:pPr>
              <w:spacing w:after="0" w:line="240" w:lineRule="auto"/>
              <w:jc w:val="right"/>
              <w:rPr>
                <w:rFonts w:ascii="Times New Roman" w:eastAsia="Times New Roman" w:hAnsi="Times New Roman"/>
                <w:b/>
                <w:sz w:val="16"/>
                <w:szCs w:val="16"/>
                <w:lang w:eastAsia="tr-TR"/>
              </w:rPr>
            </w:pPr>
            <w:r w:rsidRPr="009E1B38">
              <w:rPr>
                <w:rFonts w:ascii="Times New Roman" w:eastAsia="Times New Roman" w:hAnsi="Times New Roman"/>
                <w:b/>
                <w:sz w:val="16"/>
                <w:szCs w:val="16"/>
                <w:lang w:eastAsia="tr-TR"/>
              </w:rPr>
              <w:t>7.110.076.474,08</w:t>
            </w:r>
          </w:p>
        </w:tc>
        <w:tc>
          <w:tcPr>
            <w:tcW w:w="886" w:type="pct"/>
            <w:gridSpan w:val="3"/>
            <w:tcBorders>
              <w:top w:val="nil"/>
              <w:left w:val="single" w:sz="8" w:space="0" w:color="auto"/>
              <w:bottom w:val="single" w:sz="8" w:space="0" w:color="auto"/>
              <w:right w:val="nil"/>
            </w:tcBorders>
            <w:shd w:val="clear" w:color="auto" w:fill="auto"/>
            <w:noWrap/>
            <w:vAlign w:val="center"/>
            <w:hideMark/>
          </w:tcPr>
          <w:p w14:paraId="7D4A99C8" w14:textId="77777777" w:rsidR="000875F4" w:rsidRPr="009E1B38" w:rsidRDefault="000875F4" w:rsidP="000875F4">
            <w:pPr>
              <w:spacing w:after="0" w:line="240" w:lineRule="auto"/>
              <w:jc w:val="left"/>
              <w:rPr>
                <w:rFonts w:ascii="Times New Roman" w:eastAsia="Times New Roman" w:hAnsi="Times New Roman"/>
                <w:b/>
                <w:lang w:eastAsia="tr-TR"/>
              </w:rPr>
            </w:pPr>
          </w:p>
        </w:tc>
        <w:tc>
          <w:tcPr>
            <w:tcW w:w="359" w:type="pct"/>
            <w:tcBorders>
              <w:top w:val="nil"/>
              <w:left w:val="single" w:sz="8" w:space="0" w:color="auto"/>
              <w:bottom w:val="single" w:sz="8" w:space="0" w:color="auto"/>
              <w:right w:val="single" w:sz="8" w:space="0" w:color="auto"/>
            </w:tcBorders>
            <w:shd w:val="clear" w:color="auto" w:fill="auto"/>
            <w:noWrap/>
            <w:vAlign w:val="center"/>
            <w:hideMark/>
          </w:tcPr>
          <w:p w14:paraId="7D4A99C9"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8"/>
                <w:lang w:eastAsia="tr-TR"/>
              </w:rPr>
              <w:t>5.896.427.950,00</w:t>
            </w:r>
          </w:p>
        </w:tc>
        <w:tc>
          <w:tcPr>
            <w:tcW w:w="326" w:type="pct"/>
            <w:tcBorders>
              <w:top w:val="nil"/>
              <w:left w:val="nil"/>
              <w:bottom w:val="single" w:sz="8" w:space="0" w:color="auto"/>
              <w:right w:val="nil"/>
            </w:tcBorders>
            <w:shd w:val="clear" w:color="auto" w:fill="auto"/>
            <w:noWrap/>
            <w:vAlign w:val="center"/>
            <w:hideMark/>
          </w:tcPr>
          <w:p w14:paraId="7D4A99CA"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6"/>
                <w:lang w:eastAsia="tr-TR"/>
              </w:rPr>
              <w:t>6.481.369.379,87</w:t>
            </w:r>
          </w:p>
        </w:tc>
        <w:tc>
          <w:tcPr>
            <w:tcW w:w="354" w:type="pct"/>
            <w:tcBorders>
              <w:top w:val="nil"/>
              <w:left w:val="single" w:sz="8" w:space="0" w:color="auto"/>
              <w:bottom w:val="single" w:sz="8" w:space="0" w:color="auto"/>
              <w:right w:val="single" w:sz="8" w:space="0" w:color="auto"/>
            </w:tcBorders>
            <w:shd w:val="clear" w:color="auto" w:fill="auto"/>
            <w:noWrap/>
            <w:vAlign w:val="center"/>
          </w:tcPr>
          <w:p w14:paraId="7D4A99CB" w14:textId="77777777" w:rsidR="000875F4" w:rsidRPr="009E1B38" w:rsidRDefault="000875F4" w:rsidP="000875F4">
            <w:pPr>
              <w:spacing w:after="0" w:line="240" w:lineRule="auto"/>
              <w:jc w:val="right"/>
              <w:rPr>
                <w:rFonts w:ascii="Times New Roman" w:eastAsia="Times New Roman" w:hAnsi="Times New Roman"/>
                <w:b/>
                <w:bCs/>
                <w:sz w:val="16"/>
                <w:szCs w:val="18"/>
                <w:lang w:eastAsia="tr-TR"/>
              </w:rPr>
            </w:pPr>
            <w:r w:rsidRPr="009E1B38">
              <w:rPr>
                <w:rFonts w:ascii="Times New Roman" w:eastAsia="Times New Roman" w:hAnsi="Times New Roman"/>
                <w:b/>
                <w:bCs/>
                <w:sz w:val="16"/>
                <w:szCs w:val="18"/>
                <w:lang w:eastAsia="tr-TR"/>
              </w:rPr>
              <w:t>7.110.076.474,08</w:t>
            </w:r>
          </w:p>
        </w:tc>
        <w:tc>
          <w:tcPr>
            <w:tcW w:w="339" w:type="pct"/>
          </w:tcPr>
          <w:p w14:paraId="7D4A99CC" w14:textId="77777777" w:rsidR="000875F4" w:rsidRPr="009E1B38" w:rsidRDefault="000875F4" w:rsidP="000875F4">
            <w:pPr>
              <w:jc w:val="left"/>
              <w:rPr>
                <w:rFonts w:ascii="Times New Roman" w:hAnsi="Times New Roman"/>
              </w:rPr>
            </w:pPr>
          </w:p>
        </w:tc>
        <w:tc>
          <w:tcPr>
            <w:tcW w:w="339" w:type="pct"/>
          </w:tcPr>
          <w:p w14:paraId="7D4A99CD" w14:textId="77777777" w:rsidR="000875F4" w:rsidRPr="009E1B38" w:rsidRDefault="000875F4" w:rsidP="000875F4">
            <w:pPr>
              <w:jc w:val="left"/>
              <w:rPr>
                <w:rFonts w:ascii="Times New Roman" w:hAnsi="Times New Roman"/>
              </w:rPr>
            </w:pPr>
          </w:p>
        </w:tc>
        <w:tc>
          <w:tcPr>
            <w:tcW w:w="339" w:type="pct"/>
          </w:tcPr>
          <w:p w14:paraId="7D4A99CE" w14:textId="77777777" w:rsidR="000875F4" w:rsidRPr="009E1B38" w:rsidRDefault="000875F4" w:rsidP="000875F4">
            <w:pPr>
              <w:jc w:val="left"/>
              <w:rPr>
                <w:rFonts w:ascii="Times New Roman" w:hAnsi="Times New Roman"/>
              </w:rPr>
            </w:pPr>
          </w:p>
        </w:tc>
        <w:tc>
          <w:tcPr>
            <w:tcW w:w="337" w:type="pct"/>
            <w:vAlign w:val="center"/>
          </w:tcPr>
          <w:p w14:paraId="7D4A99CF" w14:textId="77777777" w:rsidR="000875F4" w:rsidRPr="009E1B38" w:rsidRDefault="000875F4" w:rsidP="000875F4">
            <w:pPr>
              <w:jc w:val="left"/>
              <w:rPr>
                <w:rFonts w:ascii="Times New Roman" w:hAnsi="Times New Roman"/>
              </w:rPr>
            </w:pPr>
            <w:r w:rsidRPr="009E1B38">
              <w:rPr>
                <w:rFonts w:ascii="Times New Roman" w:eastAsia="Times New Roman" w:hAnsi="Times New Roman"/>
                <w:b/>
                <w:sz w:val="16"/>
                <w:szCs w:val="16"/>
                <w:lang w:eastAsia="tr-TR"/>
              </w:rPr>
              <w:t>7.110.076.474,08</w:t>
            </w:r>
          </w:p>
        </w:tc>
      </w:tr>
      <w:tr w:rsidR="000875F4" w:rsidRPr="009E1B38" w14:paraId="7D4A99D9" w14:textId="77777777" w:rsidTr="29720196">
        <w:trPr>
          <w:gridAfter w:val="4"/>
          <w:wAfter w:w="1354" w:type="pct"/>
          <w:trHeight w:val="441"/>
        </w:trPr>
        <w:tc>
          <w:tcPr>
            <w:tcW w:w="722" w:type="pct"/>
            <w:gridSpan w:val="3"/>
            <w:tcBorders>
              <w:top w:val="single" w:sz="8" w:space="0" w:color="auto"/>
              <w:left w:val="single" w:sz="8" w:space="0" w:color="auto"/>
              <w:bottom w:val="single" w:sz="8" w:space="0" w:color="auto"/>
              <w:right w:val="nil"/>
            </w:tcBorders>
            <w:shd w:val="clear" w:color="auto" w:fill="F2F2F2" w:themeFill="background1" w:themeFillShade="F2"/>
            <w:noWrap/>
            <w:vAlign w:val="center"/>
            <w:hideMark/>
          </w:tcPr>
          <w:p w14:paraId="7D4A99D1" w14:textId="61885218" w:rsidR="000875F4" w:rsidRPr="009E1B38" w:rsidRDefault="004C4FF5"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GRAND TOTAL</w:t>
            </w:r>
          </w:p>
        </w:tc>
        <w:tc>
          <w:tcPr>
            <w:tcW w:w="330" w:type="pct"/>
            <w:tcBorders>
              <w:top w:val="single" w:sz="8" w:space="0" w:color="auto"/>
              <w:left w:val="single" w:sz="8" w:space="0" w:color="auto"/>
              <w:bottom w:val="single" w:sz="4" w:space="0" w:color="auto"/>
              <w:right w:val="single" w:sz="8" w:space="0" w:color="auto"/>
            </w:tcBorders>
            <w:shd w:val="clear" w:color="auto" w:fill="F2F2F2" w:themeFill="background1" w:themeFillShade="F2"/>
            <w:noWrap/>
            <w:vAlign w:val="center"/>
          </w:tcPr>
          <w:p w14:paraId="7D4A99D2"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6.376.450.584,31</w:t>
            </w:r>
          </w:p>
        </w:tc>
        <w:tc>
          <w:tcPr>
            <w:tcW w:w="330" w:type="pct"/>
            <w:tcBorders>
              <w:top w:val="single" w:sz="8" w:space="0" w:color="auto"/>
              <w:left w:val="nil"/>
              <w:bottom w:val="single" w:sz="4" w:space="0" w:color="auto"/>
              <w:right w:val="single" w:sz="8" w:space="0" w:color="auto"/>
            </w:tcBorders>
            <w:shd w:val="clear" w:color="auto" w:fill="F2F2F2" w:themeFill="background1" w:themeFillShade="F2"/>
            <w:noWrap/>
            <w:vAlign w:val="center"/>
          </w:tcPr>
          <w:p w14:paraId="7D4A99D3"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7.055.762.569,46</w:t>
            </w:r>
          </w:p>
        </w:tc>
        <w:tc>
          <w:tcPr>
            <w:tcW w:w="339" w:type="pct"/>
            <w:tcBorders>
              <w:top w:val="single" w:sz="8" w:space="0" w:color="auto"/>
              <w:left w:val="nil"/>
              <w:bottom w:val="single" w:sz="4" w:space="0" w:color="auto"/>
              <w:right w:val="single" w:sz="8" w:space="0" w:color="auto"/>
            </w:tcBorders>
            <w:shd w:val="clear" w:color="auto" w:fill="F2F2F2" w:themeFill="background1" w:themeFillShade="F2"/>
            <w:noWrap/>
            <w:vAlign w:val="center"/>
          </w:tcPr>
          <w:p w14:paraId="7D4A99D4"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7.695.763.894,93</w:t>
            </w:r>
          </w:p>
        </w:tc>
        <w:tc>
          <w:tcPr>
            <w:tcW w:w="886" w:type="pct"/>
            <w:gridSpan w:val="3"/>
            <w:tcBorders>
              <w:top w:val="single" w:sz="8" w:space="0" w:color="auto"/>
              <w:left w:val="single" w:sz="8" w:space="0" w:color="auto"/>
              <w:bottom w:val="single" w:sz="8" w:space="0" w:color="auto"/>
              <w:right w:val="nil"/>
            </w:tcBorders>
            <w:shd w:val="clear" w:color="auto" w:fill="F2F2F2" w:themeFill="background1" w:themeFillShade="F2"/>
            <w:noWrap/>
            <w:vAlign w:val="center"/>
            <w:hideMark/>
          </w:tcPr>
          <w:p w14:paraId="7D4A99D5" w14:textId="00743B53" w:rsidR="000875F4" w:rsidRPr="009E1B38" w:rsidRDefault="00637658" w:rsidP="000875F4">
            <w:pPr>
              <w:spacing w:after="0" w:line="240" w:lineRule="auto"/>
              <w:jc w:val="left"/>
              <w:rPr>
                <w:rFonts w:ascii="Times New Roman" w:eastAsia="Times New Roman" w:hAnsi="Times New Roman"/>
                <w:b/>
                <w:lang w:eastAsia="tr-TR"/>
              </w:rPr>
            </w:pPr>
            <w:r w:rsidRPr="009E1B38">
              <w:rPr>
                <w:rFonts w:ascii="Times New Roman" w:eastAsia="Times New Roman" w:hAnsi="Times New Roman"/>
                <w:b/>
                <w:lang w:eastAsia="tr-TR"/>
              </w:rPr>
              <w:t xml:space="preserve">   </w:t>
            </w:r>
            <w:r w:rsidR="00B34AF0" w:rsidRPr="009E1B38">
              <w:rPr>
                <w:rFonts w:ascii="Times New Roman" w:eastAsia="Times New Roman" w:hAnsi="Times New Roman"/>
                <w:b/>
                <w:lang w:eastAsia="tr-TR"/>
              </w:rPr>
              <w:t>GRAND TOTAL</w:t>
            </w:r>
          </w:p>
        </w:tc>
        <w:tc>
          <w:tcPr>
            <w:tcW w:w="359" w:type="pct"/>
            <w:tcBorders>
              <w:top w:val="nil"/>
              <w:left w:val="single" w:sz="8" w:space="0" w:color="auto"/>
              <w:bottom w:val="single" w:sz="8" w:space="0" w:color="auto"/>
              <w:right w:val="single" w:sz="8" w:space="0" w:color="auto"/>
            </w:tcBorders>
            <w:shd w:val="clear" w:color="auto" w:fill="F2F2F2" w:themeFill="background1" w:themeFillShade="F2"/>
            <w:noWrap/>
            <w:vAlign w:val="center"/>
            <w:hideMark/>
          </w:tcPr>
          <w:p w14:paraId="7D4A99D6"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6.376.450.584,31</w:t>
            </w:r>
          </w:p>
        </w:tc>
        <w:tc>
          <w:tcPr>
            <w:tcW w:w="326" w:type="pct"/>
            <w:tcBorders>
              <w:top w:val="nil"/>
              <w:left w:val="nil"/>
              <w:bottom w:val="single" w:sz="8" w:space="0" w:color="auto"/>
              <w:right w:val="single" w:sz="8" w:space="0" w:color="auto"/>
            </w:tcBorders>
            <w:shd w:val="clear" w:color="auto" w:fill="F2F2F2" w:themeFill="background1" w:themeFillShade="F2"/>
            <w:noWrap/>
            <w:vAlign w:val="center"/>
            <w:hideMark/>
          </w:tcPr>
          <w:p w14:paraId="7D4A99D7"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7.055.762.569,46</w:t>
            </w:r>
          </w:p>
        </w:tc>
        <w:tc>
          <w:tcPr>
            <w:tcW w:w="354" w:type="pct"/>
            <w:tcBorders>
              <w:top w:val="nil"/>
              <w:left w:val="nil"/>
              <w:bottom w:val="single" w:sz="8" w:space="0" w:color="auto"/>
              <w:right w:val="single" w:sz="8" w:space="0" w:color="auto"/>
            </w:tcBorders>
            <w:shd w:val="clear" w:color="auto" w:fill="F2F2F2" w:themeFill="background1" w:themeFillShade="F2"/>
            <w:noWrap/>
            <w:vAlign w:val="center"/>
          </w:tcPr>
          <w:p w14:paraId="7D4A99D8" w14:textId="77777777" w:rsidR="000875F4" w:rsidRPr="009E1B38" w:rsidRDefault="000875F4" w:rsidP="000875F4">
            <w:pPr>
              <w:spacing w:after="0" w:line="240" w:lineRule="auto"/>
              <w:jc w:val="right"/>
              <w:rPr>
                <w:rFonts w:ascii="Times New Roman" w:eastAsia="Times New Roman" w:hAnsi="Times New Roman"/>
                <w:b/>
                <w:bCs/>
                <w:sz w:val="16"/>
                <w:szCs w:val="16"/>
                <w:lang w:eastAsia="tr-TR"/>
              </w:rPr>
            </w:pPr>
            <w:r w:rsidRPr="009E1B38">
              <w:rPr>
                <w:rFonts w:ascii="Times New Roman" w:eastAsia="Times New Roman" w:hAnsi="Times New Roman"/>
                <w:b/>
                <w:bCs/>
                <w:sz w:val="16"/>
                <w:szCs w:val="16"/>
                <w:lang w:eastAsia="tr-TR"/>
              </w:rPr>
              <w:t>7.695.763.894,93</w:t>
            </w:r>
          </w:p>
        </w:tc>
      </w:tr>
    </w:tbl>
    <w:p w14:paraId="7D4A99DA" w14:textId="77777777" w:rsidR="00933A6E" w:rsidRPr="009E1B38" w:rsidRDefault="00933A6E" w:rsidP="00933A6E">
      <w:pPr>
        <w:pStyle w:val="ListeParagraf"/>
        <w:rPr>
          <w:rFonts w:ascii="Times New Roman" w:hAnsi="Times New Roman"/>
          <w:b/>
          <w:sz w:val="18"/>
          <w:szCs w:val="18"/>
          <w:highlight w:val="yellow"/>
        </w:rPr>
      </w:pPr>
    </w:p>
    <w:p w14:paraId="7D4A99DB" w14:textId="77777777" w:rsidR="001C3349" w:rsidRPr="009E1B38" w:rsidRDefault="001C3349" w:rsidP="00A959D5">
      <w:pPr>
        <w:jc w:val="center"/>
        <w:rPr>
          <w:rFonts w:ascii="Times New Roman" w:hAnsi="Times New Roman"/>
          <w:b/>
          <w:sz w:val="18"/>
          <w:szCs w:val="18"/>
          <w:highlight w:val="yellow"/>
        </w:rPr>
      </w:pPr>
    </w:p>
    <w:p w14:paraId="7D4A99DC" w14:textId="77777777" w:rsidR="001E4B05" w:rsidRPr="009E1B38" w:rsidRDefault="001E4B05" w:rsidP="009A5906">
      <w:pPr>
        <w:rPr>
          <w:rFonts w:ascii="Times New Roman" w:hAnsi="Times New Roman"/>
          <w:sz w:val="12"/>
          <w:szCs w:val="12"/>
          <w:highlight w:val="yellow"/>
        </w:rPr>
      </w:pPr>
    </w:p>
    <w:sectPr w:rsidR="001E4B05" w:rsidRPr="009E1B38"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B3EDC6" w14:textId="77777777" w:rsidR="00E020C3" w:rsidRDefault="00E020C3" w:rsidP="00297FE1">
      <w:pPr>
        <w:spacing w:after="0" w:line="240" w:lineRule="auto"/>
      </w:pPr>
      <w:r>
        <w:separator/>
      </w:r>
    </w:p>
  </w:endnote>
  <w:endnote w:type="continuationSeparator" w:id="0">
    <w:p w14:paraId="3B0E157B" w14:textId="77777777" w:rsidR="00E020C3" w:rsidRDefault="00E020C3" w:rsidP="00297FE1">
      <w:pPr>
        <w:spacing w:after="0" w:line="240" w:lineRule="auto"/>
      </w:pPr>
      <w:r>
        <w:continuationSeparator/>
      </w:r>
    </w:p>
  </w:endnote>
  <w:endnote w:type="continuationNotice" w:id="1">
    <w:p w14:paraId="093925CB" w14:textId="77777777" w:rsidR="00E020C3" w:rsidRDefault="00E020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ヒラギノ明朝 Pro W3">
    <w:altName w:val="Yu Gothic UI"/>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372141"/>
      <w:docPartObj>
        <w:docPartGallery w:val="Page Numbers (Bottom of Page)"/>
        <w:docPartUnique/>
      </w:docPartObj>
    </w:sdtPr>
    <w:sdtEndPr/>
    <w:sdtContent>
      <w:p w14:paraId="7D4A9A1F" w14:textId="432BF79C" w:rsidR="00C66BC3" w:rsidRDefault="00C66BC3">
        <w:pPr>
          <w:pStyle w:val="AltBilgi"/>
          <w:jc w:val="center"/>
        </w:pPr>
        <w:r>
          <w:fldChar w:fldCharType="begin"/>
        </w:r>
        <w:r>
          <w:instrText>PAGE   \* MERGEFORMAT</w:instrText>
        </w:r>
        <w:r>
          <w:fldChar w:fldCharType="separate"/>
        </w:r>
        <w:r w:rsidR="008E69EF">
          <w:rPr>
            <w:noProof/>
          </w:rPr>
          <w:t>ix</w:t>
        </w:r>
        <w:r>
          <w:rPr>
            <w:noProof/>
          </w:rPr>
          <w:fldChar w:fldCharType="end"/>
        </w:r>
      </w:p>
    </w:sdtContent>
  </w:sdt>
  <w:p w14:paraId="7D4A9A20" w14:textId="77777777" w:rsidR="00C66BC3" w:rsidRDefault="00C66BC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A9A21" w14:textId="77777777" w:rsidR="00C66BC3" w:rsidRDefault="00C66BC3">
    <w:pPr>
      <w:pStyle w:val="AltBilgi"/>
      <w:jc w:val="center"/>
      <w:rPr>
        <w:noProof/>
      </w:rPr>
    </w:pPr>
  </w:p>
  <w:p w14:paraId="7D4A9A22" w14:textId="77777777" w:rsidR="00C66BC3" w:rsidRDefault="00C66BC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A9A23" w14:textId="77777777" w:rsidR="00C66BC3" w:rsidRDefault="00C66BC3">
    <w:pPr>
      <w:pStyle w:val="AltBilgi"/>
      <w:jc w:val="center"/>
      <w:rPr>
        <w:noProof/>
      </w:rPr>
    </w:pPr>
    <w:r>
      <w:rPr>
        <w:noProof/>
      </w:rPr>
      <w:t>i</w:t>
    </w:r>
  </w:p>
  <w:p w14:paraId="7D4A9A24" w14:textId="77777777" w:rsidR="00C66BC3" w:rsidRDefault="00C66BC3">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2971724"/>
      <w:docPartObj>
        <w:docPartGallery w:val="Page Numbers (Bottom of Page)"/>
        <w:docPartUnique/>
      </w:docPartObj>
    </w:sdtPr>
    <w:sdtEndPr/>
    <w:sdtContent>
      <w:p w14:paraId="7D4A9A26" w14:textId="76B05F72" w:rsidR="00C66BC3" w:rsidRDefault="00C66BC3" w:rsidP="00F12D15">
        <w:pPr>
          <w:pStyle w:val="AltBilgi"/>
          <w:jc w:val="center"/>
        </w:pPr>
        <w:r>
          <w:fldChar w:fldCharType="begin"/>
        </w:r>
        <w:r>
          <w:instrText>PAGE   \* MERGEFORMAT</w:instrText>
        </w:r>
        <w:r>
          <w:fldChar w:fldCharType="separate"/>
        </w:r>
        <w:r w:rsidR="008E69EF">
          <w:rPr>
            <w:noProof/>
          </w:rPr>
          <w:t>82</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A9A27" w14:textId="77777777" w:rsidR="00C66BC3" w:rsidRDefault="00C66BC3" w:rsidP="00F922DE">
    <w:pPr>
      <w:pStyle w:val="AltBilgi"/>
      <w:tabs>
        <w:tab w:val="left" w:pos="4725"/>
        <w:tab w:val="center" w:pos="4961"/>
      </w:tabs>
      <w:jc w:val="center"/>
      <w:rPr>
        <w:noProof/>
      </w:rPr>
    </w:pPr>
    <w:r>
      <w:rPr>
        <w:noProof/>
      </w:rPr>
      <w:t>44</w:t>
    </w:r>
  </w:p>
  <w:p w14:paraId="7D4A9A28" w14:textId="77777777" w:rsidR="00C66BC3" w:rsidRDefault="00C66BC3">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A0E25" w14:textId="77777777" w:rsidR="00C66BC3" w:rsidRDefault="00C66BC3" w:rsidP="007650B8">
    <w:pPr>
      <w:pStyle w:val="AltBilgi"/>
      <w:tabs>
        <w:tab w:val="left" w:pos="4725"/>
        <w:tab w:val="center" w:pos="4961"/>
      </w:tabs>
      <w:jc w:val="center"/>
      <w:rPr>
        <w:noProof/>
      </w:rPr>
    </w:pPr>
    <w:r>
      <w:rPr>
        <w:noProof/>
      </w:rPr>
      <w:t>44</w:t>
    </w:r>
  </w:p>
  <w:p w14:paraId="7F7D914E" w14:textId="77777777" w:rsidR="00C66BC3" w:rsidRDefault="00C66BC3">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A9A29" w14:textId="77777777" w:rsidR="00C66BC3" w:rsidRDefault="00C66BC3" w:rsidP="007650B8">
    <w:pPr>
      <w:pStyle w:val="AltBilgi"/>
      <w:tabs>
        <w:tab w:val="left" w:pos="4725"/>
        <w:tab w:val="center" w:pos="4961"/>
      </w:tabs>
      <w:jc w:val="center"/>
      <w:rPr>
        <w:noProof/>
      </w:rPr>
    </w:pPr>
    <w:r>
      <w:rPr>
        <w:noProof/>
      </w:rPr>
      <w:t>44</w:t>
    </w:r>
  </w:p>
  <w:p w14:paraId="7D4A9A2A" w14:textId="77777777" w:rsidR="00C66BC3" w:rsidRDefault="00C66BC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238460" w14:textId="77777777" w:rsidR="00E020C3" w:rsidRDefault="00E020C3" w:rsidP="00297FE1">
      <w:pPr>
        <w:spacing w:after="0" w:line="240" w:lineRule="auto"/>
      </w:pPr>
      <w:r>
        <w:separator/>
      </w:r>
    </w:p>
  </w:footnote>
  <w:footnote w:type="continuationSeparator" w:id="0">
    <w:p w14:paraId="0F552751" w14:textId="77777777" w:rsidR="00E020C3" w:rsidRDefault="00E020C3" w:rsidP="00297FE1">
      <w:pPr>
        <w:spacing w:after="0" w:line="240" w:lineRule="auto"/>
      </w:pPr>
      <w:r>
        <w:continuationSeparator/>
      </w:r>
    </w:p>
  </w:footnote>
  <w:footnote w:type="continuationNotice" w:id="1">
    <w:p w14:paraId="2651AD8E" w14:textId="77777777" w:rsidR="00E020C3" w:rsidRDefault="00E020C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5A3B"/>
    <w:multiLevelType w:val="multilevel"/>
    <w:tmpl w:val="B784E15A"/>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02536BCB"/>
    <w:multiLevelType w:val="hybridMultilevel"/>
    <w:tmpl w:val="58CAD96C"/>
    <w:lvl w:ilvl="0" w:tplc="041F0001">
      <w:start w:val="1"/>
      <w:numFmt w:val="bullet"/>
      <w:lvlText w:val=""/>
      <w:lvlJc w:val="left"/>
      <w:pPr>
        <w:ind w:left="1173" w:hanging="360"/>
      </w:pPr>
      <w:rPr>
        <w:rFonts w:ascii="Symbol" w:hAnsi="Symbol" w:hint="default"/>
      </w:rPr>
    </w:lvl>
    <w:lvl w:ilvl="1" w:tplc="041F0003" w:tentative="1">
      <w:start w:val="1"/>
      <w:numFmt w:val="bullet"/>
      <w:lvlText w:val="o"/>
      <w:lvlJc w:val="left"/>
      <w:pPr>
        <w:ind w:left="1893" w:hanging="360"/>
      </w:pPr>
      <w:rPr>
        <w:rFonts w:ascii="Courier New" w:hAnsi="Courier New" w:cs="Courier New" w:hint="default"/>
      </w:rPr>
    </w:lvl>
    <w:lvl w:ilvl="2" w:tplc="041F0005" w:tentative="1">
      <w:start w:val="1"/>
      <w:numFmt w:val="bullet"/>
      <w:lvlText w:val=""/>
      <w:lvlJc w:val="left"/>
      <w:pPr>
        <w:ind w:left="2613" w:hanging="360"/>
      </w:pPr>
      <w:rPr>
        <w:rFonts w:ascii="Wingdings" w:hAnsi="Wingdings" w:hint="default"/>
      </w:rPr>
    </w:lvl>
    <w:lvl w:ilvl="3" w:tplc="041F0001" w:tentative="1">
      <w:start w:val="1"/>
      <w:numFmt w:val="bullet"/>
      <w:lvlText w:val=""/>
      <w:lvlJc w:val="left"/>
      <w:pPr>
        <w:ind w:left="3333" w:hanging="360"/>
      </w:pPr>
      <w:rPr>
        <w:rFonts w:ascii="Symbol" w:hAnsi="Symbol" w:hint="default"/>
      </w:rPr>
    </w:lvl>
    <w:lvl w:ilvl="4" w:tplc="041F0003" w:tentative="1">
      <w:start w:val="1"/>
      <w:numFmt w:val="bullet"/>
      <w:lvlText w:val="o"/>
      <w:lvlJc w:val="left"/>
      <w:pPr>
        <w:ind w:left="4053" w:hanging="360"/>
      </w:pPr>
      <w:rPr>
        <w:rFonts w:ascii="Courier New" w:hAnsi="Courier New" w:cs="Courier New" w:hint="default"/>
      </w:rPr>
    </w:lvl>
    <w:lvl w:ilvl="5" w:tplc="041F0005" w:tentative="1">
      <w:start w:val="1"/>
      <w:numFmt w:val="bullet"/>
      <w:lvlText w:val=""/>
      <w:lvlJc w:val="left"/>
      <w:pPr>
        <w:ind w:left="4773" w:hanging="360"/>
      </w:pPr>
      <w:rPr>
        <w:rFonts w:ascii="Wingdings" w:hAnsi="Wingdings" w:hint="default"/>
      </w:rPr>
    </w:lvl>
    <w:lvl w:ilvl="6" w:tplc="041F0001" w:tentative="1">
      <w:start w:val="1"/>
      <w:numFmt w:val="bullet"/>
      <w:lvlText w:val=""/>
      <w:lvlJc w:val="left"/>
      <w:pPr>
        <w:ind w:left="5493" w:hanging="360"/>
      </w:pPr>
      <w:rPr>
        <w:rFonts w:ascii="Symbol" w:hAnsi="Symbol" w:hint="default"/>
      </w:rPr>
    </w:lvl>
    <w:lvl w:ilvl="7" w:tplc="041F0003" w:tentative="1">
      <w:start w:val="1"/>
      <w:numFmt w:val="bullet"/>
      <w:lvlText w:val="o"/>
      <w:lvlJc w:val="left"/>
      <w:pPr>
        <w:ind w:left="6213" w:hanging="360"/>
      </w:pPr>
      <w:rPr>
        <w:rFonts w:ascii="Courier New" w:hAnsi="Courier New" w:cs="Courier New" w:hint="default"/>
      </w:rPr>
    </w:lvl>
    <w:lvl w:ilvl="8" w:tplc="041F0005" w:tentative="1">
      <w:start w:val="1"/>
      <w:numFmt w:val="bullet"/>
      <w:lvlText w:val=""/>
      <w:lvlJc w:val="left"/>
      <w:pPr>
        <w:ind w:left="6933" w:hanging="360"/>
      </w:pPr>
      <w:rPr>
        <w:rFonts w:ascii="Wingdings" w:hAnsi="Wingdings" w:hint="default"/>
      </w:rPr>
    </w:lvl>
  </w:abstractNum>
  <w:abstractNum w:abstractNumId="2" w15:restartNumberingAfterBreak="0">
    <w:nsid w:val="0268764F"/>
    <w:multiLevelType w:val="hybridMultilevel"/>
    <w:tmpl w:val="E8F6EA3C"/>
    <w:lvl w:ilvl="0" w:tplc="CF2ECC44">
      <w:start w:val="52"/>
      <w:numFmt w:val="bullet"/>
      <w:lvlText w:val="-"/>
      <w:lvlJc w:val="left"/>
      <w:pPr>
        <w:ind w:left="1430" w:hanging="360"/>
      </w:pPr>
      <w:rPr>
        <w:rFonts w:ascii="Calibri" w:eastAsia="Times New Roman" w:hAnsi="Calibri" w:cs="Calibri" w:hint="default"/>
      </w:rPr>
    </w:lvl>
    <w:lvl w:ilvl="1" w:tplc="041F0003" w:tentative="1">
      <w:start w:val="1"/>
      <w:numFmt w:val="bullet"/>
      <w:lvlText w:val="o"/>
      <w:lvlJc w:val="left"/>
      <w:pPr>
        <w:ind w:left="2150" w:hanging="360"/>
      </w:pPr>
      <w:rPr>
        <w:rFonts w:ascii="Courier New" w:hAnsi="Courier New" w:cs="Courier New" w:hint="default"/>
      </w:rPr>
    </w:lvl>
    <w:lvl w:ilvl="2" w:tplc="041F0005" w:tentative="1">
      <w:start w:val="1"/>
      <w:numFmt w:val="bullet"/>
      <w:lvlText w:val=""/>
      <w:lvlJc w:val="left"/>
      <w:pPr>
        <w:ind w:left="2870" w:hanging="360"/>
      </w:pPr>
      <w:rPr>
        <w:rFonts w:ascii="Wingdings" w:hAnsi="Wingdings" w:hint="default"/>
      </w:rPr>
    </w:lvl>
    <w:lvl w:ilvl="3" w:tplc="041F0001" w:tentative="1">
      <w:start w:val="1"/>
      <w:numFmt w:val="bullet"/>
      <w:lvlText w:val=""/>
      <w:lvlJc w:val="left"/>
      <w:pPr>
        <w:ind w:left="3590" w:hanging="360"/>
      </w:pPr>
      <w:rPr>
        <w:rFonts w:ascii="Symbol" w:hAnsi="Symbol" w:hint="default"/>
      </w:rPr>
    </w:lvl>
    <w:lvl w:ilvl="4" w:tplc="041F0003" w:tentative="1">
      <w:start w:val="1"/>
      <w:numFmt w:val="bullet"/>
      <w:lvlText w:val="o"/>
      <w:lvlJc w:val="left"/>
      <w:pPr>
        <w:ind w:left="4310" w:hanging="360"/>
      </w:pPr>
      <w:rPr>
        <w:rFonts w:ascii="Courier New" w:hAnsi="Courier New" w:cs="Courier New" w:hint="default"/>
      </w:rPr>
    </w:lvl>
    <w:lvl w:ilvl="5" w:tplc="041F0005" w:tentative="1">
      <w:start w:val="1"/>
      <w:numFmt w:val="bullet"/>
      <w:lvlText w:val=""/>
      <w:lvlJc w:val="left"/>
      <w:pPr>
        <w:ind w:left="5030" w:hanging="360"/>
      </w:pPr>
      <w:rPr>
        <w:rFonts w:ascii="Wingdings" w:hAnsi="Wingdings" w:hint="default"/>
      </w:rPr>
    </w:lvl>
    <w:lvl w:ilvl="6" w:tplc="041F0001" w:tentative="1">
      <w:start w:val="1"/>
      <w:numFmt w:val="bullet"/>
      <w:lvlText w:val=""/>
      <w:lvlJc w:val="left"/>
      <w:pPr>
        <w:ind w:left="5750" w:hanging="360"/>
      </w:pPr>
      <w:rPr>
        <w:rFonts w:ascii="Symbol" w:hAnsi="Symbol" w:hint="default"/>
      </w:rPr>
    </w:lvl>
    <w:lvl w:ilvl="7" w:tplc="041F0003" w:tentative="1">
      <w:start w:val="1"/>
      <w:numFmt w:val="bullet"/>
      <w:lvlText w:val="o"/>
      <w:lvlJc w:val="left"/>
      <w:pPr>
        <w:ind w:left="6470" w:hanging="360"/>
      </w:pPr>
      <w:rPr>
        <w:rFonts w:ascii="Courier New" w:hAnsi="Courier New" w:cs="Courier New" w:hint="default"/>
      </w:rPr>
    </w:lvl>
    <w:lvl w:ilvl="8" w:tplc="041F0005" w:tentative="1">
      <w:start w:val="1"/>
      <w:numFmt w:val="bullet"/>
      <w:lvlText w:val=""/>
      <w:lvlJc w:val="left"/>
      <w:pPr>
        <w:ind w:left="7190" w:hanging="360"/>
      </w:pPr>
      <w:rPr>
        <w:rFonts w:ascii="Wingdings" w:hAnsi="Wingdings" w:hint="default"/>
      </w:rPr>
    </w:lvl>
  </w:abstractNum>
  <w:abstractNum w:abstractNumId="3" w15:restartNumberingAfterBreak="0">
    <w:nsid w:val="0342327E"/>
    <w:multiLevelType w:val="hybridMultilevel"/>
    <w:tmpl w:val="D6A4F1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4363AF2"/>
    <w:multiLevelType w:val="hybridMultilevel"/>
    <w:tmpl w:val="E0886A70"/>
    <w:lvl w:ilvl="0" w:tplc="E4784AD4">
      <w:start w:val="340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6982E00"/>
    <w:multiLevelType w:val="hybridMultilevel"/>
    <w:tmpl w:val="021A0D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8875FC0"/>
    <w:multiLevelType w:val="hybridMultilevel"/>
    <w:tmpl w:val="2D2EC2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8A67C29"/>
    <w:multiLevelType w:val="hybridMultilevel"/>
    <w:tmpl w:val="EFDA3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AD0C2F"/>
    <w:multiLevelType w:val="hybridMultilevel"/>
    <w:tmpl w:val="940E4ED8"/>
    <w:lvl w:ilvl="0" w:tplc="184C98F6">
      <w:start w:val="1"/>
      <w:numFmt w:val="lowerLetter"/>
      <w:lvlText w:val="%1)"/>
      <w:lvlJc w:val="left"/>
      <w:pPr>
        <w:ind w:left="2148" w:hanging="360"/>
      </w:pPr>
      <w:rPr>
        <w:rFonts w:hint="default"/>
      </w:rPr>
    </w:lvl>
    <w:lvl w:ilvl="1" w:tplc="04090019" w:tentative="1">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abstractNum w:abstractNumId="9" w15:restartNumberingAfterBreak="0">
    <w:nsid w:val="09A11A07"/>
    <w:multiLevelType w:val="hybridMultilevel"/>
    <w:tmpl w:val="50588E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0CF11FD2"/>
    <w:multiLevelType w:val="hybridMultilevel"/>
    <w:tmpl w:val="61D8F010"/>
    <w:lvl w:ilvl="0" w:tplc="9B489A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10F0FE6"/>
    <w:multiLevelType w:val="hybridMultilevel"/>
    <w:tmpl w:val="A6C0B6AA"/>
    <w:lvl w:ilvl="0" w:tplc="E4784AD4">
      <w:start w:val="340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21C756D"/>
    <w:multiLevelType w:val="hybridMultilevel"/>
    <w:tmpl w:val="E6B41FEA"/>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3" w15:restartNumberingAfterBreak="0">
    <w:nsid w:val="12921C3F"/>
    <w:multiLevelType w:val="multilevel"/>
    <w:tmpl w:val="AFBEB1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4F6A17"/>
    <w:multiLevelType w:val="hybridMultilevel"/>
    <w:tmpl w:val="6D8888A2"/>
    <w:lvl w:ilvl="0" w:tplc="04090017">
      <w:start w:val="1"/>
      <w:numFmt w:val="lowerLetter"/>
      <w:lvlText w:val="%1)"/>
      <w:lvlJc w:val="left"/>
      <w:pPr>
        <w:ind w:left="2421" w:hanging="360"/>
      </w:p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5" w15:restartNumberingAfterBreak="0">
    <w:nsid w:val="14B76B10"/>
    <w:multiLevelType w:val="hybridMultilevel"/>
    <w:tmpl w:val="35A455D8"/>
    <w:lvl w:ilvl="0" w:tplc="EAF680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C27AA0"/>
    <w:multiLevelType w:val="hybridMultilevel"/>
    <w:tmpl w:val="4462C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086A58"/>
    <w:multiLevelType w:val="hybridMultilevel"/>
    <w:tmpl w:val="1004D640"/>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15:restartNumberingAfterBreak="0">
    <w:nsid w:val="16C36676"/>
    <w:multiLevelType w:val="hybridMultilevel"/>
    <w:tmpl w:val="1BAE60F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16E51049"/>
    <w:multiLevelType w:val="hybridMultilevel"/>
    <w:tmpl w:val="80D84BF0"/>
    <w:lvl w:ilvl="0" w:tplc="E4784AD4">
      <w:start w:val="340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7CA5665"/>
    <w:multiLevelType w:val="hybridMultilevel"/>
    <w:tmpl w:val="30769E12"/>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1" w15:restartNumberingAfterBreak="0">
    <w:nsid w:val="1A2C4B54"/>
    <w:multiLevelType w:val="hybridMultilevel"/>
    <w:tmpl w:val="1024A700"/>
    <w:lvl w:ilvl="0" w:tplc="E5C8AEE4">
      <w:start w:val="4"/>
      <w:numFmt w:val="decimal"/>
      <w:lvlText w:val="%1"/>
      <w:lvlJc w:val="left"/>
      <w:pPr>
        <w:ind w:left="795" w:hanging="360"/>
      </w:pPr>
      <w:rPr>
        <w:rFonts w:hint="default"/>
      </w:rPr>
    </w:lvl>
    <w:lvl w:ilvl="1" w:tplc="041F0019" w:tentative="1">
      <w:start w:val="1"/>
      <w:numFmt w:val="lowerLetter"/>
      <w:lvlText w:val="%2."/>
      <w:lvlJc w:val="left"/>
      <w:pPr>
        <w:ind w:left="1515" w:hanging="360"/>
      </w:pPr>
    </w:lvl>
    <w:lvl w:ilvl="2" w:tplc="041F001B" w:tentative="1">
      <w:start w:val="1"/>
      <w:numFmt w:val="lowerRoman"/>
      <w:lvlText w:val="%3."/>
      <w:lvlJc w:val="right"/>
      <w:pPr>
        <w:ind w:left="2235" w:hanging="180"/>
      </w:pPr>
    </w:lvl>
    <w:lvl w:ilvl="3" w:tplc="041F000F" w:tentative="1">
      <w:start w:val="1"/>
      <w:numFmt w:val="decimal"/>
      <w:lvlText w:val="%4."/>
      <w:lvlJc w:val="left"/>
      <w:pPr>
        <w:ind w:left="2955" w:hanging="360"/>
      </w:pPr>
    </w:lvl>
    <w:lvl w:ilvl="4" w:tplc="041F0019" w:tentative="1">
      <w:start w:val="1"/>
      <w:numFmt w:val="lowerLetter"/>
      <w:lvlText w:val="%5."/>
      <w:lvlJc w:val="left"/>
      <w:pPr>
        <w:ind w:left="3675" w:hanging="360"/>
      </w:pPr>
    </w:lvl>
    <w:lvl w:ilvl="5" w:tplc="041F001B" w:tentative="1">
      <w:start w:val="1"/>
      <w:numFmt w:val="lowerRoman"/>
      <w:lvlText w:val="%6."/>
      <w:lvlJc w:val="right"/>
      <w:pPr>
        <w:ind w:left="4395" w:hanging="180"/>
      </w:pPr>
    </w:lvl>
    <w:lvl w:ilvl="6" w:tplc="041F000F" w:tentative="1">
      <w:start w:val="1"/>
      <w:numFmt w:val="decimal"/>
      <w:lvlText w:val="%7."/>
      <w:lvlJc w:val="left"/>
      <w:pPr>
        <w:ind w:left="5115" w:hanging="360"/>
      </w:pPr>
    </w:lvl>
    <w:lvl w:ilvl="7" w:tplc="041F0019" w:tentative="1">
      <w:start w:val="1"/>
      <w:numFmt w:val="lowerLetter"/>
      <w:lvlText w:val="%8."/>
      <w:lvlJc w:val="left"/>
      <w:pPr>
        <w:ind w:left="5835" w:hanging="360"/>
      </w:pPr>
    </w:lvl>
    <w:lvl w:ilvl="8" w:tplc="041F001B" w:tentative="1">
      <w:start w:val="1"/>
      <w:numFmt w:val="lowerRoman"/>
      <w:lvlText w:val="%9."/>
      <w:lvlJc w:val="right"/>
      <w:pPr>
        <w:ind w:left="6555" w:hanging="180"/>
      </w:pPr>
    </w:lvl>
  </w:abstractNum>
  <w:abstractNum w:abstractNumId="22" w15:restartNumberingAfterBreak="0">
    <w:nsid w:val="1D8A7C71"/>
    <w:multiLevelType w:val="hybridMultilevel"/>
    <w:tmpl w:val="3BB6FF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1DC84949"/>
    <w:multiLevelType w:val="hybridMultilevel"/>
    <w:tmpl w:val="23DACFF2"/>
    <w:lvl w:ilvl="0" w:tplc="8A06AD16">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1E62549E"/>
    <w:multiLevelType w:val="hybridMultilevel"/>
    <w:tmpl w:val="5156C6BC"/>
    <w:lvl w:ilvl="0" w:tplc="EAF680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1C34CD"/>
    <w:multiLevelType w:val="hybridMultilevel"/>
    <w:tmpl w:val="B4DA7C82"/>
    <w:lvl w:ilvl="0" w:tplc="EAF680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E62230"/>
    <w:multiLevelType w:val="hybridMultilevel"/>
    <w:tmpl w:val="53123E4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7" w15:restartNumberingAfterBreak="0">
    <w:nsid w:val="220F5BBF"/>
    <w:multiLevelType w:val="hybridMultilevel"/>
    <w:tmpl w:val="9ECED6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225F495B"/>
    <w:multiLevelType w:val="hybridMultilevel"/>
    <w:tmpl w:val="E9A0325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9" w15:restartNumberingAfterBreak="0">
    <w:nsid w:val="26280D90"/>
    <w:multiLevelType w:val="hybridMultilevel"/>
    <w:tmpl w:val="F390895E"/>
    <w:lvl w:ilvl="0" w:tplc="E50EFCB2">
      <w:start w:val="1"/>
      <w:numFmt w:val="decimal"/>
      <w:lvlText w:val="(%1)"/>
      <w:lvlJc w:val="left"/>
      <w:pPr>
        <w:ind w:left="2148" w:hanging="360"/>
      </w:pPr>
      <w:rPr>
        <w:rFonts w:hint="default"/>
      </w:rPr>
    </w:lvl>
    <w:lvl w:ilvl="1" w:tplc="04090019" w:tentative="1">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abstractNum w:abstractNumId="30" w15:restartNumberingAfterBreak="0">
    <w:nsid w:val="26C45791"/>
    <w:multiLevelType w:val="hybridMultilevel"/>
    <w:tmpl w:val="97123A3C"/>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1" w15:restartNumberingAfterBreak="0">
    <w:nsid w:val="26FD7AF7"/>
    <w:multiLevelType w:val="hybridMultilevel"/>
    <w:tmpl w:val="C3C01942"/>
    <w:lvl w:ilvl="0" w:tplc="8A06AD16">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27175CF4"/>
    <w:multiLevelType w:val="hybridMultilevel"/>
    <w:tmpl w:val="696A90F8"/>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3" w15:restartNumberingAfterBreak="0">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8D77BCE"/>
    <w:multiLevelType w:val="hybridMultilevel"/>
    <w:tmpl w:val="59B8849E"/>
    <w:lvl w:ilvl="0" w:tplc="B8B2246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5" w15:restartNumberingAfterBreak="0">
    <w:nsid w:val="2B144E05"/>
    <w:multiLevelType w:val="hybridMultilevel"/>
    <w:tmpl w:val="49A4702E"/>
    <w:lvl w:ilvl="0" w:tplc="CF2ECC44">
      <w:start w:val="52"/>
      <w:numFmt w:val="bullet"/>
      <w:lvlText w:val="-"/>
      <w:lvlJc w:val="left"/>
      <w:pPr>
        <w:ind w:left="1490" w:hanging="360"/>
      </w:pPr>
      <w:rPr>
        <w:rFonts w:ascii="Calibri" w:eastAsia="Times New Roman" w:hAnsi="Calibri" w:cs="Calibri" w:hint="default"/>
      </w:rPr>
    </w:lvl>
    <w:lvl w:ilvl="1" w:tplc="041F0003" w:tentative="1">
      <w:start w:val="1"/>
      <w:numFmt w:val="bullet"/>
      <w:lvlText w:val="o"/>
      <w:lvlJc w:val="left"/>
      <w:pPr>
        <w:ind w:left="2210" w:hanging="360"/>
      </w:pPr>
      <w:rPr>
        <w:rFonts w:ascii="Courier New" w:hAnsi="Courier New" w:cs="Courier New" w:hint="default"/>
      </w:rPr>
    </w:lvl>
    <w:lvl w:ilvl="2" w:tplc="041F0005" w:tentative="1">
      <w:start w:val="1"/>
      <w:numFmt w:val="bullet"/>
      <w:lvlText w:val=""/>
      <w:lvlJc w:val="left"/>
      <w:pPr>
        <w:ind w:left="2930" w:hanging="360"/>
      </w:pPr>
      <w:rPr>
        <w:rFonts w:ascii="Wingdings" w:hAnsi="Wingdings" w:hint="default"/>
      </w:rPr>
    </w:lvl>
    <w:lvl w:ilvl="3" w:tplc="041F0001" w:tentative="1">
      <w:start w:val="1"/>
      <w:numFmt w:val="bullet"/>
      <w:lvlText w:val=""/>
      <w:lvlJc w:val="left"/>
      <w:pPr>
        <w:ind w:left="3650" w:hanging="360"/>
      </w:pPr>
      <w:rPr>
        <w:rFonts w:ascii="Symbol" w:hAnsi="Symbol" w:hint="default"/>
      </w:rPr>
    </w:lvl>
    <w:lvl w:ilvl="4" w:tplc="041F0003" w:tentative="1">
      <w:start w:val="1"/>
      <w:numFmt w:val="bullet"/>
      <w:lvlText w:val="o"/>
      <w:lvlJc w:val="left"/>
      <w:pPr>
        <w:ind w:left="4370" w:hanging="360"/>
      </w:pPr>
      <w:rPr>
        <w:rFonts w:ascii="Courier New" w:hAnsi="Courier New" w:cs="Courier New" w:hint="default"/>
      </w:rPr>
    </w:lvl>
    <w:lvl w:ilvl="5" w:tplc="041F0005" w:tentative="1">
      <w:start w:val="1"/>
      <w:numFmt w:val="bullet"/>
      <w:lvlText w:val=""/>
      <w:lvlJc w:val="left"/>
      <w:pPr>
        <w:ind w:left="5090" w:hanging="360"/>
      </w:pPr>
      <w:rPr>
        <w:rFonts w:ascii="Wingdings" w:hAnsi="Wingdings" w:hint="default"/>
      </w:rPr>
    </w:lvl>
    <w:lvl w:ilvl="6" w:tplc="041F0001" w:tentative="1">
      <w:start w:val="1"/>
      <w:numFmt w:val="bullet"/>
      <w:lvlText w:val=""/>
      <w:lvlJc w:val="left"/>
      <w:pPr>
        <w:ind w:left="5810" w:hanging="360"/>
      </w:pPr>
      <w:rPr>
        <w:rFonts w:ascii="Symbol" w:hAnsi="Symbol" w:hint="default"/>
      </w:rPr>
    </w:lvl>
    <w:lvl w:ilvl="7" w:tplc="041F0003" w:tentative="1">
      <w:start w:val="1"/>
      <w:numFmt w:val="bullet"/>
      <w:lvlText w:val="o"/>
      <w:lvlJc w:val="left"/>
      <w:pPr>
        <w:ind w:left="6530" w:hanging="360"/>
      </w:pPr>
      <w:rPr>
        <w:rFonts w:ascii="Courier New" w:hAnsi="Courier New" w:cs="Courier New" w:hint="default"/>
      </w:rPr>
    </w:lvl>
    <w:lvl w:ilvl="8" w:tplc="041F0005" w:tentative="1">
      <w:start w:val="1"/>
      <w:numFmt w:val="bullet"/>
      <w:lvlText w:val=""/>
      <w:lvlJc w:val="left"/>
      <w:pPr>
        <w:ind w:left="7250" w:hanging="360"/>
      </w:pPr>
      <w:rPr>
        <w:rFonts w:ascii="Wingdings" w:hAnsi="Wingdings" w:hint="default"/>
      </w:rPr>
    </w:lvl>
  </w:abstractNum>
  <w:abstractNum w:abstractNumId="36" w15:restartNumberingAfterBreak="0">
    <w:nsid w:val="2B244E73"/>
    <w:multiLevelType w:val="multilevel"/>
    <w:tmpl w:val="BCA45CF0"/>
    <w:lvl w:ilvl="0">
      <w:start w:val="5"/>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7" w15:restartNumberingAfterBreak="0">
    <w:nsid w:val="2BC4443C"/>
    <w:multiLevelType w:val="hybridMultilevel"/>
    <w:tmpl w:val="334EBA74"/>
    <w:lvl w:ilvl="0" w:tplc="041F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8" w15:restartNumberingAfterBreak="0">
    <w:nsid w:val="2BD963EF"/>
    <w:multiLevelType w:val="hybridMultilevel"/>
    <w:tmpl w:val="DC2C0E0C"/>
    <w:lvl w:ilvl="0" w:tplc="8A06AD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CB2756C"/>
    <w:multiLevelType w:val="hybridMultilevel"/>
    <w:tmpl w:val="2A6E0714"/>
    <w:lvl w:ilvl="0" w:tplc="8A18475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2FC301BC"/>
    <w:multiLevelType w:val="hybridMultilevel"/>
    <w:tmpl w:val="ADECD218"/>
    <w:lvl w:ilvl="0" w:tplc="041F0001">
      <w:start w:val="1"/>
      <w:numFmt w:val="bullet"/>
      <w:lvlText w:val=""/>
      <w:lvlJc w:val="left"/>
      <w:pPr>
        <w:ind w:left="773" w:hanging="360"/>
      </w:pPr>
      <w:rPr>
        <w:rFonts w:ascii="Symbol" w:hAnsi="Symbol" w:hint="default"/>
      </w:rPr>
    </w:lvl>
    <w:lvl w:ilvl="1" w:tplc="041F0003" w:tentative="1">
      <w:start w:val="1"/>
      <w:numFmt w:val="bullet"/>
      <w:lvlText w:val="o"/>
      <w:lvlJc w:val="left"/>
      <w:pPr>
        <w:ind w:left="1493" w:hanging="360"/>
      </w:pPr>
      <w:rPr>
        <w:rFonts w:ascii="Courier New" w:hAnsi="Courier New" w:cs="Courier New" w:hint="default"/>
      </w:rPr>
    </w:lvl>
    <w:lvl w:ilvl="2" w:tplc="041F0005" w:tentative="1">
      <w:start w:val="1"/>
      <w:numFmt w:val="bullet"/>
      <w:lvlText w:val=""/>
      <w:lvlJc w:val="left"/>
      <w:pPr>
        <w:ind w:left="2213" w:hanging="360"/>
      </w:pPr>
      <w:rPr>
        <w:rFonts w:ascii="Wingdings" w:hAnsi="Wingdings" w:hint="default"/>
      </w:rPr>
    </w:lvl>
    <w:lvl w:ilvl="3" w:tplc="041F0001" w:tentative="1">
      <w:start w:val="1"/>
      <w:numFmt w:val="bullet"/>
      <w:lvlText w:val=""/>
      <w:lvlJc w:val="left"/>
      <w:pPr>
        <w:ind w:left="2933" w:hanging="360"/>
      </w:pPr>
      <w:rPr>
        <w:rFonts w:ascii="Symbol" w:hAnsi="Symbol" w:hint="default"/>
      </w:rPr>
    </w:lvl>
    <w:lvl w:ilvl="4" w:tplc="041F0003" w:tentative="1">
      <w:start w:val="1"/>
      <w:numFmt w:val="bullet"/>
      <w:lvlText w:val="o"/>
      <w:lvlJc w:val="left"/>
      <w:pPr>
        <w:ind w:left="3653" w:hanging="360"/>
      </w:pPr>
      <w:rPr>
        <w:rFonts w:ascii="Courier New" w:hAnsi="Courier New" w:cs="Courier New" w:hint="default"/>
      </w:rPr>
    </w:lvl>
    <w:lvl w:ilvl="5" w:tplc="041F0005" w:tentative="1">
      <w:start w:val="1"/>
      <w:numFmt w:val="bullet"/>
      <w:lvlText w:val=""/>
      <w:lvlJc w:val="left"/>
      <w:pPr>
        <w:ind w:left="4373" w:hanging="360"/>
      </w:pPr>
      <w:rPr>
        <w:rFonts w:ascii="Wingdings" w:hAnsi="Wingdings" w:hint="default"/>
      </w:rPr>
    </w:lvl>
    <w:lvl w:ilvl="6" w:tplc="041F0001" w:tentative="1">
      <w:start w:val="1"/>
      <w:numFmt w:val="bullet"/>
      <w:lvlText w:val=""/>
      <w:lvlJc w:val="left"/>
      <w:pPr>
        <w:ind w:left="5093" w:hanging="360"/>
      </w:pPr>
      <w:rPr>
        <w:rFonts w:ascii="Symbol" w:hAnsi="Symbol" w:hint="default"/>
      </w:rPr>
    </w:lvl>
    <w:lvl w:ilvl="7" w:tplc="041F0003" w:tentative="1">
      <w:start w:val="1"/>
      <w:numFmt w:val="bullet"/>
      <w:lvlText w:val="o"/>
      <w:lvlJc w:val="left"/>
      <w:pPr>
        <w:ind w:left="5813" w:hanging="360"/>
      </w:pPr>
      <w:rPr>
        <w:rFonts w:ascii="Courier New" w:hAnsi="Courier New" w:cs="Courier New" w:hint="default"/>
      </w:rPr>
    </w:lvl>
    <w:lvl w:ilvl="8" w:tplc="041F0005" w:tentative="1">
      <w:start w:val="1"/>
      <w:numFmt w:val="bullet"/>
      <w:lvlText w:val=""/>
      <w:lvlJc w:val="left"/>
      <w:pPr>
        <w:ind w:left="6533" w:hanging="360"/>
      </w:pPr>
      <w:rPr>
        <w:rFonts w:ascii="Wingdings" w:hAnsi="Wingdings" w:hint="default"/>
      </w:rPr>
    </w:lvl>
  </w:abstractNum>
  <w:abstractNum w:abstractNumId="41" w15:restartNumberingAfterBreak="0">
    <w:nsid w:val="3084737F"/>
    <w:multiLevelType w:val="multilevel"/>
    <w:tmpl w:val="570CCB0C"/>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0CD7295"/>
    <w:multiLevelType w:val="hybridMultilevel"/>
    <w:tmpl w:val="7BA4D69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3" w15:restartNumberingAfterBreak="0">
    <w:nsid w:val="32D66CDE"/>
    <w:multiLevelType w:val="multilevel"/>
    <w:tmpl w:val="75943E8A"/>
    <w:lvl w:ilvl="0">
      <w:start w:val="1"/>
      <w:numFmt w:val="none"/>
      <w:pStyle w:val="SectionText"/>
      <w:lvlText w:val=""/>
      <w:lvlJc w:val="left"/>
      <w:pPr>
        <w:tabs>
          <w:tab w:val="num" w:pos="360"/>
        </w:tabs>
        <w:ind w:left="0" w:firstLine="0"/>
      </w:pPr>
      <w:rPr>
        <w:rFonts w:hint="default"/>
      </w:rPr>
    </w:lvl>
    <w:lvl w:ilvl="1">
      <w:start w:val="1"/>
      <w:numFmt w:val="none"/>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SectionText"/>
      <w:lvlText w:val="Madde 13 -"/>
      <w:lvlJc w:val="left"/>
      <w:pPr>
        <w:tabs>
          <w:tab w:val="num" w:pos="1800"/>
        </w:tabs>
        <w:ind w:left="0" w:firstLine="720"/>
      </w:pPr>
      <w:rPr>
        <w:rFonts w:hint="default"/>
        <w:b/>
        <w:strike w:val="0"/>
      </w:rPr>
    </w:lvl>
    <w:lvl w:ilvl="6">
      <w:start w:val="1"/>
      <w:numFmt w:val="lowerLetter"/>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parheading"/>
      <w:suff w:val="nothing"/>
      <w:lvlText w:val=""/>
      <w:lvlJc w:val="left"/>
      <w:pPr>
        <w:ind w:left="0" w:firstLine="0"/>
      </w:pPr>
      <w:rPr>
        <w:rFonts w:hint="default"/>
      </w:rPr>
    </w:lvl>
  </w:abstractNum>
  <w:abstractNum w:abstractNumId="44" w15:restartNumberingAfterBreak="0">
    <w:nsid w:val="34B5548A"/>
    <w:multiLevelType w:val="hybridMultilevel"/>
    <w:tmpl w:val="90189586"/>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5" w15:restartNumberingAfterBreak="0">
    <w:nsid w:val="364061BA"/>
    <w:multiLevelType w:val="hybridMultilevel"/>
    <w:tmpl w:val="C23871B8"/>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6" w15:restartNumberingAfterBreak="0">
    <w:nsid w:val="36DB1C3A"/>
    <w:multiLevelType w:val="hybridMultilevel"/>
    <w:tmpl w:val="29EE04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3B1D7D67"/>
    <w:multiLevelType w:val="hybridMultilevel"/>
    <w:tmpl w:val="1BA03F7C"/>
    <w:lvl w:ilvl="0" w:tplc="16DE8246">
      <w:start w:val="1"/>
      <w:numFmt w:val="decimal"/>
      <w:lvlText w:val="(%1)"/>
      <w:lvlJc w:val="left"/>
      <w:pPr>
        <w:ind w:left="2148" w:hanging="360"/>
      </w:pPr>
      <w:rPr>
        <w:rFonts w:hint="default"/>
      </w:rPr>
    </w:lvl>
    <w:lvl w:ilvl="1" w:tplc="04090019" w:tentative="1">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abstractNum w:abstractNumId="48" w15:restartNumberingAfterBreak="0">
    <w:nsid w:val="3D175776"/>
    <w:multiLevelType w:val="hybridMultilevel"/>
    <w:tmpl w:val="8350FC44"/>
    <w:lvl w:ilvl="0" w:tplc="E4784AD4">
      <w:start w:val="3403"/>
      <w:numFmt w:val="bullet"/>
      <w:lvlText w:val="-"/>
      <w:lvlJc w:val="left"/>
      <w:pPr>
        <w:ind w:left="2563" w:hanging="360"/>
      </w:pPr>
      <w:rPr>
        <w:rFonts w:ascii="Times New Roman" w:eastAsia="Times New Roman" w:hAnsi="Times New Roman" w:cs="Times New Roman"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49" w15:restartNumberingAfterBreak="0">
    <w:nsid w:val="3D6F04E3"/>
    <w:multiLevelType w:val="hybridMultilevel"/>
    <w:tmpl w:val="CCAED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F0276B3"/>
    <w:multiLevelType w:val="hybridMultilevel"/>
    <w:tmpl w:val="FAE6D9C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15:restartNumberingAfterBreak="0">
    <w:nsid w:val="41120B05"/>
    <w:multiLevelType w:val="hybridMultilevel"/>
    <w:tmpl w:val="C4881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15:restartNumberingAfterBreak="0">
    <w:nsid w:val="42CE148E"/>
    <w:multiLevelType w:val="hybridMultilevel"/>
    <w:tmpl w:val="E70EBC48"/>
    <w:lvl w:ilvl="0" w:tplc="CF2ECC44">
      <w:start w:val="52"/>
      <w:numFmt w:val="bullet"/>
      <w:lvlText w:val="-"/>
      <w:lvlJc w:val="left"/>
      <w:pPr>
        <w:ind w:left="1430" w:hanging="360"/>
      </w:pPr>
      <w:rPr>
        <w:rFonts w:ascii="Calibri" w:eastAsia="Times New Roman" w:hAnsi="Calibri" w:cs="Calibri" w:hint="default"/>
      </w:rPr>
    </w:lvl>
    <w:lvl w:ilvl="1" w:tplc="041F0003" w:tentative="1">
      <w:start w:val="1"/>
      <w:numFmt w:val="bullet"/>
      <w:lvlText w:val="o"/>
      <w:lvlJc w:val="left"/>
      <w:pPr>
        <w:ind w:left="2150" w:hanging="360"/>
      </w:pPr>
      <w:rPr>
        <w:rFonts w:ascii="Courier New" w:hAnsi="Courier New" w:cs="Courier New" w:hint="default"/>
      </w:rPr>
    </w:lvl>
    <w:lvl w:ilvl="2" w:tplc="041F0005" w:tentative="1">
      <w:start w:val="1"/>
      <w:numFmt w:val="bullet"/>
      <w:lvlText w:val=""/>
      <w:lvlJc w:val="left"/>
      <w:pPr>
        <w:ind w:left="2870" w:hanging="360"/>
      </w:pPr>
      <w:rPr>
        <w:rFonts w:ascii="Wingdings" w:hAnsi="Wingdings" w:hint="default"/>
      </w:rPr>
    </w:lvl>
    <w:lvl w:ilvl="3" w:tplc="041F0001" w:tentative="1">
      <w:start w:val="1"/>
      <w:numFmt w:val="bullet"/>
      <w:lvlText w:val=""/>
      <w:lvlJc w:val="left"/>
      <w:pPr>
        <w:ind w:left="3590" w:hanging="360"/>
      </w:pPr>
      <w:rPr>
        <w:rFonts w:ascii="Symbol" w:hAnsi="Symbol" w:hint="default"/>
      </w:rPr>
    </w:lvl>
    <w:lvl w:ilvl="4" w:tplc="041F0003" w:tentative="1">
      <w:start w:val="1"/>
      <w:numFmt w:val="bullet"/>
      <w:lvlText w:val="o"/>
      <w:lvlJc w:val="left"/>
      <w:pPr>
        <w:ind w:left="4310" w:hanging="360"/>
      </w:pPr>
      <w:rPr>
        <w:rFonts w:ascii="Courier New" w:hAnsi="Courier New" w:cs="Courier New" w:hint="default"/>
      </w:rPr>
    </w:lvl>
    <w:lvl w:ilvl="5" w:tplc="041F0005" w:tentative="1">
      <w:start w:val="1"/>
      <w:numFmt w:val="bullet"/>
      <w:lvlText w:val=""/>
      <w:lvlJc w:val="left"/>
      <w:pPr>
        <w:ind w:left="5030" w:hanging="360"/>
      </w:pPr>
      <w:rPr>
        <w:rFonts w:ascii="Wingdings" w:hAnsi="Wingdings" w:hint="default"/>
      </w:rPr>
    </w:lvl>
    <w:lvl w:ilvl="6" w:tplc="041F0001" w:tentative="1">
      <w:start w:val="1"/>
      <w:numFmt w:val="bullet"/>
      <w:lvlText w:val=""/>
      <w:lvlJc w:val="left"/>
      <w:pPr>
        <w:ind w:left="5750" w:hanging="360"/>
      </w:pPr>
      <w:rPr>
        <w:rFonts w:ascii="Symbol" w:hAnsi="Symbol" w:hint="default"/>
      </w:rPr>
    </w:lvl>
    <w:lvl w:ilvl="7" w:tplc="041F0003" w:tentative="1">
      <w:start w:val="1"/>
      <w:numFmt w:val="bullet"/>
      <w:lvlText w:val="o"/>
      <w:lvlJc w:val="left"/>
      <w:pPr>
        <w:ind w:left="6470" w:hanging="360"/>
      </w:pPr>
      <w:rPr>
        <w:rFonts w:ascii="Courier New" w:hAnsi="Courier New" w:cs="Courier New" w:hint="default"/>
      </w:rPr>
    </w:lvl>
    <w:lvl w:ilvl="8" w:tplc="041F0005" w:tentative="1">
      <w:start w:val="1"/>
      <w:numFmt w:val="bullet"/>
      <w:lvlText w:val=""/>
      <w:lvlJc w:val="left"/>
      <w:pPr>
        <w:ind w:left="7190" w:hanging="360"/>
      </w:pPr>
      <w:rPr>
        <w:rFonts w:ascii="Wingdings" w:hAnsi="Wingdings" w:hint="default"/>
      </w:rPr>
    </w:lvl>
  </w:abstractNum>
  <w:abstractNum w:abstractNumId="53" w15:restartNumberingAfterBreak="0">
    <w:nsid w:val="43CF2AAC"/>
    <w:multiLevelType w:val="hybridMultilevel"/>
    <w:tmpl w:val="9C865A0E"/>
    <w:lvl w:ilvl="0" w:tplc="E4784AD4">
      <w:start w:val="340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5EF2E90"/>
    <w:multiLevelType w:val="hybridMultilevel"/>
    <w:tmpl w:val="A726E8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61609F6"/>
    <w:multiLevelType w:val="hybridMultilevel"/>
    <w:tmpl w:val="703C35CA"/>
    <w:lvl w:ilvl="0" w:tplc="067652F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6" w15:restartNumberingAfterBreak="0">
    <w:nsid w:val="46A617B6"/>
    <w:multiLevelType w:val="hybridMultilevel"/>
    <w:tmpl w:val="9462FA6A"/>
    <w:lvl w:ilvl="0" w:tplc="E4784AD4">
      <w:start w:val="340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4A7A6168"/>
    <w:multiLevelType w:val="hybridMultilevel"/>
    <w:tmpl w:val="944E1C1E"/>
    <w:lvl w:ilvl="0" w:tplc="EAF6804A">
      <w:start w:val="1"/>
      <w:numFmt w:val="decimal"/>
      <w:lvlText w:val="(%1)"/>
      <w:lvlJc w:val="left"/>
      <w:pPr>
        <w:ind w:left="720" w:hanging="360"/>
      </w:pPr>
      <w:rPr>
        <w:rFonts w:hint="default"/>
      </w:rPr>
    </w:lvl>
    <w:lvl w:ilvl="1" w:tplc="EAF6804A">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A8642CA"/>
    <w:multiLevelType w:val="hybridMultilevel"/>
    <w:tmpl w:val="C34A6068"/>
    <w:lvl w:ilvl="0" w:tplc="EAF680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B47265B"/>
    <w:multiLevelType w:val="hybridMultilevel"/>
    <w:tmpl w:val="482C101A"/>
    <w:lvl w:ilvl="0" w:tplc="1E028BA2">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61" w15:restartNumberingAfterBreak="0">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2" w15:restartNumberingAfterBreak="0">
    <w:nsid w:val="50D70B94"/>
    <w:multiLevelType w:val="multilevel"/>
    <w:tmpl w:val="AA1C6714"/>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0FB6E68"/>
    <w:multiLevelType w:val="hybridMultilevel"/>
    <w:tmpl w:val="AC4A2070"/>
    <w:lvl w:ilvl="0" w:tplc="041F0001">
      <w:start w:val="1"/>
      <w:numFmt w:val="bullet"/>
      <w:lvlText w:val=""/>
      <w:lvlJc w:val="left"/>
      <w:pPr>
        <w:ind w:left="773" w:hanging="360"/>
      </w:pPr>
      <w:rPr>
        <w:rFonts w:ascii="Symbol" w:hAnsi="Symbol" w:hint="default"/>
      </w:rPr>
    </w:lvl>
    <w:lvl w:ilvl="1" w:tplc="041F0003" w:tentative="1">
      <w:start w:val="1"/>
      <w:numFmt w:val="bullet"/>
      <w:lvlText w:val="o"/>
      <w:lvlJc w:val="left"/>
      <w:pPr>
        <w:ind w:left="1493" w:hanging="360"/>
      </w:pPr>
      <w:rPr>
        <w:rFonts w:ascii="Courier New" w:hAnsi="Courier New" w:cs="Courier New" w:hint="default"/>
      </w:rPr>
    </w:lvl>
    <w:lvl w:ilvl="2" w:tplc="041F0005" w:tentative="1">
      <w:start w:val="1"/>
      <w:numFmt w:val="bullet"/>
      <w:lvlText w:val=""/>
      <w:lvlJc w:val="left"/>
      <w:pPr>
        <w:ind w:left="2213" w:hanging="360"/>
      </w:pPr>
      <w:rPr>
        <w:rFonts w:ascii="Wingdings" w:hAnsi="Wingdings" w:hint="default"/>
      </w:rPr>
    </w:lvl>
    <w:lvl w:ilvl="3" w:tplc="041F0001" w:tentative="1">
      <w:start w:val="1"/>
      <w:numFmt w:val="bullet"/>
      <w:lvlText w:val=""/>
      <w:lvlJc w:val="left"/>
      <w:pPr>
        <w:ind w:left="2933" w:hanging="360"/>
      </w:pPr>
      <w:rPr>
        <w:rFonts w:ascii="Symbol" w:hAnsi="Symbol" w:hint="default"/>
      </w:rPr>
    </w:lvl>
    <w:lvl w:ilvl="4" w:tplc="041F0003" w:tentative="1">
      <w:start w:val="1"/>
      <w:numFmt w:val="bullet"/>
      <w:lvlText w:val="o"/>
      <w:lvlJc w:val="left"/>
      <w:pPr>
        <w:ind w:left="3653" w:hanging="360"/>
      </w:pPr>
      <w:rPr>
        <w:rFonts w:ascii="Courier New" w:hAnsi="Courier New" w:cs="Courier New" w:hint="default"/>
      </w:rPr>
    </w:lvl>
    <w:lvl w:ilvl="5" w:tplc="041F0005" w:tentative="1">
      <w:start w:val="1"/>
      <w:numFmt w:val="bullet"/>
      <w:lvlText w:val=""/>
      <w:lvlJc w:val="left"/>
      <w:pPr>
        <w:ind w:left="4373" w:hanging="360"/>
      </w:pPr>
      <w:rPr>
        <w:rFonts w:ascii="Wingdings" w:hAnsi="Wingdings" w:hint="default"/>
      </w:rPr>
    </w:lvl>
    <w:lvl w:ilvl="6" w:tplc="041F0001" w:tentative="1">
      <w:start w:val="1"/>
      <w:numFmt w:val="bullet"/>
      <w:lvlText w:val=""/>
      <w:lvlJc w:val="left"/>
      <w:pPr>
        <w:ind w:left="5093" w:hanging="360"/>
      </w:pPr>
      <w:rPr>
        <w:rFonts w:ascii="Symbol" w:hAnsi="Symbol" w:hint="default"/>
      </w:rPr>
    </w:lvl>
    <w:lvl w:ilvl="7" w:tplc="041F0003" w:tentative="1">
      <w:start w:val="1"/>
      <w:numFmt w:val="bullet"/>
      <w:lvlText w:val="o"/>
      <w:lvlJc w:val="left"/>
      <w:pPr>
        <w:ind w:left="5813" w:hanging="360"/>
      </w:pPr>
      <w:rPr>
        <w:rFonts w:ascii="Courier New" w:hAnsi="Courier New" w:cs="Courier New" w:hint="default"/>
      </w:rPr>
    </w:lvl>
    <w:lvl w:ilvl="8" w:tplc="041F0005" w:tentative="1">
      <w:start w:val="1"/>
      <w:numFmt w:val="bullet"/>
      <w:lvlText w:val=""/>
      <w:lvlJc w:val="left"/>
      <w:pPr>
        <w:ind w:left="6533" w:hanging="360"/>
      </w:pPr>
      <w:rPr>
        <w:rFonts w:ascii="Wingdings" w:hAnsi="Wingdings" w:hint="default"/>
      </w:rPr>
    </w:lvl>
  </w:abstractNum>
  <w:abstractNum w:abstractNumId="64" w15:restartNumberingAfterBreak="0">
    <w:nsid w:val="517C5B70"/>
    <w:multiLevelType w:val="multilevel"/>
    <w:tmpl w:val="39B405C6"/>
    <w:lvl w:ilvl="0">
      <w:start w:val="2"/>
      <w:numFmt w:val="decimal"/>
      <w:lvlText w:val="%1"/>
      <w:lvlJc w:val="left"/>
      <w:pPr>
        <w:ind w:left="444" w:hanging="444"/>
      </w:pPr>
      <w:rPr>
        <w:rFonts w:hint="default"/>
      </w:rPr>
    </w:lvl>
    <w:lvl w:ilvl="1">
      <w:start w:val="4"/>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1CE198E"/>
    <w:multiLevelType w:val="hybridMultilevel"/>
    <w:tmpl w:val="31167C02"/>
    <w:lvl w:ilvl="0" w:tplc="E4784AD4">
      <w:start w:val="340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15:restartNumberingAfterBreak="0">
    <w:nsid w:val="538E3520"/>
    <w:multiLevelType w:val="hybridMultilevel"/>
    <w:tmpl w:val="FC40E438"/>
    <w:lvl w:ilvl="0" w:tplc="9586AED0">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7F2517"/>
    <w:multiLevelType w:val="hybridMultilevel"/>
    <w:tmpl w:val="E0F23162"/>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8" w15:restartNumberingAfterBreak="0">
    <w:nsid w:val="56605F26"/>
    <w:multiLevelType w:val="hybridMultilevel"/>
    <w:tmpl w:val="857C735C"/>
    <w:lvl w:ilvl="0" w:tplc="5D7AA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9" w15:restartNumberingAfterBreak="0">
    <w:nsid w:val="57065AA8"/>
    <w:multiLevelType w:val="hybridMultilevel"/>
    <w:tmpl w:val="8EB4227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0" w15:restartNumberingAfterBreak="0">
    <w:nsid w:val="58CC645D"/>
    <w:multiLevelType w:val="hybridMultilevel"/>
    <w:tmpl w:val="855A4A38"/>
    <w:lvl w:ilvl="0" w:tplc="119617A6">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1" w15:restartNumberingAfterBreak="0">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15:restartNumberingAfterBreak="0">
    <w:nsid w:val="5BE06B12"/>
    <w:multiLevelType w:val="hybridMultilevel"/>
    <w:tmpl w:val="C90A20C4"/>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3" w15:restartNumberingAfterBreak="0">
    <w:nsid w:val="5CB66D23"/>
    <w:multiLevelType w:val="multilevel"/>
    <w:tmpl w:val="48CC136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5D0F4CD2"/>
    <w:multiLevelType w:val="hybridMultilevel"/>
    <w:tmpl w:val="17486642"/>
    <w:lvl w:ilvl="0" w:tplc="041F000F">
      <w:start w:val="5"/>
      <w:numFmt w:val="decimal"/>
      <w:lvlText w:val="%1."/>
      <w:lvlJc w:val="left"/>
      <w:pPr>
        <w:ind w:left="720" w:hanging="360"/>
      </w:pPr>
      <w:rPr>
        <w:rFonts w:hint="default"/>
      </w:rPr>
    </w:lvl>
    <w:lvl w:ilvl="1" w:tplc="041F0019">
      <w:start w:val="1"/>
      <w:numFmt w:val="lowerLetter"/>
      <w:lvlText w:val="%2."/>
      <w:lvlJc w:val="left"/>
      <w:pPr>
        <w:ind w:left="107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5" w15:restartNumberingAfterBreak="0">
    <w:nsid w:val="5DC056DF"/>
    <w:multiLevelType w:val="hybridMultilevel"/>
    <w:tmpl w:val="91D870A0"/>
    <w:lvl w:ilvl="0" w:tplc="EAF680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7" w15:restartNumberingAfterBreak="0">
    <w:nsid w:val="603361DD"/>
    <w:multiLevelType w:val="hybridMultilevel"/>
    <w:tmpl w:val="F8DA6408"/>
    <w:lvl w:ilvl="0" w:tplc="6E00899E">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8" w15:restartNumberingAfterBreak="0">
    <w:nsid w:val="61037BDF"/>
    <w:multiLevelType w:val="hybridMultilevel"/>
    <w:tmpl w:val="A0F68046"/>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9" w15:restartNumberingAfterBreak="0">
    <w:nsid w:val="613C0EEE"/>
    <w:multiLevelType w:val="hybridMultilevel"/>
    <w:tmpl w:val="F4BA3F2C"/>
    <w:lvl w:ilvl="0" w:tplc="DECCBF22">
      <w:start w:val="4"/>
      <w:numFmt w:val="decimal"/>
      <w:lvlText w:val="%1"/>
      <w:lvlJc w:val="left"/>
      <w:pPr>
        <w:ind w:left="795" w:hanging="360"/>
      </w:pPr>
      <w:rPr>
        <w:rFonts w:hint="default"/>
      </w:rPr>
    </w:lvl>
    <w:lvl w:ilvl="1" w:tplc="041F0019" w:tentative="1">
      <w:start w:val="1"/>
      <w:numFmt w:val="lowerLetter"/>
      <w:lvlText w:val="%2."/>
      <w:lvlJc w:val="left"/>
      <w:pPr>
        <w:ind w:left="1515" w:hanging="360"/>
      </w:pPr>
    </w:lvl>
    <w:lvl w:ilvl="2" w:tplc="041F001B" w:tentative="1">
      <w:start w:val="1"/>
      <w:numFmt w:val="lowerRoman"/>
      <w:lvlText w:val="%3."/>
      <w:lvlJc w:val="right"/>
      <w:pPr>
        <w:ind w:left="2235" w:hanging="180"/>
      </w:pPr>
    </w:lvl>
    <w:lvl w:ilvl="3" w:tplc="041F000F" w:tentative="1">
      <w:start w:val="1"/>
      <w:numFmt w:val="decimal"/>
      <w:lvlText w:val="%4."/>
      <w:lvlJc w:val="left"/>
      <w:pPr>
        <w:ind w:left="2955" w:hanging="360"/>
      </w:pPr>
    </w:lvl>
    <w:lvl w:ilvl="4" w:tplc="041F0019" w:tentative="1">
      <w:start w:val="1"/>
      <w:numFmt w:val="lowerLetter"/>
      <w:lvlText w:val="%5."/>
      <w:lvlJc w:val="left"/>
      <w:pPr>
        <w:ind w:left="3675" w:hanging="360"/>
      </w:pPr>
    </w:lvl>
    <w:lvl w:ilvl="5" w:tplc="041F001B" w:tentative="1">
      <w:start w:val="1"/>
      <w:numFmt w:val="lowerRoman"/>
      <w:lvlText w:val="%6."/>
      <w:lvlJc w:val="right"/>
      <w:pPr>
        <w:ind w:left="4395" w:hanging="180"/>
      </w:pPr>
    </w:lvl>
    <w:lvl w:ilvl="6" w:tplc="041F000F" w:tentative="1">
      <w:start w:val="1"/>
      <w:numFmt w:val="decimal"/>
      <w:lvlText w:val="%7."/>
      <w:lvlJc w:val="left"/>
      <w:pPr>
        <w:ind w:left="5115" w:hanging="360"/>
      </w:pPr>
    </w:lvl>
    <w:lvl w:ilvl="7" w:tplc="041F0019" w:tentative="1">
      <w:start w:val="1"/>
      <w:numFmt w:val="lowerLetter"/>
      <w:lvlText w:val="%8."/>
      <w:lvlJc w:val="left"/>
      <w:pPr>
        <w:ind w:left="5835" w:hanging="360"/>
      </w:pPr>
    </w:lvl>
    <w:lvl w:ilvl="8" w:tplc="041F001B" w:tentative="1">
      <w:start w:val="1"/>
      <w:numFmt w:val="lowerRoman"/>
      <w:lvlText w:val="%9."/>
      <w:lvlJc w:val="right"/>
      <w:pPr>
        <w:ind w:left="6555" w:hanging="180"/>
      </w:pPr>
    </w:lvl>
  </w:abstractNum>
  <w:abstractNum w:abstractNumId="80" w15:restartNumberingAfterBreak="0">
    <w:nsid w:val="6212154C"/>
    <w:multiLevelType w:val="hybridMultilevel"/>
    <w:tmpl w:val="0CD0DC5A"/>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1" w15:restartNumberingAfterBreak="0">
    <w:nsid w:val="631B612A"/>
    <w:multiLevelType w:val="hybridMultilevel"/>
    <w:tmpl w:val="8D8CB22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2" w15:restartNumberingAfterBreak="0">
    <w:nsid w:val="63475CC1"/>
    <w:multiLevelType w:val="hybridMultilevel"/>
    <w:tmpl w:val="4B9AEB9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3" w15:restartNumberingAfterBreak="0">
    <w:nsid w:val="64A733A9"/>
    <w:multiLevelType w:val="hybridMultilevel"/>
    <w:tmpl w:val="6C5C6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4" w15:restartNumberingAfterBreak="0">
    <w:nsid w:val="65D90D20"/>
    <w:multiLevelType w:val="hybridMultilevel"/>
    <w:tmpl w:val="2AC658A6"/>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5" w15:restartNumberingAfterBreak="0">
    <w:nsid w:val="664060E3"/>
    <w:multiLevelType w:val="hybridMultilevel"/>
    <w:tmpl w:val="CE427868"/>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86" w15:restartNumberingAfterBreak="0">
    <w:nsid w:val="690A6B32"/>
    <w:multiLevelType w:val="multilevel"/>
    <w:tmpl w:val="48EA9FDC"/>
    <w:lvl w:ilvl="0">
      <w:start w:val="13"/>
      <w:numFmt w:val="decimal"/>
      <w:lvlText w:val="%1"/>
      <w:lvlJc w:val="left"/>
      <w:pPr>
        <w:ind w:left="552" w:hanging="552"/>
      </w:pPr>
      <w:rPr>
        <w:rFonts w:hint="default"/>
      </w:rPr>
    </w:lvl>
    <w:lvl w:ilvl="1">
      <w:start w:val="2"/>
      <w:numFmt w:val="decimal"/>
      <w:lvlText w:val="%1.%2"/>
      <w:lvlJc w:val="left"/>
      <w:pPr>
        <w:ind w:left="1632" w:hanging="552"/>
      </w:pPr>
      <w:rPr>
        <w:rFonts w:hint="default"/>
      </w:rPr>
    </w:lvl>
    <w:lvl w:ilvl="2">
      <w:start w:val="2"/>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7" w15:restartNumberingAfterBreak="0">
    <w:nsid w:val="69147829"/>
    <w:multiLevelType w:val="hybridMultilevel"/>
    <w:tmpl w:val="B2668A64"/>
    <w:lvl w:ilvl="0" w:tplc="3A762DF0">
      <w:start w:val="1"/>
      <w:numFmt w:val="lowerLetter"/>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88" w15:restartNumberingAfterBreak="0">
    <w:nsid w:val="6923297B"/>
    <w:multiLevelType w:val="hybridMultilevel"/>
    <w:tmpl w:val="C41ACB2E"/>
    <w:lvl w:ilvl="0" w:tplc="367C828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9" w15:restartNumberingAfterBreak="0">
    <w:nsid w:val="6C2B7B94"/>
    <w:multiLevelType w:val="hybridMultilevel"/>
    <w:tmpl w:val="1FCE6EB2"/>
    <w:lvl w:ilvl="0" w:tplc="FE9AE942">
      <w:start w:val="14"/>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0" w15:restartNumberingAfterBreak="0">
    <w:nsid w:val="6E2B2449"/>
    <w:multiLevelType w:val="hybridMultilevel"/>
    <w:tmpl w:val="75A020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1" w15:restartNumberingAfterBreak="0">
    <w:nsid w:val="6FCA7404"/>
    <w:multiLevelType w:val="hybridMultilevel"/>
    <w:tmpl w:val="F9F8288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2" w15:restartNumberingAfterBreak="0">
    <w:nsid w:val="711E5888"/>
    <w:multiLevelType w:val="multilevel"/>
    <w:tmpl w:val="57AE07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4" w15:restartNumberingAfterBreak="0">
    <w:nsid w:val="73B238CD"/>
    <w:multiLevelType w:val="multilevel"/>
    <w:tmpl w:val="80FA86C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4825E19"/>
    <w:multiLevelType w:val="hybridMultilevel"/>
    <w:tmpl w:val="DCBCCBEA"/>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6" w15:restartNumberingAfterBreak="0">
    <w:nsid w:val="7493089C"/>
    <w:multiLevelType w:val="hybridMultilevel"/>
    <w:tmpl w:val="069A9F92"/>
    <w:lvl w:ilvl="0" w:tplc="E4784AD4">
      <w:start w:val="3403"/>
      <w:numFmt w:val="bullet"/>
      <w:lvlText w:val="-"/>
      <w:lvlJc w:val="left"/>
      <w:pPr>
        <w:ind w:left="1430" w:hanging="360"/>
      </w:pPr>
      <w:rPr>
        <w:rFonts w:ascii="Times New Roman" w:eastAsia="Times New Roman" w:hAnsi="Times New Roman" w:cs="Times New Roman" w:hint="default"/>
      </w:rPr>
    </w:lvl>
    <w:lvl w:ilvl="1" w:tplc="041F0003" w:tentative="1">
      <w:start w:val="1"/>
      <w:numFmt w:val="bullet"/>
      <w:lvlText w:val="o"/>
      <w:lvlJc w:val="left"/>
      <w:pPr>
        <w:ind w:left="2150" w:hanging="360"/>
      </w:pPr>
      <w:rPr>
        <w:rFonts w:ascii="Courier New" w:hAnsi="Courier New" w:cs="Courier New" w:hint="default"/>
      </w:rPr>
    </w:lvl>
    <w:lvl w:ilvl="2" w:tplc="041F0005" w:tentative="1">
      <w:start w:val="1"/>
      <w:numFmt w:val="bullet"/>
      <w:lvlText w:val=""/>
      <w:lvlJc w:val="left"/>
      <w:pPr>
        <w:ind w:left="2870" w:hanging="360"/>
      </w:pPr>
      <w:rPr>
        <w:rFonts w:ascii="Wingdings" w:hAnsi="Wingdings" w:hint="default"/>
      </w:rPr>
    </w:lvl>
    <w:lvl w:ilvl="3" w:tplc="041F0001" w:tentative="1">
      <w:start w:val="1"/>
      <w:numFmt w:val="bullet"/>
      <w:lvlText w:val=""/>
      <w:lvlJc w:val="left"/>
      <w:pPr>
        <w:ind w:left="3590" w:hanging="360"/>
      </w:pPr>
      <w:rPr>
        <w:rFonts w:ascii="Symbol" w:hAnsi="Symbol" w:hint="default"/>
      </w:rPr>
    </w:lvl>
    <w:lvl w:ilvl="4" w:tplc="041F0003" w:tentative="1">
      <w:start w:val="1"/>
      <w:numFmt w:val="bullet"/>
      <w:lvlText w:val="o"/>
      <w:lvlJc w:val="left"/>
      <w:pPr>
        <w:ind w:left="4310" w:hanging="360"/>
      </w:pPr>
      <w:rPr>
        <w:rFonts w:ascii="Courier New" w:hAnsi="Courier New" w:cs="Courier New" w:hint="default"/>
      </w:rPr>
    </w:lvl>
    <w:lvl w:ilvl="5" w:tplc="041F0005" w:tentative="1">
      <w:start w:val="1"/>
      <w:numFmt w:val="bullet"/>
      <w:lvlText w:val=""/>
      <w:lvlJc w:val="left"/>
      <w:pPr>
        <w:ind w:left="5030" w:hanging="360"/>
      </w:pPr>
      <w:rPr>
        <w:rFonts w:ascii="Wingdings" w:hAnsi="Wingdings" w:hint="default"/>
      </w:rPr>
    </w:lvl>
    <w:lvl w:ilvl="6" w:tplc="041F0001" w:tentative="1">
      <w:start w:val="1"/>
      <w:numFmt w:val="bullet"/>
      <w:lvlText w:val=""/>
      <w:lvlJc w:val="left"/>
      <w:pPr>
        <w:ind w:left="5750" w:hanging="360"/>
      </w:pPr>
      <w:rPr>
        <w:rFonts w:ascii="Symbol" w:hAnsi="Symbol" w:hint="default"/>
      </w:rPr>
    </w:lvl>
    <w:lvl w:ilvl="7" w:tplc="041F0003" w:tentative="1">
      <w:start w:val="1"/>
      <w:numFmt w:val="bullet"/>
      <w:lvlText w:val="o"/>
      <w:lvlJc w:val="left"/>
      <w:pPr>
        <w:ind w:left="6470" w:hanging="360"/>
      </w:pPr>
      <w:rPr>
        <w:rFonts w:ascii="Courier New" w:hAnsi="Courier New" w:cs="Courier New" w:hint="default"/>
      </w:rPr>
    </w:lvl>
    <w:lvl w:ilvl="8" w:tplc="041F0005" w:tentative="1">
      <w:start w:val="1"/>
      <w:numFmt w:val="bullet"/>
      <w:lvlText w:val=""/>
      <w:lvlJc w:val="left"/>
      <w:pPr>
        <w:ind w:left="7190" w:hanging="360"/>
      </w:pPr>
      <w:rPr>
        <w:rFonts w:ascii="Wingdings" w:hAnsi="Wingdings" w:hint="default"/>
      </w:rPr>
    </w:lvl>
  </w:abstractNum>
  <w:abstractNum w:abstractNumId="97" w15:restartNumberingAfterBreak="0">
    <w:nsid w:val="7A82276C"/>
    <w:multiLevelType w:val="hybridMultilevel"/>
    <w:tmpl w:val="366299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8" w15:restartNumberingAfterBreak="0">
    <w:nsid w:val="7B6D6213"/>
    <w:multiLevelType w:val="hybridMultilevel"/>
    <w:tmpl w:val="023293E0"/>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9" w15:restartNumberingAfterBreak="0">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00" w15:restartNumberingAfterBreak="0">
    <w:nsid w:val="7D9B7AE9"/>
    <w:multiLevelType w:val="multilevel"/>
    <w:tmpl w:val="18DC1312"/>
    <w:lvl w:ilvl="0">
      <w:start w:val="2"/>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7F2625CE"/>
    <w:multiLevelType w:val="hybridMultilevel"/>
    <w:tmpl w:val="16AADBE2"/>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num w:numId="1">
    <w:abstractNumId w:val="76"/>
  </w:num>
  <w:num w:numId="2">
    <w:abstractNumId w:val="57"/>
  </w:num>
  <w:num w:numId="3">
    <w:abstractNumId w:val="18"/>
  </w:num>
  <w:num w:numId="4">
    <w:abstractNumId w:val="99"/>
  </w:num>
  <w:num w:numId="5">
    <w:abstractNumId w:val="61"/>
  </w:num>
  <w:num w:numId="6">
    <w:abstractNumId w:val="93"/>
  </w:num>
  <w:num w:numId="7">
    <w:abstractNumId w:val="33"/>
  </w:num>
  <w:num w:numId="8">
    <w:abstractNumId w:val="71"/>
  </w:num>
  <w:num w:numId="9">
    <w:abstractNumId w:val="51"/>
  </w:num>
  <w:num w:numId="10">
    <w:abstractNumId w:val="83"/>
  </w:num>
  <w:num w:numId="11">
    <w:abstractNumId w:val="43"/>
  </w:num>
  <w:num w:numId="12">
    <w:abstractNumId w:val="5"/>
  </w:num>
  <w:num w:numId="13">
    <w:abstractNumId w:val="97"/>
  </w:num>
  <w:num w:numId="14">
    <w:abstractNumId w:val="82"/>
  </w:num>
  <w:num w:numId="15">
    <w:abstractNumId w:val="72"/>
  </w:num>
  <w:num w:numId="16">
    <w:abstractNumId w:val="9"/>
  </w:num>
  <w:num w:numId="17">
    <w:abstractNumId w:val="67"/>
  </w:num>
  <w:num w:numId="18">
    <w:abstractNumId w:val="44"/>
  </w:num>
  <w:num w:numId="19">
    <w:abstractNumId w:val="78"/>
  </w:num>
  <w:num w:numId="20">
    <w:abstractNumId w:val="95"/>
  </w:num>
  <w:num w:numId="21">
    <w:abstractNumId w:val="20"/>
  </w:num>
  <w:num w:numId="22">
    <w:abstractNumId w:val="42"/>
  </w:num>
  <w:num w:numId="23">
    <w:abstractNumId w:val="3"/>
  </w:num>
  <w:num w:numId="24">
    <w:abstractNumId w:val="12"/>
  </w:num>
  <w:num w:numId="25">
    <w:abstractNumId w:val="32"/>
  </w:num>
  <w:num w:numId="26">
    <w:abstractNumId w:val="17"/>
  </w:num>
  <w:num w:numId="27">
    <w:abstractNumId w:val="91"/>
  </w:num>
  <w:num w:numId="28">
    <w:abstractNumId w:val="22"/>
  </w:num>
  <w:num w:numId="29">
    <w:abstractNumId w:val="26"/>
  </w:num>
  <w:num w:numId="30">
    <w:abstractNumId w:val="27"/>
  </w:num>
  <w:num w:numId="31">
    <w:abstractNumId w:val="30"/>
  </w:num>
  <w:num w:numId="32">
    <w:abstractNumId w:val="46"/>
  </w:num>
  <w:num w:numId="33">
    <w:abstractNumId w:val="101"/>
  </w:num>
  <w:num w:numId="34">
    <w:abstractNumId w:val="6"/>
  </w:num>
  <w:num w:numId="35">
    <w:abstractNumId w:val="2"/>
  </w:num>
  <w:num w:numId="36">
    <w:abstractNumId w:val="52"/>
  </w:num>
  <w:num w:numId="37">
    <w:abstractNumId w:val="96"/>
  </w:num>
  <w:num w:numId="38">
    <w:abstractNumId w:val="28"/>
  </w:num>
  <w:num w:numId="39">
    <w:abstractNumId w:val="84"/>
  </w:num>
  <w:num w:numId="40">
    <w:abstractNumId w:val="69"/>
  </w:num>
  <w:num w:numId="41">
    <w:abstractNumId w:val="80"/>
  </w:num>
  <w:num w:numId="42">
    <w:abstractNumId w:val="45"/>
  </w:num>
  <w:num w:numId="43">
    <w:abstractNumId w:val="98"/>
  </w:num>
  <w:num w:numId="44">
    <w:abstractNumId w:val="35"/>
  </w:num>
  <w:num w:numId="45">
    <w:abstractNumId w:val="90"/>
  </w:num>
  <w:num w:numId="46">
    <w:abstractNumId w:val="74"/>
  </w:num>
  <w:num w:numId="47">
    <w:abstractNumId w:val="21"/>
  </w:num>
  <w:num w:numId="48">
    <w:abstractNumId w:val="79"/>
  </w:num>
  <w:num w:numId="49">
    <w:abstractNumId w:val="13"/>
  </w:num>
  <w:num w:numId="50">
    <w:abstractNumId w:val="86"/>
  </w:num>
  <w:num w:numId="51">
    <w:abstractNumId w:val="89"/>
  </w:num>
  <w:num w:numId="52">
    <w:abstractNumId w:val="63"/>
  </w:num>
  <w:num w:numId="53">
    <w:abstractNumId w:val="73"/>
  </w:num>
  <w:num w:numId="54">
    <w:abstractNumId w:val="62"/>
  </w:num>
  <w:num w:numId="55">
    <w:abstractNumId w:val="41"/>
  </w:num>
  <w:num w:numId="56">
    <w:abstractNumId w:val="40"/>
  </w:num>
  <w:num w:numId="57">
    <w:abstractNumId w:val="1"/>
  </w:num>
  <w:num w:numId="58">
    <w:abstractNumId w:val="94"/>
  </w:num>
  <w:num w:numId="59">
    <w:abstractNumId w:val="64"/>
  </w:num>
  <w:num w:numId="60">
    <w:abstractNumId w:val="100"/>
  </w:num>
  <w:num w:numId="61">
    <w:abstractNumId w:val="92"/>
  </w:num>
  <w:num w:numId="62">
    <w:abstractNumId w:val="36"/>
  </w:num>
  <w:num w:numId="63">
    <w:abstractNumId w:val="0"/>
  </w:num>
  <w:num w:numId="64">
    <w:abstractNumId w:val="66"/>
  </w:num>
  <w:num w:numId="65">
    <w:abstractNumId w:val="55"/>
  </w:num>
  <w:num w:numId="66">
    <w:abstractNumId w:val="39"/>
  </w:num>
  <w:num w:numId="67">
    <w:abstractNumId w:val="34"/>
  </w:num>
  <w:num w:numId="68">
    <w:abstractNumId w:val="88"/>
  </w:num>
  <w:num w:numId="69">
    <w:abstractNumId w:val="70"/>
  </w:num>
  <w:num w:numId="70">
    <w:abstractNumId w:val="77"/>
  </w:num>
  <w:num w:numId="71">
    <w:abstractNumId w:val="87"/>
  </w:num>
  <w:num w:numId="72">
    <w:abstractNumId w:val="60"/>
  </w:num>
  <w:num w:numId="73">
    <w:abstractNumId w:val="29"/>
  </w:num>
  <w:num w:numId="74">
    <w:abstractNumId w:val="8"/>
  </w:num>
  <w:num w:numId="75">
    <w:abstractNumId w:val="47"/>
  </w:num>
  <w:num w:numId="76">
    <w:abstractNumId w:val="59"/>
  </w:num>
  <w:num w:numId="77">
    <w:abstractNumId w:val="24"/>
  </w:num>
  <w:num w:numId="78">
    <w:abstractNumId w:val="75"/>
  </w:num>
  <w:num w:numId="79">
    <w:abstractNumId w:val="25"/>
  </w:num>
  <w:num w:numId="80">
    <w:abstractNumId w:val="15"/>
  </w:num>
  <w:num w:numId="81">
    <w:abstractNumId w:val="58"/>
  </w:num>
  <w:num w:numId="82">
    <w:abstractNumId w:val="19"/>
  </w:num>
  <w:num w:numId="83">
    <w:abstractNumId w:val="65"/>
  </w:num>
  <w:num w:numId="84">
    <w:abstractNumId w:val="68"/>
  </w:num>
  <w:num w:numId="85">
    <w:abstractNumId w:val="38"/>
  </w:num>
  <w:num w:numId="86">
    <w:abstractNumId w:val="10"/>
  </w:num>
  <w:num w:numId="87">
    <w:abstractNumId w:val="56"/>
  </w:num>
  <w:num w:numId="88">
    <w:abstractNumId w:val="31"/>
  </w:num>
  <w:num w:numId="89">
    <w:abstractNumId w:val="14"/>
  </w:num>
  <w:num w:numId="90">
    <w:abstractNumId w:val="23"/>
  </w:num>
  <w:num w:numId="91">
    <w:abstractNumId w:val="81"/>
  </w:num>
  <w:num w:numId="92">
    <w:abstractNumId w:val="37"/>
  </w:num>
  <w:num w:numId="93">
    <w:abstractNumId w:val="48"/>
  </w:num>
  <w:num w:numId="94">
    <w:abstractNumId w:val="85"/>
  </w:num>
  <w:num w:numId="95">
    <w:abstractNumId w:val="49"/>
  </w:num>
  <w:num w:numId="96">
    <w:abstractNumId w:val="16"/>
  </w:num>
  <w:num w:numId="97">
    <w:abstractNumId w:val="54"/>
  </w:num>
  <w:num w:numId="98">
    <w:abstractNumId w:val="11"/>
  </w:num>
  <w:num w:numId="99">
    <w:abstractNumId w:val="53"/>
  </w:num>
  <w:num w:numId="100">
    <w:abstractNumId w:val="50"/>
  </w:num>
  <w:num w:numId="101">
    <w:abstractNumId w:val="7"/>
  </w:num>
  <w:num w:numId="102">
    <w:abstractNumId w:val="4"/>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tr-TR" w:vendorID="64" w:dllVersion="0" w:nlCheck="1" w:checkStyle="0"/>
  <w:activeWritingStyle w:appName="MSWord" w:lang="en-US" w:vendorID="64" w:dllVersion="4096" w:nlCheck="1" w:checkStyle="0"/>
  <w:activeWritingStyle w:appName="MSWord" w:lang="tr-TR" w:vendorID="64" w:dllVersion="4096" w:nlCheck="1" w:checkStyle="0"/>
  <w:activeWritingStyle w:appName="MSWord" w:lang="en-US" w:vendorID="64" w:dllVersion="131078" w:nlCheck="1" w:checkStyle="1"/>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LCwNDIyMzE0Mbc0NjZW0lEKTi0uzszPAykwrAUAoHETHiwAAAA="/>
  </w:docVars>
  <w:rsids>
    <w:rsidRoot w:val="004367E4"/>
    <w:rsid w:val="000000A5"/>
    <w:rsid w:val="000003AE"/>
    <w:rsid w:val="000007B8"/>
    <w:rsid w:val="00000968"/>
    <w:rsid w:val="00001076"/>
    <w:rsid w:val="00001229"/>
    <w:rsid w:val="0000123A"/>
    <w:rsid w:val="0000140F"/>
    <w:rsid w:val="00001426"/>
    <w:rsid w:val="000018C3"/>
    <w:rsid w:val="000019FB"/>
    <w:rsid w:val="00001B1B"/>
    <w:rsid w:val="00001E36"/>
    <w:rsid w:val="00001F57"/>
    <w:rsid w:val="000020BB"/>
    <w:rsid w:val="000024E4"/>
    <w:rsid w:val="00002A7F"/>
    <w:rsid w:val="00002FF7"/>
    <w:rsid w:val="00003053"/>
    <w:rsid w:val="000030AD"/>
    <w:rsid w:val="000037A4"/>
    <w:rsid w:val="0000400D"/>
    <w:rsid w:val="00004196"/>
    <w:rsid w:val="00004B10"/>
    <w:rsid w:val="00005332"/>
    <w:rsid w:val="00005680"/>
    <w:rsid w:val="000057E3"/>
    <w:rsid w:val="00006006"/>
    <w:rsid w:val="0000661F"/>
    <w:rsid w:val="00006795"/>
    <w:rsid w:val="000068AA"/>
    <w:rsid w:val="00006A0D"/>
    <w:rsid w:val="00006B16"/>
    <w:rsid w:val="0000702F"/>
    <w:rsid w:val="000074B5"/>
    <w:rsid w:val="0000753C"/>
    <w:rsid w:val="00007D6C"/>
    <w:rsid w:val="0001058B"/>
    <w:rsid w:val="00010840"/>
    <w:rsid w:val="00010A59"/>
    <w:rsid w:val="00010B2E"/>
    <w:rsid w:val="00010DDB"/>
    <w:rsid w:val="00010EE2"/>
    <w:rsid w:val="000112D9"/>
    <w:rsid w:val="00011A23"/>
    <w:rsid w:val="00012040"/>
    <w:rsid w:val="000122C8"/>
    <w:rsid w:val="00012426"/>
    <w:rsid w:val="00012FCF"/>
    <w:rsid w:val="00013DC2"/>
    <w:rsid w:val="00013F7D"/>
    <w:rsid w:val="00014201"/>
    <w:rsid w:val="00014B2D"/>
    <w:rsid w:val="00014B87"/>
    <w:rsid w:val="00014BAF"/>
    <w:rsid w:val="00014D7E"/>
    <w:rsid w:val="000152E9"/>
    <w:rsid w:val="000155E0"/>
    <w:rsid w:val="00016114"/>
    <w:rsid w:val="00016190"/>
    <w:rsid w:val="000162CE"/>
    <w:rsid w:val="000162D3"/>
    <w:rsid w:val="00016365"/>
    <w:rsid w:val="00016500"/>
    <w:rsid w:val="00016A9F"/>
    <w:rsid w:val="000173EC"/>
    <w:rsid w:val="000174DF"/>
    <w:rsid w:val="0001777C"/>
    <w:rsid w:val="00017A98"/>
    <w:rsid w:val="00017FC4"/>
    <w:rsid w:val="0002067F"/>
    <w:rsid w:val="00020706"/>
    <w:rsid w:val="00020E62"/>
    <w:rsid w:val="0002166D"/>
    <w:rsid w:val="00021D0A"/>
    <w:rsid w:val="00021EBD"/>
    <w:rsid w:val="000224EB"/>
    <w:rsid w:val="000226B3"/>
    <w:rsid w:val="00022FEE"/>
    <w:rsid w:val="000232E6"/>
    <w:rsid w:val="000235BE"/>
    <w:rsid w:val="00023780"/>
    <w:rsid w:val="00023FEE"/>
    <w:rsid w:val="00024263"/>
    <w:rsid w:val="0002438F"/>
    <w:rsid w:val="000243C0"/>
    <w:rsid w:val="000244C2"/>
    <w:rsid w:val="000248CD"/>
    <w:rsid w:val="00024962"/>
    <w:rsid w:val="00024D0C"/>
    <w:rsid w:val="00024D54"/>
    <w:rsid w:val="00025110"/>
    <w:rsid w:val="0002539D"/>
    <w:rsid w:val="0002564D"/>
    <w:rsid w:val="000256CF"/>
    <w:rsid w:val="0002596E"/>
    <w:rsid w:val="00025A2C"/>
    <w:rsid w:val="000262D2"/>
    <w:rsid w:val="000264A1"/>
    <w:rsid w:val="00026DA7"/>
    <w:rsid w:val="000276C9"/>
    <w:rsid w:val="000279E8"/>
    <w:rsid w:val="000306B4"/>
    <w:rsid w:val="00030C2B"/>
    <w:rsid w:val="000311D0"/>
    <w:rsid w:val="000315EA"/>
    <w:rsid w:val="00031DFC"/>
    <w:rsid w:val="00032247"/>
    <w:rsid w:val="000323C5"/>
    <w:rsid w:val="00032431"/>
    <w:rsid w:val="000324EF"/>
    <w:rsid w:val="000324F5"/>
    <w:rsid w:val="00032640"/>
    <w:rsid w:val="0003285A"/>
    <w:rsid w:val="00032D06"/>
    <w:rsid w:val="00032D46"/>
    <w:rsid w:val="000330DA"/>
    <w:rsid w:val="0003392C"/>
    <w:rsid w:val="00033973"/>
    <w:rsid w:val="00033E32"/>
    <w:rsid w:val="00033FE7"/>
    <w:rsid w:val="00033FFE"/>
    <w:rsid w:val="000342CB"/>
    <w:rsid w:val="00034468"/>
    <w:rsid w:val="000348AE"/>
    <w:rsid w:val="000349E1"/>
    <w:rsid w:val="00035375"/>
    <w:rsid w:val="00035752"/>
    <w:rsid w:val="00035898"/>
    <w:rsid w:val="00035C70"/>
    <w:rsid w:val="00035D5B"/>
    <w:rsid w:val="00035D83"/>
    <w:rsid w:val="00036104"/>
    <w:rsid w:val="00036E47"/>
    <w:rsid w:val="00036EA4"/>
    <w:rsid w:val="0004005D"/>
    <w:rsid w:val="00040222"/>
    <w:rsid w:val="00040372"/>
    <w:rsid w:val="000408AF"/>
    <w:rsid w:val="00040B6A"/>
    <w:rsid w:val="00041598"/>
    <w:rsid w:val="00042704"/>
    <w:rsid w:val="00042CFB"/>
    <w:rsid w:val="0004311F"/>
    <w:rsid w:val="00043437"/>
    <w:rsid w:val="00043635"/>
    <w:rsid w:val="000438D2"/>
    <w:rsid w:val="00043DEB"/>
    <w:rsid w:val="00044652"/>
    <w:rsid w:val="000454E9"/>
    <w:rsid w:val="000455FC"/>
    <w:rsid w:val="000456AD"/>
    <w:rsid w:val="000459DB"/>
    <w:rsid w:val="00045C2D"/>
    <w:rsid w:val="00045E55"/>
    <w:rsid w:val="000469C3"/>
    <w:rsid w:val="00046C87"/>
    <w:rsid w:val="000471B5"/>
    <w:rsid w:val="0004784A"/>
    <w:rsid w:val="00047C88"/>
    <w:rsid w:val="000502D4"/>
    <w:rsid w:val="0005083C"/>
    <w:rsid w:val="00050ADE"/>
    <w:rsid w:val="00051D88"/>
    <w:rsid w:val="00052B53"/>
    <w:rsid w:val="00052C51"/>
    <w:rsid w:val="00052EEA"/>
    <w:rsid w:val="000531A6"/>
    <w:rsid w:val="00053F4A"/>
    <w:rsid w:val="00054066"/>
    <w:rsid w:val="000542ED"/>
    <w:rsid w:val="0005491A"/>
    <w:rsid w:val="000552D9"/>
    <w:rsid w:val="00055300"/>
    <w:rsid w:val="0005536B"/>
    <w:rsid w:val="00055410"/>
    <w:rsid w:val="000554AE"/>
    <w:rsid w:val="0005599F"/>
    <w:rsid w:val="00055A98"/>
    <w:rsid w:val="00056173"/>
    <w:rsid w:val="00056634"/>
    <w:rsid w:val="00056C0C"/>
    <w:rsid w:val="00056C40"/>
    <w:rsid w:val="00056D1A"/>
    <w:rsid w:val="00056EF5"/>
    <w:rsid w:val="00056FEA"/>
    <w:rsid w:val="00057117"/>
    <w:rsid w:val="0005712A"/>
    <w:rsid w:val="00057138"/>
    <w:rsid w:val="0005773E"/>
    <w:rsid w:val="00057AC7"/>
    <w:rsid w:val="00057C84"/>
    <w:rsid w:val="0006019A"/>
    <w:rsid w:val="0006026E"/>
    <w:rsid w:val="0006066D"/>
    <w:rsid w:val="00060AE8"/>
    <w:rsid w:val="00060CED"/>
    <w:rsid w:val="000610A8"/>
    <w:rsid w:val="00061190"/>
    <w:rsid w:val="000612B4"/>
    <w:rsid w:val="000613A3"/>
    <w:rsid w:val="000618FD"/>
    <w:rsid w:val="00061C27"/>
    <w:rsid w:val="00061E36"/>
    <w:rsid w:val="000623BE"/>
    <w:rsid w:val="00062D77"/>
    <w:rsid w:val="00062DC1"/>
    <w:rsid w:val="00062E31"/>
    <w:rsid w:val="00062F9F"/>
    <w:rsid w:val="000630DD"/>
    <w:rsid w:val="00064067"/>
    <w:rsid w:val="000643BD"/>
    <w:rsid w:val="000647CD"/>
    <w:rsid w:val="00064BD2"/>
    <w:rsid w:val="00065BBF"/>
    <w:rsid w:val="00066183"/>
    <w:rsid w:val="00066623"/>
    <w:rsid w:val="00066908"/>
    <w:rsid w:val="00066F71"/>
    <w:rsid w:val="0006719B"/>
    <w:rsid w:val="00067BB9"/>
    <w:rsid w:val="0007032A"/>
    <w:rsid w:val="000703C6"/>
    <w:rsid w:val="000709AA"/>
    <w:rsid w:val="000709B0"/>
    <w:rsid w:val="00070CEA"/>
    <w:rsid w:val="00070D7A"/>
    <w:rsid w:val="000712E3"/>
    <w:rsid w:val="00071686"/>
    <w:rsid w:val="0007174E"/>
    <w:rsid w:val="00071A8F"/>
    <w:rsid w:val="000730C6"/>
    <w:rsid w:val="000732CA"/>
    <w:rsid w:val="000735C9"/>
    <w:rsid w:val="000738A5"/>
    <w:rsid w:val="00074352"/>
    <w:rsid w:val="00074472"/>
    <w:rsid w:val="000745D3"/>
    <w:rsid w:val="00074D56"/>
    <w:rsid w:val="00074ECA"/>
    <w:rsid w:val="00074EF2"/>
    <w:rsid w:val="00075022"/>
    <w:rsid w:val="000756F6"/>
    <w:rsid w:val="00075A3F"/>
    <w:rsid w:val="00075A43"/>
    <w:rsid w:val="0007607F"/>
    <w:rsid w:val="000762A4"/>
    <w:rsid w:val="00076409"/>
    <w:rsid w:val="00076563"/>
    <w:rsid w:val="000769CC"/>
    <w:rsid w:val="000770AD"/>
    <w:rsid w:val="00077185"/>
    <w:rsid w:val="00077245"/>
    <w:rsid w:val="00077482"/>
    <w:rsid w:val="00077A3F"/>
    <w:rsid w:val="00077A63"/>
    <w:rsid w:val="00080239"/>
    <w:rsid w:val="000803DF"/>
    <w:rsid w:val="000804B7"/>
    <w:rsid w:val="00080C51"/>
    <w:rsid w:val="0008108D"/>
    <w:rsid w:val="000814E8"/>
    <w:rsid w:val="00081A65"/>
    <w:rsid w:val="000823D4"/>
    <w:rsid w:val="0008259A"/>
    <w:rsid w:val="0008285C"/>
    <w:rsid w:val="00082B50"/>
    <w:rsid w:val="00082F2B"/>
    <w:rsid w:val="00083002"/>
    <w:rsid w:val="000844C2"/>
    <w:rsid w:val="00084BDC"/>
    <w:rsid w:val="00084DEC"/>
    <w:rsid w:val="00085082"/>
    <w:rsid w:val="000852BD"/>
    <w:rsid w:val="00085908"/>
    <w:rsid w:val="00085E29"/>
    <w:rsid w:val="000869D0"/>
    <w:rsid w:val="000871B2"/>
    <w:rsid w:val="000875F4"/>
    <w:rsid w:val="000876DB"/>
    <w:rsid w:val="00087FEE"/>
    <w:rsid w:val="0009014C"/>
    <w:rsid w:val="00090153"/>
    <w:rsid w:val="000905C1"/>
    <w:rsid w:val="000905EC"/>
    <w:rsid w:val="0009060A"/>
    <w:rsid w:val="000909DE"/>
    <w:rsid w:val="00090EFD"/>
    <w:rsid w:val="0009152A"/>
    <w:rsid w:val="0009188B"/>
    <w:rsid w:val="000918FE"/>
    <w:rsid w:val="000919FA"/>
    <w:rsid w:val="00091C8E"/>
    <w:rsid w:val="00092407"/>
    <w:rsid w:val="0009260D"/>
    <w:rsid w:val="00092967"/>
    <w:rsid w:val="00092B30"/>
    <w:rsid w:val="00092C42"/>
    <w:rsid w:val="00092ED4"/>
    <w:rsid w:val="000935A8"/>
    <w:rsid w:val="000937D1"/>
    <w:rsid w:val="00093DA6"/>
    <w:rsid w:val="00093E77"/>
    <w:rsid w:val="000940FF"/>
    <w:rsid w:val="000943F3"/>
    <w:rsid w:val="00094454"/>
    <w:rsid w:val="000951F7"/>
    <w:rsid w:val="0009547B"/>
    <w:rsid w:val="0009579B"/>
    <w:rsid w:val="000963CD"/>
    <w:rsid w:val="00097575"/>
    <w:rsid w:val="00097623"/>
    <w:rsid w:val="00097791"/>
    <w:rsid w:val="00097796"/>
    <w:rsid w:val="00097A9D"/>
    <w:rsid w:val="000A02ED"/>
    <w:rsid w:val="000A02FC"/>
    <w:rsid w:val="000A03EB"/>
    <w:rsid w:val="000A052B"/>
    <w:rsid w:val="000A109B"/>
    <w:rsid w:val="000A12AA"/>
    <w:rsid w:val="000A17A8"/>
    <w:rsid w:val="000A1FA3"/>
    <w:rsid w:val="000A1FD8"/>
    <w:rsid w:val="000A22A9"/>
    <w:rsid w:val="000A258C"/>
    <w:rsid w:val="000A27F3"/>
    <w:rsid w:val="000A28F2"/>
    <w:rsid w:val="000A2924"/>
    <w:rsid w:val="000A29A5"/>
    <w:rsid w:val="000A3A5E"/>
    <w:rsid w:val="000A4047"/>
    <w:rsid w:val="000A4694"/>
    <w:rsid w:val="000A4EAA"/>
    <w:rsid w:val="000A5132"/>
    <w:rsid w:val="000A572B"/>
    <w:rsid w:val="000A5790"/>
    <w:rsid w:val="000A581E"/>
    <w:rsid w:val="000A5E9B"/>
    <w:rsid w:val="000A5FB6"/>
    <w:rsid w:val="000A6021"/>
    <w:rsid w:val="000A6186"/>
    <w:rsid w:val="000A6393"/>
    <w:rsid w:val="000A6BEB"/>
    <w:rsid w:val="000A6FC7"/>
    <w:rsid w:val="000A73CF"/>
    <w:rsid w:val="000A77AD"/>
    <w:rsid w:val="000B08EE"/>
    <w:rsid w:val="000B0FFE"/>
    <w:rsid w:val="000B1340"/>
    <w:rsid w:val="000B13C1"/>
    <w:rsid w:val="000B16A5"/>
    <w:rsid w:val="000B1AAA"/>
    <w:rsid w:val="000B24A1"/>
    <w:rsid w:val="000B2748"/>
    <w:rsid w:val="000B2963"/>
    <w:rsid w:val="000B2B43"/>
    <w:rsid w:val="000B3327"/>
    <w:rsid w:val="000B36A2"/>
    <w:rsid w:val="000B3D2B"/>
    <w:rsid w:val="000B3EAC"/>
    <w:rsid w:val="000B4E5B"/>
    <w:rsid w:val="000B4EE1"/>
    <w:rsid w:val="000B5057"/>
    <w:rsid w:val="000B50EF"/>
    <w:rsid w:val="000B5240"/>
    <w:rsid w:val="000B5701"/>
    <w:rsid w:val="000B5A0E"/>
    <w:rsid w:val="000B5AD5"/>
    <w:rsid w:val="000B64F2"/>
    <w:rsid w:val="000B687F"/>
    <w:rsid w:val="000B704C"/>
    <w:rsid w:val="000B7423"/>
    <w:rsid w:val="000B7659"/>
    <w:rsid w:val="000B7717"/>
    <w:rsid w:val="000B7791"/>
    <w:rsid w:val="000B796D"/>
    <w:rsid w:val="000B7B7C"/>
    <w:rsid w:val="000C05B6"/>
    <w:rsid w:val="000C0874"/>
    <w:rsid w:val="000C0D8D"/>
    <w:rsid w:val="000C11F6"/>
    <w:rsid w:val="000C14D2"/>
    <w:rsid w:val="000C21BD"/>
    <w:rsid w:val="000C2325"/>
    <w:rsid w:val="000C289A"/>
    <w:rsid w:val="000C2D59"/>
    <w:rsid w:val="000C2FF2"/>
    <w:rsid w:val="000C3195"/>
    <w:rsid w:val="000C33B0"/>
    <w:rsid w:val="000C342C"/>
    <w:rsid w:val="000C3656"/>
    <w:rsid w:val="000C38DF"/>
    <w:rsid w:val="000C3BEE"/>
    <w:rsid w:val="000C3C32"/>
    <w:rsid w:val="000C3C67"/>
    <w:rsid w:val="000C3CE2"/>
    <w:rsid w:val="000C3F15"/>
    <w:rsid w:val="000C3F7F"/>
    <w:rsid w:val="000C43B2"/>
    <w:rsid w:val="000C46EF"/>
    <w:rsid w:val="000C49B8"/>
    <w:rsid w:val="000C4D85"/>
    <w:rsid w:val="000C4F68"/>
    <w:rsid w:val="000C56CB"/>
    <w:rsid w:val="000C582E"/>
    <w:rsid w:val="000C5F74"/>
    <w:rsid w:val="000C601F"/>
    <w:rsid w:val="000C706E"/>
    <w:rsid w:val="000C7213"/>
    <w:rsid w:val="000C72E1"/>
    <w:rsid w:val="000C7577"/>
    <w:rsid w:val="000C7A3A"/>
    <w:rsid w:val="000C7BA0"/>
    <w:rsid w:val="000C7D26"/>
    <w:rsid w:val="000D005D"/>
    <w:rsid w:val="000D02B3"/>
    <w:rsid w:val="000D043C"/>
    <w:rsid w:val="000D058F"/>
    <w:rsid w:val="000D0C4C"/>
    <w:rsid w:val="000D0C8A"/>
    <w:rsid w:val="000D0DBD"/>
    <w:rsid w:val="000D0FCE"/>
    <w:rsid w:val="000D18F6"/>
    <w:rsid w:val="000D1AD8"/>
    <w:rsid w:val="000D1C5C"/>
    <w:rsid w:val="000D1EE1"/>
    <w:rsid w:val="000D2262"/>
    <w:rsid w:val="000D26E4"/>
    <w:rsid w:val="000D284E"/>
    <w:rsid w:val="000D2B66"/>
    <w:rsid w:val="000D2F33"/>
    <w:rsid w:val="000D304D"/>
    <w:rsid w:val="000D318F"/>
    <w:rsid w:val="000D3270"/>
    <w:rsid w:val="000D3346"/>
    <w:rsid w:val="000D33A6"/>
    <w:rsid w:val="000D38C2"/>
    <w:rsid w:val="000D3911"/>
    <w:rsid w:val="000D3960"/>
    <w:rsid w:val="000D3AB1"/>
    <w:rsid w:val="000D3B44"/>
    <w:rsid w:val="000D4A53"/>
    <w:rsid w:val="000D4F1E"/>
    <w:rsid w:val="000D554F"/>
    <w:rsid w:val="000D5697"/>
    <w:rsid w:val="000D57AC"/>
    <w:rsid w:val="000D5A41"/>
    <w:rsid w:val="000D61EF"/>
    <w:rsid w:val="000D6A3E"/>
    <w:rsid w:val="000D6C96"/>
    <w:rsid w:val="000D6D3A"/>
    <w:rsid w:val="000D7226"/>
    <w:rsid w:val="000D775A"/>
    <w:rsid w:val="000D7B91"/>
    <w:rsid w:val="000D7C55"/>
    <w:rsid w:val="000E06BE"/>
    <w:rsid w:val="000E0722"/>
    <w:rsid w:val="000E0852"/>
    <w:rsid w:val="000E08B5"/>
    <w:rsid w:val="000E1526"/>
    <w:rsid w:val="000E161D"/>
    <w:rsid w:val="000E254D"/>
    <w:rsid w:val="000E2BD3"/>
    <w:rsid w:val="000E3BCA"/>
    <w:rsid w:val="000E3BE3"/>
    <w:rsid w:val="000E3EA2"/>
    <w:rsid w:val="000E400B"/>
    <w:rsid w:val="000E41C9"/>
    <w:rsid w:val="000E4215"/>
    <w:rsid w:val="000E4305"/>
    <w:rsid w:val="000E4C94"/>
    <w:rsid w:val="000E54D7"/>
    <w:rsid w:val="000E5A01"/>
    <w:rsid w:val="000E5B84"/>
    <w:rsid w:val="000E5E13"/>
    <w:rsid w:val="000E6185"/>
    <w:rsid w:val="000E649D"/>
    <w:rsid w:val="000E6554"/>
    <w:rsid w:val="000E66BC"/>
    <w:rsid w:val="000E6948"/>
    <w:rsid w:val="000E6E45"/>
    <w:rsid w:val="000E6F7E"/>
    <w:rsid w:val="000E723D"/>
    <w:rsid w:val="000E7543"/>
    <w:rsid w:val="000E75F0"/>
    <w:rsid w:val="000E767F"/>
    <w:rsid w:val="000E7D9C"/>
    <w:rsid w:val="000E7FB3"/>
    <w:rsid w:val="000F0439"/>
    <w:rsid w:val="000F0CC1"/>
    <w:rsid w:val="000F0D68"/>
    <w:rsid w:val="000F14C8"/>
    <w:rsid w:val="000F167F"/>
    <w:rsid w:val="000F1C1B"/>
    <w:rsid w:val="000F2021"/>
    <w:rsid w:val="000F2232"/>
    <w:rsid w:val="000F2466"/>
    <w:rsid w:val="000F2661"/>
    <w:rsid w:val="000F2772"/>
    <w:rsid w:val="000F3122"/>
    <w:rsid w:val="000F34AC"/>
    <w:rsid w:val="000F378E"/>
    <w:rsid w:val="000F3D47"/>
    <w:rsid w:val="000F3FA9"/>
    <w:rsid w:val="000F3FC0"/>
    <w:rsid w:val="000F453B"/>
    <w:rsid w:val="000F480C"/>
    <w:rsid w:val="000F4FEB"/>
    <w:rsid w:val="000F5759"/>
    <w:rsid w:val="000F5CE4"/>
    <w:rsid w:val="000F6005"/>
    <w:rsid w:val="000F6363"/>
    <w:rsid w:val="000F7059"/>
    <w:rsid w:val="000F710B"/>
    <w:rsid w:val="000F72D1"/>
    <w:rsid w:val="000F738E"/>
    <w:rsid w:val="000F769E"/>
    <w:rsid w:val="000F7977"/>
    <w:rsid w:val="000F7B34"/>
    <w:rsid w:val="000F7BC2"/>
    <w:rsid w:val="0010075E"/>
    <w:rsid w:val="001009E1"/>
    <w:rsid w:val="00101392"/>
    <w:rsid w:val="001013E4"/>
    <w:rsid w:val="00101BF9"/>
    <w:rsid w:val="00102315"/>
    <w:rsid w:val="001028A8"/>
    <w:rsid w:val="00102B0A"/>
    <w:rsid w:val="001031C3"/>
    <w:rsid w:val="00103205"/>
    <w:rsid w:val="00103238"/>
    <w:rsid w:val="0010329A"/>
    <w:rsid w:val="0010376A"/>
    <w:rsid w:val="00103887"/>
    <w:rsid w:val="001038ED"/>
    <w:rsid w:val="00103F8F"/>
    <w:rsid w:val="00104067"/>
    <w:rsid w:val="001043F6"/>
    <w:rsid w:val="0010591A"/>
    <w:rsid w:val="00105982"/>
    <w:rsid w:val="00105C6F"/>
    <w:rsid w:val="0010645D"/>
    <w:rsid w:val="00106909"/>
    <w:rsid w:val="00106ACA"/>
    <w:rsid w:val="00106DBC"/>
    <w:rsid w:val="00106F1E"/>
    <w:rsid w:val="00107333"/>
    <w:rsid w:val="001073FE"/>
    <w:rsid w:val="001074C6"/>
    <w:rsid w:val="001079E3"/>
    <w:rsid w:val="00107A1F"/>
    <w:rsid w:val="00107CC2"/>
    <w:rsid w:val="001105AE"/>
    <w:rsid w:val="00110C9B"/>
    <w:rsid w:val="0011102C"/>
    <w:rsid w:val="00111290"/>
    <w:rsid w:val="001116E8"/>
    <w:rsid w:val="00111C9D"/>
    <w:rsid w:val="00111EF0"/>
    <w:rsid w:val="0011210D"/>
    <w:rsid w:val="00112A7D"/>
    <w:rsid w:val="00112C26"/>
    <w:rsid w:val="0011314E"/>
    <w:rsid w:val="001133ED"/>
    <w:rsid w:val="001133FF"/>
    <w:rsid w:val="001134BE"/>
    <w:rsid w:val="00113ACB"/>
    <w:rsid w:val="00113DBA"/>
    <w:rsid w:val="001140CB"/>
    <w:rsid w:val="001142BE"/>
    <w:rsid w:val="001142D0"/>
    <w:rsid w:val="001143FB"/>
    <w:rsid w:val="00114A1F"/>
    <w:rsid w:val="00114CF3"/>
    <w:rsid w:val="00115A37"/>
    <w:rsid w:val="00115A50"/>
    <w:rsid w:val="001167ED"/>
    <w:rsid w:val="00116EBD"/>
    <w:rsid w:val="00116F74"/>
    <w:rsid w:val="00117046"/>
    <w:rsid w:val="00117332"/>
    <w:rsid w:val="001175EF"/>
    <w:rsid w:val="001176C5"/>
    <w:rsid w:val="00117739"/>
    <w:rsid w:val="001177E7"/>
    <w:rsid w:val="001179F5"/>
    <w:rsid w:val="001179F7"/>
    <w:rsid w:val="00117E60"/>
    <w:rsid w:val="00117F72"/>
    <w:rsid w:val="001204A8"/>
    <w:rsid w:val="00120502"/>
    <w:rsid w:val="0012092F"/>
    <w:rsid w:val="00120988"/>
    <w:rsid w:val="00120DC0"/>
    <w:rsid w:val="00120E92"/>
    <w:rsid w:val="001215DC"/>
    <w:rsid w:val="0012177C"/>
    <w:rsid w:val="001219BB"/>
    <w:rsid w:val="00121A8D"/>
    <w:rsid w:val="00121BA4"/>
    <w:rsid w:val="00121CBC"/>
    <w:rsid w:val="00122119"/>
    <w:rsid w:val="001222ED"/>
    <w:rsid w:val="00122967"/>
    <w:rsid w:val="001229C4"/>
    <w:rsid w:val="00122B04"/>
    <w:rsid w:val="00122BE0"/>
    <w:rsid w:val="00122E34"/>
    <w:rsid w:val="001230BA"/>
    <w:rsid w:val="00123830"/>
    <w:rsid w:val="001238F6"/>
    <w:rsid w:val="00124A6F"/>
    <w:rsid w:val="00124BFC"/>
    <w:rsid w:val="0012526C"/>
    <w:rsid w:val="00125620"/>
    <w:rsid w:val="00125713"/>
    <w:rsid w:val="00125991"/>
    <w:rsid w:val="00125B2F"/>
    <w:rsid w:val="00125BE7"/>
    <w:rsid w:val="00125D44"/>
    <w:rsid w:val="00125E1D"/>
    <w:rsid w:val="0012644A"/>
    <w:rsid w:val="00126686"/>
    <w:rsid w:val="00127185"/>
    <w:rsid w:val="00127883"/>
    <w:rsid w:val="00127EAE"/>
    <w:rsid w:val="00127FC0"/>
    <w:rsid w:val="001300E8"/>
    <w:rsid w:val="0013020E"/>
    <w:rsid w:val="001308E8"/>
    <w:rsid w:val="00130C90"/>
    <w:rsid w:val="00130CE7"/>
    <w:rsid w:val="0013234F"/>
    <w:rsid w:val="00132411"/>
    <w:rsid w:val="001324FC"/>
    <w:rsid w:val="0013262C"/>
    <w:rsid w:val="00132CF1"/>
    <w:rsid w:val="0013417D"/>
    <w:rsid w:val="001344CD"/>
    <w:rsid w:val="0013459C"/>
    <w:rsid w:val="00134610"/>
    <w:rsid w:val="00134838"/>
    <w:rsid w:val="00134954"/>
    <w:rsid w:val="00135B03"/>
    <w:rsid w:val="00135CE5"/>
    <w:rsid w:val="00135D72"/>
    <w:rsid w:val="0013668A"/>
    <w:rsid w:val="00136870"/>
    <w:rsid w:val="00136D38"/>
    <w:rsid w:val="00136F81"/>
    <w:rsid w:val="0013742A"/>
    <w:rsid w:val="001376B5"/>
    <w:rsid w:val="001376BB"/>
    <w:rsid w:val="00137CA1"/>
    <w:rsid w:val="001400CF"/>
    <w:rsid w:val="00140136"/>
    <w:rsid w:val="001403DB"/>
    <w:rsid w:val="001407C3"/>
    <w:rsid w:val="0014080F"/>
    <w:rsid w:val="00140D42"/>
    <w:rsid w:val="00141348"/>
    <w:rsid w:val="00141AF3"/>
    <w:rsid w:val="00141E49"/>
    <w:rsid w:val="0014200B"/>
    <w:rsid w:val="00142461"/>
    <w:rsid w:val="00142BB7"/>
    <w:rsid w:val="00142FE2"/>
    <w:rsid w:val="001431DC"/>
    <w:rsid w:val="00143445"/>
    <w:rsid w:val="001435A7"/>
    <w:rsid w:val="00143BC6"/>
    <w:rsid w:val="00143DA7"/>
    <w:rsid w:val="00143E18"/>
    <w:rsid w:val="001440B2"/>
    <w:rsid w:val="001450F3"/>
    <w:rsid w:val="0014585B"/>
    <w:rsid w:val="00145A74"/>
    <w:rsid w:val="0014603E"/>
    <w:rsid w:val="00146539"/>
    <w:rsid w:val="00146671"/>
    <w:rsid w:val="00146A1F"/>
    <w:rsid w:val="001470FB"/>
    <w:rsid w:val="0014790B"/>
    <w:rsid w:val="0014794B"/>
    <w:rsid w:val="001501C6"/>
    <w:rsid w:val="0015037C"/>
    <w:rsid w:val="001505D0"/>
    <w:rsid w:val="00150FDE"/>
    <w:rsid w:val="00151125"/>
    <w:rsid w:val="0015135A"/>
    <w:rsid w:val="00151702"/>
    <w:rsid w:val="001524A2"/>
    <w:rsid w:val="00152F64"/>
    <w:rsid w:val="00152FDC"/>
    <w:rsid w:val="001531EA"/>
    <w:rsid w:val="0015364A"/>
    <w:rsid w:val="001537C6"/>
    <w:rsid w:val="0015469F"/>
    <w:rsid w:val="00154911"/>
    <w:rsid w:val="00154EF8"/>
    <w:rsid w:val="001550AB"/>
    <w:rsid w:val="001556D1"/>
    <w:rsid w:val="00155CE3"/>
    <w:rsid w:val="00156164"/>
    <w:rsid w:val="001567C5"/>
    <w:rsid w:val="00157197"/>
    <w:rsid w:val="001573F6"/>
    <w:rsid w:val="0015740C"/>
    <w:rsid w:val="0015746B"/>
    <w:rsid w:val="001577F3"/>
    <w:rsid w:val="00157850"/>
    <w:rsid w:val="00157AA2"/>
    <w:rsid w:val="00157DCB"/>
    <w:rsid w:val="0016003D"/>
    <w:rsid w:val="001607D7"/>
    <w:rsid w:val="00160842"/>
    <w:rsid w:val="0016129F"/>
    <w:rsid w:val="00161335"/>
    <w:rsid w:val="001614E6"/>
    <w:rsid w:val="001619F0"/>
    <w:rsid w:val="001622E3"/>
    <w:rsid w:val="00162A75"/>
    <w:rsid w:val="00162ACE"/>
    <w:rsid w:val="00162B0C"/>
    <w:rsid w:val="00162D3A"/>
    <w:rsid w:val="001633BE"/>
    <w:rsid w:val="00163807"/>
    <w:rsid w:val="00163DC1"/>
    <w:rsid w:val="00163F72"/>
    <w:rsid w:val="00164352"/>
    <w:rsid w:val="001643D3"/>
    <w:rsid w:val="001644A4"/>
    <w:rsid w:val="00164766"/>
    <w:rsid w:val="0016479C"/>
    <w:rsid w:val="00164FBA"/>
    <w:rsid w:val="00165419"/>
    <w:rsid w:val="00165FD3"/>
    <w:rsid w:val="001660F3"/>
    <w:rsid w:val="00166150"/>
    <w:rsid w:val="00166205"/>
    <w:rsid w:val="00166220"/>
    <w:rsid w:val="00166506"/>
    <w:rsid w:val="00166789"/>
    <w:rsid w:val="001667B3"/>
    <w:rsid w:val="00166F31"/>
    <w:rsid w:val="001671D3"/>
    <w:rsid w:val="001672A5"/>
    <w:rsid w:val="00167A62"/>
    <w:rsid w:val="00167BB4"/>
    <w:rsid w:val="00167E54"/>
    <w:rsid w:val="00170052"/>
    <w:rsid w:val="0017060C"/>
    <w:rsid w:val="00170BF7"/>
    <w:rsid w:val="00170CC3"/>
    <w:rsid w:val="00170D5E"/>
    <w:rsid w:val="001712EC"/>
    <w:rsid w:val="00171438"/>
    <w:rsid w:val="00171818"/>
    <w:rsid w:val="00171A5B"/>
    <w:rsid w:val="00171B65"/>
    <w:rsid w:val="00171C59"/>
    <w:rsid w:val="00171C93"/>
    <w:rsid w:val="00171D8D"/>
    <w:rsid w:val="0017257D"/>
    <w:rsid w:val="00172766"/>
    <w:rsid w:val="00172B07"/>
    <w:rsid w:val="00172E74"/>
    <w:rsid w:val="00173651"/>
    <w:rsid w:val="00173986"/>
    <w:rsid w:val="00173C8A"/>
    <w:rsid w:val="001749DF"/>
    <w:rsid w:val="00174C80"/>
    <w:rsid w:val="00175B39"/>
    <w:rsid w:val="00175D72"/>
    <w:rsid w:val="00175DF4"/>
    <w:rsid w:val="00175FD9"/>
    <w:rsid w:val="00176217"/>
    <w:rsid w:val="00176AAE"/>
    <w:rsid w:val="00176CD3"/>
    <w:rsid w:val="001775F8"/>
    <w:rsid w:val="00177A2B"/>
    <w:rsid w:val="00180052"/>
    <w:rsid w:val="0018028A"/>
    <w:rsid w:val="00180628"/>
    <w:rsid w:val="00180699"/>
    <w:rsid w:val="00180CDB"/>
    <w:rsid w:val="001824B8"/>
    <w:rsid w:val="001824F1"/>
    <w:rsid w:val="0018258B"/>
    <w:rsid w:val="00182815"/>
    <w:rsid w:val="00182BDD"/>
    <w:rsid w:val="00182FE2"/>
    <w:rsid w:val="00183024"/>
    <w:rsid w:val="0018332D"/>
    <w:rsid w:val="00183881"/>
    <w:rsid w:val="001839A2"/>
    <w:rsid w:val="001839CA"/>
    <w:rsid w:val="00183D40"/>
    <w:rsid w:val="001843DB"/>
    <w:rsid w:val="001853AE"/>
    <w:rsid w:val="001853D3"/>
    <w:rsid w:val="00185636"/>
    <w:rsid w:val="00185879"/>
    <w:rsid w:val="00186E41"/>
    <w:rsid w:val="00187284"/>
    <w:rsid w:val="001872C8"/>
    <w:rsid w:val="0018793F"/>
    <w:rsid w:val="00190E5E"/>
    <w:rsid w:val="0019125E"/>
    <w:rsid w:val="0019143B"/>
    <w:rsid w:val="00191873"/>
    <w:rsid w:val="00191A56"/>
    <w:rsid w:val="00191DC9"/>
    <w:rsid w:val="00191F53"/>
    <w:rsid w:val="00192003"/>
    <w:rsid w:val="00192F73"/>
    <w:rsid w:val="00194644"/>
    <w:rsid w:val="001946AD"/>
    <w:rsid w:val="0019479B"/>
    <w:rsid w:val="00194A3C"/>
    <w:rsid w:val="00194B78"/>
    <w:rsid w:val="00194DB0"/>
    <w:rsid w:val="00194DED"/>
    <w:rsid w:val="001952C4"/>
    <w:rsid w:val="001952DD"/>
    <w:rsid w:val="0019548A"/>
    <w:rsid w:val="00195CD5"/>
    <w:rsid w:val="00195F23"/>
    <w:rsid w:val="001965F1"/>
    <w:rsid w:val="00196918"/>
    <w:rsid w:val="00196DA2"/>
    <w:rsid w:val="001971CC"/>
    <w:rsid w:val="001974C5"/>
    <w:rsid w:val="001975D7"/>
    <w:rsid w:val="001976B7"/>
    <w:rsid w:val="001978FE"/>
    <w:rsid w:val="00197BA9"/>
    <w:rsid w:val="001A04B0"/>
    <w:rsid w:val="001A08EF"/>
    <w:rsid w:val="001A1424"/>
    <w:rsid w:val="001A18DE"/>
    <w:rsid w:val="001A1908"/>
    <w:rsid w:val="001A19EE"/>
    <w:rsid w:val="001A1FEE"/>
    <w:rsid w:val="001A217D"/>
    <w:rsid w:val="001A2529"/>
    <w:rsid w:val="001A2F40"/>
    <w:rsid w:val="001A2FB1"/>
    <w:rsid w:val="001A33D9"/>
    <w:rsid w:val="001A366B"/>
    <w:rsid w:val="001A384B"/>
    <w:rsid w:val="001A3AD7"/>
    <w:rsid w:val="001A3E9A"/>
    <w:rsid w:val="001A3F7E"/>
    <w:rsid w:val="001A4552"/>
    <w:rsid w:val="001A507A"/>
    <w:rsid w:val="001A53E8"/>
    <w:rsid w:val="001A56A8"/>
    <w:rsid w:val="001A583A"/>
    <w:rsid w:val="001A5DD5"/>
    <w:rsid w:val="001A5F65"/>
    <w:rsid w:val="001A5FF8"/>
    <w:rsid w:val="001A6214"/>
    <w:rsid w:val="001A635B"/>
    <w:rsid w:val="001A641A"/>
    <w:rsid w:val="001A6A64"/>
    <w:rsid w:val="001A6AF2"/>
    <w:rsid w:val="001A6DDF"/>
    <w:rsid w:val="001A756B"/>
    <w:rsid w:val="001A7617"/>
    <w:rsid w:val="001A78CF"/>
    <w:rsid w:val="001B05E1"/>
    <w:rsid w:val="001B0CDB"/>
    <w:rsid w:val="001B1310"/>
    <w:rsid w:val="001B14BE"/>
    <w:rsid w:val="001B1991"/>
    <w:rsid w:val="001B1AF6"/>
    <w:rsid w:val="001B1CD0"/>
    <w:rsid w:val="001B1D32"/>
    <w:rsid w:val="001B1ECD"/>
    <w:rsid w:val="001B1FFE"/>
    <w:rsid w:val="001B23B1"/>
    <w:rsid w:val="001B25BE"/>
    <w:rsid w:val="001B36BA"/>
    <w:rsid w:val="001B4143"/>
    <w:rsid w:val="001B49F5"/>
    <w:rsid w:val="001B4EA9"/>
    <w:rsid w:val="001B5728"/>
    <w:rsid w:val="001B590F"/>
    <w:rsid w:val="001B62D5"/>
    <w:rsid w:val="001B6300"/>
    <w:rsid w:val="001B6706"/>
    <w:rsid w:val="001B70E2"/>
    <w:rsid w:val="001B71BB"/>
    <w:rsid w:val="001B73C4"/>
    <w:rsid w:val="001C02AE"/>
    <w:rsid w:val="001C02DE"/>
    <w:rsid w:val="001C0851"/>
    <w:rsid w:val="001C1359"/>
    <w:rsid w:val="001C16A4"/>
    <w:rsid w:val="001C189C"/>
    <w:rsid w:val="001C18E2"/>
    <w:rsid w:val="001C1CE0"/>
    <w:rsid w:val="001C2126"/>
    <w:rsid w:val="001C257C"/>
    <w:rsid w:val="001C278E"/>
    <w:rsid w:val="001C2BBC"/>
    <w:rsid w:val="001C2BE8"/>
    <w:rsid w:val="001C3349"/>
    <w:rsid w:val="001C350A"/>
    <w:rsid w:val="001C3568"/>
    <w:rsid w:val="001C47C9"/>
    <w:rsid w:val="001C4B84"/>
    <w:rsid w:val="001C4D6F"/>
    <w:rsid w:val="001C4F54"/>
    <w:rsid w:val="001C5286"/>
    <w:rsid w:val="001C5890"/>
    <w:rsid w:val="001C5E9C"/>
    <w:rsid w:val="001C5F6B"/>
    <w:rsid w:val="001C686E"/>
    <w:rsid w:val="001C6AF7"/>
    <w:rsid w:val="001C6CB5"/>
    <w:rsid w:val="001C7876"/>
    <w:rsid w:val="001C79C3"/>
    <w:rsid w:val="001C7A37"/>
    <w:rsid w:val="001C7BCF"/>
    <w:rsid w:val="001C7D38"/>
    <w:rsid w:val="001D0016"/>
    <w:rsid w:val="001D008C"/>
    <w:rsid w:val="001D04BB"/>
    <w:rsid w:val="001D077F"/>
    <w:rsid w:val="001D08CC"/>
    <w:rsid w:val="001D0ACB"/>
    <w:rsid w:val="001D0AE6"/>
    <w:rsid w:val="001D0CB3"/>
    <w:rsid w:val="001D1042"/>
    <w:rsid w:val="001D13EF"/>
    <w:rsid w:val="001D1494"/>
    <w:rsid w:val="001D19F7"/>
    <w:rsid w:val="001D1BC9"/>
    <w:rsid w:val="001D1C98"/>
    <w:rsid w:val="001D1FAB"/>
    <w:rsid w:val="001D2131"/>
    <w:rsid w:val="001D2257"/>
    <w:rsid w:val="001D253B"/>
    <w:rsid w:val="001D25EF"/>
    <w:rsid w:val="001D2CE2"/>
    <w:rsid w:val="001D2D39"/>
    <w:rsid w:val="001D2DA2"/>
    <w:rsid w:val="001D3205"/>
    <w:rsid w:val="001D337D"/>
    <w:rsid w:val="001D3BA1"/>
    <w:rsid w:val="001D3D11"/>
    <w:rsid w:val="001D4D93"/>
    <w:rsid w:val="001D4FAC"/>
    <w:rsid w:val="001D52A6"/>
    <w:rsid w:val="001D5FC1"/>
    <w:rsid w:val="001D6515"/>
    <w:rsid w:val="001D65E7"/>
    <w:rsid w:val="001D713A"/>
    <w:rsid w:val="001D7E32"/>
    <w:rsid w:val="001E0BA8"/>
    <w:rsid w:val="001E0C3E"/>
    <w:rsid w:val="001E0D59"/>
    <w:rsid w:val="001E160C"/>
    <w:rsid w:val="001E1687"/>
    <w:rsid w:val="001E18EA"/>
    <w:rsid w:val="001E22CE"/>
    <w:rsid w:val="001E266C"/>
    <w:rsid w:val="001E2AB6"/>
    <w:rsid w:val="001E2F17"/>
    <w:rsid w:val="001E3000"/>
    <w:rsid w:val="001E335F"/>
    <w:rsid w:val="001E372A"/>
    <w:rsid w:val="001E3ABD"/>
    <w:rsid w:val="001E3BE0"/>
    <w:rsid w:val="001E4392"/>
    <w:rsid w:val="001E4859"/>
    <w:rsid w:val="001E4901"/>
    <w:rsid w:val="001E4B05"/>
    <w:rsid w:val="001E4EA8"/>
    <w:rsid w:val="001E4F7C"/>
    <w:rsid w:val="001E52CE"/>
    <w:rsid w:val="001E52D0"/>
    <w:rsid w:val="001E55EF"/>
    <w:rsid w:val="001E55F0"/>
    <w:rsid w:val="001E5970"/>
    <w:rsid w:val="001E61B6"/>
    <w:rsid w:val="001E74D5"/>
    <w:rsid w:val="001E75D9"/>
    <w:rsid w:val="001E7C6A"/>
    <w:rsid w:val="001E7C9E"/>
    <w:rsid w:val="001F0804"/>
    <w:rsid w:val="001F0872"/>
    <w:rsid w:val="001F08DF"/>
    <w:rsid w:val="001F0A29"/>
    <w:rsid w:val="001F0D30"/>
    <w:rsid w:val="001F0E73"/>
    <w:rsid w:val="001F10B2"/>
    <w:rsid w:val="001F11F9"/>
    <w:rsid w:val="001F12FF"/>
    <w:rsid w:val="001F14C3"/>
    <w:rsid w:val="001F2410"/>
    <w:rsid w:val="001F2637"/>
    <w:rsid w:val="001F2722"/>
    <w:rsid w:val="001F27F6"/>
    <w:rsid w:val="001F2849"/>
    <w:rsid w:val="001F2CAB"/>
    <w:rsid w:val="001F336D"/>
    <w:rsid w:val="001F35BC"/>
    <w:rsid w:val="001F3F80"/>
    <w:rsid w:val="001F4FDB"/>
    <w:rsid w:val="001F50C0"/>
    <w:rsid w:val="001F541D"/>
    <w:rsid w:val="001F55A3"/>
    <w:rsid w:val="001F5913"/>
    <w:rsid w:val="001F59AC"/>
    <w:rsid w:val="001F5ADE"/>
    <w:rsid w:val="001F6670"/>
    <w:rsid w:val="001F6F46"/>
    <w:rsid w:val="001F7243"/>
    <w:rsid w:val="001F751B"/>
    <w:rsid w:val="00201160"/>
    <w:rsid w:val="0020161D"/>
    <w:rsid w:val="00201872"/>
    <w:rsid w:val="00201AA7"/>
    <w:rsid w:val="00201F35"/>
    <w:rsid w:val="0020276C"/>
    <w:rsid w:val="00202797"/>
    <w:rsid w:val="00202A88"/>
    <w:rsid w:val="00202EA0"/>
    <w:rsid w:val="00202F2B"/>
    <w:rsid w:val="0020302F"/>
    <w:rsid w:val="0020327A"/>
    <w:rsid w:val="00203A18"/>
    <w:rsid w:val="00203B20"/>
    <w:rsid w:val="00203B42"/>
    <w:rsid w:val="00204240"/>
    <w:rsid w:val="00204CAD"/>
    <w:rsid w:val="0020515F"/>
    <w:rsid w:val="0020516A"/>
    <w:rsid w:val="0020517B"/>
    <w:rsid w:val="0020537C"/>
    <w:rsid w:val="00205A7C"/>
    <w:rsid w:val="002060AD"/>
    <w:rsid w:val="002061B1"/>
    <w:rsid w:val="00206BAA"/>
    <w:rsid w:val="002075A7"/>
    <w:rsid w:val="00207943"/>
    <w:rsid w:val="00210607"/>
    <w:rsid w:val="00210716"/>
    <w:rsid w:val="00210929"/>
    <w:rsid w:val="00210AD0"/>
    <w:rsid w:val="00210F7C"/>
    <w:rsid w:val="00211403"/>
    <w:rsid w:val="0021143C"/>
    <w:rsid w:val="00211B2C"/>
    <w:rsid w:val="00211D78"/>
    <w:rsid w:val="00211E80"/>
    <w:rsid w:val="00212383"/>
    <w:rsid w:val="002127E5"/>
    <w:rsid w:val="00212910"/>
    <w:rsid w:val="00212B4C"/>
    <w:rsid w:val="002130CB"/>
    <w:rsid w:val="002133D4"/>
    <w:rsid w:val="002133E5"/>
    <w:rsid w:val="00213A59"/>
    <w:rsid w:val="00213ADE"/>
    <w:rsid w:val="00213C4D"/>
    <w:rsid w:val="00213C56"/>
    <w:rsid w:val="00214349"/>
    <w:rsid w:val="00214E11"/>
    <w:rsid w:val="00214E9E"/>
    <w:rsid w:val="0021556A"/>
    <w:rsid w:val="00215B1E"/>
    <w:rsid w:val="00215BA7"/>
    <w:rsid w:val="00215CEF"/>
    <w:rsid w:val="00216636"/>
    <w:rsid w:val="00217064"/>
    <w:rsid w:val="00217316"/>
    <w:rsid w:val="00217737"/>
    <w:rsid w:val="00217F5D"/>
    <w:rsid w:val="00220063"/>
    <w:rsid w:val="002200EC"/>
    <w:rsid w:val="00220F21"/>
    <w:rsid w:val="002212BF"/>
    <w:rsid w:val="00221781"/>
    <w:rsid w:val="00221A82"/>
    <w:rsid w:val="0022262B"/>
    <w:rsid w:val="0022298C"/>
    <w:rsid w:val="002232A2"/>
    <w:rsid w:val="00223CE6"/>
    <w:rsid w:val="002240F1"/>
    <w:rsid w:val="00224168"/>
    <w:rsid w:val="0022422F"/>
    <w:rsid w:val="0022475D"/>
    <w:rsid w:val="002249C0"/>
    <w:rsid w:val="002249D2"/>
    <w:rsid w:val="00224F82"/>
    <w:rsid w:val="0022561A"/>
    <w:rsid w:val="00225782"/>
    <w:rsid w:val="00225FA6"/>
    <w:rsid w:val="002262D8"/>
    <w:rsid w:val="00226442"/>
    <w:rsid w:val="00226EE2"/>
    <w:rsid w:val="002273EB"/>
    <w:rsid w:val="00227686"/>
    <w:rsid w:val="00227B31"/>
    <w:rsid w:val="00227B67"/>
    <w:rsid w:val="00227DB0"/>
    <w:rsid w:val="00227EE8"/>
    <w:rsid w:val="0023029E"/>
    <w:rsid w:val="00230358"/>
    <w:rsid w:val="002309A2"/>
    <w:rsid w:val="00230FF9"/>
    <w:rsid w:val="002318E1"/>
    <w:rsid w:val="00231A12"/>
    <w:rsid w:val="00231CC8"/>
    <w:rsid w:val="00232012"/>
    <w:rsid w:val="002321D8"/>
    <w:rsid w:val="0023238D"/>
    <w:rsid w:val="00232507"/>
    <w:rsid w:val="00232805"/>
    <w:rsid w:val="00232992"/>
    <w:rsid w:val="0023319A"/>
    <w:rsid w:val="00233347"/>
    <w:rsid w:val="00233B53"/>
    <w:rsid w:val="00233E4E"/>
    <w:rsid w:val="00233FBD"/>
    <w:rsid w:val="0023426B"/>
    <w:rsid w:val="0023444B"/>
    <w:rsid w:val="002344C8"/>
    <w:rsid w:val="002346EE"/>
    <w:rsid w:val="002348F8"/>
    <w:rsid w:val="002349EB"/>
    <w:rsid w:val="00234EA6"/>
    <w:rsid w:val="002357C3"/>
    <w:rsid w:val="00235A3E"/>
    <w:rsid w:val="00235BCC"/>
    <w:rsid w:val="00236107"/>
    <w:rsid w:val="0023623C"/>
    <w:rsid w:val="00236F4A"/>
    <w:rsid w:val="00237791"/>
    <w:rsid w:val="00237A91"/>
    <w:rsid w:val="00237D21"/>
    <w:rsid w:val="00237DFB"/>
    <w:rsid w:val="002402BD"/>
    <w:rsid w:val="00240766"/>
    <w:rsid w:val="002408E7"/>
    <w:rsid w:val="0024125A"/>
    <w:rsid w:val="00241675"/>
    <w:rsid w:val="00241954"/>
    <w:rsid w:val="00242396"/>
    <w:rsid w:val="002424C2"/>
    <w:rsid w:val="002426B5"/>
    <w:rsid w:val="00242861"/>
    <w:rsid w:val="00242D35"/>
    <w:rsid w:val="00242D92"/>
    <w:rsid w:val="0024304E"/>
    <w:rsid w:val="002432B3"/>
    <w:rsid w:val="00243392"/>
    <w:rsid w:val="002435D5"/>
    <w:rsid w:val="002435D9"/>
    <w:rsid w:val="00243B7C"/>
    <w:rsid w:val="0024468A"/>
    <w:rsid w:val="00244C32"/>
    <w:rsid w:val="00244F6A"/>
    <w:rsid w:val="00244F77"/>
    <w:rsid w:val="002452C8"/>
    <w:rsid w:val="0024543B"/>
    <w:rsid w:val="00245D5F"/>
    <w:rsid w:val="0024602F"/>
    <w:rsid w:val="00246179"/>
    <w:rsid w:val="002463DA"/>
    <w:rsid w:val="0024710A"/>
    <w:rsid w:val="0024761A"/>
    <w:rsid w:val="002476A4"/>
    <w:rsid w:val="00247D93"/>
    <w:rsid w:val="002505A7"/>
    <w:rsid w:val="0025068A"/>
    <w:rsid w:val="00250A8C"/>
    <w:rsid w:val="00250FE8"/>
    <w:rsid w:val="00250FEF"/>
    <w:rsid w:val="00251642"/>
    <w:rsid w:val="002516DC"/>
    <w:rsid w:val="00251C24"/>
    <w:rsid w:val="00251D70"/>
    <w:rsid w:val="00252026"/>
    <w:rsid w:val="0025202F"/>
    <w:rsid w:val="0025266D"/>
    <w:rsid w:val="00252E20"/>
    <w:rsid w:val="00252E21"/>
    <w:rsid w:val="00252EE1"/>
    <w:rsid w:val="0025322F"/>
    <w:rsid w:val="0025332C"/>
    <w:rsid w:val="00253782"/>
    <w:rsid w:val="002537C0"/>
    <w:rsid w:val="00253BF6"/>
    <w:rsid w:val="00253FAB"/>
    <w:rsid w:val="002544BD"/>
    <w:rsid w:val="002548EF"/>
    <w:rsid w:val="00254982"/>
    <w:rsid w:val="00255323"/>
    <w:rsid w:val="00255F29"/>
    <w:rsid w:val="002566F0"/>
    <w:rsid w:val="0025690D"/>
    <w:rsid w:val="002569F3"/>
    <w:rsid w:val="00256C28"/>
    <w:rsid w:val="0025712C"/>
    <w:rsid w:val="002571B8"/>
    <w:rsid w:val="00257228"/>
    <w:rsid w:val="00257422"/>
    <w:rsid w:val="0025747A"/>
    <w:rsid w:val="00257666"/>
    <w:rsid w:val="00257B95"/>
    <w:rsid w:val="00257E54"/>
    <w:rsid w:val="00260412"/>
    <w:rsid w:val="00260469"/>
    <w:rsid w:val="0026085E"/>
    <w:rsid w:val="00260D9F"/>
    <w:rsid w:val="0026102E"/>
    <w:rsid w:val="0026115F"/>
    <w:rsid w:val="002614CA"/>
    <w:rsid w:val="00261932"/>
    <w:rsid w:val="00261AE0"/>
    <w:rsid w:val="00261EDD"/>
    <w:rsid w:val="0026246D"/>
    <w:rsid w:val="0026298A"/>
    <w:rsid w:val="00262E60"/>
    <w:rsid w:val="00263255"/>
    <w:rsid w:val="00263DC6"/>
    <w:rsid w:val="002644EA"/>
    <w:rsid w:val="0026453E"/>
    <w:rsid w:val="002645C0"/>
    <w:rsid w:val="002646E3"/>
    <w:rsid w:val="002647C9"/>
    <w:rsid w:val="002649D6"/>
    <w:rsid w:val="00264E99"/>
    <w:rsid w:val="002652A3"/>
    <w:rsid w:val="00265576"/>
    <w:rsid w:val="00265BEB"/>
    <w:rsid w:val="00265C20"/>
    <w:rsid w:val="002661ED"/>
    <w:rsid w:val="0026729D"/>
    <w:rsid w:val="00267400"/>
    <w:rsid w:val="00267456"/>
    <w:rsid w:val="00267D73"/>
    <w:rsid w:val="002700C0"/>
    <w:rsid w:val="00270371"/>
    <w:rsid w:val="0027046B"/>
    <w:rsid w:val="002708CF"/>
    <w:rsid w:val="00271033"/>
    <w:rsid w:val="0027117B"/>
    <w:rsid w:val="0027136F"/>
    <w:rsid w:val="00272146"/>
    <w:rsid w:val="00272468"/>
    <w:rsid w:val="0027266E"/>
    <w:rsid w:val="00272959"/>
    <w:rsid w:val="002729AE"/>
    <w:rsid w:val="00272E95"/>
    <w:rsid w:val="00272E9A"/>
    <w:rsid w:val="0027341F"/>
    <w:rsid w:val="002739BC"/>
    <w:rsid w:val="00273F9A"/>
    <w:rsid w:val="00274648"/>
    <w:rsid w:val="0027490C"/>
    <w:rsid w:val="00274913"/>
    <w:rsid w:val="00274A9E"/>
    <w:rsid w:val="00274B95"/>
    <w:rsid w:val="00274C76"/>
    <w:rsid w:val="00274D04"/>
    <w:rsid w:val="00274D08"/>
    <w:rsid w:val="002750DB"/>
    <w:rsid w:val="002752A0"/>
    <w:rsid w:val="00275388"/>
    <w:rsid w:val="00275770"/>
    <w:rsid w:val="002765D1"/>
    <w:rsid w:val="002765EE"/>
    <w:rsid w:val="00276BD4"/>
    <w:rsid w:val="00276CD5"/>
    <w:rsid w:val="00276F27"/>
    <w:rsid w:val="002772DD"/>
    <w:rsid w:val="002774C4"/>
    <w:rsid w:val="002774C6"/>
    <w:rsid w:val="0027766B"/>
    <w:rsid w:val="002800A9"/>
    <w:rsid w:val="0028012C"/>
    <w:rsid w:val="002802F3"/>
    <w:rsid w:val="002810D7"/>
    <w:rsid w:val="00281A64"/>
    <w:rsid w:val="00281FC8"/>
    <w:rsid w:val="00282399"/>
    <w:rsid w:val="00282569"/>
    <w:rsid w:val="00282727"/>
    <w:rsid w:val="002835C9"/>
    <w:rsid w:val="00283B5A"/>
    <w:rsid w:val="00283DB3"/>
    <w:rsid w:val="00283F9B"/>
    <w:rsid w:val="002846B0"/>
    <w:rsid w:val="00284C0C"/>
    <w:rsid w:val="00285032"/>
    <w:rsid w:val="00285B32"/>
    <w:rsid w:val="00285DA3"/>
    <w:rsid w:val="00285E4E"/>
    <w:rsid w:val="0028618D"/>
    <w:rsid w:val="00286576"/>
    <w:rsid w:val="00286C67"/>
    <w:rsid w:val="00286F82"/>
    <w:rsid w:val="00287772"/>
    <w:rsid w:val="00287E07"/>
    <w:rsid w:val="00287E36"/>
    <w:rsid w:val="00290D1C"/>
    <w:rsid w:val="00291433"/>
    <w:rsid w:val="00291A78"/>
    <w:rsid w:val="00291E53"/>
    <w:rsid w:val="0029225F"/>
    <w:rsid w:val="002929CE"/>
    <w:rsid w:val="0029334D"/>
    <w:rsid w:val="00293711"/>
    <w:rsid w:val="002937DF"/>
    <w:rsid w:val="00293B0D"/>
    <w:rsid w:val="00294356"/>
    <w:rsid w:val="0029493C"/>
    <w:rsid w:val="00294A06"/>
    <w:rsid w:val="002956BC"/>
    <w:rsid w:val="00295CCE"/>
    <w:rsid w:val="00296002"/>
    <w:rsid w:val="0029627C"/>
    <w:rsid w:val="00296389"/>
    <w:rsid w:val="00296527"/>
    <w:rsid w:val="002966DA"/>
    <w:rsid w:val="002973AF"/>
    <w:rsid w:val="00297A6E"/>
    <w:rsid w:val="00297FE1"/>
    <w:rsid w:val="002A0058"/>
    <w:rsid w:val="002A0256"/>
    <w:rsid w:val="002A05D8"/>
    <w:rsid w:val="002A0611"/>
    <w:rsid w:val="002A0A99"/>
    <w:rsid w:val="002A0BC0"/>
    <w:rsid w:val="002A11E3"/>
    <w:rsid w:val="002A12D8"/>
    <w:rsid w:val="002A1509"/>
    <w:rsid w:val="002A197D"/>
    <w:rsid w:val="002A1C87"/>
    <w:rsid w:val="002A214D"/>
    <w:rsid w:val="002A222D"/>
    <w:rsid w:val="002A22A9"/>
    <w:rsid w:val="002A23FE"/>
    <w:rsid w:val="002A2649"/>
    <w:rsid w:val="002A2D17"/>
    <w:rsid w:val="002A2E4C"/>
    <w:rsid w:val="002A3734"/>
    <w:rsid w:val="002A4101"/>
    <w:rsid w:val="002A46DA"/>
    <w:rsid w:val="002A47F1"/>
    <w:rsid w:val="002A4A82"/>
    <w:rsid w:val="002A4B8E"/>
    <w:rsid w:val="002A4F18"/>
    <w:rsid w:val="002A5282"/>
    <w:rsid w:val="002A58C1"/>
    <w:rsid w:val="002A5BF8"/>
    <w:rsid w:val="002A646F"/>
    <w:rsid w:val="002A684B"/>
    <w:rsid w:val="002A6FE9"/>
    <w:rsid w:val="002A706F"/>
    <w:rsid w:val="002A7581"/>
    <w:rsid w:val="002A76D2"/>
    <w:rsid w:val="002A78FD"/>
    <w:rsid w:val="002A7A43"/>
    <w:rsid w:val="002A7E33"/>
    <w:rsid w:val="002A7E9C"/>
    <w:rsid w:val="002B0258"/>
    <w:rsid w:val="002B06E1"/>
    <w:rsid w:val="002B0BE0"/>
    <w:rsid w:val="002B1AEC"/>
    <w:rsid w:val="002B1D88"/>
    <w:rsid w:val="002B2058"/>
    <w:rsid w:val="002B21BC"/>
    <w:rsid w:val="002B269C"/>
    <w:rsid w:val="002B2758"/>
    <w:rsid w:val="002B3145"/>
    <w:rsid w:val="002B335A"/>
    <w:rsid w:val="002B3553"/>
    <w:rsid w:val="002B37B1"/>
    <w:rsid w:val="002B380D"/>
    <w:rsid w:val="002B3C41"/>
    <w:rsid w:val="002B3D00"/>
    <w:rsid w:val="002B3DD9"/>
    <w:rsid w:val="002B401C"/>
    <w:rsid w:val="002B417A"/>
    <w:rsid w:val="002B41E0"/>
    <w:rsid w:val="002B4436"/>
    <w:rsid w:val="002B4BA4"/>
    <w:rsid w:val="002B4FB6"/>
    <w:rsid w:val="002B57E9"/>
    <w:rsid w:val="002B60C7"/>
    <w:rsid w:val="002B61E6"/>
    <w:rsid w:val="002B66C0"/>
    <w:rsid w:val="002B798C"/>
    <w:rsid w:val="002B799F"/>
    <w:rsid w:val="002B7C98"/>
    <w:rsid w:val="002C00F9"/>
    <w:rsid w:val="002C013E"/>
    <w:rsid w:val="002C0394"/>
    <w:rsid w:val="002C048D"/>
    <w:rsid w:val="002C0C22"/>
    <w:rsid w:val="002C1149"/>
    <w:rsid w:val="002C13EC"/>
    <w:rsid w:val="002C13F3"/>
    <w:rsid w:val="002C15DD"/>
    <w:rsid w:val="002C1908"/>
    <w:rsid w:val="002C1A5A"/>
    <w:rsid w:val="002C1E62"/>
    <w:rsid w:val="002C29B2"/>
    <w:rsid w:val="002C29CD"/>
    <w:rsid w:val="002C2BCA"/>
    <w:rsid w:val="002C3088"/>
    <w:rsid w:val="002C3099"/>
    <w:rsid w:val="002C30B1"/>
    <w:rsid w:val="002C3432"/>
    <w:rsid w:val="002C36EF"/>
    <w:rsid w:val="002C3EF3"/>
    <w:rsid w:val="002C4207"/>
    <w:rsid w:val="002C430A"/>
    <w:rsid w:val="002C4559"/>
    <w:rsid w:val="002C4C2E"/>
    <w:rsid w:val="002C4F47"/>
    <w:rsid w:val="002C5397"/>
    <w:rsid w:val="002C5619"/>
    <w:rsid w:val="002C5C11"/>
    <w:rsid w:val="002C60A1"/>
    <w:rsid w:val="002C62A0"/>
    <w:rsid w:val="002C658C"/>
    <w:rsid w:val="002C66BF"/>
    <w:rsid w:val="002C750C"/>
    <w:rsid w:val="002C7981"/>
    <w:rsid w:val="002C7C56"/>
    <w:rsid w:val="002C7C86"/>
    <w:rsid w:val="002C7E9C"/>
    <w:rsid w:val="002D079B"/>
    <w:rsid w:val="002D0E38"/>
    <w:rsid w:val="002D1794"/>
    <w:rsid w:val="002D18B7"/>
    <w:rsid w:val="002D1960"/>
    <w:rsid w:val="002D1A9F"/>
    <w:rsid w:val="002D1B91"/>
    <w:rsid w:val="002D1BFD"/>
    <w:rsid w:val="002D1E78"/>
    <w:rsid w:val="002D215F"/>
    <w:rsid w:val="002D21D5"/>
    <w:rsid w:val="002D22C5"/>
    <w:rsid w:val="002D2363"/>
    <w:rsid w:val="002D2913"/>
    <w:rsid w:val="002D2987"/>
    <w:rsid w:val="002D29C9"/>
    <w:rsid w:val="002D2C09"/>
    <w:rsid w:val="002D2FB6"/>
    <w:rsid w:val="002D33BD"/>
    <w:rsid w:val="002D37C0"/>
    <w:rsid w:val="002D37D7"/>
    <w:rsid w:val="002D3B95"/>
    <w:rsid w:val="002D3E19"/>
    <w:rsid w:val="002D4036"/>
    <w:rsid w:val="002D482D"/>
    <w:rsid w:val="002D4866"/>
    <w:rsid w:val="002D5002"/>
    <w:rsid w:val="002D5178"/>
    <w:rsid w:val="002D59AE"/>
    <w:rsid w:val="002D5A35"/>
    <w:rsid w:val="002D5A8C"/>
    <w:rsid w:val="002D5FD0"/>
    <w:rsid w:val="002D626D"/>
    <w:rsid w:val="002D64A5"/>
    <w:rsid w:val="002D64F8"/>
    <w:rsid w:val="002D664D"/>
    <w:rsid w:val="002D67D9"/>
    <w:rsid w:val="002D6B73"/>
    <w:rsid w:val="002D6E2E"/>
    <w:rsid w:val="002D6E78"/>
    <w:rsid w:val="002D7104"/>
    <w:rsid w:val="002D719B"/>
    <w:rsid w:val="002D73D1"/>
    <w:rsid w:val="002D73F1"/>
    <w:rsid w:val="002D7539"/>
    <w:rsid w:val="002D7780"/>
    <w:rsid w:val="002D782E"/>
    <w:rsid w:val="002D7AE1"/>
    <w:rsid w:val="002D7BD5"/>
    <w:rsid w:val="002D7C54"/>
    <w:rsid w:val="002D7E38"/>
    <w:rsid w:val="002E0637"/>
    <w:rsid w:val="002E0843"/>
    <w:rsid w:val="002E0F10"/>
    <w:rsid w:val="002E0F36"/>
    <w:rsid w:val="002E0FA9"/>
    <w:rsid w:val="002E11D2"/>
    <w:rsid w:val="002E15C6"/>
    <w:rsid w:val="002E1FF6"/>
    <w:rsid w:val="002E216A"/>
    <w:rsid w:val="002E2CF5"/>
    <w:rsid w:val="002E2FD0"/>
    <w:rsid w:val="002E36C1"/>
    <w:rsid w:val="002E3859"/>
    <w:rsid w:val="002E42C7"/>
    <w:rsid w:val="002E44EA"/>
    <w:rsid w:val="002E4AB5"/>
    <w:rsid w:val="002E50B9"/>
    <w:rsid w:val="002E5408"/>
    <w:rsid w:val="002E54F6"/>
    <w:rsid w:val="002E550F"/>
    <w:rsid w:val="002E5724"/>
    <w:rsid w:val="002E58FC"/>
    <w:rsid w:val="002E5945"/>
    <w:rsid w:val="002E5A63"/>
    <w:rsid w:val="002E5A70"/>
    <w:rsid w:val="002E6BA6"/>
    <w:rsid w:val="002E701D"/>
    <w:rsid w:val="002E74D1"/>
    <w:rsid w:val="002E77DD"/>
    <w:rsid w:val="002E7E27"/>
    <w:rsid w:val="002F0072"/>
    <w:rsid w:val="002F087A"/>
    <w:rsid w:val="002F0989"/>
    <w:rsid w:val="002F0DFA"/>
    <w:rsid w:val="002F14D9"/>
    <w:rsid w:val="002F1C23"/>
    <w:rsid w:val="002F1C3B"/>
    <w:rsid w:val="002F221B"/>
    <w:rsid w:val="002F260D"/>
    <w:rsid w:val="002F29A8"/>
    <w:rsid w:val="002F2C89"/>
    <w:rsid w:val="002F2FD3"/>
    <w:rsid w:val="002F3171"/>
    <w:rsid w:val="002F3320"/>
    <w:rsid w:val="002F375D"/>
    <w:rsid w:val="002F3B01"/>
    <w:rsid w:val="002F3D41"/>
    <w:rsid w:val="002F4535"/>
    <w:rsid w:val="002F480A"/>
    <w:rsid w:val="002F4962"/>
    <w:rsid w:val="002F4D7A"/>
    <w:rsid w:val="002F69FE"/>
    <w:rsid w:val="002F6BC3"/>
    <w:rsid w:val="002F6D7E"/>
    <w:rsid w:val="002F74CA"/>
    <w:rsid w:val="002F779B"/>
    <w:rsid w:val="002F7A30"/>
    <w:rsid w:val="0030024B"/>
    <w:rsid w:val="00300A96"/>
    <w:rsid w:val="00300EE2"/>
    <w:rsid w:val="0030100F"/>
    <w:rsid w:val="00301040"/>
    <w:rsid w:val="00301211"/>
    <w:rsid w:val="0030156D"/>
    <w:rsid w:val="0030242A"/>
    <w:rsid w:val="003025B3"/>
    <w:rsid w:val="003026DF"/>
    <w:rsid w:val="0030280C"/>
    <w:rsid w:val="00302B73"/>
    <w:rsid w:val="003030D3"/>
    <w:rsid w:val="003030F7"/>
    <w:rsid w:val="00304314"/>
    <w:rsid w:val="00304AD6"/>
    <w:rsid w:val="00305772"/>
    <w:rsid w:val="0030645C"/>
    <w:rsid w:val="00307663"/>
    <w:rsid w:val="00307809"/>
    <w:rsid w:val="00307DF5"/>
    <w:rsid w:val="0031006B"/>
    <w:rsid w:val="003100A3"/>
    <w:rsid w:val="0031010A"/>
    <w:rsid w:val="0031083E"/>
    <w:rsid w:val="0031086E"/>
    <w:rsid w:val="00310900"/>
    <w:rsid w:val="003109A4"/>
    <w:rsid w:val="00310D2C"/>
    <w:rsid w:val="00310FB9"/>
    <w:rsid w:val="00311025"/>
    <w:rsid w:val="00311296"/>
    <w:rsid w:val="00311777"/>
    <w:rsid w:val="0031226D"/>
    <w:rsid w:val="003122F7"/>
    <w:rsid w:val="0031246E"/>
    <w:rsid w:val="00313354"/>
    <w:rsid w:val="00313A98"/>
    <w:rsid w:val="00313F06"/>
    <w:rsid w:val="003141FD"/>
    <w:rsid w:val="003146CE"/>
    <w:rsid w:val="003146EF"/>
    <w:rsid w:val="00314CEA"/>
    <w:rsid w:val="00314D39"/>
    <w:rsid w:val="00314FC7"/>
    <w:rsid w:val="00315101"/>
    <w:rsid w:val="00315964"/>
    <w:rsid w:val="00316017"/>
    <w:rsid w:val="00316359"/>
    <w:rsid w:val="00316B45"/>
    <w:rsid w:val="00316BE9"/>
    <w:rsid w:val="00316E3E"/>
    <w:rsid w:val="003178B1"/>
    <w:rsid w:val="00317D68"/>
    <w:rsid w:val="00320135"/>
    <w:rsid w:val="0032061B"/>
    <w:rsid w:val="00320BD0"/>
    <w:rsid w:val="00320C7E"/>
    <w:rsid w:val="00321058"/>
    <w:rsid w:val="003210D5"/>
    <w:rsid w:val="003213A2"/>
    <w:rsid w:val="003214AA"/>
    <w:rsid w:val="0032157F"/>
    <w:rsid w:val="00321D0C"/>
    <w:rsid w:val="00321DFB"/>
    <w:rsid w:val="00321E87"/>
    <w:rsid w:val="00321EE7"/>
    <w:rsid w:val="00322347"/>
    <w:rsid w:val="00322412"/>
    <w:rsid w:val="00322841"/>
    <w:rsid w:val="00322967"/>
    <w:rsid w:val="00322AD8"/>
    <w:rsid w:val="00322C6E"/>
    <w:rsid w:val="003234BE"/>
    <w:rsid w:val="0032372F"/>
    <w:rsid w:val="003237E9"/>
    <w:rsid w:val="00323BBB"/>
    <w:rsid w:val="0032468F"/>
    <w:rsid w:val="0032471A"/>
    <w:rsid w:val="0032494F"/>
    <w:rsid w:val="00324B44"/>
    <w:rsid w:val="00324B57"/>
    <w:rsid w:val="00325C7B"/>
    <w:rsid w:val="00325EF6"/>
    <w:rsid w:val="0032661A"/>
    <w:rsid w:val="00326D96"/>
    <w:rsid w:val="0032715A"/>
    <w:rsid w:val="00327A7D"/>
    <w:rsid w:val="00330EBF"/>
    <w:rsid w:val="00331486"/>
    <w:rsid w:val="00331EA0"/>
    <w:rsid w:val="003323F5"/>
    <w:rsid w:val="003326E3"/>
    <w:rsid w:val="00333162"/>
    <w:rsid w:val="003332A5"/>
    <w:rsid w:val="00333317"/>
    <w:rsid w:val="003334A7"/>
    <w:rsid w:val="003334E8"/>
    <w:rsid w:val="0033367C"/>
    <w:rsid w:val="00333724"/>
    <w:rsid w:val="00333848"/>
    <w:rsid w:val="003339B4"/>
    <w:rsid w:val="00333B6E"/>
    <w:rsid w:val="003341D4"/>
    <w:rsid w:val="003342D4"/>
    <w:rsid w:val="00334300"/>
    <w:rsid w:val="003343BB"/>
    <w:rsid w:val="00334696"/>
    <w:rsid w:val="00334A71"/>
    <w:rsid w:val="00334F1C"/>
    <w:rsid w:val="003354DC"/>
    <w:rsid w:val="00335C35"/>
    <w:rsid w:val="00335F33"/>
    <w:rsid w:val="00335F80"/>
    <w:rsid w:val="0033603D"/>
    <w:rsid w:val="003360B6"/>
    <w:rsid w:val="003362A4"/>
    <w:rsid w:val="003365B9"/>
    <w:rsid w:val="0033739D"/>
    <w:rsid w:val="00337C40"/>
    <w:rsid w:val="00337C8A"/>
    <w:rsid w:val="003402BD"/>
    <w:rsid w:val="00340477"/>
    <w:rsid w:val="003404C5"/>
    <w:rsid w:val="00340B23"/>
    <w:rsid w:val="00340D9C"/>
    <w:rsid w:val="00340FE9"/>
    <w:rsid w:val="00341340"/>
    <w:rsid w:val="00341D3C"/>
    <w:rsid w:val="0034224C"/>
    <w:rsid w:val="0034235A"/>
    <w:rsid w:val="0034257B"/>
    <w:rsid w:val="00342745"/>
    <w:rsid w:val="003427EB"/>
    <w:rsid w:val="00342B3D"/>
    <w:rsid w:val="00343689"/>
    <w:rsid w:val="0034385B"/>
    <w:rsid w:val="00343C93"/>
    <w:rsid w:val="00343CF8"/>
    <w:rsid w:val="00343D35"/>
    <w:rsid w:val="00343E37"/>
    <w:rsid w:val="00344300"/>
    <w:rsid w:val="003445D6"/>
    <w:rsid w:val="003448B2"/>
    <w:rsid w:val="00345246"/>
    <w:rsid w:val="00345754"/>
    <w:rsid w:val="00345884"/>
    <w:rsid w:val="00345F13"/>
    <w:rsid w:val="00345FD7"/>
    <w:rsid w:val="00346538"/>
    <w:rsid w:val="00346EC8"/>
    <w:rsid w:val="00347390"/>
    <w:rsid w:val="00347666"/>
    <w:rsid w:val="00347737"/>
    <w:rsid w:val="0034785F"/>
    <w:rsid w:val="0034786D"/>
    <w:rsid w:val="00347C81"/>
    <w:rsid w:val="003504C4"/>
    <w:rsid w:val="003504E1"/>
    <w:rsid w:val="00350658"/>
    <w:rsid w:val="00350823"/>
    <w:rsid w:val="00350826"/>
    <w:rsid w:val="00350973"/>
    <w:rsid w:val="00350D54"/>
    <w:rsid w:val="003517BA"/>
    <w:rsid w:val="00351CEE"/>
    <w:rsid w:val="0035231C"/>
    <w:rsid w:val="003528E3"/>
    <w:rsid w:val="00353472"/>
    <w:rsid w:val="003536C3"/>
    <w:rsid w:val="003536D1"/>
    <w:rsid w:val="00354053"/>
    <w:rsid w:val="003542DB"/>
    <w:rsid w:val="003543E9"/>
    <w:rsid w:val="00354D34"/>
    <w:rsid w:val="00354E06"/>
    <w:rsid w:val="00354EBA"/>
    <w:rsid w:val="00354F03"/>
    <w:rsid w:val="0035523B"/>
    <w:rsid w:val="003552BD"/>
    <w:rsid w:val="00355421"/>
    <w:rsid w:val="00355500"/>
    <w:rsid w:val="00355A4D"/>
    <w:rsid w:val="00355B96"/>
    <w:rsid w:val="0035604B"/>
    <w:rsid w:val="0035716A"/>
    <w:rsid w:val="00357191"/>
    <w:rsid w:val="00357653"/>
    <w:rsid w:val="003576CC"/>
    <w:rsid w:val="0035787B"/>
    <w:rsid w:val="0035799E"/>
    <w:rsid w:val="00357FD6"/>
    <w:rsid w:val="003607CA"/>
    <w:rsid w:val="003608F9"/>
    <w:rsid w:val="00360A4A"/>
    <w:rsid w:val="00361285"/>
    <w:rsid w:val="003612F6"/>
    <w:rsid w:val="00362C9E"/>
    <w:rsid w:val="00362ECB"/>
    <w:rsid w:val="00362F17"/>
    <w:rsid w:val="0036307C"/>
    <w:rsid w:val="0036361E"/>
    <w:rsid w:val="00363B2F"/>
    <w:rsid w:val="00364770"/>
    <w:rsid w:val="003648FF"/>
    <w:rsid w:val="00364B40"/>
    <w:rsid w:val="00364BDD"/>
    <w:rsid w:val="00365CCA"/>
    <w:rsid w:val="0036648D"/>
    <w:rsid w:val="0036667C"/>
    <w:rsid w:val="00366DDE"/>
    <w:rsid w:val="00367ED4"/>
    <w:rsid w:val="00367F07"/>
    <w:rsid w:val="003701CD"/>
    <w:rsid w:val="00370427"/>
    <w:rsid w:val="003705D3"/>
    <w:rsid w:val="00370688"/>
    <w:rsid w:val="00370877"/>
    <w:rsid w:val="00370D27"/>
    <w:rsid w:val="0037131A"/>
    <w:rsid w:val="003713CC"/>
    <w:rsid w:val="00371587"/>
    <w:rsid w:val="003716B1"/>
    <w:rsid w:val="00371A7E"/>
    <w:rsid w:val="00371CC2"/>
    <w:rsid w:val="00371D0E"/>
    <w:rsid w:val="00372319"/>
    <w:rsid w:val="00372350"/>
    <w:rsid w:val="003723B7"/>
    <w:rsid w:val="00372E9A"/>
    <w:rsid w:val="003732EA"/>
    <w:rsid w:val="00373727"/>
    <w:rsid w:val="003739E6"/>
    <w:rsid w:val="0037460F"/>
    <w:rsid w:val="00374A05"/>
    <w:rsid w:val="00374AD6"/>
    <w:rsid w:val="0037506B"/>
    <w:rsid w:val="00375179"/>
    <w:rsid w:val="0037517C"/>
    <w:rsid w:val="0037554B"/>
    <w:rsid w:val="00375E01"/>
    <w:rsid w:val="003760CB"/>
    <w:rsid w:val="00376418"/>
    <w:rsid w:val="00376AFC"/>
    <w:rsid w:val="00377CB1"/>
    <w:rsid w:val="00380788"/>
    <w:rsid w:val="00380932"/>
    <w:rsid w:val="0038168A"/>
    <w:rsid w:val="00382ACA"/>
    <w:rsid w:val="00382BA0"/>
    <w:rsid w:val="00382EB1"/>
    <w:rsid w:val="003832C8"/>
    <w:rsid w:val="003834DE"/>
    <w:rsid w:val="0038372E"/>
    <w:rsid w:val="00383A0F"/>
    <w:rsid w:val="00383E4B"/>
    <w:rsid w:val="003843EA"/>
    <w:rsid w:val="0038447E"/>
    <w:rsid w:val="00384528"/>
    <w:rsid w:val="003845E8"/>
    <w:rsid w:val="003846E2"/>
    <w:rsid w:val="00384FAA"/>
    <w:rsid w:val="003857D4"/>
    <w:rsid w:val="00385813"/>
    <w:rsid w:val="00385BC4"/>
    <w:rsid w:val="00385D72"/>
    <w:rsid w:val="003863AF"/>
    <w:rsid w:val="00386B71"/>
    <w:rsid w:val="00386C0F"/>
    <w:rsid w:val="00386D06"/>
    <w:rsid w:val="00387ED7"/>
    <w:rsid w:val="0039044F"/>
    <w:rsid w:val="00390B7A"/>
    <w:rsid w:val="00391333"/>
    <w:rsid w:val="00391DA4"/>
    <w:rsid w:val="00393398"/>
    <w:rsid w:val="003934A6"/>
    <w:rsid w:val="00393942"/>
    <w:rsid w:val="003947C6"/>
    <w:rsid w:val="00394B70"/>
    <w:rsid w:val="00394E17"/>
    <w:rsid w:val="003950FF"/>
    <w:rsid w:val="00395CBB"/>
    <w:rsid w:val="00395DCF"/>
    <w:rsid w:val="00395E06"/>
    <w:rsid w:val="00395E15"/>
    <w:rsid w:val="003963BA"/>
    <w:rsid w:val="003967C4"/>
    <w:rsid w:val="00396B39"/>
    <w:rsid w:val="00396C1D"/>
    <w:rsid w:val="00396E8C"/>
    <w:rsid w:val="003972C0"/>
    <w:rsid w:val="0039768F"/>
    <w:rsid w:val="0039795A"/>
    <w:rsid w:val="00397BAD"/>
    <w:rsid w:val="003A0348"/>
    <w:rsid w:val="003A087D"/>
    <w:rsid w:val="003A18AD"/>
    <w:rsid w:val="003A1D6B"/>
    <w:rsid w:val="003A21AE"/>
    <w:rsid w:val="003A239E"/>
    <w:rsid w:val="003A2AEA"/>
    <w:rsid w:val="003A2B73"/>
    <w:rsid w:val="003A354D"/>
    <w:rsid w:val="003A368F"/>
    <w:rsid w:val="003A3D7E"/>
    <w:rsid w:val="003A3EE5"/>
    <w:rsid w:val="003A3F2D"/>
    <w:rsid w:val="003A5304"/>
    <w:rsid w:val="003A552A"/>
    <w:rsid w:val="003A61B4"/>
    <w:rsid w:val="003A63DE"/>
    <w:rsid w:val="003A690A"/>
    <w:rsid w:val="003A6C39"/>
    <w:rsid w:val="003A733C"/>
    <w:rsid w:val="003A74B4"/>
    <w:rsid w:val="003A7811"/>
    <w:rsid w:val="003A7AA3"/>
    <w:rsid w:val="003A7BBC"/>
    <w:rsid w:val="003A7FDD"/>
    <w:rsid w:val="003B0159"/>
    <w:rsid w:val="003B08A0"/>
    <w:rsid w:val="003B099D"/>
    <w:rsid w:val="003B0F76"/>
    <w:rsid w:val="003B126A"/>
    <w:rsid w:val="003B191B"/>
    <w:rsid w:val="003B1AF6"/>
    <w:rsid w:val="003B1B7E"/>
    <w:rsid w:val="003B2348"/>
    <w:rsid w:val="003B2D7D"/>
    <w:rsid w:val="003B2EAE"/>
    <w:rsid w:val="003B3003"/>
    <w:rsid w:val="003B371D"/>
    <w:rsid w:val="003B38EF"/>
    <w:rsid w:val="003B399E"/>
    <w:rsid w:val="003B3B05"/>
    <w:rsid w:val="003B3D08"/>
    <w:rsid w:val="003B3D5A"/>
    <w:rsid w:val="003B3EE0"/>
    <w:rsid w:val="003B4757"/>
    <w:rsid w:val="003B4C14"/>
    <w:rsid w:val="003B4CBD"/>
    <w:rsid w:val="003B4D34"/>
    <w:rsid w:val="003B5592"/>
    <w:rsid w:val="003B5C91"/>
    <w:rsid w:val="003B5E89"/>
    <w:rsid w:val="003B6AD1"/>
    <w:rsid w:val="003B77BF"/>
    <w:rsid w:val="003B7B70"/>
    <w:rsid w:val="003C0778"/>
    <w:rsid w:val="003C084F"/>
    <w:rsid w:val="003C0D0F"/>
    <w:rsid w:val="003C0EE9"/>
    <w:rsid w:val="003C1342"/>
    <w:rsid w:val="003C1379"/>
    <w:rsid w:val="003C14E0"/>
    <w:rsid w:val="003C1696"/>
    <w:rsid w:val="003C18B1"/>
    <w:rsid w:val="003C1A2B"/>
    <w:rsid w:val="003C2635"/>
    <w:rsid w:val="003C2EB9"/>
    <w:rsid w:val="003C330F"/>
    <w:rsid w:val="003C3D2A"/>
    <w:rsid w:val="003C3FA1"/>
    <w:rsid w:val="003C4078"/>
    <w:rsid w:val="003C4463"/>
    <w:rsid w:val="003C4554"/>
    <w:rsid w:val="003C5033"/>
    <w:rsid w:val="003C50E4"/>
    <w:rsid w:val="003C51B4"/>
    <w:rsid w:val="003C5589"/>
    <w:rsid w:val="003C55D7"/>
    <w:rsid w:val="003C56A2"/>
    <w:rsid w:val="003C5725"/>
    <w:rsid w:val="003C59FC"/>
    <w:rsid w:val="003C5D74"/>
    <w:rsid w:val="003C5E4D"/>
    <w:rsid w:val="003C5F1E"/>
    <w:rsid w:val="003C62B5"/>
    <w:rsid w:val="003C6441"/>
    <w:rsid w:val="003C67E1"/>
    <w:rsid w:val="003C712F"/>
    <w:rsid w:val="003C72D7"/>
    <w:rsid w:val="003C7568"/>
    <w:rsid w:val="003D011C"/>
    <w:rsid w:val="003D0359"/>
    <w:rsid w:val="003D0877"/>
    <w:rsid w:val="003D0DD5"/>
    <w:rsid w:val="003D0E00"/>
    <w:rsid w:val="003D1167"/>
    <w:rsid w:val="003D116C"/>
    <w:rsid w:val="003D1328"/>
    <w:rsid w:val="003D1457"/>
    <w:rsid w:val="003D1919"/>
    <w:rsid w:val="003D22D5"/>
    <w:rsid w:val="003D2F7D"/>
    <w:rsid w:val="003D3125"/>
    <w:rsid w:val="003D336C"/>
    <w:rsid w:val="003D3663"/>
    <w:rsid w:val="003D38CA"/>
    <w:rsid w:val="003D3A2B"/>
    <w:rsid w:val="003D43AE"/>
    <w:rsid w:val="003D4A42"/>
    <w:rsid w:val="003D4B33"/>
    <w:rsid w:val="003D5034"/>
    <w:rsid w:val="003D55AA"/>
    <w:rsid w:val="003D598F"/>
    <w:rsid w:val="003D5B32"/>
    <w:rsid w:val="003D5F10"/>
    <w:rsid w:val="003D5F2A"/>
    <w:rsid w:val="003D60DB"/>
    <w:rsid w:val="003D66C9"/>
    <w:rsid w:val="003D6B7E"/>
    <w:rsid w:val="003D7457"/>
    <w:rsid w:val="003D7A71"/>
    <w:rsid w:val="003D7B13"/>
    <w:rsid w:val="003D7CFF"/>
    <w:rsid w:val="003D7FD3"/>
    <w:rsid w:val="003E0425"/>
    <w:rsid w:val="003E0555"/>
    <w:rsid w:val="003E056B"/>
    <w:rsid w:val="003E05CC"/>
    <w:rsid w:val="003E0739"/>
    <w:rsid w:val="003E083E"/>
    <w:rsid w:val="003E08D8"/>
    <w:rsid w:val="003E0CD1"/>
    <w:rsid w:val="003E115D"/>
    <w:rsid w:val="003E11F7"/>
    <w:rsid w:val="003E17CB"/>
    <w:rsid w:val="003E17D9"/>
    <w:rsid w:val="003E18DC"/>
    <w:rsid w:val="003E1A6A"/>
    <w:rsid w:val="003E245F"/>
    <w:rsid w:val="003E2579"/>
    <w:rsid w:val="003E2969"/>
    <w:rsid w:val="003E2DED"/>
    <w:rsid w:val="003E33F3"/>
    <w:rsid w:val="003E3920"/>
    <w:rsid w:val="003E3BFF"/>
    <w:rsid w:val="003E3D33"/>
    <w:rsid w:val="003E4324"/>
    <w:rsid w:val="003E462C"/>
    <w:rsid w:val="003E4E31"/>
    <w:rsid w:val="003E54B2"/>
    <w:rsid w:val="003E54BE"/>
    <w:rsid w:val="003E575E"/>
    <w:rsid w:val="003E58D8"/>
    <w:rsid w:val="003E6787"/>
    <w:rsid w:val="003E68D2"/>
    <w:rsid w:val="003E6FB0"/>
    <w:rsid w:val="003E7268"/>
    <w:rsid w:val="003E728D"/>
    <w:rsid w:val="003E74DA"/>
    <w:rsid w:val="003E7ACC"/>
    <w:rsid w:val="003E7B04"/>
    <w:rsid w:val="003E7DB7"/>
    <w:rsid w:val="003E7E4F"/>
    <w:rsid w:val="003E7E66"/>
    <w:rsid w:val="003F00A0"/>
    <w:rsid w:val="003F02B8"/>
    <w:rsid w:val="003F05DC"/>
    <w:rsid w:val="003F062E"/>
    <w:rsid w:val="003F07F7"/>
    <w:rsid w:val="003F0C6A"/>
    <w:rsid w:val="003F0CCE"/>
    <w:rsid w:val="003F0DC1"/>
    <w:rsid w:val="003F0DE1"/>
    <w:rsid w:val="003F0E3B"/>
    <w:rsid w:val="003F0E65"/>
    <w:rsid w:val="003F0FF4"/>
    <w:rsid w:val="003F1C9E"/>
    <w:rsid w:val="003F1E81"/>
    <w:rsid w:val="003F1FE4"/>
    <w:rsid w:val="003F223E"/>
    <w:rsid w:val="003F2779"/>
    <w:rsid w:val="003F29D4"/>
    <w:rsid w:val="003F36C4"/>
    <w:rsid w:val="003F3C8C"/>
    <w:rsid w:val="003F3F88"/>
    <w:rsid w:val="003F402C"/>
    <w:rsid w:val="003F417F"/>
    <w:rsid w:val="003F5513"/>
    <w:rsid w:val="003F5671"/>
    <w:rsid w:val="003F5787"/>
    <w:rsid w:val="003F5B7B"/>
    <w:rsid w:val="003F5D54"/>
    <w:rsid w:val="003F5DDD"/>
    <w:rsid w:val="003F5E09"/>
    <w:rsid w:val="003F6059"/>
    <w:rsid w:val="003F64C3"/>
    <w:rsid w:val="003F67DB"/>
    <w:rsid w:val="003F6843"/>
    <w:rsid w:val="003F6883"/>
    <w:rsid w:val="003F73A2"/>
    <w:rsid w:val="003F760E"/>
    <w:rsid w:val="004001B7"/>
    <w:rsid w:val="00400499"/>
    <w:rsid w:val="00401043"/>
    <w:rsid w:val="0040160E"/>
    <w:rsid w:val="00401748"/>
    <w:rsid w:val="004018C3"/>
    <w:rsid w:val="00402331"/>
    <w:rsid w:val="00402434"/>
    <w:rsid w:val="00402635"/>
    <w:rsid w:val="004026EE"/>
    <w:rsid w:val="004036DC"/>
    <w:rsid w:val="00403CB8"/>
    <w:rsid w:val="00403F82"/>
    <w:rsid w:val="0040416E"/>
    <w:rsid w:val="00404BAD"/>
    <w:rsid w:val="00404D83"/>
    <w:rsid w:val="00405189"/>
    <w:rsid w:val="00405388"/>
    <w:rsid w:val="004054C9"/>
    <w:rsid w:val="004059B8"/>
    <w:rsid w:val="00405C95"/>
    <w:rsid w:val="00406156"/>
    <w:rsid w:val="00406F87"/>
    <w:rsid w:val="0040724A"/>
    <w:rsid w:val="004075B0"/>
    <w:rsid w:val="00407654"/>
    <w:rsid w:val="00407BD2"/>
    <w:rsid w:val="00407E06"/>
    <w:rsid w:val="00410A18"/>
    <w:rsid w:val="00410B0D"/>
    <w:rsid w:val="00410C2E"/>
    <w:rsid w:val="00411A7A"/>
    <w:rsid w:val="00411C26"/>
    <w:rsid w:val="00411E0F"/>
    <w:rsid w:val="004121FF"/>
    <w:rsid w:val="0041266A"/>
    <w:rsid w:val="0041293E"/>
    <w:rsid w:val="00412DC2"/>
    <w:rsid w:val="004131F5"/>
    <w:rsid w:val="00413274"/>
    <w:rsid w:val="004132BA"/>
    <w:rsid w:val="00413849"/>
    <w:rsid w:val="00413B61"/>
    <w:rsid w:val="00413E83"/>
    <w:rsid w:val="00414047"/>
    <w:rsid w:val="00414580"/>
    <w:rsid w:val="004146F2"/>
    <w:rsid w:val="004148F8"/>
    <w:rsid w:val="00414920"/>
    <w:rsid w:val="00414A6C"/>
    <w:rsid w:val="004158EF"/>
    <w:rsid w:val="0041685B"/>
    <w:rsid w:val="00416B76"/>
    <w:rsid w:val="00416EFD"/>
    <w:rsid w:val="004172A5"/>
    <w:rsid w:val="00417719"/>
    <w:rsid w:val="0041794E"/>
    <w:rsid w:val="00417994"/>
    <w:rsid w:val="004204E6"/>
    <w:rsid w:val="00420770"/>
    <w:rsid w:val="00420EAA"/>
    <w:rsid w:val="00420F73"/>
    <w:rsid w:val="0042129F"/>
    <w:rsid w:val="00421531"/>
    <w:rsid w:val="00421558"/>
    <w:rsid w:val="004217BC"/>
    <w:rsid w:val="00421898"/>
    <w:rsid w:val="00421965"/>
    <w:rsid w:val="00421A19"/>
    <w:rsid w:val="00421F22"/>
    <w:rsid w:val="0042217B"/>
    <w:rsid w:val="00422204"/>
    <w:rsid w:val="004233A8"/>
    <w:rsid w:val="004237BB"/>
    <w:rsid w:val="00423BED"/>
    <w:rsid w:val="00423D23"/>
    <w:rsid w:val="00423F5E"/>
    <w:rsid w:val="00424198"/>
    <w:rsid w:val="0042421D"/>
    <w:rsid w:val="00424442"/>
    <w:rsid w:val="00424F06"/>
    <w:rsid w:val="00425049"/>
    <w:rsid w:val="004253BE"/>
    <w:rsid w:val="004255EA"/>
    <w:rsid w:val="0042570B"/>
    <w:rsid w:val="00425756"/>
    <w:rsid w:val="004259C8"/>
    <w:rsid w:val="00425E79"/>
    <w:rsid w:val="00426354"/>
    <w:rsid w:val="0042643A"/>
    <w:rsid w:val="004264CB"/>
    <w:rsid w:val="00426ACD"/>
    <w:rsid w:val="004271AF"/>
    <w:rsid w:val="00427220"/>
    <w:rsid w:val="0042757D"/>
    <w:rsid w:val="0042791A"/>
    <w:rsid w:val="004302B7"/>
    <w:rsid w:val="0043067F"/>
    <w:rsid w:val="004307C8"/>
    <w:rsid w:val="00430CBE"/>
    <w:rsid w:val="00430FCA"/>
    <w:rsid w:val="00431A5C"/>
    <w:rsid w:val="00431BD8"/>
    <w:rsid w:val="00431C95"/>
    <w:rsid w:val="0043238C"/>
    <w:rsid w:val="004323B8"/>
    <w:rsid w:val="0043266E"/>
    <w:rsid w:val="00432797"/>
    <w:rsid w:val="00432B51"/>
    <w:rsid w:val="00432F18"/>
    <w:rsid w:val="00432FC6"/>
    <w:rsid w:val="0043308D"/>
    <w:rsid w:val="004333B8"/>
    <w:rsid w:val="00433407"/>
    <w:rsid w:val="00433459"/>
    <w:rsid w:val="00433536"/>
    <w:rsid w:val="004339BC"/>
    <w:rsid w:val="00433CF6"/>
    <w:rsid w:val="00433EF3"/>
    <w:rsid w:val="00433FFD"/>
    <w:rsid w:val="0043408E"/>
    <w:rsid w:val="004346B2"/>
    <w:rsid w:val="00434CCE"/>
    <w:rsid w:val="00434D65"/>
    <w:rsid w:val="00434E0F"/>
    <w:rsid w:val="00434E71"/>
    <w:rsid w:val="00435283"/>
    <w:rsid w:val="00435307"/>
    <w:rsid w:val="00435384"/>
    <w:rsid w:val="004356A1"/>
    <w:rsid w:val="00435B91"/>
    <w:rsid w:val="00436519"/>
    <w:rsid w:val="004367E4"/>
    <w:rsid w:val="004371D0"/>
    <w:rsid w:val="00437E68"/>
    <w:rsid w:val="00440397"/>
    <w:rsid w:val="004403ED"/>
    <w:rsid w:val="00440771"/>
    <w:rsid w:val="00440979"/>
    <w:rsid w:val="00440C17"/>
    <w:rsid w:val="00440F27"/>
    <w:rsid w:val="00441621"/>
    <w:rsid w:val="004417E9"/>
    <w:rsid w:val="00441B33"/>
    <w:rsid w:val="00441BE9"/>
    <w:rsid w:val="00441D56"/>
    <w:rsid w:val="00441E48"/>
    <w:rsid w:val="00442123"/>
    <w:rsid w:val="00442E94"/>
    <w:rsid w:val="004432E4"/>
    <w:rsid w:val="00443581"/>
    <w:rsid w:val="0044365D"/>
    <w:rsid w:val="004436F7"/>
    <w:rsid w:val="00443A47"/>
    <w:rsid w:val="00443B37"/>
    <w:rsid w:val="00443BAB"/>
    <w:rsid w:val="00443E59"/>
    <w:rsid w:val="00443F47"/>
    <w:rsid w:val="00443F83"/>
    <w:rsid w:val="0044489F"/>
    <w:rsid w:val="00444A38"/>
    <w:rsid w:val="00444B0D"/>
    <w:rsid w:val="00445098"/>
    <w:rsid w:val="004458D2"/>
    <w:rsid w:val="00445B4E"/>
    <w:rsid w:val="00445C36"/>
    <w:rsid w:val="00445DC3"/>
    <w:rsid w:val="0044606E"/>
    <w:rsid w:val="00446119"/>
    <w:rsid w:val="004463A4"/>
    <w:rsid w:val="00446554"/>
    <w:rsid w:val="00446608"/>
    <w:rsid w:val="004469F3"/>
    <w:rsid w:val="00446C30"/>
    <w:rsid w:val="00447198"/>
    <w:rsid w:val="00447DEC"/>
    <w:rsid w:val="00450C7E"/>
    <w:rsid w:val="00450ECF"/>
    <w:rsid w:val="004511B5"/>
    <w:rsid w:val="004516E2"/>
    <w:rsid w:val="004517D2"/>
    <w:rsid w:val="00451B4E"/>
    <w:rsid w:val="00452271"/>
    <w:rsid w:val="004529E5"/>
    <w:rsid w:val="00452B04"/>
    <w:rsid w:val="00452B55"/>
    <w:rsid w:val="00452C6F"/>
    <w:rsid w:val="00453246"/>
    <w:rsid w:val="004533B8"/>
    <w:rsid w:val="00453CA9"/>
    <w:rsid w:val="00454164"/>
    <w:rsid w:val="0045417E"/>
    <w:rsid w:val="004548DC"/>
    <w:rsid w:val="0045497F"/>
    <w:rsid w:val="00454B72"/>
    <w:rsid w:val="00454F20"/>
    <w:rsid w:val="00454F95"/>
    <w:rsid w:val="00454FEA"/>
    <w:rsid w:val="0045577F"/>
    <w:rsid w:val="00455E5D"/>
    <w:rsid w:val="004562BD"/>
    <w:rsid w:val="00456458"/>
    <w:rsid w:val="00456863"/>
    <w:rsid w:val="00456B3F"/>
    <w:rsid w:val="00456BC4"/>
    <w:rsid w:val="00456D09"/>
    <w:rsid w:val="00457CD0"/>
    <w:rsid w:val="00460602"/>
    <w:rsid w:val="00460DB0"/>
    <w:rsid w:val="00460E7F"/>
    <w:rsid w:val="00461ACA"/>
    <w:rsid w:val="00462ED1"/>
    <w:rsid w:val="00463548"/>
    <w:rsid w:val="00463BCE"/>
    <w:rsid w:val="0046482F"/>
    <w:rsid w:val="0046491D"/>
    <w:rsid w:val="00464A30"/>
    <w:rsid w:val="00464D2C"/>
    <w:rsid w:val="00464E8C"/>
    <w:rsid w:val="00465223"/>
    <w:rsid w:val="00465948"/>
    <w:rsid w:val="00465E2E"/>
    <w:rsid w:val="00465F86"/>
    <w:rsid w:val="00466061"/>
    <w:rsid w:val="004661F3"/>
    <w:rsid w:val="0046649B"/>
    <w:rsid w:val="00466EFF"/>
    <w:rsid w:val="00466FB6"/>
    <w:rsid w:val="00466FCB"/>
    <w:rsid w:val="0046759C"/>
    <w:rsid w:val="00467AF1"/>
    <w:rsid w:val="00467CC7"/>
    <w:rsid w:val="00467DA8"/>
    <w:rsid w:val="00467EFC"/>
    <w:rsid w:val="00470095"/>
    <w:rsid w:val="00470DEC"/>
    <w:rsid w:val="0047107E"/>
    <w:rsid w:val="004711F1"/>
    <w:rsid w:val="00471728"/>
    <w:rsid w:val="0047175C"/>
    <w:rsid w:val="00471C00"/>
    <w:rsid w:val="0047229D"/>
    <w:rsid w:val="00472418"/>
    <w:rsid w:val="00472665"/>
    <w:rsid w:val="00472C66"/>
    <w:rsid w:val="00472C8E"/>
    <w:rsid w:val="00472C9F"/>
    <w:rsid w:val="00473968"/>
    <w:rsid w:val="00473BE9"/>
    <w:rsid w:val="00473E3A"/>
    <w:rsid w:val="00473F02"/>
    <w:rsid w:val="00474386"/>
    <w:rsid w:val="0047448F"/>
    <w:rsid w:val="0047466E"/>
    <w:rsid w:val="00474AD0"/>
    <w:rsid w:val="00474B7C"/>
    <w:rsid w:val="0047595E"/>
    <w:rsid w:val="00475E83"/>
    <w:rsid w:val="00475F5C"/>
    <w:rsid w:val="00475F94"/>
    <w:rsid w:val="0047674E"/>
    <w:rsid w:val="004768D3"/>
    <w:rsid w:val="004770C6"/>
    <w:rsid w:val="00480270"/>
    <w:rsid w:val="004802FA"/>
    <w:rsid w:val="004810D5"/>
    <w:rsid w:val="0048161E"/>
    <w:rsid w:val="00481C94"/>
    <w:rsid w:val="00483083"/>
    <w:rsid w:val="004834C9"/>
    <w:rsid w:val="004836CD"/>
    <w:rsid w:val="004838ED"/>
    <w:rsid w:val="00483A17"/>
    <w:rsid w:val="00483BD1"/>
    <w:rsid w:val="0048410C"/>
    <w:rsid w:val="00484123"/>
    <w:rsid w:val="00484191"/>
    <w:rsid w:val="0048463B"/>
    <w:rsid w:val="00484EE8"/>
    <w:rsid w:val="004863D2"/>
    <w:rsid w:val="00486952"/>
    <w:rsid w:val="00486BA6"/>
    <w:rsid w:val="004878C6"/>
    <w:rsid w:val="00487CDC"/>
    <w:rsid w:val="00487D18"/>
    <w:rsid w:val="00487FDD"/>
    <w:rsid w:val="00490984"/>
    <w:rsid w:val="00490B4F"/>
    <w:rsid w:val="00491400"/>
    <w:rsid w:val="0049153D"/>
    <w:rsid w:val="0049175B"/>
    <w:rsid w:val="00491B93"/>
    <w:rsid w:val="00491ED5"/>
    <w:rsid w:val="004925E2"/>
    <w:rsid w:val="004926E3"/>
    <w:rsid w:val="004931D7"/>
    <w:rsid w:val="00493343"/>
    <w:rsid w:val="004934AA"/>
    <w:rsid w:val="0049386F"/>
    <w:rsid w:val="00493910"/>
    <w:rsid w:val="00493A28"/>
    <w:rsid w:val="004945CE"/>
    <w:rsid w:val="004945F0"/>
    <w:rsid w:val="0049480A"/>
    <w:rsid w:val="00495016"/>
    <w:rsid w:val="00495438"/>
    <w:rsid w:val="00495A05"/>
    <w:rsid w:val="00495E57"/>
    <w:rsid w:val="00496144"/>
    <w:rsid w:val="00496211"/>
    <w:rsid w:val="0049654F"/>
    <w:rsid w:val="00496599"/>
    <w:rsid w:val="00496C65"/>
    <w:rsid w:val="004970BE"/>
    <w:rsid w:val="00497213"/>
    <w:rsid w:val="00497282"/>
    <w:rsid w:val="0049771C"/>
    <w:rsid w:val="00497810"/>
    <w:rsid w:val="00497ABA"/>
    <w:rsid w:val="004A063B"/>
    <w:rsid w:val="004A0912"/>
    <w:rsid w:val="004A0D58"/>
    <w:rsid w:val="004A0F57"/>
    <w:rsid w:val="004A1666"/>
    <w:rsid w:val="004A18D9"/>
    <w:rsid w:val="004A1960"/>
    <w:rsid w:val="004A25BD"/>
    <w:rsid w:val="004A2F9A"/>
    <w:rsid w:val="004A32C1"/>
    <w:rsid w:val="004A3FBF"/>
    <w:rsid w:val="004A4FC7"/>
    <w:rsid w:val="004A51C4"/>
    <w:rsid w:val="004A53A0"/>
    <w:rsid w:val="004A5A6F"/>
    <w:rsid w:val="004A5CCF"/>
    <w:rsid w:val="004A5D8F"/>
    <w:rsid w:val="004A615A"/>
    <w:rsid w:val="004A6605"/>
    <w:rsid w:val="004A724E"/>
    <w:rsid w:val="004A744D"/>
    <w:rsid w:val="004A782F"/>
    <w:rsid w:val="004A791B"/>
    <w:rsid w:val="004A7E04"/>
    <w:rsid w:val="004B0494"/>
    <w:rsid w:val="004B05C7"/>
    <w:rsid w:val="004B06BE"/>
    <w:rsid w:val="004B0D68"/>
    <w:rsid w:val="004B0D6B"/>
    <w:rsid w:val="004B104D"/>
    <w:rsid w:val="004B12EC"/>
    <w:rsid w:val="004B1751"/>
    <w:rsid w:val="004B17E5"/>
    <w:rsid w:val="004B1BD6"/>
    <w:rsid w:val="004B2B69"/>
    <w:rsid w:val="004B3718"/>
    <w:rsid w:val="004B3C75"/>
    <w:rsid w:val="004B3DA9"/>
    <w:rsid w:val="004B3DBA"/>
    <w:rsid w:val="004B4328"/>
    <w:rsid w:val="004B4334"/>
    <w:rsid w:val="004B4B2D"/>
    <w:rsid w:val="004B4EBD"/>
    <w:rsid w:val="004B5944"/>
    <w:rsid w:val="004B59B8"/>
    <w:rsid w:val="004B64C3"/>
    <w:rsid w:val="004B64F3"/>
    <w:rsid w:val="004B6575"/>
    <w:rsid w:val="004B665D"/>
    <w:rsid w:val="004B668E"/>
    <w:rsid w:val="004B6AA2"/>
    <w:rsid w:val="004B6CA9"/>
    <w:rsid w:val="004B72F3"/>
    <w:rsid w:val="004B7996"/>
    <w:rsid w:val="004B7AD2"/>
    <w:rsid w:val="004B7B42"/>
    <w:rsid w:val="004C07F0"/>
    <w:rsid w:val="004C0C1B"/>
    <w:rsid w:val="004C0F08"/>
    <w:rsid w:val="004C15AC"/>
    <w:rsid w:val="004C1900"/>
    <w:rsid w:val="004C1B2A"/>
    <w:rsid w:val="004C2E62"/>
    <w:rsid w:val="004C2F5D"/>
    <w:rsid w:val="004C349B"/>
    <w:rsid w:val="004C3D91"/>
    <w:rsid w:val="004C439E"/>
    <w:rsid w:val="004C48D0"/>
    <w:rsid w:val="004C4E00"/>
    <w:rsid w:val="004C4E36"/>
    <w:rsid w:val="004C4E38"/>
    <w:rsid w:val="004C4FF5"/>
    <w:rsid w:val="004C588B"/>
    <w:rsid w:val="004C5FCB"/>
    <w:rsid w:val="004C5FFF"/>
    <w:rsid w:val="004C6196"/>
    <w:rsid w:val="004C63B0"/>
    <w:rsid w:val="004C63CC"/>
    <w:rsid w:val="004C65CB"/>
    <w:rsid w:val="004C696D"/>
    <w:rsid w:val="004C6AF7"/>
    <w:rsid w:val="004C6D64"/>
    <w:rsid w:val="004C6E1D"/>
    <w:rsid w:val="004C7335"/>
    <w:rsid w:val="004C7A0A"/>
    <w:rsid w:val="004C7F20"/>
    <w:rsid w:val="004D02B5"/>
    <w:rsid w:val="004D07B7"/>
    <w:rsid w:val="004D0DB1"/>
    <w:rsid w:val="004D10E2"/>
    <w:rsid w:val="004D1C02"/>
    <w:rsid w:val="004D232C"/>
    <w:rsid w:val="004D2535"/>
    <w:rsid w:val="004D29A1"/>
    <w:rsid w:val="004D29D2"/>
    <w:rsid w:val="004D32F8"/>
    <w:rsid w:val="004D3608"/>
    <w:rsid w:val="004D3A7D"/>
    <w:rsid w:val="004D3C6B"/>
    <w:rsid w:val="004D479C"/>
    <w:rsid w:val="004D4F02"/>
    <w:rsid w:val="004D51E2"/>
    <w:rsid w:val="004D549E"/>
    <w:rsid w:val="004D5A70"/>
    <w:rsid w:val="004D5E64"/>
    <w:rsid w:val="004D60CA"/>
    <w:rsid w:val="004D6175"/>
    <w:rsid w:val="004D6311"/>
    <w:rsid w:val="004D6390"/>
    <w:rsid w:val="004D63E0"/>
    <w:rsid w:val="004D73E8"/>
    <w:rsid w:val="004D749B"/>
    <w:rsid w:val="004E0343"/>
    <w:rsid w:val="004E03B6"/>
    <w:rsid w:val="004E0C2A"/>
    <w:rsid w:val="004E144C"/>
    <w:rsid w:val="004E14D0"/>
    <w:rsid w:val="004E18BF"/>
    <w:rsid w:val="004E21B0"/>
    <w:rsid w:val="004E2204"/>
    <w:rsid w:val="004E265C"/>
    <w:rsid w:val="004E2C12"/>
    <w:rsid w:val="004E2ED5"/>
    <w:rsid w:val="004E305D"/>
    <w:rsid w:val="004E32A7"/>
    <w:rsid w:val="004E32F4"/>
    <w:rsid w:val="004E3315"/>
    <w:rsid w:val="004E356C"/>
    <w:rsid w:val="004E37B5"/>
    <w:rsid w:val="004E384B"/>
    <w:rsid w:val="004E3894"/>
    <w:rsid w:val="004E38F0"/>
    <w:rsid w:val="004E399D"/>
    <w:rsid w:val="004E39D2"/>
    <w:rsid w:val="004E3A08"/>
    <w:rsid w:val="004E3EBF"/>
    <w:rsid w:val="004E422F"/>
    <w:rsid w:val="004E43AE"/>
    <w:rsid w:val="004E43EC"/>
    <w:rsid w:val="004E449C"/>
    <w:rsid w:val="004E4572"/>
    <w:rsid w:val="004E47E8"/>
    <w:rsid w:val="004E4A8C"/>
    <w:rsid w:val="004E4C44"/>
    <w:rsid w:val="004E4E1E"/>
    <w:rsid w:val="004E4EBE"/>
    <w:rsid w:val="004E5165"/>
    <w:rsid w:val="004E51ED"/>
    <w:rsid w:val="004E52C1"/>
    <w:rsid w:val="004E5694"/>
    <w:rsid w:val="004E5987"/>
    <w:rsid w:val="004E6374"/>
    <w:rsid w:val="004E6613"/>
    <w:rsid w:val="004E6944"/>
    <w:rsid w:val="004E756C"/>
    <w:rsid w:val="004E7CFC"/>
    <w:rsid w:val="004F0AB0"/>
    <w:rsid w:val="004F0C5F"/>
    <w:rsid w:val="004F0E20"/>
    <w:rsid w:val="004F1BCE"/>
    <w:rsid w:val="004F1BD5"/>
    <w:rsid w:val="004F1E82"/>
    <w:rsid w:val="004F1FBF"/>
    <w:rsid w:val="004F1FCC"/>
    <w:rsid w:val="004F237E"/>
    <w:rsid w:val="004F27ED"/>
    <w:rsid w:val="004F2AF4"/>
    <w:rsid w:val="004F2C65"/>
    <w:rsid w:val="004F2ECD"/>
    <w:rsid w:val="004F32D4"/>
    <w:rsid w:val="004F3622"/>
    <w:rsid w:val="004F3AE4"/>
    <w:rsid w:val="004F3B4C"/>
    <w:rsid w:val="004F3B93"/>
    <w:rsid w:val="004F3C69"/>
    <w:rsid w:val="004F3E3B"/>
    <w:rsid w:val="004F3EA1"/>
    <w:rsid w:val="004F3F1D"/>
    <w:rsid w:val="004F453F"/>
    <w:rsid w:val="004F4623"/>
    <w:rsid w:val="004F485F"/>
    <w:rsid w:val="004F4A9F"/>
    <w:rsid w:val="004F4DC0"/>
    <w:rsid w:val="004F62F1"/>
    <w:rsid w:val="004F6C26"/>
    <w:rsid w:val="004F6F0D"/>
    <w:rsid w:val="004F767B"/>
    <w:rsid w:val="004F7862"/>
    <w:rsid w:val="005003C8"/>
    <w:rsid w:val="0050093F"/>
    <w:rsid w:val="00500ABA"/>
    <w:rsid w:val="00500E13"/>
    <w:rsid w:val="00500E30"/>
    <w:rsid w:val="00500F0D"/>
    <w:rsid w:val="00500F0F"/>
    <w:rsid w:val="005011D0"/>
    <w:rsid w:val="0050173D"/>
    <w:rsid w:val="00501763"/>
    <w:rsid w:val="00501EC5"/>
    <w:rsid w:val="00502022"/>
    <w:rsid w:val="0050212C"/>
    <w:rsid w:val="0050224E"/>
    <w:rsid w:val="0050252A"/>
    <w:rsid w:val="00502802"/>
    <w:rsid w:val="00502832"/>
    <w:rsid w:val="0050284D"/>
    <w:rsid w:val="005028F7"/>
    <w:rsid w:val="00502B66"/>
    <w:rsid w:val="00502D9D"/>
    <w:rsid w:val="005030E7"/>
    <w:rsid w:val="005030EB"/>
    <w:rsid w:val="0050338E"/>
    <w:rsid w:val="005038EF"/>
    <w:rsid w:val="00503DBE"/>
    <w:rsid w:val="00504A5C"/>
    <w:rsid w:val="00504BFF"/>
    <w:rsid w:val="00504F0C"/>
    <w:rsid w:val="0050584E"/>
    <w:rsid w:val="005058F1"/>
    <w:rsid w:val="00505E98"/>
    <w:rsid w:val="00505EE2"/>
    <w:rsid w:val="00505F31"/>
    <w:rsid w:val="0050607E"/>
    <w:rsid w:val="00506325"/>
    <w:rsid w:val="005063A0"/>
    <w:rsid w:val="00506522"/>
    <w:rsid w:val="00506A07"/>
    <w:rsid w:val="00506C63"/>
    <w:rsid w:val="005072CA"/>
    <w:rsid w:val="00507515"/>
    <w:rsid w:val="00510281"/>
    <w:rsid w:val="005114FF"/>
    <w:rsid w:val="00511628"/>
    <w:rsid w:val="0051170E"/>
    <w:rsid w:val="005117E5"/>
    <w:rsid w:val="00511D4D"/>
    <w:rsid w:val="00512059"/>
    <w:rsid w:val="005124D1"/>
    <w:rsid w:val="00512686"/>
    <w:rsid w:val="005126C9"/>
    <w:rsid w:val="005128FD"/>
    <w:rsid w:val="00512AC6"/>
    <w:rsid w:val="00512BB5"/>
    <w:rsid w:val="00513B02"/>
    <w:rsid w:val="005153D1"/>
    <w:rsid w:val="00515871"/>
    <w:rsid w:val="00515C0A"/>
    <w:rsid w:val="00516307"/>
    <w:rsid w:val="00516431"/>
    <w:rsid w:val="0051663D"/>
    <w:rsid w:val="00516AED"/>
    <w:rsid w:val="005179A3"/>
    <w:rsid w:val="00517E39"/>
    <w:rsid w:val="00517FBE"/>
    <w:rsid w:val="005200F7"/>
    <w:rsid w:val="00521103"/>
    <w:rsid w:val="005213BD"/>
    <w:rsid w:val="0052140A"/>
    <w:rsid w:val="005215C8"/>
    <w:rsid w:val="00522C15"/>
    <w:rsid w:val="00523162"/>
    <w:rsid w:val="00523738"/>
    <w:rsid w:val="005237A3"/>
    <w:rsid w:val="00523849"/>
    <w:rsid w:val="00524130"/>
    <w:rsid w:val="0052464C"/>
    <w:rsid w:val="0052479E"/>
    <w:rsid w:val="00524A92"/>
    <w:rsid w:val="00524AA6"/>
    <w:rsid w:val="00524DF3"/>
    <w:rsid w:val="0052505C"/>
    <w:rsid w:val="005250EF"/>
    <w:rsid w:val="00525158"/>
    <w:rsid w:val="005259E6"/>
    <w:rsid w:val="00525BDF"/>
    <w:rsid w:val="005264B4"/>
    <w:rsid w:val="00526564"/>
    <w:rsid w:val="00526A9C"/>
    <w:rsid w:val="00526D76"/>
    <w:rsid w:val="00526D96"/>
    <w:rsid w:val="00527281"/>
    <w:rsid w:val="00527559"/>
    <w:rsid w:val="005275AC"/>
    <w:rsid w:val="00527766"/>
    <w:rsid w:val="005277A6"/>
    <w:rsid w:val="0052786C"/>
    <w:rsid w:val="00527936"/>
    <w:rsid w:val="00530194"/>
    <w:rsid w:val="00530298"/>
    <w:rsid w:val="005304E8"/>
    <w:rsid w:val="00530634"/>
    <w:rsid w:val="00530651"/>
    <w:rsid w:val="00530DE4"/>
    <w:rsid w:val="00531085"/>
    <w:rsid w:val="00531502"/>
    <w:rsid w:val="005317C7"/>
    <w:rsid w:val="00531D66"/>
    <w:rsid w:val="00531F11"/>
    <w:rsid w:val="005324AF"/>
    <w:rsid w:val="005324E1"/>
    <w:rsid w:val="00532BBE"/>
    <w:rsid w:val="00534D85"/>
    <w:rsid w:val="00534FB4"/>
    <w:rsid w:val="00535453"/>
    <w:rsid w:val="005356D4"/>
    <w:rsid w:val="00535854"/>
    <w:rsid w:val="00535B26"/>
    <w:rsid w:val="00535C52"/>
    <w:rsid w:val="00535C9D"/>
    <w:rsid w:val="00536097"/>
    <w:rsid w:val="005363DC"/>
    <w:rsid w:val="00536402"/>
    <w:rsid w:val="0053670D"/>
    <w:rsid w:val="00536C13"/>
    <w:rsid w:val="00537187"/>
    <w:rsid w:val="00537252"/>
    <w:rsid w:val="0053732E"/>
    <w:rsid w:val="0053750B"/>
    <w:rsid w:val="00540509"/>
    <w:rsid w:val="0054062F"/>
    <w:rsid w:val="00540857"/>
    <w:rsid w:val="0054096B"/>
    <w:rsid w:val="00540D59"/>
    <w:rsid w:val="0054178E"/>
    <w:rsid w:val="00541917"/>
    <w:rsid w:val="005419BC"/>
    <w:rsid w:val="00542041"/>
    <w:rsid w:val="0054222F"/>
    <w:rsid w:val="005422EE"/>
    <w:rsid w:val="00542352"/>
    <w:rsid w:val="00542422"/>
    <w:rsid w:val="00542C14"/>
    <w:rsid w:val="00542CEF"/>
    <w:rsid w:val="0054379B"/>
    <w:rsid w:val="00543DE2"/>
    <w:rsid w:val="00544036"/>
    <w:rsid w:val="00544805"/>
    <w:rsid w:val="00544D42"/>
    <w:rsid w:val="0054511A"/>
    <w:rsid w:val="00545362"/>
    <w:rsid w:val="00545BC2"/>
    <w:rsid w:val="00545D0D"/>
    <w:rsid w:val="00545D63"/>
    <w:rsid w:val="00545E1B"/>
    <w:rsid w:val="005460AF"/>
    <w:rsid w:val="00546AB4"/>
    <w:rsid w:val="00546B73"/>
    <w:rsid w:val="00546EA1"/>
    <w:rsid w:val="00547136"/>
    <w:rsid w:val="005476EA"/>
    <w:rsid w:val="00547866"/>
    <w:rsid w:val="00547BB3"/>
    <w:rsid w:val="0055050A"/>
    <w:rsid w:val="00550774"/>
    <w:rsid w:val="005516AF"/>
    <w:rsid w:val="00551710"/>
    <w:rsid w:val="00551B8C"/>
    <w:rsid w:val="00551E83"/>
    <w:rsid w:val="00551FBC"/>
    <w:rsid w:val="00552038"/>
    <w:rsid w:val="00552306"/>
    <w:rsid w:val="00552917"/>
    <w:rsid w:val="00552B89"/>
    <w:rsid w:val="00552C92"/>
    <w:rsid w:val="00553290"/>
    <w:rsid w:val="00553626"/>
    <w:rsid w:val="00553D9E"/>
    <w:rsid w:val="0055413B"/>
    <w:rsid w:val="00554515"/>
    <w:rsid w:val="0055462A"/>
    <w:rsid w:val="0055561D"/>
    <w:rsid w:val="0055590F"/>
    <w:rsid w:val="00555DE1"/>
    <w:rsid w:val="005566F0"/>
    <w:rsid w:val="0055678B"/>
    <w:rsid w:val="00556A80"/>
    <w:rsid w:val="00556EF3"/>
    <w:rsid w:val="0055715C"/>
    <w:rsid w:val="005573DE"/>
    <w:rsid w:val="005579E2"/>
    <w:rsid w:val="00557AA0"/>
    <w:rsid w:val="0056009F"/>
    <w:rsid w:val="0056066A"/>
    <w:rsid w:val="00560771"/>
    <w:rsid w:val="00560B9F"/>
    <w:rsid w:val="00561206"/>
    <w:rsid w:val="005618C1"/>
    <w:rsid w:val="00561B5C"/>
    <w:rsid w:val="00562362"/>
    <w:rsid w:val="0056353C"/>
    <w:rsid w:val="00563BEF"/>
    <w:rsid w:val="005640FA"/>
    <w:rsid w:val="005646B5"/>
    <w:rsid w:val="005649B5"/>
    <w:rsid w:val="00564BDA"/>
    <w:rsid w:val="00564F2C"/>
    <w:rsid w:val="005655FA"/>
    <w:rsid w:val="00565D95"/>
    <w:rsid w:val="00566252"/>
    <w:rsid w:val="00566415"/>
    <w:rsid w:val="00566834"/>
    <w:rsid w:val="00566D99"/>
    <w:rsid w:val="00566EF3"/>
    <w:rsid w:val="005671F0"/>
    <w:rsid w:val="00567345"/>
    <w:rsid w:val="00567708"/>
    <w:rsid w:val="00567BBC"/>
    <w:rsid w:val="00567D1E"/>
    <w:rsid w:val="00567E8E"/>
    <w:rsid w:val="00570276"/>
    <w:rsid w:val="0057038A"/>
    <w:rsid w:val="005706C2"/>
    <w:rsid w:val="00570A51"/>
    <w:rsid w:val="00570A7A"/>
    <w:rsid w:val="00571EDA"/>
    <w:rsid w:val="005720F4"/>
    <w:rsid w:val="00572C55"/>
    <w:rsid w:val="00572EF1"/>
    <w:rsid w:val="00572F04"/>
    <w:rsid w:val="00573292"/>
    <w:rsid w:val="005736E6"/>
    <w:rsid w:val="005738F3"/>
    <w:rsid w:val="005747D2"/>
    <w:rsid w:val="00574804"/>
    <w:rsid w:val="005748C0"/>
    <w:rsid w:val="00574C6C"/>
    <w:rsid w:val="00574CA3"/>
    <w:rsid w:val="00574EB9"/>
    <w:rsid w:val="00574ED0"/>
    <w:rsid w:val="0057531C"/>
    <w:rsid w:val="005755B2"/>
    <w:rsid w:val="00575B9F"/>
    <w:rsid w:val="00575C9F"/>
    <w:rsid w:val="00575D6C"/>
    <w:rsid w:val="00576673"/>
    <w:rsid w:val="00576742"/>
    <w:rsid w:val="00576BE6"/>
    <w:rsid w:val="00576DEB"/>
    <w:rsid w:val="005772F8"/>
    <w:rsid w:val="0057778E"/>
    <w:rsid w:val="00577844"/>
    <w:rsid w:val="00577883"/>
    <w:rsid w:val="005779F9"/>
    <w:rsid w:val="00577E47"/>
    <w:rsid w:val="00577FD5"/>
    <w:rsid w:val="00580751"/>
    <w:rsid w:val="005811A6"/>
    <w:rsid w:val="00581258"/>
    <w:rsid w:val="00581470"/>
    <w:rsid w:val="005816EB"/>
    <w:rsid w:val="0058225D"/>
    <w:rsid w:val="00582ADD"/>
    <w:rsid w:val="00582BC3"/>
    <w:rsid w:val="00583485"/>
    <w:rsid w:val="00584700"/>
    <w:rsid w:val="005851DD"/>
    <w:rsid w:val="005852AA"/>
    <w:rsid w:val="005854B4"/>
    <w:rsid w:val="00585BA5"/>
    <w:rsid w:val="00585C1B"/>
    <w:rsid w:val="005862DC"/>
    <w:rsid w:val="005868E2"/>
    <w:rsid w:val="00586D7E"/>
    <w:rsid w:val="00587A69"/>
    <w:rsid w:val="00587B42"/>
    <w:rsid w:val="00587C71"/>
    <w:rsid w:val="00587EC1"/>
    <w:rsid w:val="00587F44"/>
    <w:rsid w:val="00587FA7"/>
    <w:rsid w:val="005900B7"/>
    <w:rsid w:val="00590286"/>
    <w:rsid w:val="0059066B"/>
    <w:rsid w:val="00590FF3"/>
    <w:rsid w:val="00591217"/>
    <w:rsid w:val="00591D5D"/>
    <w:rsid w:val="00592130"/>
    <w:rsid w:val="0059225F"/>
    <w:rsid w:val="005928F4"/>
    <w:rsid w:val="00592ACC"/>
    <w:rsid w:val="00592C02"/>
    <w:rsid w:val="00593B1F"/>
    <w:rsid w:val="00593D29"/>
    <w:rsid w:val="0059425B"/>
    <w:rsid w:val="0059470F"/>
    <w:rsid w:val="005947D6"/>
    <w:rsid w:val="00594917"/>
    <w:rsid w:val="00594DA8"/>
    <w:rsid w:val="0059538C"/>
    <w:rsid w:val="00595397"/>
    <w:rsid w:val="005958B6"/>
    <w:rsid w:val="005958E5"/>
    <w:rsid w:val="00595978"/>
    <w:rsid w:val="00595C8E"/>
    <w:rsid w:val="005962AF"/>
    <w:rsid w:val="00596BA7"/>
    <w:rsid w:val="00597300"/>
    <w:rsid w:val="00597B0A"/>
    <w:rsid w:val="00597E57"/>
    <w:rsid w:val="005A003E"/>
    <w:rsid w:val="005A0084"/>
    <w:rsid w:val="005A03D2"/>
    <w:rsid w:val="005A07F2"/>
    <w:rsid w:val="005A084A"/>
    <w:rsid w:val="005A0DA6"/>
    <w:rsid w:val="005A123D"/>
    <w:rsid w:val="005A128A"/>
    <w:rsid w:val="005A1548"/>
    <w:rsid w:val="005A1A14"/>
    <w:rsid w:val="005A1BC7"/>
    <w:rsid w:val="005A1C72"/>
    <w:rsid w:val="005A1DAC"/>
    <w:rsid w:val="005A2077"/>
    <w:rsid w:val="005A2166"/>
    <w:rsid w:val="005A257A"/>
    <w:rsid w:val="005A276C"/>
    <w:rsid w:val="005A2830"/>
    <w:rsid w:val="005A2E7C"/>
    <w:rsid w:val="005A2F76"/>
    <w:rsid w:val="005A2FE5"/>
    <w:rsid w:val="005A5336"/>
    <w:rsid w:val="005A5806"/>
    <w:rsid w:val="005A59A0"/>
    <w:rsid w:val="005A5B1A"/>
    <w:rsid w:val="005A6A63"/>
    <w:rsid w:val="005A6A75"/>
    <w:rsid w:val="005A6B8C"/>
    <w:rsid w:val="005A6CC1"/>
    <w:rsid w:val="005A6EA1"/>
    <w:rsid w:val="005A73A8"/>
    <w:rsid w:val="005A75A3"/>
    <w:rsid w:val="005A78C6"/>
    <w:rsid w:val="005A7DFB"/>
    <w:rsid w:val="005A7FB9"/>
    <w:rsid w:val="005B0211"/>
    <w:rsid w:val="005B054E"/>
    <w:rsid w:val="005B071B"/>
    <w:rsid w:val="005B1313"/>
    <w:rsid w:val="005B1782"/>
    <w:rsid w:val="005B1B46"/>
    <w:rsid w:val="005B1E65"/>
    <w:rsid w:val="005B2170"/>
    <w:rsid w:val="005B2229"/>
    <w:rsid w:val="005B22EF"/>
    <w:rsid w:val="005B261E"/>
    <w:rsid w:val="005B2B5F"/>
    <w:rsid w:val="005B2E4C"/>
    <w:rsid w:val="005B2E8B"/>
    <w:rsid w:val="005B2EBC"/>
    <w:rsid w:val="005B3126"/>
    <w:rsid w:val="005B331A"/>
    <w:rsid w:val="005B3483"/>
    <w:rsid w:val="005B3C08"/>
    <w:rsid w:val="005B400C"/>
    <w:rsid w:val="005B426F"/>
    <w:rsid w:val="005B4435"/>
    <w:rsid w:val="005B446D"/>
    <w:rsid w:val="005B475D"/>
    <w:rsid w:val="005B4AEE"/>
    <w:rsid w:val="005B4C3B"/>
    <w:rsid w:val="005B5536"/>
    <w:rsid w:val="005B55B4"/>
    <w:rsid w:val="005B570B"/>
    <w:rsid w:val="005B626D"/>
    <w:rsid w:val="005B63CD"/>
    <w:rsid w:val="005B6A18"/>
    <w:rsid w:val="005B6D08"/>
    <w:rsid w:val="005B7022"/>
    <w:rsid w:val="005B7117"/>
    <w:rsid w:val="005B79D9"/>
    <w:rsid w:val="005B7C28"/>
    <w:rsid w:val="005B7CC6"/>
    <w:rsid w:val="005B7DEA"/>
    <w:rsid w:val="005B7DED"/>
    <w:rsid w:val="005C00D7"/>
    <w:rsid w:val="005C00FE"/>
    <w:rsid w:val="005C01DC"/>
    <w:rsid w:val="005C0EDA"/>
    <w:rsid w:val="005C192F"/>
    <w:rsid w:val="005C1990"/>
    <w:rsid w:val="005C1AA8"/>
    <w:rsid w:val="005C1D66"/>
    <w:rsid w:val="005C26A3"/>
    <w:rsid w:val="005C2B2B"/>
    <w:rsid w:val="005C2C49"/>
    <w:rsid w:val="005C3E81"/>
    <w:rsid w:val="005C3FAA"/>
    <w:rsid w:val="005C4066"/>
    <w:rsid w:val="005C4455"/>
    <w:rsid w:val="005C452F"/>
    <w:rsid w:val="005C4A9C"/>
    <w:rsid w:val="005C4B9E"/>
    <w:rsid w:val="005C4F00"/>
    <w:rsid w:val="005C5756"/>
    <w:rsid w:val="005C5A5B"/>
    <w:rsid w:val="005C5A6F"/>
    <w:rsid w:val="005C60F6"/>
    <w:rsid w:val="005C6257"/>
    <w:rsid w:val="005C6402"/>
    <w:rsid w:val="005C69D1"/>
    <w:rsid w:val="005C6A95"/>
    <w:rsid w:val="005C6B00"/>
    <w:rsid w:val="005C6E5D"/>
    <w:rsid w:val="005C79BA"/>
    <w:rsid w:val="005C7E97"/>
    <w:rsid w:val="005D0429"/>
    <w:rsid w:val="005D05B2"/>
    <w:rsid w:val="005D0A86"/>
    <w:rsid w:val="005D0F2E"/>
    <w:rsid w:val="005D10D2"/>
    <w:rsid w:val="005D1222"/>
    <w:rsid w:val="005D16A6"/>
    <w:rsid w:val="005D1882"/>
    <w:rsid w:val="005D199B"/>
    <w:rsid w:val="005D1B24"/>
    <w:rsid w:val="005D1C68"/>
    <w:rsid w:val="005D1D81"/>
    <w:rsid w:val="005D2A13"/>
    <w:rsid w:val="005D2BC8"/>
    <w:rsid w:val="005D2C30"/>
    <w:rsid w:val="005D2CB5"/>
    <w:rsid w:val="005D30CF"/>
    <w:rsid w:val="005D35B8"/>
    <w:rsid w:val="005D3742"/>
    <w:rsid w:val="005D3D71"/>
    <w:rsid w:val="005D3D80"/>
    <w:rsid w:val="005D3DEF"/>
    <w:rsid w:val="005D4216"/>
    <w:rsid w:val="005D42FA"/>
    <w:rsid w:val="005D4344"/>
    <w:rsid w:val="005D445D"/>
    <w:rsid w:val="005D462B"/>
    <w:rsid w:val="005D4704"/>
    <w:rsid w:val="005D4954"/>
    <w:rsid w:val="005D49E0"/>
    <w:rsid w:val="005D5122"/>
    <w:rsid w:val="005D51FA"/>
    <w:rsid w:val="005D558E"/>
    <w:rsid w:val="005D57E4"/>
    <w:rsid w:val="005D5AC8"/>
    <w:rsid w:val="005D5AD7"/>
    <w:rsid w:val="005D62C3"/>
    <w:rsid w:val="005D65ED"/>
    <w:rsid w:val="005D666F"/>
    <w:rsid w:val="005D6A00"/>
    <w:rsid w:val="005D72AA"/>
    <w:rsid w:val="005D74E6"/>
    <w:rsid w:val="005D780B"/>
    <w:rsid w:val="005E01EA"/>
    <w:rsid w:val="005E03A1"/>
    <w:rsid w:val="005E03E9"/>
    <w:rsid w:val="005E1053"/>
    <w:rsid w:val="005E12B8"/>
    <w:rsid w:val="005E13D9"/>
    <w:rsid w:val="005E189E"/>
    <w:rsid w:val="005E1999"/>
    <w:rsid w:val="005E1B96"/>
    <w:rsid w:val="005E1D8D"/>
    <w:rsid w:val="005E22BA"/>
    <w:rsid w:val="005E2512"/>
    <w:rsid w:val="005E2D8B"/>
    <w:rsid w:val="005E39D4"/>
    <w:rsid w:val="005E4848"/>
    <w:rsid w:val="005E4BFF"/>
    <w:rsid w:val="005E4E90"/>
    <w:rsid w:val="005E5567"/>
    <w:rsid w:val="005E5C86"/>
    <w:rsid w:val="005E5FEB"/>
    <w:rsid w:val="005E643A"/>
    <w:rsid w:val="005E66DC"/>
    <w:rsid w:val="005E7136"/>
    <w:rsid w:val="005E71FD"/>
    <w:rsid w:val="005E76DE"/>
    <w:rsid w:val="005E7A9F"/>
    <w:rsid w:val="005E7B0F"/>
    <w:rsid w:val="005E7E2C"/>
    <w:rsid w:val="005F067C"/>
    <w:rsid w:val="005F067E"/>
    <w:rsid w:val="005F0A8C"/>
    <w:rsid w:val="005F0C50"/>
    <w:rsid w:val="005F14D3"/>
    <w:rsid w:val="005F1AE0"/>
    <w:rsid w:val="005F23A5"/>
    <w:rsid w:val="005F24D3"/>
    <w:rsid w:val="005F2521"/>
    <w:rsid w:val="005F25CF"/>
    <w:rsid w:val="005F2C1A"/>
    <w:rsid w:val="005F2E53"/>
    <w:rsid w:val="005F31FA"/>
    <w:rsid w:val="005F3857"/>
    <w:rsid w:val="005F3A40"/>
    <w:rsid w:val="005F3DD8"/>
    <w:rsid w:val="005F3EE6"/>
    <w:rsid w:val="005F4004"/>
    <w:rsid w:val="005F460F"/>
    <w:rsid w:val="005F4ED7"/>
    <w:rsid w:val="005F52B6"/>
    <w:rsid w:val="005F56FA"/>
    <w:rsid w:val="005F5C3A"/>
    <w:rsid w:val="005F5E72"/>
    <w:rsid w:val="005F5F65"/>
    <w:rsid w:val="005F61DD"/>
    <w:rsid w:val="005F64DA"/>
    <w:rsid w:val="005F6989"/>
    <w:rsid w:val="005F6AA8"/>
    <w:rsid w:val="005F6BC9"/>
    <w:rsid w:val="005F6D1A"/>
    <w:rsid w:val="005F6E49"/>
    <w:rsid w:val="005F6E76"/>
    <w:rsid w:val="005F7895"/>
    <w:rsid w:val="005F78F5"/>
    <w:rsid w:val="006006E6"/>
    <w:rsid w:val="0060084D"/>
    <w:rsid w:val="00600993"/>
    <w:rsid w:val="00600D0C"/>
    <w:rsid w:val="00600EA8"/>
    <w:rsid w:val="00601027"/>
    <w:rsid w:val="00601061"/>
    <w:rsid w:val="0060149C"/>
    <w:rsid w:val="006018C7"/>
    <w:rsid w:val="00601C53"/>
    <w:rsid w:val="00601DB9"/>
    <w:rsid w:val="00601EAA"/>
    <w:rsid w:val="00602267"/>
    <w:rsid w:val="00602AD4"/>
    <w:rsid w:val="00602C10"/>
    <w:rsid w:val="00602E3F"/>
    <w:rsid w:val="006031A3"/>
    <w:rsid w:val="006032B2"/>
    <w:rsid w:val="00603494"/>
    <w:rsid w:val="00603C1D"/>
    <w:rsid w:val="00603FCC"/>
    <w:rsid w:val="0060422E"/>
    <w:rsid w:val="006043F0"/>
    <w:rsid w:val="006048B0"/>
    <w:rsid w:val="00604E82"/>
    <w:rsid w:val="0060563D"/>
    <w:rsid w:val="0060598F"/>
    <w:rsid w:val="00605BF3"/>
    <w:rsid w:val="00606049"/>
    <w:rsid w:val="00606192"/>
    <w:rsid w:val="00606847"/>
    <w:rsid w:val="0060743D"/>
    <w:rsid w:val="00607B66"/>
    <w:rsid w:val="0061024B"/>
    <w:rsid w:val="00610372"/>
    <w:rsid w:val="0061061A"/>
    <w:rsid w:val="0061065E"/>
    <w:rsid w:val="006110F9"/>
    <w:rsid w:val="00611189"/>
    <w:rsid w:val="006112B7"/>
    <w:rsid w:val="00612061"/>
    <w:rsid w:val="0061299E"/>
    <w:rsid w:val="00612B75"/>
    <w:rsid w:val="00613219"/>
    <w:rsid w:val="006138ED"/>
    <w:rsid w:val="00613B10"/>
    <w:rsid w:val="006141B5"/>
    <w:rsid w:val="006148B7"/>
    <w:rsid w:val="00614EE0"/>
    <w:rsid w:val="00614FA5"/>
    <w:rsid w:val="00615519"/>
    <w:rsid w:val="00615614"/>
    <w:rsid w:val="00615754"/>
    <w:rsid w:val="006157EC"/>
    <w:rsid w:val="006159AF"/>
    <w:rsid w:val="006166F0"/>
    <w:rsid w:val="00616771"/>
    <w:rsid w:val="00616796"/>
    <w:rsid w:val="00616AE0"/>
    <w:rsid w:val="00616AF5"/>
    <w:rsid w:val="00616CD7"/>
    <w:rsid w:val="00616ECA"/>
    <w:rsid w:val="00617458"/>
    <w:rsid w:val="006174D9"/>
    <w:rsid w:val="00617F97"/>
    <w:rsid w:val="00620256"/>
    <w:rsid w:val="006202D5"/>
    <w:rsid w:val="00620D4E"/>
    <w:rsid w:val="00621191"/>
    <w:rsid w:val="0062184D"/>
    <w:rsid w:val="00621952"/>
    <w:rsid w:val="00621E7A"/>
    <w:rsid w:val="006227C5"/>
    <w:rsid w:val="00622946"/>
    <w:rsid w:val="00622AFE"/>
    <w:rsid w:val="00623687"/>
    <w:rsid w:val="006237A2"/>
    <w:rsid w:val="00623B28"/>
    <w:rsid w:val="00624589"/>
    <w:rsid w:val="00624DD1"/>
    <w:rsid w:val="006250CE"/>
    <w:rsid w:val="00625F01"/>
    <w:rsid w:val="0062631A"/>
    <w:rsid w:val="00626429"/>
    <w:rsid w:val="00626504"/>
    <w:rsid w:val="00626708"/>
    <w:rsid w:val="00627512"/>
    <w:rsid w:val="00627AA6"/>
    <w:rsid w:val="00630545"/>
    <w:rsid w:val="00630733"/>
    <w:rsid w:val="00630A34"/>
    <w:rsid w:val="00631005"/>
    <w:rsid w:val="00631314"/>
    <w:rsid w:val="00631914"/>
    <w:rsid w:val="00631F71"/>
    <w:rsid w:val="00632316"/>
    <w:rsid w:val="00632432"/>
    <w:rsid w:val="00632494"/>
    <w:rsid w:val="0063279B"/>
    <w:rsid w:val="00632951"/>
    <w:rsid w:val="00632D25"/>
    <w:rsid w:val="00633429"/>
    <w:rsid w:val="00633721"/>
    <w:rsid w:val="00633812"/>
    <w:rsid w:val="006338CE"/>
    <w:rsid w:val="0063395C"/>
    <w:rsid w:val="00633961"/>
    <w:rsid w:val="00633B0C"/>
    <w:rsid w:val="00633C2D"/>
    <w:rsid w:val="00633CDF"/>
    <w:rsid w:val="006343EC"/>
    <w:rsid w:val="006344CF"/>
    <w:rsid w:val="00634A2D"/>
    <w:rsid w:val="00634CF2"/>
    <w:rsid w:val="00634DF4"/>
    <w:rsid w:val="0063513D"/>
    <w:rsid w:val="00635379"/>
    <w:rsid w:val="006353B6"/>
    <w:rsid w:val="006353BC"/>
    <w:rsid w:val="0063585C"/>
    <w:rsid w:val="006358E0"/>
    <w:rsid w:val="00636666"/>
    <w:rsid w:val="00636C39"/>
    <w:rsid w:val="00636CC0"/>
    <w:rsid w:val="00636E05"/>
    <w:rsid w:val="0063704F"/>
    <w:rsid w:val="00637273"/>
    <w:rsid w:val="0063730C"/>
    <w:rsid w:val="006373A5"/>
    <w:rsid w:val="00637658"/>
    <w:rsid w:val="006378D6"/>
    <w:rsid w:val="00640727"/>
    <w:rsid w:val="00640C19"/>
    <w:rsid w:val="00640D0B"/>
    <w:rsid w:val="00640D53"/>
    <w:rsid w:val="00640F59"/>
    <w:rsid w:val="006412F3"/>
    <w:rsid w:val="006413CA"/>
    <w:rsid w:val="006419AC"/>
    <w:rsid w:val="00641CCF"/>
    <w:rsid w:val="00641FF5"/>
    <w:rsid w:val="006420C4"/>
    <w:rsid w:val="006426AB"/>
    <w:rsid w:val="006426BC"/>
    <w:rsid w:val="00642B5D"/>
    <w:rsid w:val="00642C34"/>
    <w:rsid w:val="00642D79"/>
    <w:rsid w:val="00643689"/>
    <w:rsid w:val="006438AC"/>
    <w:rsid w:val="00643C80"/>
    <w:rsid w:val="00644979"/>
    <w:rsid w:val="00644AD0"/>
    <w:rsid w:val="00644E4F"/>
    <w:rsid w:val="00646056"/>
    <w:rsid w:val="006463BB"/>
    <w:rsid w:val="00646CAA"/>
    <w:rsid w:val="006473AD"/>
    <w:rsid w:val="0064755F"/>
    <w:rsid w:val="006476BB"/>
    <w:rsid w:val="006479BB"/>
    <w:rsid w:val="00647BEA"/>
    <w:rsid w:val="006500FE"/>
    <w:rsid w:val="006503E5"/>
    <w:rsid w:val="00650B66"/>
    <w:rsid w:val="00650C12"/>
    <w:rsid w:val="00650E7F"/>
    <w:rsid w:val="00651390"/>
    <w:rsid w:val="00651496"/>
    <w:rsid w:val="00651566"/>
    <w:rsid w:val="00651B2F"/>
    <w:rsid w:val="00651B9B"/>
    <w:rsid w:val="00651E02"/>
    <w:rsid w:val="00651FC7"/>
    <w:rsid w:val="00652326"/>
    <w:rsid w:val="00652671"/>
    <w:rsid w:val="006526F7"/>
    <w:rsid w:val="00652702"/>
    <w:rsid w:val="00652928"/>
    <w:rsid w:val="00653177"/>
    <w:rsid w:val="0065317A"/>
    <w:rsid w:val="006536C1"/>
    <w:rsid w:val="006538DB"/>
    <w:rsid w:val="00653E39"/>
    <w:rsid w:val="00654813"/>
    <w:rsid w:val="00655027"/>
    <w:rsid w:val="00655059"/>
    <w:rsid w:val="00656644"/>
    <w:rsid w:val="00656817"/>
    <w:rsid w:val="006570D5"/>
    <w:rsid w:val="0065782A"/>
    <w:rsid w:val="00657F26"/>
    <w:rsid w:val="00657FB4"/>
    <w:rsid w:val="00660089"/>
    <w:rsid w:val="00660385"/>
    <w:rsid w:val="006608BA"/>
    <w:rsid w:val="00660C06"/>
    <w:rsid w:val="00661105"/>
    <w:rsid w:val="0066117C"/>
    <w:rsid w:val="00661630"/>
    <w:rsid w:val="00661973"/>
    <w:rsid w:val="00661C51"/>
    <w:rsid w:val="00661E36"/>
    <w:rsid w:val="00661F67"/>
    <w:rsid w:val="00662231"/>
    <w:rsid w:val="00662F59"/>
    <w:rsid w:val="00662FBE"/>
    <w:rsid w:val="00663241"/>
    <w:rsid w:val="00663374"/>
    <w:rsid w:val="00663FB1"/>
    <w:rsid w:val="006647AB"/>
    <w:rsid w:val="00665020"/>
    <w:rsid w:val="0066503D"/>
    <w:rsid w:val="006658AA"/>
    <w:rsid w:val="00665EDE"/>
    <w:rsid w:val="006662F0"/>
    <w:rsid w:val="006668BA"/>
    <w:rsid w:val="00666C0D"/>
    <w:rsid w:val="00666C27"/>
    <w:rsid w:val="00666FA5"/>
    <w:rsid w:val="006674E4"/>
    <w:rsid w:val="0066771A"/>
    <w:rsid w:val="006678AD"/>
    <w:rsid w:val="00667BF2"/>
    <w:rsid w:val="00667D33"/>
    <w:rsid w:val="00667D6D"/>
    <w:rsid w:val="00667E06"/>
    <w:rsid w:val="00667FA7"/>
    <w:rsid w:val="00670290"/>
    <w:rsid w:val="00670A17"/>
    <w:rsid w:val="00670B31"/>
    <w:rsid w:val="00671051"/>
    <w:rsid w:val="006719BD"/>
    <w:rsid w:val="00671BC0"/>
    <w:rsid w:val="00671C63"/>
    <w:rsid w:val="0067211A"/>
    <w:rsid w:val="006725C7"/>
    <w:rsid w:val="00672CF8"/>
    <w:rsid w:val="00673719"/>
    <w:rsid w:val="00673F6B"/>
    <w:rsid w:val="00674425"/>
    <w:rsid w:val="00674ADC"/>
    <w:rsid w:val="00674B03"/>
    <w:rsid w:val="00674E45"/>
    <w:rsid w:val="00675669"/>
    <w:rsid w:val="006757C0"/>
    <w:rsid w:val="0067581C"/>
    <w:rsid w:val="00675A89"/>
    <w:rsid w:val="006765D6"/>
    <w:rsid w:val="0067712C"/>
    <w:rsid w:val="0067762E"/>
    <w:rsid w:val="00677A49"/>
    <w:rsid w:val="00677E43"/>
    <w:rsid w:val="0068019E"/>
    <w:rsid w:val="0068032E"/>
    <w:rsid w:val="00680446"/>
    <w:rsid w:val="00680A0A"/>
    <w:rsid w:val="00680F77"/>
    <w:rsid w:val="006818D1"/>
    <w:rsid w:val="00681A07"/>
    <w:rsid w:val="00681B15"/>
    <w:rsid w:val="00681F56"/>
    <w:rsid w:val="00682296"/>
    <w:rsid w:val="006822C0"/>
    <w:rsid w:val="00682742"/>
    <w:rsid w:val="00682D5C"/>
    <w:rsid w:val="00682DC8"/>
    <w:rsid w:val="00682DE9"/>
    <w:rsid w:val="00682EE0"/>
    <w:rsid w:val="006831C9"/>
    <w:rsid w:val="006836D7"/>
    <w:rsid w:val="00683B2D"/>
    <w:rsid w:val="00683EA0"/>
    <w:rsid w:val="0068426E"/>
    <w:rsid w:val="00684C02"/>
    <w:rsid w:val="00685012"/>
    <w:rsid w:val="00685039"/>
    <w:rsid w:val="00685A52"/>
    <w:rsid w:val="0068608A"/>
    <w:rsid w:val="006861CE"/>
    <w:rsid w:val="006869FE"/>
    <w:rsid w:val="00686A7F"/>
    <w:rsid w:val="00686B18"/>
    <w:rsid w:val="006875C5"/>
    <w:rsid w:val="006903BF"/>
    <w:rsid w:val="0069090B"/>
    <w:rsid w:val="00691065"/>
    <w:rsid w:val="006911BE"/>
    <w:rsid w:val="006915A3"/>
    <w:rsid w:val="00691961"/>
    <w:rsid w:val="006919C5"/>
    <w:rsid w:val="00691F0D"/>
    <w:rsid w:val="00692D18"/>
    <w:rsid w:val="006931AC"/>
    <w:rsid w:val="00693954"/>
    <w:rsid w:val="00693C58"/>
    <w:rsid w:val="00693E17"/>
    <w:rsid w:val="00694416"/>
    <w:rsid w:val="00694BCF"/>
    <w:rsid w:val="006951B9"/>
    <w:rsid w:val="00695513"/>
    <w:rsid w:val="006960E8"/>
    <w:rsid w:val="0069634B"/>
    <w:rsid w:val="00696508"/>
    <w:rsid w:val="00696DE7"/>
    <w:rsid w:val="00697366"/>
    <w:rsid w:val="00697442"/>
    <w:rsid w:val="00697BA6"/>
    <w:rsid w:val="00697C02"/>
    <w:rsid w:val="00697CBA"/>
    <w:rsid w:val="00697FE7"/>
    <w:rsid w:val="006A0790"/>
    <w:rsid w:val="006A0D84"/>
    <w:rsid w:val="006A0E1F"/>
    <w:rsid w:val="006A112E"/>
    <w:rsid w:val="006A11E1"/>
    <w:rsid w:val="006A1561"/>
    <w:rsid w:val="006A174F"/>
    <w:rsid w:val="006A1EE7"/>
    <w:rsid w:val="006A26A6"/>
    <w:rsid w:val="006A2E5D"/>
    <w:rsid w:val="006A2FC2"/>
    <w:rsid w:val="006A3031"/>
    <w:rsid w:val="006A3473"/>
    <w:rsid w:val="006A35F8"/>
    <w:rsid w:val="006A3683"/>
    <w:rsid w:val="006A3A97"/>
    <w:rsid w:val="006A3EF9"/>
    <w:rsid w:val="006A430A"/>
    <w:rsid w:val="006A4844"/>
    <w:rsid w:val="006A4DE1"/>
    <w:rsid w:val="006A4E33"/>
    <w:rsid w:val="006A4ED1"/>
    <w:rsid w:val="006A5290"/>
    <w:rsid w:val="006A5323"/>
    <w:rsid w:val="006A5388"/>
    <w:rsid w:val="006A5683"/>
    <w:rsid w:val="006A58E1"/>
    <w:rsid w:val="006A5D51"/>
    <w:rsid w:val="006A65CF"/>
    <w:rsid w:val="006A6635"/>
    <w:rsid w:val="006A687C"/>
    <w:rsid w:val="006A68FE"/>
    <w:rsid w:val="006A6BF0"/>
    <w:rsid w:val="006A70B5"/>
    <w:rsid w:val="006A73CD"/>
    <w:rsid w:val="006A75E4"/>
    <w:rsid w:val="006A7BCB"/>
    <w:rsid w:val="006A7C74"/>
    <w:rsid w:val="006A7FB7"/>
    <w:rsid w:val="006B09F9"/>
    <w:rsid w:val="006B0D12"/>
    <w:rsid w:val="006B0E0B"/>
    <w:rsid w:val="006B0F5B"/>
    <w:rsid w:val="006B106A"/>
    <w:rsid w:val="006B10C2"/>
    <w:rsid w:val="006B127E"/>
    <w:rsid w:val="006B1294"/>
    <w:rsid w:val="006B15E7"/>
    <w:rsid w:val="006B1C41"/>
    <w:rsid w:val="006B2569"/>
    <w:rsid w:val="006B266A"/>
    <w:rsid w:val="006B27CD"/>
    <w:rsid w:val="006B2E37"/>
    <w:rsid w:val="006B3378"/>
    <w:rsid w:val="006B33AD"/>
    <w:rsid w:val="006B3696"/>
    <w:rsid w:val="006B44D1"/>
    <w:rsid w:val="006B4709"/>
    <w:rsid w:val="006B49E9"/>
    <w:rsid w:val="006B517E"/>
    <w:rsid w:val="006B5273"/>
    <w:rsid w:val="006B5600"/>
    <w:rsid w:val="006B5DDF"/>
    <w:rsid w:val="006B632D"/>
    <w:rsid w:val="006B655C"/>
    <w:rsid w:val="006B72D4"/>
    <w:rsid w:val="006B7474"/>
    <w:rsid w:val="006B7B51"/>
    <w:rsid w:val="006B7E15"/>
    <w:rsid w:val="006B7F3C"/>
    <w:rsid w:val="006C02D3"/>
    <w:rsid w:val="006C0526"/>
    <w:rsid w:val="006C09B4"/>
    <w:rsid w:val="006C0D40"/>
    <w:rsid w:val="006C0EA7"/>
    <w:rsid w:val="006C1094"/>
    <w:rsid w:val="006C1255"/>
    <w:rsid w:val="006C145F"/>
    <w:rsid w:val="006C1B52"/>
    <w:rsid w:val="006C1B95"/>
    <w:rsid w:val="006C20DB"/>
    <w:rsid w:val="006C24E7"/>
    <w:rsid w:val="006C2A21"/>
    <w:rsid w:val="006C34B8"/>
    <w:rsid w:val="006C3691"/>
    <w:rsid w:val="006C3865"/>
    <w:rsid w:val="006C411D"/>
    <w:rsid w:val="006C4988"/>
    <w:rsid w:val="006C4B6C"/>
    <w:rsid w:val="006C4E18"/>
    <w:rsid w:val="006C50E4"/>
    <w:rsid w:val="006C5142"/>
    <w:rsid w:val="006C5183"/>
    <w:rsid w:val="006C51F8"/>
    <w:rsid w:val="006C5597"/>
    <w:rsid w:val="006C56FF"/>
    <w:rsid w:val="006C57C9"/>
    <w:rsid w:val="006C621C"/>
    <w:rsid w:val="006C65EC"/>
    <w:rsid w:val="006C6D34"/>
    <w:rsid w:val="006C7673"/>
    <w:rsid w:val="006C77B1"/>
    <w:rsid w:val="006C78E8"/>
    <w:rsid w:val="006D0AF6"/>
    <w:rsid w:val="006D0C03"/>
    <w:rsid w:val="006D0D29"/>
    <w:rsid w:val="006D0DD8"/>
    <w:rsid w:val="006D14CE"/>
    <w:rsid w:val="006D17D9"/>
    <w:rsid w:val="006D18E0"/>
    <w:rsid w:val="006D1A4B"/>
    <w:rsid w:val="006D1D78"/>
    <w:rsid w:val="006D225E"/>
    <w:rsid w:val="006D23F9"/>
    <w:rsid w:val="006D263F"/>
    <w:rsid w:val="006D2AE6"/>
    <w:rsid w:val="006D2BF6"/>
    <w:rsid w:val="006D2D18"/>
    <w:rsid w:val="006D2D46"/>
    <w:rsid w:val="006D2E93"/>
    <w:rsid w:val="006D3096"/>
    <w:rsid w:val="006D30BE"/>
    <w:rsid w:val="006D3682"/>
    <w:rsid w:val="006D4C7F"/>
    <w:rsid w:val="006D4F27"/>
    <w:rsid w:val="006D5091"/>
    <w:rsid w:val="006D5975"/>
    <w:rsid w:val="006D5F10"/>
    <w:rsid w:val="006D600E"/>
    <w:rsid w:val="006D60C6"/>
    <w:rsid w:val="006D6234"/>
    <w:rsid w:val="006D6843"/>
    <w:rsid w:val="006D6A7E"/>
    <w:rsid w:val="006D6C3C"/>
    <w:rsid w:val="006E0095"/>
    <w:rsid w:val="006E0858"/>
    <w:rsid w:val="006E09FB"/>
    <w:rsid w:val="006E0B58"/>
    <w:rsid w:val="006E1269"/>
    <w:rsid w:val="006E18CB"/>
    <w:rsid w:val="006E27AF"/>
    <w:rsid w:val="006E2BD8"/>
    <w:rsid w:val="006E2D2A"/>
    <w:rsid w:val="006E3472"/>
    <w:rsid w:val="006E368F"/>
    <w:rsid w:val="006E3C38"/>
    <w:rsid w:val="006E3F01"/>
    <w:rsid w:val="006E43C3"/>
    <w:rsid w:val="006E48D3"/>
    <w:rsid w:val="006E4CE3"/>
    <w:rsid w:val="006E4D79"/>
    <w:rsid w:val="006E4DD4"/>
    <w:rsid w:val="006E5193"/>
    <w:rsid w:val="006E555B"/>
    <w:rsid w:val="006E5BBE"/>
    <w:rsid w:val="006E5D93"/>
    <w:rsid w:val="006E5DF5"/>
    <w:rsid w:val="006E6561"/>
    <w:rsid w:val="006E6571"/>
    <w:rsid w:val="006E7029"/>
    <w:rsid w:val="006E709C"/>
    <w:rsid w:val="006E7A78"/>
    <w:rsid w:val="006F00AF"/>
    <w:rsid w:val="006F052B"/>
    <w:rsid w:val="006F0E17"/>
    <w:rsid w:val="006F0F92"/>
    <w:rsid w:val="006F1050"/>
    <w:rsid w:val="006F129C"/>
    <w:rsid w:val="006F1354"/>
    <w:rsid w:val="006F2266"/>
    <w:rsid w:val="006F22CB"/>
    <w:rsid w:val="006F2C03"/>
    <w:rsid w:val="006F2C94"/>
    <w:rsid w:val="006F30F0"/>
    <w:rsid w:val="006F36F5"/>
    <w:rsid w:val="006F4435"/>
    <w:rsid w:val="006F4722"/>
    <w:rsid w:val="006F4D49"/>
    <w:rsid w:val="006F4D7C"/>
    <w:rsid w:val="006F51C6"/>
    <w:rsid w:val="006F527D"/>
    <w:rsid w:val="006F56F2"/>
    <w:rsid w:val="006F5729"/>
    <w:rsid w:val="006F5A5E"/>
    <w:rsid w:val="006F5BF6"/>
    <w:rsid w:val="006F5E45"/>
    <w:rsid w:val="006F62A9"/>
    <w:rsid w:val="006F6488"/>
    <w:rsid w:val="006F6BA8"/>
    <w:rsid w:val="006F6C96"/>
    <w:rsid w:val="006F74D3"/>
    <w:rsid w:val="006F75F0"/>
    <w:rsid w:val="006F77C1"/>
    <w:rsid w:val="006F7BD2"/>
    <w:rsid w:val="006F7CB3"/>
    <w:rsid w:val="006F7CEC"/>
    <w:rsid w:val="006F7E98"/>
    <w:rsid w:val="00700A1C"/>
    <w:rsid w:val="00700DB9"/>
    <w:rsid w:val="0070111C"/>
    <w:rsid w:val="00701251"/>
    <w:rsid w:val="0070186E"/>
    <w:rsid w:val="00701D77"/>
    <w:rsid w:val="00701DCC"/>
    <w:rsid w:val="007023EC"/>
    <w:rsid w:val="00702486"/>
    <w:rsid w:val="007025EA"/>
    <w:rsid w:val="0070272E"/>
    <w:rsid w:val="00702902"/>
    <w:rsid w:val="00702C5C"/>
    <w:rsid w:val="00702CE4"/>
    <w:rsid w:val="00702E2C"/>
    <w:rsid w:val="00703660"/>
    <w:rsid w:val="00703A75"/>
    <w:rsid w:val="00703D23"/>
    <w:rsid w:val="00704015"/>
    <w:rsid w:val="00704712"/>
    <w:rsid w:val="00705029"/>
    <w:rsid w:val="007057E5"/>
    <w:rsid w:val="00705F7C"/>
    <w:rsid w:val="007064CA"/>
    <w:rsid w:val="0070655F"/>
    <w:rsid w:val="00706DB9"/>
    <w:rsid w:val="00707108"/>
    <w:rsid w:val="007073AF"/>
    <w:rsid w:val="007077CE"/>
    <w:rsid w:val="00707D5B"/>
    <w:rsid w:val="00707EDE"/>
    <w:rsid w:val="00707FD0"/>
    <w:rsid w:val="00707FE6"/>
    <w:rsid w:val="00710718"/>
    <w:rsid w:val="007107EC"/>
    <w:rsid w:val="00710826"/>
    <w:rsid w:val="00710C4D"/>
    <w:rsid w:val="00710E8A"/>
    <w:rsid w:val="00711316"/>
    <w:rsid w:val="00711603"/>
    <w:rsid w:val="0071161B"/>
    <w:rsid w:val="00711823"/>
    <w:rsid w:val="00711911"/>
    <w:rsid w:val="00712527"/>
    <w:rsid w:val="007135AE"/>
    <w:rsid w:val="0071382E"/>
    <w:rsid w:val="0071384A"/>
    <w:rsid w:val="00713AD9"/>
    <w:rsid w:val="00713FA9"/>
    <w:rsid w:val="007147B8"/>
    <w:rsid w:val="00714B7C"/>
    <w:rsid w:val="00714F65"/>
    <w:rsid w:val="007151BF"/>
    <w:rsid w:val="00715294"/>
    <w:rsid w:val="00715657"/>
    <w:rsid w:val="007162E8"/>
    <w:rsid w:val="007169DA"/>
    <w:rsid w:val="00716A3A"/>
    <w:rsid w:val="00716A6E"/>
    <w:rsid w:val="00716FBF"/>
    <w:rsid w:val="00717003"/>
    <w:rsid w:val="0071728A"/>
    <w:rsid w:val="007176B0"/>
    <w:rsid w:val="0071770A"/>
    <w:rsid w:val="00717835"/>
    <w:rsid w:val="0071793D"/>
    <w:rsid w:val="00717DD2"/>
    <w:rsid w:val="00717EB8"/>
    <w:rsid w:val="00717ECA"/>
    <w:rsid w:val="00717F36"/>
    <w:rsid w:val="0072058F"/>
    <w:rsid w:val="00720B6F"/>
    <w:rsid w:val="00720C82"/>
    <w:rsid w:val="007211D0"/>
    <w:rsid w:val="00721398"/>
    <w:rsid w:val="007214A7"/>
    <w:rsid w:val="007215A3"/>
    <w:rsid w:val="00721C4F"/>
    <w:rsid w:val="0072201B"/>
    <w:rsid w:val="007225D0"/>
    <w:rsid w:val="00722A9F"/>
    <w:rsid w:val="007233A3"/>
    <w:rsid w:val="00723590"/>
    <w:rsid w:val="0072375D"/>
    <w:rsid w:val="00723C51"/>
    <w:rsid w:val="00723D3F"/>
    <w:rsid w:val="00723D90"/>
    <w:rsid w:val="00724079"/>
    <w:rsid w:val="007242D8"/>
    <w:rsid w:val="00724388"/>
    <w:rsid w:val="007245E4"/>
    <w:rsid w:val="00724612"/>
    <w:rsid w:val="007248AB"/>
    <w:rsid w:val="00724AFB"/>
    <w:rsid w:val="00724BD9"/>
    <w:rsid w:val="00724ECF"/>
    <w:rsid w:val="007251C5"/>
    <w:rsid w:val="007257E2"/>
    <w:rsid w:val="007270BC"/>
    <w:rsid w:val="00727531"/>
    <w:rsid w:val="0072774A"/>
    <w:rsid w:val="007278A8"/>
    <w:rsid w:val="007278FC"/>
    <w:rsid w:val="00727B8C"/>
    <w:rsid w:val="00727E8D"/>
    <w:rsid w:val="00727FBC"/>
    <w:rsid w:val="007301E3"/>
    <w:rsid w:val="007304A5"/>
    <w:rsid w:val="00730BA5"/>
    <w:rsid w:val="00730D62"/>
    <w:rsid w:val="00730DC9"/>
    <w:rsid w:val="00730E6D"/>
    <w:rsid w:val="007313A7"/>
    <w:rsid w:val="0073140D"/>
    <w:rsid w:val="00731A00"/>
    <w:rsid w:val="00731B29"/>
    <w:rsid w:val="00731CAB"/>
    <w:rsid w:val="00731EF6"/>
    <w:rsid w:val="00731FB4"/>
    <w:rsid w:val="007323A2"/>
    <w:rsid w:val="007326ED"/>
    <w:rsid w:val="00732B29"/>
    <w:rsid w:val="00733461"/>
    <w:rsid w:val="00733D0C"/>
    <w:rsid w:val="00734202"/>
    <w:rsid w:val="00734247"/>
    <w:rsid w:val="0073427E"/>
    <w:rsid w:val="00734295"/>
    <w:rsid w:val="007343EF"/>
    <w:rsid w:val="00734EC7"/>
    <w:rsid w:val="00734FF2"/>
    <w:rsid w:val="00735338"/>
    <w:rsid w:val="00735373"/>
    <w:rsid w:val="00735859"/>
    <w:rsid w:val="00735A39"/>
    <w:rsid w:val="00735D9A"/>
    <w:rsid w:val="00735F1A"/>
    <w:rsid w:val="007360D9"/>
    <w:rsid w:val="007364AC"/>
    <w:rsid w:val="0073650B"/>
    <w:rsid w:val="00736955"/>
    <w:rsid w:val="00736FC0"/>
    <w:rsid w:val="00737164"/>
    <w:rsid w:val="007371FB"/>
    <w:rsid w:val="00737643"/>
    <w:rsid w:val="00737B0D"/>
    <w:rsid w:val="007406D7"/>
    <w:rsid w:val="0074078E"/>
    <w:rsid w:val="007411AA"/>
    <w:rsid w:val="007412EF"/>
    <w:rsid w:val="007418F9"/>
    <w:rsid w:val="00741E7C"/>
    <w:rsid w:val="00742086"/>
    <w:rsid w:val="007421DA"/>
    <w:rsid w:val="00742F71"/>
    <w:rsid w:val="0074322C"/>
    <w:rsid w:val="007441CB"/>
    <w:rsid w:val="00744E2C"/>
    <w:rsid w:val="007456FF"/>
    <w:rsid w:val="00745872"/>
    <w:rsid w:val="0074587E"/>
    <w:rsid w:val="00745A79"/>
    <w:rsid w:val="007460C3"/>
    <w:rsid w:val="00746188"/>
    <w:rsid w:val="007466E7"/>
    <w:rsid w:val="00746B96"/>
    <w:rsid w:val="007471EC"/>
    <w:rsid w:val="00747287"/>
    <w:rsid w:val="007476FD"/>
    <w:rsid w:val="007477CF"/>
    <w:rsid w:val="00747D8E"/>
    <w:rsid w:val="00747E11"/>
    <w:rsid w:val="00750015"/>
    <w:rsid w:val="00750274"/>
    <w:rsid w:val="0075039A"/>
    <w:rsid w:val="00750B8D"/>
    <w:rsid w:val="00750BCC"/>
    <w:rsid w:val="00750C28"/>
    <w:rsid w:val="00750D7E"/>
    <w:rsid w:val="00750ED5"/>
    <w:rsid w:val="007511F1"/>
    <w:rsid w:val="007519B3"/>
    <w:rsid w:val="00751D17"/>
    <w:rsid w:val="00751FB6"/>
    <w:rsid w:val="007522DD"/>
    <w:rsid w:val="00752713"/>
    <w:rsid w:val="00752B0F"/>
    <w:rsid w:val="00752E69"/>
    <w:rsid w:val="00752F88"/>
    <w:rsid w:val="00753224"/>
    <w:rsid w:val="007534C1"/>
    <w:rsid w:val="00753513"/>
    <w:rsid w:val="0075384C"/>
    <w:rsid w:val="00753AC2"/>
    <w:rsid w:val="00753D34"/>
    <w:rsid w:val="00754092"/>
    <w:rsid w:val="007541B4"/>
    <w:rsid w:val="007541E7"/>
    <w:rsid w:val="00754450"/>
    <w:rsid w:val="00754875"/>
    <w:rsid w:val="00754878"/>
    <w:rsid w:val="00754B05"/>
    <w:rsid w:val="00754B16"/>
    <w:rsid w:val="0075500C"/>
    <w:rsid w:val="00755E53"/>
    <w:rsid w:val="00755E75"/>
    <w:rsid w:val="007569B2"/>
    <w:rsid w:val="00757434"/>
    <w:rsid w:val="007574F2"/>
    <w:rsid w:val="00757582"/>
    <w:rsid w:val="0075790E"/>
    <w:rsid w:val="0076042F"/>
    <w:rsid w:val="00760451"/>
    <w:rsid w:val="007609E5"/>
    <w:rsid w:val="00760BA0"/>
    <w:rsid w:val="00760F3E"/>
    <w:rsid w:val="0076150F"/>
    <w:rsid w:val="007616B4"/>
    <w:rsid w:val="00761762"/>
    <w:rsid w:val="00761D11"/>
    <w:rsid w:val="00761D90"/>
    <w:rsid w:val="00762391"/>
    <w:rsid w:val="007625FD"/>
    <w:rsid w:val="007628A5"/>
    <w:rsid w:val="007628D4"/>
    <w:rsid w:val="00762BFE"/>
    <w:rsid w:val="00762C1E"/>
    <w:rsid w:val="00763188"/>
    <w:rsid w:val="007631FC"/>
    <w:rsid w:val="007636B4"/>
    <w:rsid w:val="007639AC"/>
    <w:rsid w:val="00763C32"/>
    <w:rsid w:val="00763F59"/>
    <w:rsid w:val="00763FB0"/>
    <w:rsid w:val="0076456E"/>
    <w:rsid w:val="007647D3"/>
    <w:rsid w:val="0076484C"/>
    <w:rsid w:val="007648DF"/>
    <w:rsid w:val="00764F26"/>
    <w:rsid w:val="007650B8"/>
    <w:rsid w:val="0076517A"/>
    <w:rsid w:val="00765270"/>
    <w:rsid w:val="007658C2"/>
    <w:rsid w:val="00765D92"/>
    <w:rsid w:val="00766963"/>
    <w:rsid w:val="00766BF9"/>
    <w:rsid w:val="00767472"/>
    <w:rsid w:val="007675C6"/>
    <w:rsid w:val="00767CF3"/>
    <w:rsid w:val="00770591"/>
    <w:rsid w:val="007707FF"/>
    <w:rsid w:val="00771A2D"/>
    <w:rsid w:val="00771D29"/>
    <w:rsid w:val="00772169"/>
    <w:rsid w:val="007723C8"/>
    <w:rsid w:val="00772499"/>
    <w:rsid w:val="00772562"/>
    <w:rsid w:val="007725AD"/>
    <w:rsid w:val="00772862"/>
    <w:rsid w:val="00772A4E"/>
    <w:rsid w:val="00772B1D"/>
    <w:rsid w:val="00772B3E"/>
    <w:rsid w:val="00772BD5"/>
    <w:rsid w:val="00773395"/>
    <w:rsid w:val="00773639"/>
    <w:rsid w:val="0077386E"/>
    <w:rsid w:val="00773CF1"/>
    <w:rsid w:val="007745A4"/>
    <w:rsid w:val="00774789"/>
    <w:rsid w:val="00774896"/>
    <w:rsid w:val="00774D75"/>
    <w:rsid w:val="00775391"/>
    <w:rsid w:val="00775802"/>
    <w:rsid w:val="007759CB"/>
    <w:rsid w:val="00775C25"/>
    <w:rsid w:val="00775CDB"/>
    <w:rsid w:val="00776563"/>
    <w:rsid w:val="0077675A"/>
    <w:rsid w:val="00776894"/>
    <w:rsid w:val="00776E2A"/>
    <w:rsid w:val="00777957"/>
    <w:rsid w:val="00777B61"/>
    <w:rsid w:val="00777C0E"/>
    <w:rsid w:val="00777C5A"/>
    <w:rsid w:val="00777CBD"/>
    <w:rsid w:val="00777D4B"/>
    <w:rsid w:val="007800D4"/>
    <w:rsid w:val="007804E9"/>
    <w:rsid w:val="00780911"/>
    <w:rsid w:val="00780986"/>
    <w:rsid w:val="00780B48"/>
    <w:rsid w:val="00780E53"/>
    <w:rsid w:val="0078130C"/>
    <w:rsid w:val="007814EC"/>
    <w:rsid w:val="00781EB7"/>
    <w:rsid w:val="00782B43"/>
    <w:rsid w:val="00782DC6"/>
    <w:rsid w:val="007834CB"/>
    <w:rsid w:val="0078392F"/>
    <w:rsid w:val="00783BC5"/>
    <w:rsid w:val="00783F34"/>
    <w:rsid w:val="00784AC5"/>
    <w:rsid w:val="00784AE1"/>
    <w:rsid w:val="00784E77"/>
    <w:rsid w:val="00784F11"/>
    <w:rsid w:val="007851F9"/>
    <w:rsid w:val="00785701"/>
    <w:rsid w:val="007858B3"/>
    <w:rsid w:val="00785AB2"/>
    <w:rsid w:val="00785F2C"/>
    <w:rsid w:val="007860F5"/>
    <w:rsid w:val="00786221"/>
    <w:rsid w:val="0078671F"/>
    <w:rsid w:val="00786908"/>
    <w:rsid w:val="00786DBF"/>
    <w:rsid w:val="00786FB7"/>
    <w:rsid w:val="00787078"/>
    <w:rsid w:val="007870D5"/>
    <w:rsid w:val="0078715C"/>
    <w:rsid w:val="007871B8"/>
    <w:rsid w:val="0078785F"/>
    <w:rsid w:val="00787954"/>
    <w:rsid w:val="00790668"/>
    <w:rsid w:val="00790D76"/>
    <w:rsid w:val="00790F50"/>
    <w:rsid w:val="0079160B"/>
    <w:rsid w:val="00791959"/>
    <w:rsid w:val="00791E16"/>
    <w:rsid w:val="00791F4A"/>
    <w:rsid w:val="0079270A"/>
    <w:rsid w:val="007929EC"/>
    <w:rsid w:val="00792D29"/>
    <w:rsid w:val="0079326B"/>
    <w:rsid w:val="0079381A"/>
    <w:rsid w:val="00794543"/>
    <w:rsid w:val="007945C2"/>
    <w:rsid w:val="00794633"/>
    <w:rsid w:val="00794842"/>
    <w:rsid w:val="00794A7D"/>
    <w:rsid w:val="00794C92"/>
    <w:rsid w:val="0079548A"/>
    <w:rsid w:val="0079588F"/>
    <w:rsid w:val="00795E4E"/>
    <w:rsid w:val="00795F70"/>
    <w:rsid w:val="00796211"/>
    <w:rsid w:val="00796429"/>
    <w:rsid w:val="007967DB"/>
    <w:rsid w:val="00796E27"/>
    <w:rsid w:val="007971DF"/>
    <w:rsid w:val="00797507"/>
    <w:rsid w:val="00797745"/>
    <w:rsid w:val="007977F8"/>
    <w:rsid w:val="00797973"/>
    <w:rsid w:val="007979A2"/>
    <w:rsid w:val="00797ABE"/>
    <w:rsid w:val="00797BD2"/>
    <w:rsid w:val="00797C6C"/>
    <w:rsid w:val="00797FEB"/>
    <w:rsid w:val="007A0225"/>
    <w:rsid w:val="007A03C0"/>
    <w:rsid w:val="007A04E5"/>
    <w:rsid w:val="007A0606"/>
    <w:rsid w:val="007A0923"/>
    <w:rsid w:val="007A1414"/>
    <w:rsid w:val="007A141E"/>
    <w:rsid w:val="007A14D7"/>
    <w:rsid w:val="007A16E7"/>
    <w:rsid w:val="007A1D44"/>
    <w:rsid w:val="007A1DDA"/>
    <w:rsid w:val="007A1E2A"/>
    <w:rsid w:val="007A1EDE"/>
    <w:rsid w:val="007A25FB"/>
    <w:rsid w:val="007A279C"/>
    <w:rsid w:val="007A3237"/>
    <w:rsid w:val="007A38C5"/>
    <w:rsid w:val="007A40E6"/>
    <w:rsid w:val="007A4344"/>
    <w:rsid w:val="007A4593"/>
    <w:rsid w:val="007A45AE"/>
    <w:rsid w:val="007A46F9"/>
    <w:rsid w:val="007A5078"/>
    <w:rsid w:val="007A50EF"/>
    <w:rsid w:val="007A5157"/>
    <w:rsid w:val="007A52EE"/>
    <w:rsid w:val="007A5A94"/>
    <w:rsid w:val="007A5E0F"/>
    <w:rsid w:val="007A5FD5"/>
    <w:rsid w:val="007A6269"/>
    <w:rsid w:val="007A6343"/>
    <w:rsid w:val="007A678E"/>
    <w:rsid w:val="007A69AA"/>
    <w:rsid w:val="007A6D01"/>
    <w:rsid w:val="007A6E3A"/>
    <w:rsid w:val="007A71E2"/>
    <w:rsid w:val="007A755B"/>
    <w:rsid w:val="007A76F3"/>
    <w:rsid w:val="007A7736"/>
    <w:rsid w:val="007A79AC"/>
    <w:rsid w:val="007A7BE0"/>
    <w:rsid w:val="007A7C0D"/>
    <w:rsid w:val="007A7CC3"/>
    <w:rsid w:val="007B0776"/>
    <w:rsid w:val="007B07D7"/>
    <w:rsid w:val="007B0BF1"/>
    <w:rsid w:val="007B0C74"/>
    <w:rsid w:val="007B0EE8"/>
    <w:rsid w:val="007B127D"/>
    <w:rsid w:val="007B19FF"/>
    <w:rsid w:val="007B1CB9"/>
    <w:rsid w:val="007B21E3"/>
    <w:rsid w:val="007B2696"/>
    <w:rsid w:val="007B35CC"/>
    <w:rsid w:val="007B3E22"/>
    <w:rsid w:val="007B4008"/>
    <w:rsid w:val="007B450E"/>
    <w:rsid w:val="007B4711"/>
    <w:rsid w:val="007B47C3"/>
    <w:rsid w:val="007B48EC"/>
    <w:rsid w:val="007B4A7B"/>
    <w:rsid w:val="007B52FE"/>
    <w:rsid w:val="007B5598"/>
    <w:rsid w:val="007B5889"/>
    <w:rsid w:val="007B5F33"/>
    <w:rsid w:val="007B61F6"/>
    <w:rsid w:val="007B628E"/>
    <w:rsid w:val="007B6344"/>
    <w:rsid w:val="007B647D"/>
    <w:rsid w:val="007B6495"/>
    <w:rsid w:val="007B677F"/>
    <w:rsid w:val="007B6DBE"/>
    <w:rsid w:val="007B7273"/>
    <w:rsid w:val="007B72E6"/>
    <w:rsid w:val="007B7332"/>
    <w:rsid w:val="007B7FFB"/>
    <w:rsid w:val="007C040B"/>
    <w:rsid w:val="007C0D0D"/>
    <w:rsid w:val="007C0E31"/>
    <w:rsid w:val="007C1195"/>
    <w:rsid w:val="007C12F6"/>
    <w:rsid w:val="007C1D9A"/>
    <w:rsid w:val="007C22BD"/>
    <w:rsid w:val="007C2E4F"/>
    <w:rsid w:val="007C30DC"/>
    <w:rsid w:val="007C37C6"/>
    <w:rsid w:val="007C40C1"/>
    <w:rsid w:val="007C4160"/>
    <w:rsid w:val="007C45C3"/>
    <w:rsid w:val="007C4943"/>
    <w:rsid w:val="007C4B97"/>
    <w:rsid w:val="007C5272"/>
    <w:rsid w:val="007C5BBD"/>
    <w:rsid w:val="007C5EAE"/>
    <w:rsid w:val="007C60C7"/>
    <w:rsid w:val="007C6196"/>
    <w:rsid w:val="007C67C6"/>
    <w:rsid w:val="007C68CB"/>
    <w:rsid w:val="007C696A"/>
    <w:rsid w:val="007C6AC8"/>
    <w:rsid w:val="007C6B71"/>
    <w:rsid w:val="007C6EB1"/>
    <w:rsid w:val="007C7557"/>
    <w:rsid w:val="007C76C0"/>
    <w:rsid w:val="007C7CDA"/>
    <w:rsid w:val="007D0763"/>
    <w:rsid w:val="007D0AD2"/>
    <w:rsid w:val="007D0E86"/>
    <w:rsid w:val="007D1140"/>
    <w:rsid w:val="007D11CE"/>
    <w:rsid w:val="007D1237"/>
    <w:rsid w:val="007D1DE5"/>
    <w:rsid w:val="007D227A"/>
    <w:rsid w:val="007D314C"/>
    <w:rsid w:val="007D3384"/>
    <w:rsid w:val="007D37FC"/>
    <w:rsid w:val="007D3D51"/>
    <w:rsid w:val="007D43BC"/>
    <w:rsid w:val="007D4798"/>
    <w:rsid w:val="007D4F40"/>
    <w:rsid w:val="007D5087"/>
    <w:rsid w:val="007D5119"/>
    <w:rsid w:val="007D51CD"/>
    <w:rsid w:val="007D5333"/>
    <w:rsid w:val="007D56D6"/>
    <w:rsid w:val="007D58A9"/>
    <w:rsid w:val="007D5903"/>
    <w:rsid w:val="007D5CA6"/>
    <w:rsid w:val="007D66D9"/>
    <w:rsid w:val="007D6784"/>
    <w:rsid w:val="007D683D"/>
    <w:rsid w:val="007D73BB"/>
    <w:rsid w:val="007D77BF"/>
    <w:rsid w:val="007D79A8"/>
    <w:rsid w:val="007D7C51"/>
    <w:rsid w:val="007E0019"/>
    <w:rsid w:val="007E0E92"/>
    <w:rsid w:val="007E1094"/>
    <w:rsid w:val="007E16EF"/>
    <w:rsid w:val="007E1D26"/>
    <w:rsid w:val="007E1DA6"/>
    <w:rsid w:val="007E1E70"/>
    <w:rsid w:val="007E1FA4"/>
    <w:rsid w:val="007E2391"/>
    <w:rsid w:val="007E2C4D"/>
    <w:rsid w:val="007E32F3"/>
    <w:rsid w:val="007E3629"/>
    <w:rsid w:val="007E38DC"/>
    <w:rsid w:val="007E4989"/>
    <w:rsid w:val="007E590A"/>
    <w:rsid w:val="007E5AE9"/>
    <w:rsid w:val="007E5B8F"/>
    <w:rsid w:val="007E5CB9"/>
    <w:rsid w:val="007E5E99"/>
    <w:rsid w:val="007E5FE2"/>
    <w:rsid w:val="007E6074"/>
    <w:rsid w:val="007E64C1"/>
    <w:rsid w:val="007E6AC8"/>
    <w:rsid w:val="007E6B07"/>
    <w:rsid w:val="007E6EA5"/>
    <w:rsid w:val="007E7375"/>
    <w:rsid w:val="007E749E"/>
    <w:rsid w:val="007E77B8"/>
    <w:rsid w:val="007E7F0A"/>
    <w:rsid w:val="007F0164"/>
    <w:rsid w:val="007F01CB"/>
    <w:rsid w:val="007F037C"/>
    <w:rsid w:val="007F05B9"/>
    <w:rsid w:val="007F069E"/>
    <w:rsid w:val="007F076F"/>
    <w:rsid w:val="007F1582"/>
    <w:rsid w:val="007F16CC"/>
    <w:rsid w:val="007F16F5"/>
    <w:rsid w:val="007F199B"/>
    <w:rsid w:val="007F26B6"/>
    <w:rsid w:val="007F2891"/>
    <w:rsid w:val="007F3129"/>
    <w:rsid w:val="007F3669"/>
    <w:rsid w:val="007F382B"/>
    <w:rsid w:val="007F39D2"/>
    <w:rsid w:val="007F3C49"/>
    <w:rsid w:val="007F4367"/>
    <w:rsid w:val="007F53C5"/>
    <w:rsid w:val="007F557C"/>
    <w:rsid w:val="007F5946"/>
    <w:rsid w:val="007F5FAE"/>
    <w:rsid w:val="007F64B8"/>
    <w:rsid w:val="007F6D94"/>
    <w:rsid w:val="007F7084"/>
    <w:rsid w:val="007F77AF"/>
    <w:rsid w:val="007F79FE"/>
    <w:rsid w:val="007F7C80"/>
    <w:rsid w:val="007F7CC5"/>
    <w:rsid w:val="008002BD"/>
    <w:rsid w:val="0080071C"/>
    <w:rsid w:val="008009A7"/>
    <w:rsid w:val="00800A9A"/>
    <w:rsid w:val="00800E42"/>
    <w:rsid w:val="00801036"/>
    <w:rsid w:val="008011A0"/>
    <w:rsid w:val="0080153B"/>
    <w:rsid w:val="008015A2"/>
    <w:rsid w:val="00801B8B"/>
    <w:rsid w:val="00801E2F"/>
    <w:rsid w:val="00801E87"/>
    <w:rsid w:val="008028FE"/>
    <w:rsid w:val="00803084"/>
    <w:rsid w:val="00803BF8"/>
    <w:rsid w:val="008040EF"/>
    <w:rsid w:val="00804122"/>
    <w:rsid w:val="0080430E"/>
    <w:rsid w:val="008047A2"/>
    <w:rsid w:val="00804D6F"/>
    <w:rsid w:val="00804E34"/>
    <w:rsid w:val="008056A5"/>
    <w:rsid w:val="00805AA8"/>
    <w:rsid w:val="00806083"/>
    <w:rsid w:val="0080637B"/>
    <w:rsid w:val="0080637C"/>
    <w:rsid w:val="00806381"/>
    <w:rsid w:val="008063D1"/>
    <w:rsid w:val="00806E9A"/>
    <w:rsid w:val="00806EC1"/>
    <w:rsid w:val="008071B4"/>
    <w:rsid w:val="0080720B"/>
    <w:rsid w:val="00807445"/>
    <w:rsid w:val="00807553"/>
    <w:rsid w:val="00807641"/>
    <w:rsid w:val="00807933"/>
    <w:rsid w:val="00807E60"/>
    <w:rsid w:val="00807F60"/>
    <w:rsid w:val="008107E5"/>
    <w:rsid w:val="0081162D"/>
    <w:rsid w:val="00811FA6"/>
    <w:rsid w:val="008123BF"/>
    <w:rsid w:val="008128D2"/>
    <w:rsid w:val="00813510"/>
    <w:rsid w:val="00813E2B"/>
    <w:rsid w:val="00814001"/>
    <w:rsid w:val="0081452A"/>
    <w:rsid w:val="0081479F"/>
    <w:rsid w:val="008151C2"/>
    <w:rsid w:val="0081520E"/>
    <w:rsid w:val="008157FE"/>
    <w:rsid w:val="008167B2"/>
    <w:rsid w:val="00816BB5"/>
    <w:rsid w:val="0081739C"/>
    <w:rsid w:val="00817668"/>
    <w:rsid w:val="00817C3E"/>
    <w:rsid w:val="0082016E"/>
    <w:rsid w:val="00820EAD"/>
    <w:rsid w:val="00821096"/>
    <w:rsid w:val="008215C6"/>
    <w:rsid w:val="008215E0"/>
    <w:rsid w:val="00821664"/>
    <w:rsid w:val="008217B5"/>
    <w:rsid w:val="00821DDB"/>
    <w:rsid w:val="008222A6"/>
    <w:rsid w:val="00822782"/>
    <w:rsid w:val="00823523"/>
    <w:rsid w:val="0082383B"/>
    <w:rsid w:val="008238D0"/>
    <w:rsid w:val="00824503"/>
    <w:rsid w:val="0082470D"/>
    <w:rsid w:val="008247AE"/>
    <w:rsid w:val="00824806"/>
    <w:rsid w:val="00824D6B"/>
    <w:rsid w:val="00824EEA"/>
    <w:rsid w:val="00824F1F"/>
    <w:rsid w:val="008254D0"/>
    <w:rsid w:val="008255B2"/>
    <w:rsid w:val="00825AE8"/>
    <w:rsid w:val="00825DB6"/>
    <w:rsid w:val="00825DF0"/>
    <w:rsid w:val="00826094"/>
    <w:rsid w:val="00826513"/>
    <w:rsid w:val="00826CCE"/>
    <w:rsid w:val="00826F60"/>
    <w:rsid w:val="00827052"/>
    <w:rsid w:val="00827761"/>
    <w:rsid w:val="00827D47"/>
    <w:rsid w:val="00827FEC"/>
    <w:rsid w:val="00830304"/>
    <w:rsid w:val="00830DCC"/>
    <w:rsid w:val="00831057"/>
    <w:rsid w:val="0083125B"/>
    <w:rsid w:val="00831727"/>
    <w:rsid w:val="00831B3A"/>
    <w:rsid w:val="00832616"/>
    <w:rsid w:val="00832C62"/>
    <w:rsid w:val="00832E4C"/>
    <w:rsid w:val="0083326F"/>
    <w:rsid w:val="00833E63"/>
    <w:rsid w:val="0083497E"/>
    <w:rsid w:val="00834FEA"/>
    <w:rsid w:val="008354F9"/>
    <w:rsid w:val="00836B5B"/>
    <w:rsid w:val="008379AC"/>
    <w:rsid w:val="00837ABB"/>
    <w:rsid w:val="00840043"/>
    <w:rsid w:val="00840288"/>
    <w:rsid w:val="00840313"/>
    <w:rsid w:val="0084058A"/>
    <w:rsid w:val="00840714"/>
    <w:rsid w:val="008407B8"/>
    <w:rsid w:val="00840B76"/>
    <w:rsid w:val="00841587"/>
    <w:rsid w:val="0084162B"/>
    <w:rsid w:val="00841E14"/>
    <w:rsid w:val="00842089"/>
    <w:rsid w:val="008426B5"/>
    <w:rsid w:val="00842AD6"/>
    <w:rsid w:val="00842C3E"/>
    <w:rsid w:val="0084366E"/>
    <w:rsid w:val="00843A13"/>
    <w:rsid w:val="00843AA9"/>
    <w:rsid w:val="00843F23"/>
    <w:rsid w:val="00843FE6"/>
    <w:rsid w:val="00844071"/>
    <w:rsid w:val="00844263"/>
    <w:rsid w:val="00844704"/>
    <w:rsid w:val="008449DB"/>
    <w:rsid w:val="00844C43"/>
    <w:rsid w:val="00844D86"/>
    <w:rsid w:val="00844F16"/>
    <w:rsid w:val="008459BA"/>
    <w:rsid w:val="00845BB9"/>
    <w:rsid w:val="008460E1"/>
    <w:rsid w:val="008461E4"/>
    <w:rsid w:val="008466CA"/>
    <w:rsid w:val="008468A0"/>
    <w:rsid w:val="00846A82"/>
    <w:rsid w:val="00846BC1"/>
    <w:rsid w:val="00846C19"/>
    <w:rsid w:val="00846E68"/>
    <w:rsid w:val="00847083"/>
    <w:rsid w:val="008473D5"/>
    <w:rsid w:val="00847535"/>
    <w:rsid w:val="008476EE"/>
    <w:rsid w:val="00847859"/>
    <w:rsid w:val="00847A81"/>
    <w:rsid w:val="00850009"/>
    <w:rsid w:val="00850140"/>
    <w:rsid w:val="0085092D"/>
    <w:rsid w:val="008509B6"/>
    <w:rsid w:val="00850B5D"/>
    <w:rsid w:val="00851128"/>
    <w:rsid w:val="008517CF"/>
    <w:rsid w:val="00851E63"/>
    <w:rsid w:val="008525DE"/>
    <w:rsid w:val="00852741"/>
    <w:rsid w:val="00852BA5"/>
    <w:rsid w:val="008531E3"/>
    <w:rsid w:val="00853256"/>
    <w:rsid w:val="008539B4"/>
    <w:rsid w:val="00853DC0"/>
    <w:rsid w:val="00853E2C"/>
    <w:rsid w:val="00855235"/>
    <w:rsid w:val="0085529D"/>
    <w:rsid w:val="008554C9"/>
    <w:rsid w:val="008559DE"/>
    <w:rsid w:val="00855A66"/>
    <w:rsid w:val="00855B96"/>
    <w:rsid w:val="00856D8D"/>
    <w:rsid w:val="00856DE8"/>
    <w:rsid w:val="0085700D"/>
    <w:rsid w:val="008576D7"/>
    <w:rsid w:val="00857AB0"/>
    <w:rsid w:val="00857AF6"/>
    <w:rsid w:val="00857B43"/>
    <w:rsid w:val="00857B67"/>
    <w:rsid w:val="00857D20"/>
    <w:rsid w:val="008607ED"/>
    <w:rsid w:val="0086098E"/>
    <w:rsid w:val="00860B3D"/>
    <w:rsid w:val="00860BB4"/>
    <w:rsid w:val="00861B9D"/>
    <w:rsid w:val="00861E39"/>
    <w:rsid w:val="00861F98"/>
    <w:rsid w:val="00862746"/>
    <w:rsid w:val="00862DA6"/>
    <w:rsid w:val="008631F8"/>
    <w:rsid w:val="008633F1"/>
    <w:rsid w:val="00863943"/>
    <w:rsid w:val="008639AD"/>
    <w:rsid w:val="00863BB3"/>
    <w:rsid w:val="00863FBD"/>
    <w:rsid w:val="0086470A"/>
    <w:rsid w:val="00864C8C"/>
    <w:rsid w:val="00864CCD"/>
    <w:rsid w:val="00864F04"/>
    <w:rsid w:val="00865389"/>
    <w:rsid w:val="00865CD0"/>
    <w:rsid w:val="00865E80"/>
    <w:rsid w:val="00866212"/>
    <w:rsid w:val="00866BB4"/>
    <w:rsid w:val="00866C36"/>
    <w:rsid w:val="00866C41"/>
    <w:rsid w:val="00866E14"/>
    <w:rsid w:val="00867626"/>
    <w:rsid w:val="008677E4"/>
    <w:rsid w:val="00867967"/>
    <w:rsid w:val="0086798D"/>
    <w:rsid w:val="00870080"/>
    <w:rsid w:val="00870442"/>
    <w:rsid w:val="0087067A"/>
    <w:rsid w:val="00870E4C"/>
    <w:rsid w:val="008712B5"/>
    <w:rsid w:val="00871A59"/>
    <w:rsid w:val="00871E67"/>
    <w:rsid w:val="00871FBD"/>
    <w:rsid w:val="0087217F"/>
    <w:rsid w:val="008721F1"/>
    <w:rsid w:val="008722D3"/>
    <w:rsid w:val="008722F1"/>
    <w:rsid w:val="0087285E"/>
    <w:rsid w:val="00872D69"/>
    <w:rsid w:val="00872EF0"/>
    <w:rsid w:val="008732E1"/>
    <w:rsid w:val="008736C8"/>
    <w:rsid w:val="008737FB"/>
    <w:rsid w:val="0087417F"/>
    <w:rsid w:val="0087421E"/>
    <w:rsid w:val="00874658"/>
    <w:rsid w:val="00875846"/>
    <w:rsid w:val="00875A46"/>
    <w:rsid w:val="008766CB"/>
    <w:rsid w:val="008769C8"/>
    <w:rsid w:val="00876C5D"/>
    <w:rsid w:val="008778D0"/>
    <w:rsid w:val="00880017"/>
    <w:rsid w:val="00880043"/>
    <w:rsid w:val="00880102"/>
    <w:rsid w:val="00880111"/>
    <w:rsid w:val="008809A1"/>
    <w:rsid w:val="00880C2E"/>
    <w:rsid w:val="00880ED3"/>
    <w:rsid w:val="0088114E"/>
    <w:rsid w:val="008811E6"/>
    <w:rsid w:val="00881A32"/>
    <w:rsid w:val="00881A88"/>
    <w:rsid w:val="008824FD"/>
    <w:rsid w:val="008839DE"/>
    <w:rsid w:val="00884755"/>
    <w:rsid w:val="00884AEA"/>
    <w:rsid w:val="00884B40"/>
    <w:rsid w:val="00884DE7"/>
    <w:rsid w:val="00885085"/>
    <w:rsid w:val="008850CD"/>
    <w:rsid w:val="0088522E"/>
    <w:rsid w:val="008857D9"/>
    <w:rsid w:val="00885B03"/>
    <w:rsid w:val="00885F1F"/>
    <w:rsid w:val="00885FA4"/>
    <w:rsid w:val="008864C4"/>
    <w:rsid w:val="008865CD"/>
    <w:rsid w:val="008867BB"/>
    <w:rsid w:val="00886996"/>
    <w:rsid w:val="008869E5"/>
    <w:rsid w:val="00886D11"/>
    <w:rsid w:val="00886EF1"/>
    <w:rsid w:val="00887EBE"/>
    <w:rsid w:val="0089031F"/>
    <w:rsid w:val="00890420"/>
    <w:rsid w:val="008906A8"/>
    <w:rsid w:val="00891000"/>
    <w:rsid w:val="00891299"/>
    <w:rsid w:val="00891B24"/>
    <w:rsid w:val="00891B79"/>
    <w:rsid w:val="00892049"/>
    <w:rsid w:val="00892360"/>
    <w:rsid w:val="008924AA"/>
    <w:rsid w:val="00892508"/>
    <w:rsid w:val="00892794"/>
    <w:rsid w:val="00892C9F"/>
    <w:rsid w:val="00893D71"/>
    <w:rsid w:val="00893DB0"/>
    <w:rsid w:val="00894161"/>
    <w:rsid w:val="00894FB0"/>
    <w:rsid w:val="00895026"/>
    <w:rsid w:val="008952E4"/>
    <w:rsid w:val="00895572"/>
    <w:rsid w:val="00895A84"/>
    <w:rsid w:val="008961E1"/>
    <w:rsid w:val="00896894"/>
    <w:rsid w:val="00896C4C"/>
    <w:rsid w:val="0089744F"/>
    <w:rsid w:val="00897643"/>
    <w:rsid w:val="00897E2F"/>
    <w:rsid w:val="00897EB3"/>
    <w:rsid w:val="008A0100"/>
    <w:rsid w:val="008A05C2"/>
    <w:rsid w:val="008A0883"/>
    <w:rsid w:val="008A09BC"/>
    <w:rsid w:val="008A0B5E"/>
    <w:rsid w:val="008A0CB0"/>
    <w:rsid w:val="008A1A3D"/>
    <w:rsid w:val="008A2032"/>
    <w:rsid w:val="008A2035"/>
    <w:rsid w:val="008A2167"/>
    <w:rsid w:val="008A257C"/>
    <w:rsid w:val="008A25CF"/>
    <w:rsid w:val="008A2954"/>
    <w:rsid w:val="008A2C23"/>
    <w:rsid w:val="008A2C96"/>
    <w:rsid w:val="008A2E14"/>
    <w:rsid w:val="008A3144"/>
    <w:rsid w:val="008A34A2"/>
    <w:rsid w:val="008A3580"/>
    <w:rsid w:val="008A38CE"/>
    <w:rsid w:val="008A3AC7"/>
    <w:rsid w:val="008A3B4D"/>
    <w:rsid w:val="008A3EAA"/>
    <w:rsid w:val="008A4529"/>
    <w:rsid w:val="008A4AF6"/>
    <w:rsid w:val="008A56B1"/>
    <w:rsid w:val="008A599E"/>
    <w:rsid w:val="008A5A5E"/>
    <w:rsid w:val="008A6275"/>
    <w:rsid w:val="008A627B"/>
    <w:rsid w:val="008A672F"/>
    <w:rsid w:val="008A6A95"/>
    <w:rsid w:val="008A6CBF"/>
    <w:rsid w:val="008A6E00"/>
    <w:rsid w:val="008A6E21"/>
    <w:rsid w:val="008A6E55"/>
    <w:rsid w:val="008A71D6"/>
    <w:rsid w:val="008A7730"/>
    <w:rsid w:val="008A7740"/>
    <w:rsid w:val="008A77B4"/>
    <w:rsid w:val="008A79E7"/>
    <w:rsid w:val="008A7BB6"/>
    <w:rsid w:val="008B0270"/>
    <w:rsid w:val="008B02BE"/>
    <w:rsid w:val="008B0A74"/>
    <w:rsid w:val="008B1516"/>
    <w:rsid w:val="008B19BA"/>
    <w:rsid w:val="008B1AC0"/>
    <w:rsid w:val="008B1B37"/>
    <w:rsid w:val="008B1C2D"/>
    <w:rsid w:val="008B300B"/>
    <w:rsid w:val="008B38B6"/>
    <w:rsid w:val="008B39A2"/>
    <w:rsid w:val="008B53C0"/>
    <w:rsid w:val="008B5949"/>
    <w:rsid w:val="008B5A90"/>
    <w:rsid w:val="008B6167"/>
    <w:rsid w:val="008B688D"/>
    <w:rsid w:val="008B6D6C"/>
    <w:rsid w:val="008B6FD2"/>
    <w:rsid w:val="008B6FDA"/>
    <w:rsid w:val="008B71E9"/>
    <w:rsid w:val="008B73E1"/>
    <w:rsid w:val="008B75EA"/>
    <w:rsid w:val="008B7BA6"/>
    <w:rsid w:val="008C0305"/>
    <w:rsid w:val="008C0785"/>
    <w:rsid w:val="008C0BA4"/>
    <w:rsid w:val="008C0C45"/>
    <w:rsid w:val="008C11F0"/>
    <w:rsid w:val="008C16CF"/>
    <w:rsid w:val="008C2286"/>
    <w:rsid w:val="008C234F"/>
    <w:rsid w:val="008C24FE"/>
    <w:rsid w:val="008C320F"/>
    <w:rsid w:val="008C3362"/>
    <w:rsid w:val="008C3838"/>
    <w:rsid w:val="008C39E9"/>
    <w:rsid w:val="008C3A77"/>
    <w:rsid w:val="008C3BA9"/>
    <w:rsid w:val="008C40F5"/>
    <w:rsid w:val="008C47DF"/>
    <w:rsid w:val="008C48A9"/>
    <w:rsid w:val="008C4CA2"/>
    <w:rsid w:val="008C5324"/>
    <w:rsid w:val="008C53D0"/>
    <w:rsid w:val="008C5ABC"/>
    <w:rsid w:val="008C5FCE"/>
    <w:rsid w:val="008C7200"/>
    <w:rsid w:val="008C7464"/>
    <w:rsid w:val="008C74CA"/>
    <w:rsid w:val="008C756D"/>
    <w:rsid w:val="008C7657"/>
    <w:rsid w:val="008C779E"/>
    <w:rsid w:val="008C7897"/>
    <w:rsid w:val="008C79F2"/>
    <w:rsid w:val="008D0881"/>
    <w:rsid w:val="008D0CD8"/>
    <w:rsid w:val="008D0D4D"/>
    <w:rsid w:val="008D128D"/>
    <w:rsid w:val="008D19D1"/>
    <w:rsid w:val="008D1E1F"/>
    <w:rsid w:val="008D245B"/>
    <w:rsid w:val="008D28F9"/>
    <w:rsid w:val="008D33C5"/>
    <w:rsid w:val="008D3781"/>
    <w:rsid w:val="008D3811"/>
    <w:rsid w:val="008D3ABB"/>
    <w:rsid w:val="008D44EC"/>
    <w:rsid w:val="008D49AB"/>
    <w:rsid w:val="008D4A69"/>
    <w:rsid w:val="008D4BA9"/>
    <w:rsid w:val="008D4F10"/>
    <w:rsid w:val="008D5630"/>
    <w:rsid w:val="008D56ED"/>
    <w:rsid w:val="008D594C"/>
    <w:rsid w:val="008D5BAE"/>
    <w:rsid w:val="008D61DF"/>
    <w:rsid w:val="008D6255"/>
    <w:rsid w:val="008D64A5"/>
    <w:rsid w:val="008D6553"/>
    <w:rsid w:val="008D6C5A"/>
    <w:rsid w:val="008D7284"/>
    <w:rsid w:val="008D733E"/>
    <w:rsid w:val="008D7504"/>
    <w:rsid w:val="008D7A34"/>
    <w:rsid w:val="008D7EDA"/>
    <w:rsid w:val="008E05B2"/>
    <w:rsid w:val="008E0A56"/>
    <w:rsid w:val="008E1000"/>
    <w:rsid w:val="008E106B"/>
    <w:rsid w:val="008E1132"/>
    <w:rsid w:val="008E1C4B"/>
    <w:rsid w:val="008E1DA4"/>
    <w:rsid w:val="008E1FF8"/>
    <w:rsid w:val="008E229A"/>
    <w:rsid w:val="008E257E"/>
    <w:rsid w:val="008E28FD"/>
    <w:rsid w:val="008E3058"/>
    <w:rsid w:val="008E3215"/>
    <w:rsid w:val="008E3BE2"/>
    <w:rsid w:val="008E3C25"/>
    <w:rsid w:val="008E4433"/>
    <w:rsid w:val="008E498A"/>
    <w:rsid w:val="008E4A1C"/>
    <w:rsid w:val="008E4D1C"/>
    <w:rsid w:val="008E4DC7"/>
    <w:rsid w:val="008E5063"/>
    <w:rsid w:val="008E51E5"/>
    <w:rsid w:val="008E521A"/>
    <w:rsid w:val="008E55D9"/>
    <w:rsid w:val="008E58E9"/>
    <w:rsid w:val="008E5D65"/>
    <w:rsid w:val="008E5FC9"/>
    <w:rsid w:val="008E603B"/>
    <w:rsid w:val="008E6283"/>
    <w:rsid w:val="008E6360"/>
    <w:rsid w:val="008E6464"/>
    <w:rsid w:val="008E682C"/>
    <w:rsid w:val="008E69EF"/>
    <w:rsid w:val="008E6A05"/>
    <w:rsid w:val="008E6CB6"/>
    <w:rsid w:val="008E722A"/>
    <w:rsid w:val="008E7271"/>
    <w:rsid w:val="008E7554"/>
    <w:rsid w:val="008E763C"/>
    <w:rsid w:val="008E7CD9"/>
    <w:rsid w:val="008E7E27"/>
    <w:rsid w:val="008F01C5"/>
    <w:rsid w:val="008F07AB"/>
    <w:rsid w:val="008F09BC"/>
    <w:rsid w:val="008F141A"/>
    <w:rsid w:val="008F17DF"/>
    <w:rsid w:val="008F1AF7"/>
    <w:rsid w:val="008F2766"/>
    <w:rsid w:val="008F28E9"/>
    <w:rsid w:val="008F2AF5"/>
    <w:rsid w:val="008F3309"/>
    <w:rsid w:val="008F3419"/>
    <w:rsid w:val="008F386F"/>
    <w:rsid w:val="008F391D"/>
    <w:rsid w:val="008F3EC5"/>
    <w:rsid w:val="008F3F1A"/>
    <w:rsid w:val="008F406B"/>
    <w:rsid w:val="008F4995"/>
    <w:rsid w:val="008F49D1"/>
    <w:rsid w:val="008F4A49"/>
    <w:rsid w:val="008F51E7"/>
    <w:rsid w:val="008F5245"/>
    <w:rsid w:val="008F547D"/>
    <w:rsid w:val="008F5502"/>
    <w:rsid w:val="008F5564"/>
    <w:rsid w:val="008F5658"/>
    <w:rsid w:val="008F601F"/>
    <w:rsid w:val="008F6316"/>
    <w:rsid w:val="008F6440"/>
    <w:rsid w:val="008F6565"/>
    <w:rsid w:val="008F6A61"/>
    <w:rsid w:val="008F6E3E"/>
    <w:rsid w:val="008F71B1"/>
    <w:rsid w:val="008F7746"/>
    <w:rsid w:val="008F7FE8"/>
    <w:rsid w:val="0090046A"/>
    <w:rsid w:val="00900608"/>
    <w:rsid w:val="00900854"/>
    <w:rsid w:val="00900A12"/>
    <w:rsid w:val="009016F1"/>
    <w:rsid w:val="009022B3"/>
    <w:rsid w:val="009022B8"/>
    <w:rsid w:val="009023C1"/>
    <w:rsid w:val="009029CC"/>
    <w:rsid w:val="00903602"/>
    <w:rsid w:val="00903E2A"/>
    <w:rsid w:val="00904391"/>
    <w:rsid w:val="00904557"/>
    <w:rsid w:val="0090456D"/>
    <w:rsid w:val="00904661"/>
    <w:rsid w:val="00904D3B"/>
    <w:rsid w:val="00904EA1"/>
    <w:rsid w:val="00904F57"/>
    <w:rsid w:val="00905089"/>
    <w:rsid w:val="0090545D"/>
    <w:rsid w:val="00905C34"/>
    <w:rsid w:val="00905D3D"/>
    <w:rsid w:val="009068DD"/>
    <w:rsid w:val="00906972"/>
    <w:rsid w:val="0090699A"/>
    <w:rsid w:val="00906CBE"/>
    <w:rsid w:val="00906D5F"/>
    <w:rsid w:val="009074AA"/>
    <w:rsid w:val="0090752B"/>
    <w:rsid w:val="00907B8E"/>
    <w:rsid w:val="00907C63"/>
    <w:rsid w:val="00907F26"/>
    <w:rsid w:val="009101E4"/>
    <w:rsid w:val="00910C35"/>
    <w:rsid w:val="00911381"/>
    <w:rsid w:val="00911CA4"/>
    <w:rsid w:val="00911F69"/>
    <w:rsid w:val="00911F80"/>
    <w:rsid w:val="00912587"/>
    <w:rsid w:val="00912884"/>
    <w:rsid w:val="00912985"/>
    <w:rsid w:val="00912AC3"/>
    <w:rsid w:val="00913506"/>
    <w:rsid w:val="00913D76"/>
    <w:rsid w:val="00914198"/>
    <w:rsid w:val="009142AC"/>
    <w:rsid w:val="009143AA"/>
    <w:rsid w:val="0091442C"/>
    <w:rsid w:val="00914720"/>
    <w:rsid w:val="0091549C"/>
    <w:rsid w:val="00915769"/>
    <w:rsid w:val="0091589A"/>
    <w:rsid w:val="00915983"/>
    <w:rsid w:val="00915E23"/>
    <w:rsid w:val="009161E2"/>
    <w:rsid w:val="0091643A"/>
    <w:rsid w:val="0091667E"/>
    <w:rsid w:val="0091699D"/>
    <w:rsid w:val="00916E06"/>
    <w:rsid w:val="00917207"/>
    <w:rsid w:val="0091742D"/>
    <w:rsid w:val="009174CB"/>
    <w:rsid w:val="00917BAB"/>
    <w:rsid w:val="00917E4C"/>
    <w:rsid w:val="00917FFC"/>
    <w:rsid w:val="0092015A"/>
    <w:rsid w:val="009204BB"/>
    <w:rsid w:val="0092066A"/>
    <w:rsid w:val="009208DD"/>
    <w:rsid w:val="0092099F"/>
    <w:rsid w:val="00920B43"/>
    <w:rsid w:val="00920E56"/>
    <w:rsid w:val="0092100B"/>
    <w:rsid w:val="009213F9"/>
    <w:rsid w:val="009214C1"/>
    <w:rsid w:val="009214FC"/>
    <w:rsid w:val="009217C3"/>
    <w:rsid w:val="0092189E"/>
    <w:rsid w:val="009218C8"/>
    <w:rsid w:val="00921E04"/>
    <w:rsid w:val="009221DB"/>
    <w:rsid w:val="009222B5"/>
    <w:rsid w:val="009228EA"/>
    <w:rsid w:val="00922953"/>
    <w:rsid w:val="00922ABA"/>
    <w:rsid w:val="009232D0"/>
    <w:rsid w:val="009234D1"/>
    <w:rsid w:val="0092376C"/>
    <w:rsid w:val="009239A7"/>
    <w:rsid w:val="00923C6E"/>
    <w:rsid w:val="00923F7D"/>
    <w:rsid w:val="009241CB"/>
    <w:rsid w:val="00924B1C"/>
    <w:rsid w:val="00924CA2"/>
    <w:rsid w:val="00925387"/>
    <w:rsid w:val="00925669"/>
    <w:rsid w:val="00925698"/>
    <w:rsid w:val="00925766"/>
    <w:rsid w:val="00925A08"/>
    <w:rsid w:val="00925FA1"/>
    <w:rsid w:val="009260B7"/>
    <w:rsid w:val="00926676"/>
    <w:rsid w:val="009270D4"/>
    <w:rsid w:val="00927175"/>
    <w:rsid w:val="009271CC"/>
    <w:rsid w:val="00927430"/>
    <w:rsid w:val="009274FD"/>
    <w:rsid w:val="00927660"/>
    <w:rsid w:val="00927BF5"/>
    <w:rsid w:val="00927CDC"/>
    <w:rsid w:val="0093011F"/>
    <w:rsid w:val="0093020C"/>
    <w:rsid w:val="00930585"/>
    <w:rsid w:val="00930B9E"/>
    <w:rsid w:val="009311A8"/>
    <w:rsid w:val="009312F8"/>
    <w:rsid w:val="00932990"/>
    <w:rsid w:val="00932F44"/>
    <w:rsid w:val="00933463"/>
    <w:rsid w:val="00933A6E"/>
    <w:rsid w:val="00933C8D"/>
    <w:rsid w:val="00933EC4"/>
    <w:rsid w:val="00934D54"/>
    <w:rsid w:val="00935071"/>
    <w:rsid w:val="00935229"/>
    <w:rsid w:val="009358AF"/>
    <w:rsid w:val="00935A46"/>
    <w:rsid w:val="009364F6"/>
    <w:rsid w:val="00936AED"/>
    <w:rsid w:val="00936C1E"/>
    <w:rsid w:val="00936D00"/>
    <w:rsid w:val="00936E7E"/>
    <w:rsid w:val="00936EE1"/>
    <w:rsid w:val="00937382"/>
    <w:rsid w:val="00937813"/>
    <w:rsid w:val="0093789D"/>
    <w:rsid w:val="009378CA"/>
    <w:rsid w:val="00937AB5"/>
    <w:rsid w:val="00937F50"/>
    <w:rsid w:val="00940675"/>
    <w:rsid w:val="0094100F"/>
    <w:rsid w:val="009410A4"/>
    <w:rsid w:val="009412D1"/>
    <w:rsid w:val="0094139C"/>
    <w:rsid w:val="009416E4"/>
    <w:rsid w:val="00941893"/>
    <w:rsid w:val="009419A6"/>
    <w:rsid w:val="00941A18"/>
    <w:rsid w:val="00941B2B"/>
    <w:rsid w:val="00941B4A"/>
    <w:rsid w:val="00941C2E"/>
    <w:rsid w:val="00942179"/>
    <w:rsid w:val="00942361"/>
    <w:rsid w:val="00942367"/>
    <w:rsid w:val="00942C26"/>
    <w:rsid w:val="00942CD9"/>
    <w:rsid w:val="00942D99"/>
    <w:rsid w:val="00942DA7"/>
    <w:rsid w:val="00942F21"/>
    <w:rsid w:val="009431EB"/>
    <w:rsid w:val="00943F68"/>
    <w:rsid w:val="009448AE"/>
    <w:rsid w:val="009448D9"/>
    <w:rsid w:val="00944B2F"/>
    <w:rsid w:val="00945183"/>
    <w:rsid w:val="009455D9"/>
    <w:rsid w:val="00945970"/>
    <w:rsid w:val="00945AAB"/>
    <w:rsid w:val="009460A2"/>
    <w:rsid w:val="00946191"/>
    <w:rsid w:val="009464A5"/>
    <w:rsid w:val="00946DC4"/>
    <w:rsid w:val="00947001"/>
    <w:rsid w:val="009471A9"/>
    <w:rsid w:val="00947380"/>
    <w:rsid w:val="00947E6C"/>
    <w:rsid w:val="00950154"/>
    <w:rsid w:val="009503E0"/>
    <w:rsid w:val="00950A4E"/>
    <w:rsid w:val="00950D4A"/>
    <w:rsid w:val="00951047"/>
    <w:rsid w:val="00951128"/>
    <w:rsid w:val="0095114C"/>
    <w:rsid w:val="009515DC"/>
    <w:rsid w:val="00951C08"/>
    <w:rsid w:val="00951E22"/>
    <w:rsid w:val="00951E64"/>
    <w:rsid w:val="00952638"/>
    <w:rsid w:val="009526E3"/>
    <w:rsid w:val="0095298C"/>
    <w:rsid w:val="00952AF4"/>
    <w:rsid w:val="00952E9C"/>
    <w:rsid w:val="00953303"/>
    <w:rsid w:val="00953387"/>
    <w:rsid w:val="009538C9"/>
    <w:rsid w:val="00954097"/>
    <w:rsid w:val="009540BB"/>
    <w:rsid w:val="00954201"/>
    <w:rsid w:val="009543A0"/>
    <w:rsid w:val="009544E0"/>
    <w:rsid w:val="00954586"/>
    <w:rsid w:val="00954674"/>
    <w:rsid w:val="0095467F"/>
    <w:rsid w:val="00954AFF"/>
    <w:rsid w:val="00954BC0"/>
    <w:rsid w:val="00954CC1"/>
    <w:rsid w:val="00954E7D"/>
    <w:rsid w:val="00955B81"/>
    <w:rsid w:val="00955BCF"/>
    <w:rsid w:val="00955CAD"/>
    <w:rsid w:val="009560A0"/>
    <w:rsid w:val="009560DD"/>
    <w:rsid w:val="009561E6"/>
    <w:rsid w:val="009562E7"/>
    <w:rsid w:val="00956B4A"/>
    <w:rsid w:val="00957325"/>
    <w:rsid w:val="0095770F"/>
    <w:rsid w:val="00957B4D"/>
    <w:rsid w:val="00957F2C"/>
    <w:rsid w:val="009600A9"/>
    <w:rsid w:val="00960452"/>
    <w:rsid w:val="009604F1"/>
    <w:rsid w:val="00960602"/>
    <w:rsid w:val="00960737"/>
    <w:rsid w:val="0096074C"/>
    <w:rsid w:val="00960A15"/>
    <w:rsid w:val="00960AC4"/>
    <w:rsid w:val="00960C38"/>
    <w:rsid w:val="00960EEB"/>
    <w:rsid w:val="00961154"/>
    <w:rsid w:val="009615C3"/>
    <w:rsid w:val="00961767"/>
    <w:rsid w:val="0096250A"/>
    <w:rsid w:val="00962AD1"/>
    <w:rsid w:val="00962BB2"/>
    <w:rsid w:val="00962BDF"/>
    <w:rsid w:val="0096345C"/>
    <w:rsid w:val="0096363E"/>
    <w:rsid w:val="0096364A"/>
    <w:rsid w:val="009638A6"/>
    <w:rsid w:val="00963A08"/>
    <w:rsid w:val="00963B49"/>
    <w:rsid w:val="009653D7"/>
    <w:rsid w:val="009658AA"/>
    <w:rsid w:val="00967437"/>
    <w:rsid w:val="00967680"/>
    <w:rsid w:val="00967A7E"/>
    <w:rsid w:val="00970527"/>
    <w:rsid w:val="009709F4"/>
    <w:rsid w:val="00970BA3"/>
    <w:rsid w:val="00970C59"/>
    <w:rsid w:val="00970FA8"/>
    <w:rsid w:val="009719B6"/>
    <w:rsid w:val="00971CD8"/>
    <w:rsid w:val="00971E96"/>
    <w:rsid w:val="00972709"/>
    <w:rsid w:val="00972F79"/>
    <w:rsid w:val="00973615"/>
    <w:rsid w:val="0097393D"/>
    <w:rsid w:val="00973D31"/>
    <w:rsid w:val="00973DAA"/>
    <w:rsid w:val="0097439D"/>
    <w:rsid w:val="00974AAA"/>
    <w:rsid w:val="00974B65"/>
    <w:rsid w:val="00974BF5"/>
    <w:rsid w:val="00974D25"/>
    <w:rsid w:val="00974E25"/>
    <w:rsid w:val="00974FBD"/>
    <w:rsid w:val="00975069"/>
    <w:rsid w:val="009750ED"/>
    <w:rsid w:val="009751A5"/>
    <w:rsid w:val="0097543A"/>
    <w:rsid w:val="009756B0"/>
    <w:rsid w:val="00975929"/>
    <w:rsid w:val="009767AF"/>
    <w:rsid w:val="009770F8"/>
    <w:rsid w:val="009772D1"/>
    <w:rsid w:val="00977411"/>
    <w:rsid w:val="00980AB6"/>
    <w:rsid w:val="00980F6D"/>
    <w:rsid w:val="00981145"/>
    <w:rsid w:val="00981764"/>
    <w:rsid w:val="00981973"/>
    <w:rsid w:val="00981BC7"/>
    <w:rsid w:val="009822DC"/>
    <w:rsid w:val="009824D9"/>
    <w:rsid w:val="009825F6"/>
    <w:rsid w:val="00982635"/>
    <w:rsid w:val="00983252"/>
    <w:rsid w:val="00983492"/>
    <w:rsid w:val="0098367E"/>
    <w:rsid w:val="00983708"/>
    <w:rsid w:val="009837C5"/>
    <w:rsid w:val="009839AB"/>
    <w:rsid w:val="009839B6"/>
    <w:rsid w:val="00983A73"/>
    <w:rsid w:val="00983AC9"/>
    <w:rsid w:val="00983C38"/>
    <w:rsid w:val="00983D83"/>
    <w:rsid w:val="00983D97"/>
    <w:rsid w:val="00983DD5"/>
    <w:rsid w:val="0098405A"/>
    <w:rsid w:val="009840E2"/>
    <w:rsid w:val="00984AE3"/>
    <w:rsid w:val="00984B10"/>
    <w:rsid w:val="00984DD4"/>
    <w:rsid w:val="00984E51"/>
    <w:rsid w:val="00984FAE"/>
    <w:rsid w:val="0098530F"/>
    <w:rsid w:val="009854BC"/>
    <w:rsid w:val="00985B78"/>
    <w:rsid w:val="00985D45"/>
    <w:rsid w:val="00985D48"/>
    <w:rsid w:val="00986110"/>
    <w:rsid w:val="00986371"/>
    <w:rsid w:val="00986693"/>
    <w:rsid w:val="00986ACF"/>
    <w:rsid w:val="00987314"/>
    <w:rsid w:val="00987344"/>
    <w:rsid w:val="00987368"/>
    <w:rsid w:val="00990061"/>
    <w:rsid w:val="009900FC"/>
    <w:rsid w:val="00990721"/>
    <w:rsid w:val="0099093A"/>
    <w:rsid w:val="0099108B"/>
    <w:rsid w:val="009911B1"/>
    <w:rsid w:val="009915AF"/>
    <w:rsid w:val="00992142"/>
    <w:rsid w:val="0099268D"/>
    <w:rsid w:val="009929CF"/>
    <w:rsid w:val="00992BF6"/>
    <w:rsid w:val="009936EF"/>
    <w:rsid w:val="00993720"/>
    <w:rsid w:val="009937E2"/>
    <w:rsid w:val="00993C0A"/>
    <w:rsid w:val="00993CCD"/>
    <w:rsid w:val="009943DB"/>
    <w:rsid w:val="009946C5"/>
    <w:rsid w:val="00994789"/>
    <w:rsid w:val="009947E5"/>
    <w:rsid w:val="00994985"/>
    <w:rsid w:val="00994CA4"/>
    <w:rsid w:val="009951C0"/>
    <w:rsid w:val="0099539E"/>
    <w:rsid w:val="00995424"/>
    <w:rsid w:val="00995D85"/>
    <w:rsid w:val="009963A2"/>
    <w:rsid w:val="009967BA"/>
    <w:rsid w:val="0099715C"/>
    <w:rsid w:val="0099776F"/>
    <w:rsid w:val="00997D3F"/>
    <w:rsid w:val="00997E58"/>
    <w:rsid w:val="009A000E"/>
    <w:rsid w:val="009A034C"/>
    <w:rsid w:val="009A0A29"/>
    <w:rsid w:val="009A18C9"/>
    <w:rsid w:val="009A2537"/>
    <w:rsid w:val="009A2AAB"/>
    <w:rsid w:val="009A3034"/>
    <w:rsid w:val="009A3518"/>
    <w:rsid w:val="009A39D9"/>
    <w:rsid w:val="009A428B"/>
    <w:rsid w:val="009A42A7"/>
    <w:rsid w:val="009A4392"/>
    <w:rsid w:val="009A54E9"/>
    <w:rsid w:val="009A5906"/>
    <w:rsid w:val="009A599F"/>
    <w:rsid w:val="009A6671"/>
    <w:rsid w:val="009A6805"/>
    <w:rsid w:val="009A6905"/>
    <w:rsid w:val="009A6953"/>
    <w:rsid w:val="009A6A57"/>
    <w:rsid w:val="009A6B0E"/>
    <w:rsid w:val="009A74F5"/>
    <w:rsid w:val="009A7719"/>
    <w:rsid w:val="009B01BD"/>
    <w:rsid w:val="009B020A"/>
    <w:rsid w:val="009B04EE"/>
    <w:rsid w:val="009B0A66"/>
    <w:rsid w:val="009B1414"/>
    <w:rsid w:val="009B1C79"/>
    <w:rsid w:val="009B1D14"/>
    <w:rsid w:val="009B1FE2"/>
    <w:rsid w:val="009B2B96"/>
    <w:rsid w:val="009B3336"/>
    <w:rsid w:val="009B3A43"/>
    <w:rsid w:val="009B3BE3"/>
    <w:rsid w:val="009B3C1E"/>
    <w:rsid w:val="009B3EA2"/>
    <w:rsid w:val="009B3F07"/>
    <w:rsid w:val="009B5593"/>
    <w:rsid w:val="009B5BFB"/>
    <w:rsid w:val="009B61BA"/>
    <w:rsid w:val="009B64F4"/>
    <w:rsid w:val="009B66A4"/>
    <w:rsid w:val="009B6F19"/>
    <w:rsid w:val="009B706D"/>
    <w:rsid w:val="009B7289"/>
    <w:rsid w:val="009B750B"/>
    <w:rsid w:val="009B78E8"/>
    <w:rsid w:val="009B7AC8"/>
    <w:rsid w:val="009C057D"/>
    <w:rsid w:val="009C0693"/>
    <w:rsid w:val="009C0C2E"/>
    <w:rsid w:val="009C115B"/>
    <w:rsid w:val="009C11D0"/>
    <w:rsid w:val="009C1209"/>
    <w:rsid w:val="009C1808"/>
    <w:rsid w:val="009C1AAE"/>
    <w:rsid w:val="009C1B59"/>
    <w:rsid w:val="009C1D1A"/>
    <w:rsid w:val="009C1D8D"/>
    <w:rsid w:val="009C2103"/>
    <w:rsid w:val="009C22E5"/>
    <w:rsid w:val="009C23BE"/>
    <w:rsid w:val="009C244B"/>
    <w:rsid w:val="009C249E"/>
    <w:rsid w:val="009C291C"/>
    <w:rsid w:val="009C3528"/>
    <w:rsid w:val="009C4042"/>
    <w:rsid w:val="009C41AA"/>
    <w:rsid w:val="009C4409"/>
    <w:rsid w:val="009C4628"/>
    <w:rsid w:val="009C46BB"/>
    <w:rsid w:val="009C491E"/>
    <w:rsid w:val="009C4997"/>
    <w:rsid w:val="009C4FE0"/>
    <w:rsid w:val="009C5086"/>
    <w:rsid w:val="009C50C4"/>
    <w:rsid w:val="009C511E"/>
    <w:rsid w:val="009C5EE6"/>
    <w:rsid w:val="009C61C1"/>
    <w:rsid w:val="009C633F"/>
    <w:rsid w:val="009C6BA9"/>
    <w:rsid w:val="009C74CA"/>
    <w:rsid w:val="009C7B3F"/>
    <w:rsid w:val="009C7FAD"/>
    <w:rsid w:val="009D017D"/>
    <w:rsid w:val="009D0357"/>
    <w:rsid w:val="009D0A56"/>
    <w:rsid w:val="009D0F1D"/>
    <w:rsid w:val="009D1A52"/>
    <w:rsid w:val="009D20D3"/>
    <w:rsid w:val="009D215A"/>
    <w:rsid w:val="009D2516"/>
    <w:rsid w:val="009D27E5"/>
    <w:rsid w:val="009D2841"/>
    <w:rsid w:val="009D2956"/>
    <w:rsid w:val="009D2F57"/>
    <w:rsid w:val="009D2FF4"/>
    <w:rsid w:val="009D309C"/>
    <w:rsid w:val="009D3141"/>
    <w:rsid w:val="009D38DD"/>
    <w:rsid w:val="009D4112"/>
    <w:rsid w:val="009D42D1"/>
    <w:rsid w:val="009D4360"/>
    <w:rsid w:val="009D4BD0"/>
    <w:rsid w:val="009D4F68"/>
    <w:rsid w:val="009D5357"/>
    <w:rsid w:val="009D5495"/>
    <w:rsid w:val="009D550A"/>
    <w:rsid w:val="009D575D"/>
    <w:rsid w:val="009D5A40"/>
    <w:rsid w:val="009D5C63"/>
    <w:rsid w:val="009D5E2B"/>
    <w:rsid w:val="009D6D70"/>
    <w:rsid w:val="009D70B0"/>
    <w:rsid w:val="009D7A33"/>
    <w:rsid w:val="009E02D5"/>
    <w:rsid w:val="009E1166"/>
    <w:rsid w:val="009E1437"/>
    <w:rsid w:val="009E1B38"/>
    <w:rsid w:val="009E1BC5"/>
    <w:rsid w:val="009E22EB"/>
    <w:rsid w:val="009E23F5"/>
    <w:rsid w:val="009E251F"/>
    <w:rsid w:val="009E2635"/>
    <w:rsid w:val="009E2A32"/>
    <w:rsid w:val="009E2A4B"/>
    <w:rsid w:val="009E2CA1"/>
    <w:rsid w:val="009E315D"/>
    <w:rsid w:val="009E33CC"/>
    <w:rsid w:val="009E3EFC"/>
    <w:rsid w:val="009E3F6A"/>
    <w:rsid w:val="009E408C"/>
    <w:rsid w:val="009E4445"/>
    <w:rsid w:val="009E49A1"/>
    <w:rsid w:val="009E52F8"/>
    <w:rsid w:val="009E53A1"/>
    <w:rsid w:val="009E5533"/>
    <w:rsid w:val="009E5618"/>
    <w:rsid w:val="009E57E6"/>
    <w:rsid w:val="009E5A80"/>
    <w:rsid w:val="009E5E07"/>
    <w:rsid w:val="009E5EB7"/>
    <w:rsid w:val="009E6287"/>
    <w:rsid w:val="009E6451"/>
    <w:rsid w:val="009E6B4F"/>
    <w:rsid w:val="009E75EC"/>
    <w:rsid w:val="009E7735"/>
    <w:rsid w:val="009E7F3D"/>
    <w:rsid w:val="009E7F93"/>
    <w:rsid w:val="009F03FB"/>
    <w:rsid w:val="009F0619"/>
    <w:rsid w:val="009F08FD"/>
    <w:rsid w:val="009F1006"/>
    <w:rsid w:val="009F1364"/>
    <w:rsid w:val="009F14F5"/>
    <w:rsid w:val="009F19C6"/>
    <w:rsid w:val="009F1BC7"/>
    <w:rsid w:val="009F21FE"/>
    <w:rsid w:val="009F227A"/>
    <w:rsid w:val="009F28DC"/>
    <w:rsid w:val="009F2D50"/>
    <w:rsid w:val="009F2F43"/>
    <w:rsid w:val="009F3273"/>
    <w:rsid w:val="009F3E56"/>
    <w:rsid w:val="009F3F0E"/>
    <w:rsid w:val="009F44E0"/>
    <w:rsid w:val="009F4528"/>
    <w:rsid w:val="009F4B0C"/>
    <w:rsid w:val="009F5508"/>
    <w:rsid w:val="009F58E0"/>
    <w:rsid w:val="009F5ACB"/>
    <w:rsid w:val="009F5BD1"/>
    <w:rsid w:val="009F5F1A"/>
    <w:rsid w:val="009F6467"/>
    <w:rsid w:val="009F67A7"/>
    <w:rsid w:val="009F6806"/>
    <w:rsid w:val="009F6B4A"/>
    <w:rsid w:val="009F6B88"/>
    <w:rsid w:val="009F6F06"/>
    <w:rsid w:val="009F7069"/>
    <w:rsid w:val="009F7628"/>
    <w:rsid w:val="009F7830"/>
    <w:rsid w:val="009F78D8"/>
    <w:rsid w:val="009F7DA6"/>
    <w:rsid w:val="00A00407"/>
    <w:rsid w:val="00A00643"/>
    <w:rsid w:val="00A00E1C"/>
    <w:rsid w:val="00A018E8"/>
    <w:rsid w:val="00A0193D"/>
    <w:rsid w:val="00A01AF4"/>
    <w:rsid w:val="00A02187"/>
    <w:rsid w:val="00A024D9"/>
    <w:rsid w:val="00A026EF"/>
    <w:rsid w:val="00A02719"/>
    <w:rsid w:val="00A02EDE"/>
    <w:rsid w:val="00A036E1"/>
    <w:rsid w:val="00A037E1"/>
    <w:rsid w:val="00A03BB7"/>
    <w:rsid w:val="00A03C92"/>
    <w:rsid w:val="00A04576"/>
    <w:rsid w:val="00A04978"/>
    <w:rsid w:val="00A04AC0"/>
    <w:rsid w:val="00A04B1E"/>
    <w:rsid w:val="00A04C2B"/>
    <w:rsid w:val="00A0510D"/>
    <w:rsid w:val="00A052AA"/>
    <w:rsid w:val="00A05737"/>
    <w:rsid w:val="00A05867"/>
    <w:rsid w:val="00A06107"/>
    <w:rsid w:val="00A062B6"/>
    <w:rsid w:val="00A062D0"/>
    <w:rsid w:val="00A06398"/>
    <w:rsid w:val="00A0676F"/>
    <w:rsid w:val="00A06780"/>
    <w:rsid w:val="00A0687A"/>
    <w:rsid w:val="00A06C6A"/>
    <w:rsid w:val="00A06D31"/>
    <w:rsid w:val="00A06DA1"/>
    <w:rsid w:val="00A06FF8"/>
    <w:rsid w:val="00A0707B"/>
    <w:rsid w:val="00A07403"/>
    <w:rsid w:val="00A07DC6"/>
    <w:rsid w:val="00A10247"/>
    <w:rsid w:val="00A105FA"/>
    <w:rsid w:val="00A1062D"/>
    <w:rsid w:val="00A108C9"/>
    <w:rsid w:val="00A10B3E"/>
    <w:rsid w:val="00A10FCF"/>
    <w:rsid w:val="00A116EB"/>
    <w:rsid w:val="00A117AE"/>
    <w:rsid w:val="00A11ED0"/>
    <w:rsid w:val="00A120D0"/>
    <w:rsid w:val="00A12354"/>
    <w:rsid w:val="00A128CA"/>
    <w:rsid w:val="00A12D5E"/>
    <w:rsid w:val="00A12E8A"/>
    <w:rsid w:val="00A130FA"/>
    <w:rsid w:val="00A13AFA"/>
    <w:rsid w:val="00A143D7"/>
    <w:rsid w:val="00A148E9"/>
    <w:rsid w:val="00A14A87"/>
    <w:rsid w:val="00A1518D"/>
    <w:rsid w:val="00A1585E"/>
    <w:rsid w:val="00A15AEE"/>
    <w:rsid w:val="00A1621F"/>
    <w:rsid w:val="00A16C82"/>
    <w:rsid w:val="00A1750B"/>
    <w:rsid w:val="00A17854"/>
    <w:rsid w:val="00A178C2"/>
    <w:rsid w:val="00A2018D"/>
    <w:rsid w:val="00A201E7"/>
    <w:rsid w:val="00A201EC"/>
    <w:rsid w:val="00A20D2A"/>
    <w:rsid w:val="00A20E99"/>
    <w:rsid w:val="00A214BC"/>
    <w:rsid w:val="00A219F7"/>
    <w:rsid w:val="00A21C8D"/>
    <w:rsid w:val="00A21CFA"/>
    <w:rsid w:val="00A21D07"/>
    <w:rsid w:val="00A22095"/>
    <w:rsid w:val="00A229D5"/>
    <w:rsid w:val="00A2304D"/>
    <w:rsid w:val="00A237EE"/>
    <w:rsid w:val="00A24457"/>
    <w:rsid w:val="00A246D7"/>
    <w:rsid w:val="00A24726"/>
    <w:rsid w:val="00A24817"/>
    <w:rsid w:val="00A2485B"/>
    <w:rsid w:val="00A249E7"/>
    <w:rsid w:val="00A24C34"/>
    <w:rsid w:val="00A24C69"/>
    <w:rsid w:val="00A25034"/>
    <w:rsid w:val="00A25A21"/>
    <w:rsid w:val="00A25CB6"/>
    <w:rsid w:val="00A25FA8"/>
    <w:rsid w:val="00A26956"/>
    <w:rsid w:val="00A26B7F"/>
    <w:rsid w:val="00A27064"/>
    <w:rsid w:val="00A270C1"/>
    <w:rsid w:val="00A2754A"/>
    <w:rsid w:val="00A275BE"/>
    <w:rsid w:val="00A27A4D"/>
    <w:rsid w:val="00A302DE"/>
    <w:rsid w:val="00A3031C"/>
    <w:rsid w:val="00A303A9"/>
    <w:rsid w:val="00A309BB"/>
    <w:rsid w:val="00A30E50"/>
    <w:rsid w:val="00A30FDA"/>
    <w:rsid w:val="00A31625"/>
    <w:rsid w:val="00A31756"/>
    <w:rsid w:val="00A319FC"/>
    <w:rsid w:val="00A31F88"/>
    <w:rsid w:val="00A3232E"/>
    <w:rsid w:val="00A3249E"/>
    <w:rsid w:val="00A32A07"/>
    <w:rsid w:val="00A32A82"/>
    <w:rsid w:val="00A32D13"/>
    <w:rsid w:val="00A33380"/>
    <w:rsid w:val="00A336D0"/>
    <w:rsid w:val="00A3399D"/>
    <w:rsid w:val="00A34957"/>
    <w:rsid w:val="00A34DFB"/>
    <w:rsid w:val="00A3508B"/>
    <w:rsid w:val="00A35D58"/>
    <w:rsid w:val="00A35DC9"/>
    <w:rsid w:val="00A3610F"/>
    <w:rsid w:val="00A361AE"/>
    <w:rsid w:val="00A3634F"/>
    <w:rsid w:val="00A36436"/>
    <w:rsid w:val="00A3663B"/>
    <w:rsid w:val="00A36789"/>
    <w:rsid w:val="00A368F1"/>
    <w:rsid w:val="00A36939"/>
    <w:rsid w:val="00A36ABD"/>
    <w:rsid w:val="00A37161"/>
    <w:rsid w:val="00A375AD"/>
    <w:rsid w:val="00A379F9"/>
    <w:rsid w:val="00A37E04"/>
    <w:rsid w:val="00A406AD"/>
    <w:rsid w:val="00A407C6"/>
    <w:rsid w:val="00A40BF3"/>
    <w:rsid w:val="00A40D94"/>
    <w:rsid w:val="00A41710"/>
    <w:rsid w:val="00A41797"/>
    <w:rsid w:val="00A41BE0"/>
    <w:rsid w:val="00A41C93"/>
    <w:rsid w:val="00A422AA"/>
    <w:rsid w:val="00A426C7"/>
    <w:rsid w:val="00A42726"/>
    <w:rsid w:val="00A43184"/>
    <w:rsid w:val="00A43A2B"/>
    <w:rsid w:val="00A43BA1"/>
    <w:rsid w:val="00A43CC5"/>
    <w:rsid w:val="00A43E92"/>
    <w:rsid w:val="00A44256"/>
    <w:rsid w:val="00A44665"/>
    <w:rsid w:val="00A449EE"/>
    <w:rsid w:val="00A45034"/>
    <w:rsid w:val="00A4545B"/>
    <w:rsid w:val="00A45684"/>
    <w:rsid w:val="00A4589F"/>
    <w:rsid w:val="00A45B41"/>
    <w:rsid w:val="00A45CBC"/>
    <w:rsid w:val="00A46050"/>
    <w:rsid w:val="00A46131"/>
    <w:rsid w:val="00A46D74"/>
    <w:rsid w:val="00A46DF7"/>
    <w:rsid w:val="00A47B80"/>
    <w:rsid w:val="00A47C88"/>
    <w:rsid w:val="00A503D5"/>
    <w:rsid w:val="00A506F9"/>
    <w:rsid w:val="00A5084E"/>
    <w:rsid w:val="00A50A65"/>
    <w:rsid w:val="00A50B94"/>
    <w:rsid w:val="00A50C47"/>
    <w:rsid w:val="00A51005"/>
    <w:rsid w:val="00A51572"/>
    <w:rsid w:val="00A515E2"/>
    <w:rsid w:val="00A51B57"/>
    <w:rsid w:val="00A51B5A"/>
    <w:rsid w:val="00A51EF8"/>
    <w:rsid w:val="00A52521"/>
    <w:rsid w:val="00A528A1"/>
    <w:rsid w:val="00A528C2"/>
    <w:rsid w:val="00A52A8A"/>
    <w:rsid w:val="00A52F53"/>
    <w:rsid w:val="00A535B4"/>
    <w:rsid w:val="00A53891"/>
    <w:rsid w:val="00A538C3"/>
    <w:rsid w:val="00A53D31"/>
    <w:rsid w:val="00A53FB4"/>
    <w:rsid w:val="00A54B01"/>
    <w:rsid w:val="00A54CE2"/>
    <w:rsid w:val="00A555CD"/>
    <w:rsid w:val="00A556A5"/>
    <w:rsid w:val="00A55969"/>
    <w:rsid w:val="00A55ABD"/>
    <w:rsid w:val="00A569F9"/>
    <w:rsid w:val="00A56EDD"/>
    <w:rsid w:val="00A56F35"/>
    <w:rsid w:val="00A5704C"/>
    <w:rsid w:val="00A572C3"/>
    <w:rsid w:val="00A57CBC"/>
    <w:rsid w:val="00A57CBF"/>
    <w:rsid w:val="00A60280"/>
    <w:rsid w:val="00A6035F"/>
    <w:rsid w:val="00A60374"/>
    <w:rsid w:val="00A60564"/>
    <w:rsid w:val="00A60ADB"/>
    <w:rsid w:val="00A60B8A"/>
    <w:rsid w:val="00A60E33"/>
    <w:rsid w:val="00A61B60"/>
    <w:rsid w:val="00A61F47"/>
    <w:rsid w:val="00A62F40"/>
    <w:rsid w:val="00A6312E"/>
    <w:rsid w:val="00A63180"/>
    <w:rsid w:val="00A63278"/>
    <w:rsid w:val="00A634EF"/>
    <w:rsid w:val="00A63DE0"/>
    <w:rsid w:val="00A64245"/>
    <w:rsid w:val="00A643BC"/>
    <w:rsid w:val="00A64466"/>
    <w:rsid w:val="00A646D6"/>
    <w:rsid w:val="00A64761"/>
    <w:rsid w:val="00A64F93"/>
    <w:rsid w:val="00A664CC"/>
    <w:rsid w:val="00A666E8"/>
    <w:rsid w:val="00A67A5A"/>
    <w:rsid w:val="00A67DF6"/>
    <w:rsid w:val="00A67E31"/>
    <w:rsid w:val="00A67EC5"/>
    <w:rsid w:val="00A700EB"/>
    <w:rsid w:val="00A70430"/>
    <w:rsid w:val="00A70AE0"/>
    <w:rsid w:val="00A70B24"/>
    <w:rsid w:val="00A70C2C"/>
    <w:rsid w:val="00A713CD"/>
    <w:rsid w:val="00A71AAC"/>
    <w:rsid w:val="00A71F5D"/>
    <w:rsid w:val="00A727E0"/>
    <w:rsid w:val="00A72D6F"/>
    <w:rsid w:val="00A72FBE"/>
    <w:rsid w:val="00A735AA"/>
    <w:rsid w:val="00A738DF"/>
    <w:rsid w:val="00A75220"/>
    <w:rsid w:val="00A75303"/>
    <w:rsid w:val="00A75787"/>
    <w:rsid w:val="00A75E1B"/>
    <w:rsid w:val="00A7617F"/>
    <w:rsid w:val="00A76D63"/>
    <w:rsid w:val="00A76F9C"/>
    <w:rsid w:val="00A771C7"/>
    <w:rsid w:val="00A7738D"/>
    <w:rsid w:val="00A777BD"/>
    <w:rsid w:val="00A7797F"/>
    <w:rsid w:val="00A779EC"/>
    <w:rsid w:val="00A77D1E"/>
    <w:rsid w:val="00A77E92"/>
    <w:rsid w:val="00A80837"/>
    <w:rsid w:val="00A8086A"/>
    <w:rsid w:val="00A80ACF"/>
    <w:rsid w:val="00A80D48"/>
    <w:rsid w:val="00A80EF7"/>
    <w:rsid w:val="00A81688"/>
    <w:rsid w:val="00A818FB"/>
    <w:rsid w:val="00A827CD"/>
    <w:rsid w:val="00A827D0"/>
    <w:rsid w:val="00A83482"/>
    <w:rsid w:val="00A83AD7"/>
    <w:rsid w:val="00A83DA5"/>
    <w:rsid w:val="00A843EA"/>
    <w:rsid w:val="00A84847"/>
    <w:rsid w:val="00A849B2"/>
    <w:rsid w:val="00A849E3"/>
    <w:rsid w:val="00A84E13"/>
    <w:rsid w:val="00A84E28"/>
    <w:rsid w:val="00A84FDB"/>
    <w:rsid w:val="00A850D9"/>
    <w:rsid w:val="00A85D6F"/>
    <w:rsid w:val="00A85F15"/>
    <w:rsid w:val="00A864F6"/>
    <w:rsid w:val="00A86BD7"/>
    <w:rsid w:val="00A86DD1"/>
    <w:rsid w:val="00A87583"/>
    <w:rsid w:val="00A87878"/>
    <w:rsid w:val="00A878D8"/>
    <w:rsid w:val="00A902C1"/>
    <w:rsid w:val="00A9068F"/>
    <w:rsid w:val="00A90762"/>
    <w:rsid w:val="00A90DAC"/>
    <w:rsid w:val="00A90ECF"/>
    <w:rsid w:val="00A911A0"/>
    <w:rsid w:val="00A913D4"/>
    <w:rsid w:val="00A91661"/>
    <w:rsid w:val="00A91BC1"/>
    <w:rsid w:val="00A920AC"/>
    <w:rsid w:val="00A922D2"/>
    <w:rsid w:val="00A928FF"/>
    <w:rsid w:val="00A92B0A"/>
    <w:rsid w:val="00A92DB0"/>
    <w:rsid w:val="00A92E25"/>
    <w:rsid w:val="00A93735"/>
    <w:rsid w:val="00A93A98"/>
    <w:rsid w:val="00A9404D"/>
    <w:rsid w:val="00A9405B"/>
    <w:rsid w:val="00A941F0"/>
    <w:rsid w:val="00A942B8"/>
    <w:rsid w:val="00A94367"/>
    <w:rsid w:val="00A94379"/>
    <w:rsid w:val="00A9459C"/>
    <w:rsid w:val="00A946E2"/>
    <w:rsid w:val="00A94E81"/>
    <w:rsid w:val="00A9503D"/>
    <w:rsid w:val="00A959D5"/>
    <w:rsid w:val="00A95C99"/>
    <w:rsid w:val="00A95D52"/>
    <w:rsid w:val="00A9659C"/>
    <w:rsid w:val="00A965C0"/>
    <w:rsid w:val="00A96C0F"/>
    <w:rsid w:val="00A9710E"/>
    <w:rsid w:val="00A971BC"/>
    <w:rsid w:val="00A97653"/>
    <w:rsid w:val="00A97D6E"/>
    <w:rsid w:val="00A97DB2"/>
    <w:rsid w:val="00AA00C9"/>
    <w:rsid w:val="00AA02D6"/>
    <w:rsid w:val="00AA077C"/>
    <w:rsid w:val="00AA111D"/>
    <w:rsid w:val="00AA1232"/>
    <w:rsid w:val="00AA19B9"/>
    <w:rsid w:val="00AA1CDB"/>
    <w:rsid w:val="00AA1E27"/>
    <w:rsid w:val="00AA1E6E"/>
    <w:rsid w:val="00AA1EAA"/>
    <w:rsid w:val="00AA2607"/>
    <w:rsid w:val="00AA282A"/>
    <w:rsid w:val="00AA28DA"/>
    <w:rsid w:val="00AA292A"/>
    <w:rsid w:val="00AA2AEB"/>
    <w:rsid w:val="00AA339E"/>
    <w:rsid w:val="00AA360F"/>
    <w:rsid w:val="00AA386B"/>
    <w:rsid w:val="00AA4476"/>
    <w:rsid w:val="00AA5546"/>
    <w:rsid w:val="00AA55FC"/>
    <w:rsid w:val="00AA57BE"/>
    <w:rsid w:val="00AA5EE4"/>
    <w:rsid w:val="00AA63E7"/>
    <w:rsid w:val="00AA6919"/>
    <w:rsid w:val="00AA6AB4"/>
    <w:rsid w:val="00AA6C21"/>
    <w:rsid w:val="00AA6E25"/>
    <w:rsid w:val="00AA725F"/>
    <w:rsid w:val="00AA732E"/>
    <w:rsid w:val="00AA7594"/>
    <w:rsid w:val="00AA769A"/>
    <w:rsid w:val="00AA77D3"/>
    <w:rsid w:val="00AA787F"/>
    <w:rsid w:val="00AA7B23"/>
    <w:rsid w:val="00AA7F6B"/>
    <w:rsid w:val="00AB03B0"/>
    <w:rsid w:val="00AB055A"/>
    <w:rsid w:val="00AB08F6"/>
    <w:rsid w:val="00AB0E1B"/>
    <w:rsid w:val="00AB11D1"/>
    <w:rsid w:val="00AB17F4"/>
    <w:rsid w:val="00AB1FAE"/>
    <w:rsid w:val="00AB1FC8"/>
    <w:rsid w:val="00AB21FD"/>
    <w:rsid w:val="00AB2A27"/>
    <w:rsid w:val="00AB2E0E"/>
    <w:rsid w:val="00AB352A"/>
    <w:rsid w:val="00AB3615"/>
    <w:rsid w:val="00AB3665"/>
    <w:rsid w:val="00AB38D6"/>
    <w:rsid w:val="00AB49CD"/>
    <w:rsid w:val="00AB4C73"/>
    <w:rsid w:val="00AB4FBC"/>
    <w:rsid w:val="00AB5125"/>
    <w:rsid w:val="00AB5257"/>
    <w:rsid w:val="00AB529D"/>
    <w:rsid w:val="00AB537C"/>
    <w:rsid w:val="00AB54CF"/>
    <w:rsid w:val="00AB5A59"/>
    <w:rsid w:val="00AB5AD4"/>
    <w:rsid w:val="00AB60F7"/>
    <w:rsid w:val="00AB6864"/>
    <w:rsid w:val="00AB6C65"/>
    <w:rsid w:val="00AB6D93"/>
    <w:rsid w:val="00AB70D1"/>
    <w:rsid w:val="00AC0042"/>
    <w:rsid w:val="00AC025F"/>
    <w:rsid w:val="00AC1805"/>
    <w:rsid w:val="00AC1833"/>
    <w:rsid w:val="00AC19C3"/>
    <w:rsid w:val="00AC239B"/>
    <w:rsid w:val="00AC2B2C"/>
    <w:rsid w:val="00AC30FD"/>
    <w:rsid w:val="00AC3504"/>
    <w:rsid w:val="00AC3C0E"/>
    <w:rsid w:val="00AC3E63"/>
    <w:rsid w:val="00AC3F32"/>
    <w:rsid w:val="00AC45E8"/>
    <w:rsid w:val="00AC4AF1"/>
    <w:rsid w:val="00AC4D29"/>
    <w:rsid w:val="00AC4EE6"/>
    <w:rsid w:val="00AC552C"/>
    <w:rsid w:val="00AC590F"/>
    <w:rsid w:val="00AC59E3"/>
    <w:rsid w:val="00AC5CA4"/>
    <w:rsid w:val="00AC613A"/>
    <w:rsid w:val="00AC6392"/>
    <w:rsid w:val="00AC64E4"/>
    <w:rsid w:val="00AC6767"/>
    <w:rsid w:val="00AC69D6"/>
    <w:rsid w:val="00AC6A50"/>
    <w:rsid w:val="00AC6CAE"/>
    <w:rsid w:val="00AC6F52"/>
    <w:rsid w:val="00AC76ED"/>
    <w:rsid w:val="00AC788C"/>
    <w:rsid w:val="00AC7A9F"/>
    <w:rsid w:val="00AC7F91"/>
    <w:rsid w:val="00AD04AF"/>
    <w:rsid w:val="00AD06E1"/>
    <w:rsid w:val="00AD0810"/>
    <w:rsid w:val="00AD0ABC"/>
    <w:rsid w:val="00AD0C1D"/>
    <w:rsid w:val="00AD1154"/>
    <w:rsid w:val="00AD11E6"/>
    <w:rsid w:val="00AD1249"/>
    <w:rsid w:val="00AD19C1"/>
    <w:rsid w:val="00AD204A"/>
    <w:rsid w:val="00AD2140"/>
    <w:rsid w:val="00AD239F"/>
    <w:rsid w:val="00AD23DD"/>
    <w:rsid w:val="00AD258F"/>
    <w:rsid w:val="00AD296D"/>
    <w:rsid w:val="00AD29CB"/>
    <w:rsid w:val="00AD2DB3"/>
    <w:rsid w:val="00AD37A6"/>
    <w:rsid w:val="00AD42D1"/>
    <w:rsid w:val="00AD4C18"/>
    <w:rsid w:val="00AD4C87"/>
    <w:rsid w:val="00AD4CEF"/>
    <w:rsid w:val="00AD50EE"/>
    <w:rsid w:val="00AD5F80"/>
    <w:rsid w:val="00AD610E"/>
    <w:rsid w:val="00AD654C"/>
    <w:rsid w:val="00AD687F"/>
    <w:rsid w:val="00AD6AD4"/>
    <w:rsid w:val="00AD6CB2"/>
    <w:rsid w:val="00AD6F25"/>
    <w:rsid w:val="00AD7268"/>
    <w:rsid w:val="00AD76D7"/>
    <w:rsid w:val="00AD7B48"/>
    <w:rsid w:val="00AD7D50"/>
    <w:rsid w:val="00AE01B3"/>
    <w:rsid w:val="00AE0620"/>
    <w:rsid w:val="00AE078B"/>
    <w:rsid w:val="00AE0B88"/>
    <w:rsid w:val="00AE0C03"/>
    <w:rsid w:val="00AE0CC4"/>
    <w:rsid w:val="00AE0EE5"/>
    <w:rsid w:val="00AE1182"/>
    <w:rsid w:val="00AE19FB"/>
    <w:rsid w:val="00AE2381"/>
    <w:rsid w:val="00AE2789"/>
    <w:rsid w:val="00AE2870"/>
    <w:rsid w:val="00AE288D"/>
    <w:rsid w:val="00AE2CB4"/>
    <w:rsid w:val="00AE3612"/>
    <w:rsid w:val="00AE4245"/>
    <w:rsid w:val="00AE4260"/>
    <w:rsid w:val="00AE4A26"/>
    <w:rsid w:val="00AE5DFB"/>
    <w:rsid w:val="00AE5F0B"/>
    <w:rsid w:val="00AE6414"/>
    <w:rsid w:val="00AE649F"/>
    <w:rsid w:val="00AE67DA"/>
    <w:rsid w:val="00AE6D23"/>
    <w:rsid w:val="00AE6D95"/>
    <w:rsid w:val="00AE6FA4"/>
    <w:rsid w:val="00AE6FB7"/>
    <w:rsid w:val="00AE7145"/>
    <w:rsid w:val="00AE72C7"/>
    <w:rsid w:val="00AE7809"/>
    <w:rsid w:val="00AE7EFC"/>
    <w:rsid w:val="00AF0239"/>
    <w:rsid w:val="00AF07CB"/>
    <w:rsid w:val="00AF1273"/>
    <w:rsid w:val="00AF1C9D"/>
    <w:rsid w:val="00AF1E7D"/>
    <w:rsid w:val="00AF2044"/>
    <w:rsid w:val="00AF2085"/>
    <w:rsid w:val="00AF20EF"/>
    <w:rsid w:val="00AF2591"/>
    <w:rsid w:val="00AF2974"/>
    <w:rsid w:val="00AF2E34"/>
    <w:rsid w:val="00AF2EBE"/>
    <w:rsid w:val="00AF3252"/>
    <w:rsid w:val="00AF3B37"/>
    <w:rsid w:val="00AF3F00"/>
    <w:rsid w:val="00AF3F79"/>
    <w:rsid w:val="00AF46BC"/>
    <w:rsid w:val="00AF5233"/>
    <w:rsid w:val="00AF5922"/>
    <w:rsid w:val="00AF5EDB"/>
    <w:rsid w:val="00AF6C0B"/>
    <w:rsid w:val="00AF7284"/>
    <w:rsid w:val="00AF7707"/>
    <w:rsid w:val="00AF7BB0"/>
    <w:rsid w:val="00AF7E3E"/>
    <w:rsid w:val="00AF7F46"/>
    <w:rsid w:val="00B002A2"/>
    <w:rsid w:val="00B00534"/>
    <w:rsid w:val="00B017F3"/>
    <w:rsid w:val="00B01A98"/>
    <w:rsid w:val="00B01C03"/>
    <w:rsid w:val="00B01D33"/>
    <w:rsid w:val="00B02047"/>
    <w:rsid w:val="00B02119"/>
    <w:rsid w:val="00B021BC"/>
    <w:rsid w:val="00B02773"/>
    <w:rsid w:val="00B0295C"/>
    <w:rsid w:val="00B02F30"/>
    <w:rsid w:val="00B03446"/>
    <w:rsid w:val="00B03B27"/>
    <w:rsid w:val="00B04300"/>
    <w:rsid w:val="00B04380"/>
    <w:rsid w:val="00B043D0"/>
    <w:rsid w:val="00B04895"/>
    <w:rsid w:val="00B0491E"/>
    <w:rsid w:val="00B04936"/>
    <w:rsid w:val="00B04E51"/>
    <w:rsid w:val="00B04F2B"/>
    <w:rsid w:val="00B04F37"/>
    <w:rsid w:val="00B059FE"/>
    <w:rsid w:val="00B05BF2"/>
    <w:rsid w:val="00B05C6E"/>
    <w:rsid w:val="00B05E16"/>
    <w:rsid w:val="00B05EC5"/>
    <w:rsid w:val="00B06517"/>
    <w:rsid w:val="00B066B0"/>
    <w:rsid w:val="00B068F5"/>
    <w:rsid w:val="00B0754E"/>
    <w:rsid w:val="00B0774B"/>
    <w:rsid w:val="00B078EC"/>
    <w:rsid w:val="00B079E2"/>
    <w:rsid w:val="00B07A3F"/>
    <w:rsid w:val="00B07AAA"/>
    <w:rsid w:val="00B07C61"/>
    <w:rsid w:val="00B1027E"/>
    <w:rsid w:val="00B10E13"/>
    <w:rsid w:val="00B11190"/>
    <w:rsid w:val="00B1136E"/>
    <w:rsid w:val="00B115A9"/>
    <w:rsid w:val="00B118FE"/>
    <w:rsid w:val="00B119A0"/>
    <w:rsid w:val="00B119DE"/>
    <w:rsid w:val="00B11DE6"/>
    <w:rsid w:val="00B12283"/>
    <w:rsid w:val="00B126C0"/>
    <w:rsid w:val="00B12DB0"/>
    <w:rsid w:val="00B12DB5"/>
    <w:rsid w:val="00B1371D"/>
    <w:rsid w:val="00B13980"/>
    <w:rsid w:val="00B13AF5"/>
    <w:rsid w:val="00B13B75"/>
    <w:rsid w:val="00B13CB7"/>
    <w:rsid w:val="00B13F5A"/>
    <w:rsid w:val="00B14107"/>
    <w:rsid w:val="00B142E4"/>
    <w:rsid w:val="00B145AA"/>
    <w:rsid w:val="00B146F0"/>
    <w:rsid w:val="00B147FF"/>
    <w:rsid w:val="00B14956"/>
    <w:rsid w:val="00B14B21"/>
    <w:rsid w:val="00B14B80"/>
    <w:rsid w:val="00B14D54"/>
    <w:rsid w:val="00B155FA"/>
    <w:rsid w:val="00B15896"/>
    <w:rsid w:val="00B159C8"/>
    <w:rsid w:val="00B1606B"/>
    <w:rsid w:val="00B165A1"/>
    <w:rsid w:val="00B16C07"/>
    <w:rsid w:val="00B16E34"/>
    <w:rsid w:val="00B16F92"/>
    <w:rsid w:val="00B173E4"/>
    <w:rsid w:val="00B17462"/>
    <w:rsid w:val="00B17546"/>
    <w:rsid w:val="00B20230"/>
    <w:rsid w:val="00B206FD"/>
    <w:rsid w:val="00B208BC"/>
    <w:rsid w:val="00B20C7B"/>
    <w:rsid w:val="00B20FCD"/>
    <w:rsid w:val="00B211C1"/>
    <w:rsid w:val="00B2149C"/>
    <w:rsid w:val="00B21B24"/>
    <w:rsid w:val="00B21B6D"/>
    <w:rsid w:val="00B22297"/>
    <w:rsid w:val="00B222DB"/>
    <w:rsid w:val="00B2284D"/>
    <w:rsid w:val="00B22A1F"/>
    <w:rsid w:val="00B22B1A"/>
    <w:rsid w:val="00B22CD9"/>
    <w:rsid w:val="00B22D13"/>
    <w:rsid w:val="00B230BC"/>
    <w:rsid w:val="00B231B4"/>
    <w:rsid w:val="00B2355D"/>
    <w:rsid w:val="00B235FF"/>
    <w:rsid w:val="00B23690"/>
    <w:rsid w:val="00B23DEA"/>
    <w:rsid w:val="00B23F56"/>
    <w:rsid w:val="00B244EB"/>
    <w:rsid w:val="00B2468B"/>
    <w:rsid w:val="00B247D3"/>
    <w:rsid w:val="00B24AD2"/>
    <w:rsid w:val="00B2562C"/>
    <w:rsid w:val="00B25782"/>
    <w:rsid w:val="00B26352"/>
    <w:rsid w:val="00B274AF"/>
    <w:rsid w:val="00B27F48"/>
    <w:rsid w:val="00B30599"/>
    <w:rsid w:val="00B30723"/>
    <w:rsid w:val="00B30CFC"/>
    <w:rsid w:val="00B30DF9"/>
    <w:rsid w:val="00B3117A"/>
    <w:rsid w:val="00B31D1B"/>
    <w:rsid w:val="00B3203C"/>
    <w:rsid w:val="00B326D2"/>
    <w:rsid w:val="00B32A66"/>
    <w:rsid w:val="00B32C14"/>
    <w:rsid w:val="00B32DD7"/>
    <w:rsid w:val="00B331BD"/>
    <w:rsid w:val="00B337AC"/>
    <w:rsid w:val="00B33BBA"/>
    <w:rsid w:val="00B33EB6"/>
    <w:rsid w:val="00B34157"/>
    <w:rsid w:val="00B3435F"/>
    <w:rsid w:val="00B34A8E"/>
    <w:rsid w:val="00B34AAD"/>
    <w:rsid w:val="00B34AF0"/>
    <w:rsid w:val="00B34FA4"/>
    <w:rsid w:val="00B351DD"/>
    <w:rsid w:val="00B355AA"/>
    <w:rsid w:val="00B359EC"/>
    <w:rsid w:val="00B35CF1"/>
    <w:rsid w:val="00B360BB"/>
    <w:rsid w:val="00B362D7"/>
    <w:rsid w:val="00B36356"/>
    <w:rsid w:val="00B36621"/>
    <w:rsid w:val="00B36CC1"/>
    <w:rsid w:val="00B37221"/>
    <w:rsid w:val="00B374C6"/>
    <w:rsid w:val="00B37A2E"/>
    <w:rsid w:val="00B37FFE"/>
    <w:rsid w:val="00B40020"/>
    <w:rsid w:val="00B4078B"/>
    <w:rsid w:val="00B4082D"/>
    <w:rsid w:val="00B40F6D"/>
    <w:rsid w:val="00B41055"/>
    <w:rsid w:val="00B41823"/>
    <w:rsid w:val="00B41860"/>
    <w:rsid w:val="00B4191A"/>
    <w:rsid w:val="00B41BBC"/>
    <w:rsid w:val="00B41D5B"/>
    <w:rsid w:val="00B424A1"/>
    <w:rsid w:val="00B42A68"/>
    <w:rsid w:val="00B42CB2"/>
    <w:rsid w:val="00B42D67"/>
    <w:rsid w:val="00B43134"/>
    <w:rsid w:val="00B433CA"/>
    <w:rsid w:val="00B4399A"/>
    <w:rsid w:val="00B445E8"/>
    <w:rsid w:val="00B44800"/>
    <w:rsid w:val="00B44A81"/>
    <w:rsid w:val="00B44CB3"/>
    <w:rsid w:val="00B44CFD"/>
    <w:rsid w:val="00B44F22"/>
    <w:rsid w:val="00B4506E"/>
    <w:rsid w:val="00B4581C"/>
    <w:rsid w:val="00B45BBD"/>
    <w:rsid w:val="00B45D10"/>
    <w:rsid w:val="00B45FA4"/>
    <w:rsid w:val="00B464FC"/>
    <w:rsid w:val="00B47751"/>
    <w:rsid w:val="00B47FA1"/>
    <w:rsid w:val="00B50F71"/>
    <w:rsid w:val="00B510C9"/>
    <w:rsid w:val="00B5125C"/>
    <w:rsid w:val="00B51C46"/>
    <w:rsid w:val="00B51CCC"/>
    <w:rsid w:val="00B52055"/>
    <w:rsid w:val="00B53D6B"/>
    <w:rsid w:val="00B542F5"/>
    <w:rsid w:val="00B546D6"/>
    <w:rsid w:val="00B54BE2"/>
    <w:rsid w:val="00B54D90"/>
    <w:rsid w:val="00B550B4"/>
    <w:rsid w:val="00B55803"/>
    <w:rsid w:val="00B55AF1"/>
    <w:rsid w:val="00B566A2"/>
    <w:rsid w:val="00B569FB"/>
    <w:rsid w:val="00B56B1F"/>
    <w:rsid w:val="00B5761C"/>
    <w:rsid w:val="00B576EC"/>
    <w:rsid w:val="00B5783E"/>
    <w:rsid w:val="00B5798A"/>
    <w:rsid w:val="00B57A8A"/>
    <w:rsid w:val="00B57ADD"/>
    <w:rsid w:val="00B604C9"/>
    <w:rsid w:val="00B606A1"/>
    <w:rsid w:val="00B606BE"/>
    <w:rsid w:val="00B608FA"/>
    <w:rsid w:val="00B60E1B"/>
    <w:rsid w:val="00B613A5"/>
    <w:rsid w:val="00B61A61"/>
    <w:rsid w:val="00B61AA0"/>
    <w:rsid w:val="00B61C05"/>
    <w:rsid w:val="00B61C5D"/>
    <w:rsid w:val="00B6221F"/>
    <w:rsid w:val="00B627C9"/>
    <w:rsid w:val="00B62D9A"/>
    <w:rsid w:val="00B637BC"/>
    <w:rsid w:val="00B6410F"/>
    <w:rsid w:val="00B6417B"/>
    <w:rsid w:val="00B64343"/>
    <w:rsid w:val="00B644AF"/>
    <w:rsid w:val="00B64523"/>
    <w:rsid w:val="00B64E4A"/>
    <w:rsid w:val="00B65C7F"/>
    <w:rsid w:val="00B66248"/>
    <w:rsid w:val="00B662E2"/>
    <w:rsid w:val="00B66CFE"/>
    <w:rsid w:val="00B66F0A"/>
    <w:rsid w:val="00B66F9B"/>
    <w:rsid w:val="00B671F2"/>
    <w:rsid w:val="00B67D8B"/>
    <w:rsid w:val="00B705D9"/>
    <w:rsid w:val="00B72010"/>
    <w:rsid w:val="00B720FE"/>
    <w:rsid w:val="00B72303"/>
    <w:rsid w:val="00B72B1D"/>
    <w:rsid w:val="00B732E3"/>
    <w:rsid w:val="00B73B97"/>
    <w:rsid w:val="00B73BF1"/>
    <w:rsid w:val="00B73DF7"/>
    <w:rsid w:val="00B742E7"/>
    <w:rsid w:val="00B745DF"/>
    <w:rsid w:val="00B74979"/>
    <w:rsid w:val="00B74C3F"/>
    <w:rsid w:val="00B7558D"/>
    <w:rsid w:val="00B75BBC"/>
    <w:rsid w:val="00B76069"/>
    <w:rsid w:val="00B7636C"/>
    <w:rsid w:val="00B76498"/>
    <w:rsid w:val="00B769BC"/>
    <w:rsid w:val="00B76C7D"/>
    <w:rsid w:val="00B778CF"/>
    <w:rsid w:val="00B77CA9"/>
    <w:rsid w:val="00B77E3E"/>
    <w:rsid w:val="00B77F8E"/>
    <w:rsid w:val="00B77FEB"/>
    <w:rsid w:val="00B80C52"/>
    <w:rsid w:val="00B81CD1"/>
    <w:rsid w:val="00B81F1F"/>
    <w:rsid w:val="00B81F8D"/>
    <w:rsid w:val="00B82372"/>
    <w:rsid w:val="00B82693"/>
    <w:rsid w:val="00B82D0E"/>
    <w:rsid w:val="00B8357F"/>
    <w:rsid w:val="00B839DE"/>
    <w:rsid w:val="00B83D23"/>
    <w:rsid w:val="00B83E09"/>
    <w:rsid w:val="00B84342"/>
    <w:rsid w:val="00B846DA"/>
    <w:rsid w:val="00B847A3"/>
    <w:rsid w:val="00B84D18"/>
    <w:rsid w:val="00B84F8F"/>
    <w:rsid w:val="00B859D9"/>
    <w:rsid w:val="00B85DAD"/>
    <w:rsid w:val="00B85FAB"/>
    <w:rsid w:val="00B86D15"/>
    <w:rsid w:val="00B86EF0"/>
    <w:rsid w:val="00B87327"/>
    <w:rsid w:val="00B874CC"/>
    <w:rsid w:val="00B87EAB"/>
    <w:rsid w:val="00B90066"/>
    <w:rsid w:val="00B9037B"/>
    <w:rsid w:val="00B9076E"/>
    <w:rsid w:val="00B908A5"/>
    <w:rsid w:val="00B90941"/>
    <w:rsid w:val="00B9104C"/>
    <w:rsid w:val="00B914CA"/>
    <w:rsid w:val="00B9185B"/>
    <w:rsid w:val="00B91A3F"/>
    <w:rsid w:val="00B91AC0"/>
    <w:rsid w:val="00B91AF2"/>
    <w:rsid w:val="00B91B70"/>
    <w:rsid w:val="00B91CAB"/>
    <w:rsid w:val="00B921E5"/>
    <w:rsid w:val="00B92D0C"/>
    <w:rsid w:val="00B93C5D"/>
    <w:rsid w:val="00B93F3B"/>
    <w:rsid w:val="00B943A3"/>
    <w:rsid w:val="00B945CD"/>
    <w:rsid w:val="00B94AF2"/>
    <w:rsid w:val="00B94E5C"/>
    <w:rsid w:val="00B95291"/>
    <w:rsid w:val="00B9545F"/>
    <w:rsid w:val="00B95895"/>
    <w:rsid w:val="00B95CE5"/>
    <w:rsid w:val="00B95E83"/>
    <w:rsid w:val="00B962CC"/>
    <w:rsid w:val="00B9699B"/>
    <w:rsid w:val="00B96F8B"/>
    <w:rsid w:val="00B97AAB"/>
    <w:rsid w:val="00BA0411"/>
    <w:rsid w:val="00BA04B6"/>
    <w:rsid w:val="00BA0C1C"/>
    <w:rsid w:val="00BA0C97"/>
    <w:rsid w:val="00BA0D57"/>
    <w:rsid w:val="00BA0EEB"/>
    <w:rsid w:val="00BA13C3"/>
    <w:rsid w:val="00BA1749"/>
    <w:rsid w:val="00BA1F64"/>
    <w:rsid w:val="00BA2078"/>
    <w:rsid w:val="00BA21C0"/>
    <w:rsid w:val="00BA2311"/>
    <w:rsid w:val="00BA2552"/>
    <w:rsid w:val="00BA2E45"/>
    <w:rsid w:val="00BA3038"/>
    <w:rsid w:val="00BA4ADA"/>
    <w:rsid w:val="00BA4B13"/>
    <w:rsid w:val="00BA4CEF"/>
    <w:rsid w:val="00BA5268"/>
    <w:rsid w:val="00BA5869"/>
    <w:rsid w:val="00BA586A"/>
    <w:rsid w:val="00BA757F"/>
    <w:rsid w:val="00BA76E0"/>
    <w:rsid w:val="00BA7BFE"/>
    <w:rsid w:val="00BA7C7F"/>
    <w:rsid w:val="00BA7DC0"/>
    <w:rsid w:val="00BA7E07"/>
    <w:rsid w:val="00BA7F57"/>
    <w:rsid w:val="00BB0072"/>
    <w:rsid w:val="00BB073E"/>
    <w:rsid w:val="00BB087F"/>
    <w:rsid w:val="00BB0953"/>
    <w:rsid w:val="00BB10BD"/>
    <w:rsid w:val="00BB1184"/>
    <w:rsid w:val="00BB161D"/>
    <w:rsid w:val="00BB1792"/>
    <w:rsid w:val="00BB1A21"/>
    <w:rsid w:val="00BB1EE7"/>
    <w:rsid w:val="00BB1F7F"/>
    <w:rsid w:val="00BB2472"/>
    <w:rsid w:val="00BB280F"/>
    <w:rsid w:val="00BB2F27"/>
    <w:rsid w:val="00BB394B"/>
    <w:rsid w:val="00BB405D"/>
    <w:rsid w:val="00BB44C4"/>
    <w:rsid w:val="00BB45C8"/>
    <w:rsid w:val="00BB478B"/>
    <w:rsid w:val="00BB4F05"/>
    <w:rsid w:val="00BB54FC"/>
    <w:rsid w:val="00BB59CA"/>
    <w:rsid w:val="00BB5D3A"/>
    <w:rsid w:val="00BB60DC"/>
    <w:rsid w:val="00BB60F9"/>
    <w:rsid w:val="00BB6392"/>
    <w:rsid w:val="00BB6542"/>
    <w:rsid w:val="00BB6C8E"/>
    <w:rsid w:val="00BB70DB"/>
    <w:rsid w:val="00BB72B4"/>
    <w:rsid w:val="00BB75E8"/>
    <w:rsid w:val="00BB7C17"/>
    <w:rsid w:val="00BB7F26"/>
    <w:rsid w:val="00BC009B"/>
    <w:rsid w:val="00BC0424"/>
    <w:rsid w:val="00BC07D2"/>
    <w:rsid w:val="00BC0A35"/>
    <w:rsid w:val="00BC16C7"/>
    <w:rsid w:val="00BC1F45"/>
    <w:rsid w:val="00BC2039"/>
    <w:rsid w:val="00BC2070"/>
    <w:rsid w:val="00BC25A7"/>
    <w:rsid w:val="00BC2A81"/>
    <w:rsid w:val="00BC2C15"/>
    <w:rsid w:val="00BC3490"/>
    <w:rsid w:val="00BC373B"/>
    <w:rsid w:val="00BC3899"/>
    <w:rsid w:val="00BC39C2"/>
    <w:rsid w:val="00BC3A3F"/>
    <w:rsid w:val="00BC3B5B"/>
    <w:rsid w:val="00BC420D"/>
    <w:rsid w:val="00BC4571"/>
    <w:rsid w:val="00BC457B"/>
    <w:rsid w:val="00BC4B7C"/>
    <w:rsid w:val="00BC524F"/>
    <w:rsid w:val="00BC5321"/>
    <w:rsid w:val="00BC5605"/>
    <w:rsid w:val="00BC5928"/>
    <w:rsid w:val="00BC5A30"/>
    <w:rsid w:val="00BC5E36"/>
    <w:rsid w:val="00BC600E"/>
    <w:rsid w:val="00BC6BFA"/>
    <w:rsid w:val="00BC6D92"/>
    <w:rsid w:val="00BC70DF"/>
    <w:rsid w:val="00BC7128"/>
    <w:rsid w:val="00BC7176"/>
    <w:rsid w:val="00BC72B2"/>
    <w:rsid w:val="00BC753B"/>
    <w:rsid w:val="00BC75A5"/>
    <w:rsid w:val="00BC7822"/>
    <w:rsid w:val="00BC786B"/>
    <w:rsid w:val="00BD0035"/>
    <w:rsid w:val="00BD0415"/>
    <w:rsid w:val="00BD041F"/>
    <w:rsid w:val="00BD049C"/>
    <w:rsid w:val="00BD0573"/>
    <w:rsid w:val="00BD0842"/>
    <w:rsid w:val="00BD0C21"/>
    <w:rsid w:val="00BD1247"/>
    <w:rsid w:val="00BD1BFE"/>
    <w:rsid w:val="00BD21CA"/>
    <w:rsid w:val="00BD220C"/>
    <w:rsid w:val="00BD25FF"/>
    <w:rsid w:val="00BD2B45"/>
    <w:rsid w:val="00BD2D84"/>
    <w:rsid w:val="00BD3790"/>
    <w:rsid w:val="00BD3F44"/>
    <w:rsid w:val="00BD40F6"/>
    <w:rsid w:val="00BD50D9"/>
    <w:rsid w:val="00BD53B3"/>
    <w:rsid w:val="00BD54FB"/>
    <w:rsid w:val="00BD5ABD"/>
    <w:rsid w:val="00BD5F8C"/>
    <w:rsid w:val="00BD627F"/>
    <w:rsid w:val="00BD66BF"/>
    <w:rsid w:val="00BD6B32"/>
    <w:rsid w:val="00BD6B71"/>
    <w:rsid w:val="00BD7589"/>
    <w:rsid w:val="00BD7898"/>
    <w:rsid w:val="00BD79A4"/>
    <w:rsid w:val="00BD7B5D"/>
    <w:rsid w:val="00BE08D0"/>
    <w:rsid w:val="00BE0D7E"/>
    <w:rsid w:val="00BE109E"/>
    <w:rsid w:val="00BE1665"/>
    <w:rsid w:val="00BE1772"/>
    <w:rsid w:val="00BE17E4"/>
    <w:rsid w:val="00BE183D"/>
    <w:rsid w:val="00BE1896"/>
    <w:rsid w:val="00BE1E2F"/>
    <w:rsid w:val="00BE25CE"/>
    <w:rsid w:val="00BE2A9F"/>
    <w:rsid w:val="00BE3621"/>
    <w:rsid w:val="00BE3705"/>
    <w:rsid w:val="00BE390B"/>
    <w:rsid w:val="00BE3C5C"/>
    <w:rsid w:val="00BE3E02"/>
    <w:rsid w:val="00BE3E17"/>
    <w:rsid w:val="00BE4004"/>
    <w:rsid w:val="00BE4CED"/>
    <w:rsid w:val="00BE4FD4"/>
    <w:rsid w:val="00BE58F7"/>
    <w:rsid w:val="00BE5E93"/>
    <w:rsid w:val="00BE61BE"/>
    <w:rsid w:val="00BE6396"/>
    <w:rsid w:val="00BE6AAE"/>
    <w:rsid w:val="00BE7217"/>
    <w:rsid w:val="00BE725F"/>
    <w:rsid w:val="00BE7304"/>
    <w:rsid w:val="00BE758C"/>
    <w:rsid w:val="00BE75A4"/>
    <w:rsid w:val="00BE7709"/>
    <w:rsid w:val="00BE7FE4"/>
    <w:rsid w:val="00BF0124"/>
    <w:rsid w:val="00BF013E"/>
    <w:rsid w:val="00BF0316"/>
    <w:rsid w:val="00BF0414"/>
    <w:rsid w:val="00BF07ED"/>
    <w:rsid w:val="00BF0E6C"/>
    <w:rsid w:val="00BF0F5D"/>
    <w:rsid w:val="00BF116C"/>
    <w:rsid w:val="00BF1ABF"/>
    <w:rsid w:val="00BF1DEE"/>
    <w:rsid w:val="00BF3120"/>
    <w:rsid w:val="00BF3494"/>
    <w:rsid w:val="00BF366B"/>
    <w:rsid w:val="00BF3694"/>
    <w:rsid w:val="00BF388A"/>
    <w:rsid w:val="00BF3AB1"/>
    <w:rsid w:val="00BF3B2C"/>
    <w:rsid w:val="00BF3C26"/>
    <w:rsid w:val="00BF3CD9"/>
    <w:rsid w:val="00BF3E87"/>
    <w:rsid w:val="00BF4147"/>
    <w:rsid w:val="00BF4660"/>
    <w:rsid w:val="00BF46A1"/>
    <w:rsid w:val="00BF49C3"/>
    <w:rsid w:val="00BF4DB2"/>
    <w:rsid w:val="00BF4E02"/>
    <w:rsid w:val="00BF4FCE"/>
    <w:rsid w:val="00BF50F4"/>
    <w:rsid w:val="00BF5A25"/>
    <w:rsid w:val="00BF60F1"/>
    <w:rsid w:val="00BF6701"/>
    <w:rsid w:val="00BF67C5"/>
    <w:rsid w:val="00BF687A"/>
    <w:rsid w:val="00BF74A6"/>
    <w:rsid w:val="00BF7947"/>
    <w:rsid w:val="00BF7FD3"/>
    <w:rsid w:val="00C0032D"/>
    <w:rsid w:val="00C007CC"/>
    <w:rsid w:val="00C0237E"/>
    <w:rsid w:val="00C024DF"/>
    <w:rsid w:val="00C0276C"/>
    <w:rsid w:val="00C0286D"/>
    <w:rsid w:val="00C03069"/>
    <w:rsid w:val="00C030D9"/>
    <w:rsid w:val="00C036E3"/>
    <w:rsid w:val="00C04417"/>
    <w:rsid w:val="00C04806"/>
    <w:rsid w:val="00C04990"/>
    <w:rsid w:val="00C05928"/>
    <w:rsid w:val="00C05BC6"/>
    <w:rsid w:val="00C064EB"/>
    <w:rsid w:val="00C06B1E"/>
    <w:rsid w:val="00C073F0"/>
    <w:rsid w:val="00C07546"/>
    <w:rsid w:val="00C076CA"/>
    <w:rsid w:val="00C079ED"/>
    <w:rsid w:val="00C07CB5"/>
    <w:rsid w:val="00C1021C"/>
    <w:rsid w:val="00C10739"/>
    <w:rsid w:val="00C11003"/>
    <w:rsid w:val="00C11048"/>
    <w:rsid w:val="00C111E9"/>
    <w:rsid w:val="00C11251"/>
    <w:rsid w:val="00C11681"/>
    <w:rsid w:val="00C12578"/>
    <w:rsid w:val="00C12BBA"/>
    <w:rsid w:val="00C1311B"/>
    <w:rsid w:val="00C1340A"/>
    <w:rsid w:val="00C13514"/>
    <w:rsid w:val="00C13635"/>
    <w:rsid w:val="00C1383F"/>
    <w:rsid w:val="00C13A17"/>
    <w:rsid w:val="00C13B47"/>
    <w:rsid w:val="00C13B8E"/>
    <w:rsid w:val="00C13CD5"/>
    <w:rsid w:val="00C13F3C"/>
    <w:rsid w:val="00C13FA9"/>
    <w:rsid w:val="00C143EE"/>
    <w:rsid w:val="00C1474A"/>
    <w:rsid w:val="00C14EEA"/>
    <w:rsid w:val="00C158AB"/>
    <w:rsid w:val="00C15DF8"/>
    <w:rsid w:val="00C161D9"/>
    <w:rsid w:val="00C16253"/>
    <w:rsid w:val="00C166AD"/>
    <w:rsid w:val="00C16990"/>
    <w:rsid w:val="00C16C9C"/>
    <w:rsid w:val="00C16EC8"/>
    <w:rsid w:val="00C17316"/>
    <w:rsid w:val="00C2006A"/>
    <w:rsid w:val="00C201BD"/>
    <w:rsid w:val="00C204DD"/>
    <w:rsid w:val="00C20BD8"/>
    <w:rsid w:val="00C20BF0"/>
    <w:rsid w:val="00C20EDC"/>
    <w:rsid w:val="00C216A9"/>
    <w:rsid w:val="00C21794"/>
    <w:rsid w:val="00C21D92"/>
    <w:rsid w:val="00C221F2"/>
    <w:rsid w:val="00C2284B"/>
    <w:rsid w:val="00C22874"/>
    <w:rsid w:val="00C229D2"/>
    <w:rsid w:val="00C22A1B"/>
    <w:rsid w:val="00C22DF8"/>
    <w:rsid w:val="00C22F2F"/>
    <w:rsid w:val="00C230C4"/>
    <w:rsid w:val="00C234B4"/>
    <w:rsid w:val="00C235E2"/>
    <w:rsid w:val="00C2367A"/>
    <w:rsid w:val="00C23DA5"/>
    <w:rsid w:val="00C23E1D"/>
    <w:rsid w:val="00C240DA"/>
    <w:rsid w:val="00C242FF"/>
    <w:rsid w:val="00C24330"/>
    <w:rsid w:val="00C2480B"/>
    <w:rsid w:val="00C24A97"/>
    <w:rsid w:val="00C24AE4"/>
    <w:rsid w:val="00C24DB8"/>
    <w:rsid w:val="00C25631"/>
    <w:rsid w:val="00C25A4F"/>
    <w:rsid w:val="00C25CDB"/>
    <w:rsid w:val="00C25F76"/>
    <w:rsid w:val="00C25FD9"/>
    <w:rsid w:val="00C26450"/>
    <w:rsid w:val="00C26F21"/>
    <w:rsid w:val="00C271FD"/>
    <w:rsid w:val="00C274AD"/>
    <w:rsid w:val="00C27A86"/>
    <w:rsid w:val="00C27CD1"/>
    <w:rsid w:val="00C30236"/>
    <w:rsid w:val="00C30675"/>
    <w:rsid w:val="00C309A5"/>
    <w:rsid w:val="00C30A1B"/>
    <w:rsid w:val="00C310AC"/>
    <w:rsid w:val="00C31199"/>
    <w:rsid w:val="00C31842"/>
    <w:rsid w:val="00C31904"/>
    <w:rsid w:val="00C31C94"/>
    <w:rsid w:val="00C31CDD"/>
    <w:rsid w:val="00C31F9A"/>
    <w:rsid w:val="00C321AA"/>
    <w:rsid w:val="00C322CB"/>
    <w:rsid w:val="00C327A5"/>
    <w:rsid w:val="00C32BE9"/>
    <w:rsid w:val="00C32E5C"/>
    <w:rsid w:val="00C33077"/>
    <w:rsid w:val="00C334CB"/>
    <w:rsid w:val="00C33D11"/>
    <w:rsid w:val="00C34DEC"/>
    <w:rsid w:val="00C34FBC"/>
    <w:rsid w:val="00C352DB"/>
    <w:rsid w:val="00C35999"/>
    <w:rsid w:val="00C35B40"/>
    <w:rsid w:val="00C35C11"/>
    <w:rsid w:val="00C35FA4"/>
    <w:rsid w:val="00C36650"/>
    <w:rsid w:val="00C372BE"/>
    <w:rsid w:val="00C37842"/>
    <w:rsid w:val="00C402F2"/>
    <w:rsid w:val="00C404BC"/>
    <w:rsid w:val="00C40A05"/>
    <w:rsid w:val="00C40A1C"/>
    <w:rsid w:val="00C40A61"/>
    <w:rsid w:val="00C4108A"/>
    <w:rsid w:val="00C4150F"/>
    <w:rsid w:val="00C418F0"/>
    <w:rsid w:val="00C4211B"/>
    <w:rsid w:val="00C421B8"/>
    <w:rsid w:val="00C428DB"/>
    <w:rsid w:val="00C428EF"/>
    <w:rsid w:val="00C42CF5"/>
    <w:rsid w:val="00C4345A"/>
    <w:rsid w:val="00C43750"/>
    <w:rsid w:val="00C43E9B"/>
    <w:rsid w:val="00C43ED0"/>
    <w:rsid w:val="00C44049"/>
    <w:rsid w:val="00C44111"/>
    <w:rsid w:val="00C443D8"/>
    <w:rsid w:val="00C44AB2"/>
    <w:rsid w:val="00C4506D"/>
    <w:rsid w:val="00C450A8"/>
    <w:rsid w:val="00C45CE9"/>
    <w:rsid w:val="00C460E7"/>
    <w:rsid w:val="00C466F8"/>
    <w:rsid w:val="00C468B2"/>
    <w:rsid w:val="00C46D1D"/>
    <w:rsid w:val="00C46FA4"/>
    <w:rsid w:val="00C46FE3"/>
    <w:rsid w:val="00C47092"/>
    <w:rsid w:val="00C4736D"/>
    <w:rsid w:val="00C4761E"/>
    <w:rsid w:val="00C476DD"/>
    <w:rsid w:val="00C47747"/>
    <w:rsid w:val="00C477E1"/>
    <w:rsid w:val="00C4788A"/>
    <w:rsid w:val="00C47E12"/>
    <w:rsid w:val="00C5095B"/>
    <w:rsid w:val="00C50AB7"/>
    <w:rsid w:val="00C50BD6"/>
    <w:rsid w:val="00C50C58"/>
    <w:rsid w:val="00C514F7"/>
    <w:rsid w:val="00C51AFE"/>
    <w:rsid w:val="00C51B81"/>
    <w:rsid w:val="00C51F96"/>
    <w:rsid w:val="00C52257"/>
    <w:rsid w:val="00C52322"/>
    <w:rsid w:val="00C52538"/>
    <w:rsid w:val="00C525F5"/>
    <w:rsid w:val="00C52A2B"/>
    <w:rsid w:val="00C52D8C"/>
    <w:rsid w:val="00C52E8F"/>
    <w:rsid w:val="00C52F08"/>
    <w:rsid w:val="00C5379F"/>
    <w:rsid w:val="00C53D64"/>
    <w:rsid w:val="00C540D7"/>
    <w:rsid w:val="00C54309"/>
    <w:rsid w:val="00C549D6"/>
    <w:rsid w:val="00C54DE1"/>
    <w:rsid w:val="00C5517B"/>
    <w:rsid w:val="00C553AB"/>
    <w:rsid w:val="00C553B9"/>
    <w:rsid w:val="00C55401"/>
    <w:rsid w:val="00C5557C"/>
    <w:rsid w:val="00C557E1"/>
    <w:rsid w:val="00C55924"/>
    <w:rsid w:val="00C55A05"/>
    <w:rsid w:val="00C561E5"/>
    <w:rsid w:val="00C56263"/>
    <w:rsid w:val="00C56A29"/>
    <w:rsid w:val="00C56B3A"/>
    <w:rsid w:val="00C56EA7"/>
    <w:rsid w:val="00C57104"/>
    <w:rsid w:val="00C57177"/>
    <w:rsid w:val="00C57216"/>
    <w:rsid w:val="00C5792C"/>
    <w:rsid w:val="00C60483"/>
    <w:rsid w:val="00C60C40"/>
    <w:rsid w:val="00C60E61"/>
    <w:rsid w:val="00C612B6"/>
    <w:rsid w:val="00C6171A"/>
    <w:rsid w:val="00C6175D"/>
    <w:rsid w:val="00C61BF9"/>
    <w:rsid w:val="00C61D34"/>
    <w:rsid w:val="00C61DFD"/>
    <w:rsid w:val="00C6215F"/>
    <w:rsid w:val="00C62561"/>
    <w:rsid w:val="00C627C7"/>
    <w:rsid w:val="00C62AB2"/>
    <w:rsid w:val="00C62C12"/>
    <w:rsid w:val="00C62C5D"/>
    <w:rsid w:val="00C62DB3"/>
    <w:rsid w:val="00C635B7"/>
    <w:rsid w:val="00C63AB6"/>
    <w:rsid w:val="00C64205"/>
    <w:rsid w:val="00C64A1B"/>
    <w:rsid w:val="00C64B5F"/>
    <w:rsid w:val="00C6507D"/>
    <w:rsid w:val="00C652E8"/>
    <w:rsid w:val="00C65479"/>
    <w:rsid w:val="00C659E3"/>
    <w:rsid w:val="00C65A05"/>
    <w:rsid w:val="00C65BF6"/>
    <w:rsid w:val="00C661C1"/>
    <w:rsid w:val="00C66591"/>
    <w:rsid w:val="00C66A2C"/>
    <w:rsid w:val="00C66BC3"/>
    <w:rsid w:val="00C66D73"/>
    <w:rsid w:val="00C672F7"/>
    <w:rsid w:val="00C675F6"/>
    <w:rsid w:val="00C679E9"/>
    <w:rsid w:val="00C701C1"/>
    <w:rsid w:val="00C70659"/>
    <w:rsid w:val="00C70A22"/>
    <w:rsid w:val="00C70CCD"/>
    <w:rsid w:val="00C7200A"/>
    <w:rsid w:val="00C7271D"/>
    <w:rsid w:val="00C72A62"/>
    <w:rsid w:val="00C72F3F"/>
    <w:rsid w:val="00C7315D"/>
    <w:rsid w:val="00C7333E"/>
    <w:rsid w:val="00C7344D"/>
    <w:rsid w:val="00C737BC"/>
    <w:rsid w:val="00C738CB"/>
    <w:rsid w:val="00C73F6E"/>
    <w:rsid w:val="00C74103"/>
    <w:rsid w:val="00C7445E"/>
    <w:rsid w:val="00C74672"/>
    <w:rsid w:val="00C753D5"/>
    <w:rsid w:val="00C7551A"/>
    <w:rsid w:val="00C757BE"/>
    <w:rsid w:val="00C75C52"/>
    <w:rsid w:val="00C765E8"/>
    <w:rsid w:val="00C76BCB"/>
    <w:rsid w:val="00C77107"/>
    <w:rsid w:val="00C77693"/>
    <w:rsid w:val="00C776F4"/>
    <w:rsid w:val="00C77892"/>
    <w:rsid w:val="00C80790"/>
    <w:rsid w:val="00C808DC"/>
    <w:rsid w:val="00C809B6"/>
    <w:rsid w:val="00C809C9"/>
    <w:rsid w:val="00C80ABF"/>
    <w:rsid w:val="00C80D72"/>
    <w:rsid w:val="00C81D4A"/>
    <w:rsid w:val="00C81D70"/>
    <w:rsid w:val="00C8228B"/>
    <w:rsid w:val="00C823F4"/>
    <w:rsid w:val="00C82485"/>
    <w:rsid w:val="00C8256A"/>
    <w:rsid w:val="00C82A9D"/>
    <w:rsid w:val="00C831A5"/>
    <w:rsid w:val="00C83589"/>
    <w:rsid w:val="00C83797"/>
    <w:rsid w:val="00C839EE"/>
    <w:rsid w:val="00C839FD"/>
    <w:rsid w:val="00C83C93"/>
    <w:rsid w:val="00C83E83"/>
    <w:rsid w:val="00C83EDA"/>
    <w:rsid w:val="00C8481C"/>
    <w:rsid w:val="00C84C82"/>
    <w:rsid w:val="00C84FA8"/>
    <w:rsid w:val="00C8506C"/>
    <w:rsid w:val="00C8506D"/>
    <w:rsid w:val="00C85164"/>
    <w:rsid w:val="00C851E2"/>
    <w:rsid w:val="00C85230"/>
    <w:rsid w:val="00C854AB"/>
    <w:rsid w:val="00C858E1"/>
    <w:rsid w:val="00C85CDC"/>
    <w:rsid w:val="00C8615F"/>
    <w:rsid w:val="00C863D0"/>
    <w:rsid w:val="00C864F1"/>
    <w:rsid w:val="00C867F7"/>
    <w:rsid w:val="00C86978"/>
    <w:rsid w:val="00C86E6C"/>
    <w:rsid w:val="00C86F78"/>
    <w:rsid w:val="00C86FA7"/>
    <w:rsid w:val="00C87007"/>
    <w:rsid w:val="00C876A3"/>
    <w:rsid w:val="00C878BB"/>
    <w:rsid w:val="00C87B3F"/>
    <w:rsid w:val="00C901CF"/>
    <w:rsid w:val="00C90794"/>
    <w:rsid w:val="00C90BC4"/>
    <w:rsid w:val="00C90BEB"/>
    <w:rsid w:val="00C90D99"/>
    <w:rsid w:val="00C91631"/>
    <w:rsid w:val="00C9195D"/>
    <w:rsid w:val="00C91DD8"/>
    <w:rsid w:val="00C923CC"/>
    <w:rsid w:val="00C9259B"/>
    <w:rsid w:val="00C9271D"/>
    <w:rsid w:val="00C92C4F"/>
    <w:rsid w:val="00C92D5C"/>
    <w:rsid w:val="00C9301C"/>
    <w:rsid w:val="00C932D7"/>
    <w:rsid w:val="00C93520"/>
    <w:rsid w:val="00C936BC"/>
    <w:rsid w:val="00C937FC"/>
    <w:rsid w:val="00C93883"/>
    <w:rsid w:val="00C94443"/>
    <w:rsid w:val="00C9483C"/>
    <w:rsid w:val="00C94F55"/>
    <w:rsid w:val="00C95687"/>
    <w:rsid w:val="00C95720"/>
    <w:rsid w:val="00C9572B"/>
    <w:rsid w:val="00C95BEE"/>
    <w:rsid w:val="00C95E0F"/>
    <w:rsid w:val="00C95F2B"/>
    <w:rsid w:val="00C96197"/>
    <w:rsid w:val="00C9655B"/>
    <w:rsid w:val="00C96A99"/>
    <w:rsid w:val="00C96C23"/>
    <w:rsid w:val="00C97024"/>
    <w:rsid w:val="00C97B4C"/>
    <w:rsid w:val="00C97CB9"/>
    <w:rsid w:val="00CA083A"/>
    <w:rsid w:val="00CA0A6D"/>
    <w:rsid w:val="00CA13AF"/>
    <w:rsid w:val="00CA17C9"/>
    <w:rsid w:val="00CA1DA8"/>
    <w:rsid w:val="00CA1EF2"/>
    <w:rsid w:val="00CA21FA"/>
    <w:rsid w:val="00CA26B1"/>
    <w:rsid w:val="00CA28BE"/>
    <w:rsid w:val="00CA2947"/>
    <w:rsid w:val="00CA2B94"/>
    <w:rsid w:val="00CA2FD6"/>
    <w:rsid w:val="00CA3083"/>
    <w:rsid w:val="00CA313B"/>
    <w:rsid w:val="00CA36A4"/>
    <w:rsid w:val="00CA3D11"/>
    <w:rsid w:val="00CA4849"/>
    <w:rsid w:val="00CA48E3"/>
    <w:rsid w:val="00CA4BD7"/>
    <w:rsid w:val="00CA5375"/>
    <w:rsid w:val="00CA5547"/>
    <w:rsid w:val="00CA59CC"/>
    <w:rsid w:val="00CA5FD7"/>
    <w:rsid w:val="00CA6560"/>
    <w:rsid w:val="00CA6D1E"/>
    <w:rsid w:val="00CA6E46"/>
    <w:rsid w:val="00CA705C"/>
    <w:rsid w:val="00CA71F7"/>
    <w:rsid w:val="00CA7285"/>
    <w:rsid w:val="00CA780E"/>
    <w:rsid w:val="00CA7824"/>
    <w:rsid w:val="00CB066A"/>
    <w:rsid w:val="00CB068B"/>
    <w:rsid w:val="00CB0731"/>
    <w:rsid w:val="00CB0C42"/>
    <w:rsid w:val="00CB0F56"/>
    <w:rsid w:val="00CB0F5B"/>
    <w:rsid w:val="00CB1200"/>
    <w:rsid w:val="00CB1748"/>
    <w:rsid w:val="00CB19DC"/>
    <w:rsid w:val="00CB1B23"/>
    <w:rsid w:val="00CB1BB4"/>
    <w:rsid w:val="00CB235A"/>
    <w:rsid w:val="00CB27FC"/>
    <w:rsid w:val="00CB2894"/>
    <w:rsid w:val="00CB2A1A"/>
    <w:rsid w:val="00CB3033"/>
    <w:rsid w:val="00CB3464"/>
    <w:rsid w:val="00CB3638"/>
    <w:rsid w:val="00CB3721"/>
    <w:rsid w:val="00CB3B32"/>
    <w:rsid w:val="00CB3DC7"/>
    <w:rsid w:val="00CB4161"/>
    <w:rsid w:val="00CB43F6"/>
    <w:rsid w:val="00CB4530"/>
    <w:rsid w:val="00CB47DF"/>
    <w:rsid w:val="00CB49BD"/>
    <w:rsid w:val="00CB4B7F"/>
    <w:rsid w:val="00CB4C37"/>
    <w:rsid w:val="00CB5357"/>
    <w:rsid w:val="00CB53A7"/>
    <w:rsid w:val="00CB55C7"/>
    <w:rsid w:val="00CB57C8"/>
    <w:rsid w:val="00CB5826"/>
    <w:rsid w:val="00CB590D"/>
    <w:rsid w:val="00CB59F9"/>
    <w:rsid w:val="00CB5DA0"/>
    <w:rsid w:val="00CB62D2"/>
    <w:rsid w:val="00CB646E"/>
    <w:rsid w:val="00CB68EF"/>
    <w:rsid w:val="00CB75EE"/>
    <w:rsid w:val="00CB7B59"/>
    <w:rsid w:val="00CB7D33"/>
    <w:rsid w:val="00CB7EC8"/>
    <w:rsid w:val="00CC0200"/>
    <w:rsid w:val="00CC038C"/>
    <w:rsid w:val="00CC0992"/>
    <w:rsid w:val="00CC0DEB"/>
    <w:rsid w:val="00CC1891"/>
    <w:rsid w:val="00CC1A9A"/>
    <w:rsid w:val="00CC219F"/>
    <w:rsid w:val="00CC2333"/>
    <w:rsid w:val="00CC2A23"/>
    <w:rsid w:val="00CC2BD6"/>
    <w:rsid w:val="00CC2DC9"/>
    <w:rsid w:val="00CC2E19"/>
    <w:rsid w:val="00CC310C"/>
    <w:rsid w:val="00CC3849"/>
    <w:rsid w:val="00CC393F"/>
    <w:rsid w:val="00CC3B21"/>
    <w:rsid w:val="00CC3FD5"/>
    <w:rsid w:val="00CC403C"/>
    <w:rsid w:val="00CC41CF"/>
    <w:rsid w:val="00CC438D"/>
    <w:rsid w:val="00CC465E"/>
    <w:rsid w:val="00CC48E7"/>
    <w:rsid w:val="00CC48EF"/>
    <w:rsid w:val="00CC49F8"/>
    <w:rsid w:val="00CC52E4"/>
    <w:rsid w:val="00CC52F5"/>
    <w:rsid w:val="00CC55AE"/>
    <w:rsid w:val="00CC5AC3"/>
    <w:rsid w:val="00CC5CAC"/>
    <w:rsid w:val="00CC5E57"/>
    <w:rsid w:val="00CC61D3"/>
    <w:rsid w:val="00CC61D9"/>
    <w:rsid w:val="00CC63A3"/>
    <w:rsid w:val="00CC68C2"/>
    <w:rsid w:val="00CC6976"/>
    <w:rsid w:val="00CC77F1"/>
    <w:rsid w:val="00CC7891"/>
    <w:rsid w:val="00CC791F"/>
    <w:rsid w:val="00CC7C7E"/>
    <w:rsid w:val="00CD00A6"/>
    <w:rsid w:val="00CD02D9"/>
    <w:rsid w:val="00CD05A2"/>
    <w:rsid w:val="00CD09B9"/>
    <w:rsid w:val="00CD0BBD"/>
    <w:rsid w:val="00CD0D7B"/>
    <w:rsid w:val="00CD14E7"/>
    <w:rsid w:val="00CD1780"/>
    <w:rsid w:val="00CD1854"/>
    <w:rsid w:val="00CD219D"/>
    <w:rsid w:val="00CD2931"/>
    <w:rsid w:val="00CD2AA1"/>
    <w:rsid w:val="00CD2D91"/>
    <w:rsid w:val="00CD2F37"/>
    <w:rsid w:val="00CD3401"/>
    <w:rsid w:val="00CD340C"/>
    <w:rsid w:val="00CD3A90"/>
    <w:rsid w:val="00CD407D"/>
    <w:rsid w:val="00CD4416"/>
    <w:rsid w:val="00CD4462"/>
    <w:rsid w:val="00CD44E9"/>
    <w:rsid w:val="00CD466A"/>
    <w:rsid w:val="00CD4DF7"/>
    <w:rsid w:val="00CD4F8D"/>
    <w:rsid w:val="00CD5694"/>
    <w:rsid w:val="00CD5B00"/>
    <w:rsid w:val="00CD5C50"/>
    <w:rsid w:val="00CD5D4A"/>
    <w:rsid w:val="00CD644D"/>
    <w:rsid w:val="00CD6511"/>
    <w:rsid w:val="00CD652D"/>
    <w:rsid w:val="00CD7D2A"/>
    <w:rsid w:val="00CD7D57"/>
    <w:rsid w:val="00CD7DDF"/>
    <w:rsid w:val="00CD7E64"/>
    <w:rsid w:val="00CE018B"/>
    <w:rsid w:val="00CE030D"/>
    <w:rsid w:val="00CE065C"/>
    <w:rsid w:val="00CE07B9"/>
    <w:rsid w:val="00CE0CCB"/>
    <w:rsid w:val="00CE1146"/>
    <w:rsid w:val="00CE19B6"/>
    <w:rsid w:val="00CE1A86"/>
    <w:rsid w:val="00CE20D1"/>
    <w:rsid w:val="00CE216D"/>
    <w:rsid w:val="00CE23C8"/>
    <w:rsid w:val="00CE2672"/>
    <w:rsid w:val="00CE2DE7"/>
    <w:rsid w:val="00CE3033"/>
    <w:rsid w:val="00CE3227"/>
    <w:rsid w:val="00CE37C1"/>
    <w:rsid w:val="00CE3E90"/>
    <w:rsid w:val="00CE4178"/>
    <w:rsid w:val="00CE4533"/>
    <w:rsid w:val="00CE45A2"/>
    <w:rsid w:val="00CE465D"/>
    <w:rsid w:val="00CE4D42"/>
    <w:rsid w:val="00CE4DB4"/>
    <w:rsid w:val="00CE5168"/>
    <w:rsid w:val="00CE5479"/>
    <w:rsid w:val="00CE55AA"/>
    <w:rsid w:val="00CE65BA"/>
    <w:rsid w:val="00CE6A16"/>
    <w:rsid w:val="00CE6ABF"/>
    <w:rsid w:val="00CE6BA5"/>
    <w:rsid w:val="00CE7096"/>
    <w:rsid w:val="00CE70A3"/>
    <w:rsid w:val="00CE78DF"/>
    <w:rsid w:val="00CE7981"/>
    <w:rsid w:val="00CF0177"/>
    <w:rsid w:val="00CF0A77"/>
    <w:rsid w:val="00CF0AB9"/>
    <w:rsid w:val="00CF0D6B"/>
    <w:rsid w:val="00CF10A2"/>
    <w:rsid w:val="00CF12CE"/>
    <w:rsid w:val="00CF1310"/>
    <w:rsid w:val="00CF15A5"/>
    <w:rsid w:val="00CF1C59"/>
    <w:rsid w:val="00CF1E8A"/>
    <w:rsid w:val="00CF2283"/>
    <w:rsid w:val="00CF242D"/>
    <w:rsid w:val="00CF3BFF"/>
    <w:rsid w:val="00CF3D55"/>
    <w:rsid w:val="00CF3D99"/>
    <w:rsid w:val="00CF408B"/>
    <w:rsid w:val="00CF4300"/>
    <w:rsid w:val="00CF4834"/>
    <w:rsid w:val="00CF4AE7"/>
    <w:rsid w:val="00CF5479"/>
    <w:rsid w:val="00CF5938"/>
    <w:rsid w:val="00CF616A"/>
    <w:rsid w:val="00CF644E"/>
    <w:rsid w:val="00CF6D0C"/>
    <w:rsid w:val="00CF73F5"/>
    <w:rsid w:val="00CF758C"/>
    <w:rsid w:val="00CF75EE"/>
    <w:rsid w:val="00CF76EB"/>
    <w:rsid w:val="00CF7A8F"/>
    <w:rsid w:val="00CF7B03"/>
    <w:rsid w:val="00CF7C93"/>
    <w:rsid w:val="00CF7F73"/>
    <w:rsid w:val="00D00151"/>
    <w:rsid w:val="00D0084A"/>
    <w:rsid w:val="00D008A6"/>
    <w:rsid w:val="00D00D17"/>
    <w:rsid w:val="00D011DE"/>
    <w:rsid w:val="00D012E7"/>
    <w:rsid w:val="00D01848"/>
    <w:rsid w:val="00D02BC4"/>
    <w:rsid w:val="00D02FF9"/>
    <w:rsid w:val="00D03671"/>
    <w:rsid w:val="00D039E6"/>
    <w:rsid w:val="00D03D87"/>
    <w:rsid w:val="00D03E7A"/>
    <w:rsid w:val="00D03F3A"/>
    <w:rsid w:val="00D0443E"/>
    <w:rsid w:val="00D045F0"/>
    <w:rsid w:val="00D04615"/>
    <w:rsid w:val="00D04ADE"/>
    <w:rsid w:val="00D0515C"/>
    <w:rsid w:val="00D0588A"/>
    <w:rsid w:val="00D06174"/>
    <w:rsid w:val="00D0656C"/>
    <w:rsid w:val="00D0696E"/>
    <w:rsid w:val="00D06DE3"/>
    <w:rsid w:val="00D06DEE"/>
    <w:rsid w:val="00D06EF3"/>
    <w:rsid w:val="00D07566"/>
    <w:rsid w:val="00D07A35"/>
    <w:rsid w:val="00D07AC3"/>
    <w:rsid w:val="00D102F6"/>
    <w:rsid w:val="00D10B5F"/>
    <w:rsid w:val="00D10C2C"/>
    <w:rsid w:val="00D10C81"/>
    <w:rsid w:val="00D11707"/>
    <w:rsid w:val="00D1189D"/>
    <w:rsid w:val="00D118F2"/>
    <w:rsid w:val="00D11F65"/>
    <w:rsid w:val="00D123B9"/>
    <w:rsid w:val="00D124CE"/>
    <w:rsid w:val="00D12598"/>
    <w:rsid w:val="00D126C4"/>
    <w:rsid w:val="00D12AAF"/>
    <w:rsid w:val="00D12E0C"/>
    <w:rsid w:val="00D13AE1"/>
    <w:rsid w:val="00D13CA4"/>
    <w:rsid w:val="00D145BB"/>
    <w:rsid w:val="00D145E0"/>
    <w:rsid w:val="00D14728"/>
    <w:rsid w:val="00D14FDF"/>
    <w:rsid w:val="00D1519F"/>
    <w:rsid w:val="00D152DB"/>
    <w:rsid w:val="00D15E43"/>
    <w:rsid w:val="00D160DA"/>
    <w:rsid w:val="00D16166"/>
    <w:rsid w:val="00D1660C"/>
    <w:rsid w:val="00D16D8A"/>
    <w:rsid w:val="00D16DDF"/>
    <w:rsid w:val="00D1781D"/>
    <w:rsid w:val="00D17C8C"/>
    <w:rsid w:val="00D200AE"/>
    <w:rsid w:val="00D20898"/>
    <w:rsid w:val="00D20BC9"/>
    <w:rsid w:val="00D20C4C"/>
    <w:rsid w:val="00D20E34"/>
    <w:rsid w:val="00D2115E"/>
    <w:rsid w:val="00D217EA"/>
    <w:rsid w:val="00D21EEE"/>
    <w:rsid w:val="00D221A1"/>
    <w:rsid w:val="00D22724"/>
    <w:rsid w:val="00D22CA2"/>
    <w:rsid w:val="00D22E2C"/>
    <w:rsid w:val="00D232CB"/>
    <w:rsid w:val="00D234A7"/>
    <w:rsid w:val="00D23F26"/>
    <w:rsid w:val="00D24181"/>
    <w:rsid w:val="00D24554"/>
    <w:rsid w:val="00D24A58"/>
    <w:rsid w:val="00D256E1"/>
    <w:rsid w:val="00D25B34"/>
    <w:rsid w:val="00D25B7A"/>
    <w:rsid w:val="00D2674D"/>
    <w:rsid w:val="00D26F62"/>
    <w:rsid w:val="00D27066"/>
    <w:rsid w:val="00D27A3D"/>
    <w:rsid w:val="00D30567"/>
    <w:rsid w:val="00D30697"/>
    <w:rsid w:val="00D306F8"/>
    <w:rsid w:val="00D30ABD"/>
    <w:rsid w:val="00D31662"/>
    <w:rsid w:val="00D31846"/>
    <w:rsid w:val="00D31A56"/>
    <w:rsid w:val="00D31B73"/>
    <w:rsid w:val="00D32127"/>
    <w:rsid w:val="00D3228B"/>
    <w:rsid w:val="00D32EC9"/>
    <w:rsid w:val="00D32F84"/>
    <w:rsid w:val="00D3343F"/>
    <w:rsid w:val="00D3389F"/>
    <w:rsid w:val="00D33AAE"/>
    <w:rsid w:val="00D3422D"/>
    <w:rsid w:val="00D353C5"/>
    <w:rsid w:val="00D354DC"/>
    <w:rsid w:val="00D358B1"/>
    <w:rsid w:val="00D35B05"/>
    <w:rsid w:val="00D35C41"/>
    <w:rsid w:val="00D36495"/>
    <w:rsid w:val="00D36C8C"/>
    <w:rsid w:val="00D37167"/>
    <w:rsid w:val="00D37349"/>
    <w:rsid w:val="00D37483"/>
    <w:rsid w:val="00D37867"/>
    <w:rsid w:val="00D3797F"/>
    <w:rsid w:val="00D37F22"/>
    <w:rsid w:val="00D402DE"/>
    <w:rsid w:val="00D40482"/>
    <w:rsid w:val="00D40624"/>
    <w:rsid w:val="00D4132F"/>
    <w:rsid w:val="00D41B09"/>
    <w:rsid w:val="00D41C26"/>
    <w:rsid w:val="00D41E5D"/>
    <w:rsid w:val="00D41F99"/>
    <w:rsid w:val="00D42013"/>
    <w:rsid w:val="00D42084"/>
    <w:rsid w:val="00D42089"/>
    <w:rsid w:val="00D429A1"/>
    <w:rsid w:val="00D429E3"/>
    <w:rsid w:val="00D42E74"/>
    <w:rsid w:val="00D4305A"/>
    <w:rsid w:val="00D43C8A"/>
    <w:rsid w:val="00D43CB0"/>
    <w:rsid w:val="00D43CD3"/>
    <w:rsid w:val="00D448F7"/>
    <w:rsid w:val="00D44B16"/>
    <w:rsid w:val="00D44BCC"/>
    <w:rsid w:val="00D4506F"/>
    <w:rsid w:val="00D4531C"/>
    <w:rsid w:val="00D45371"/>
    <w:rsid w:val="00D4612D"/>
    <w:rsid w:val="00D4613C"/>
    <w:rsid w:val="00D461BF"/>
    <w:rsid w:val="00D46968"/>
    <w:rsid w:val="00D46E16"/>
    <w:rsid w:val="00D470E6"/>
    <w:rsid w:val="00D47307"/>
    <w:rsid w:val="00D47834"/>
    <w:rsid w:val="00D47BEA"/>
    <w:rsid w:val="00D47FD8"/>
    <w:rsid w:val="00D509A3"/>
    <w:rsid w:val="00D50AF3"/>
    <w:rsid w:val="00D50E30"/>
    <w:rsid w:val="00D51965"/>
    <w:rsid w:val="00D519C0"/>
    <w:rsid w:val="00D519F5"/>
    <w:rsid w:val="00D51AA2"/>
    <w:rsid w:val="00D51AE1"/>
    <w:rsid w:val="00D51C6F"/>
    <w:rsid w:val="00D52205"/>
    <w:rsid w:val="00D526D9"/>
    <w:rsid w:val="00D52720"/>
    <w:rsid w:val="00D52BBE"/>
    <w:rsid w:val="00D537FA"/>
    <w:rsid w:val="00D53852"/>
    <w:rsid w:val="00D54008"/>
    <w:rsid w:val="00D541E5"/>
    <w:rsid w:val="00D5423A"/>
    <w:rsid w:val="00D550A1"/>
    <w:rsid w:val="00D550A9"/>
    <w:rsid w:val="00D55139"/>
    <w:rsid w:val="00D5531D"/>
    <w:rsid w:val="00D55973"/>
    <w:rsid w:val="00D55DBB"/>
    <w:rsid w:val="00D55ED7"/>
    <w:rsid w:val="00D562C2"/>
    <w:rsid w:val="00D56F9B"/>
    <w:rsid w:val="00D5713B"/>
    <w:rsid w:val="00D572BF"/>
    <w:rsid w:val="00D5761F"/>
    <w:rsid w:val="00D6073A"/>
    <w:rsid w:val="00D60A46"/>
    <w:rsid w:val="00D60F87"/>
    <w:rsid w:val="00D617B3"/>
    <w:rsid w:val="00D6188F"/>
    <w:rsid w:val="00D61CE7"/>
    <w:rsid w:val="00D62CA1"/>
    <w:rsid w:val="00D62E15"/>
    <w:rsid w:val="00D6338E"/>
    <w:rsid w:val="00D636F0"/>
    <w:rsid w:val="00D63998"/>
    <w:rsid w:val="00D639D6"/>
    <w:rsid w:val="00D63AF1"/>
    <w:rsid w:val="00D640F2"/>
    <w:rsid w:val="00D6469C"/>
    <w:rsid w:val="00D646F2"/>
    <w:rsid w:val="00D64A6F"/>
    <w:rsid w:val="00D64E99"/>
    <w:rsid w:val="00D64EE6"/>
    <w:rsid w:val="00D65351"/>
    <w:rsid w:val="00D65B87"/>
    <w:rsid w:val="00D65BB2"/>
    <w:rsid w:val="00D65CDF"/>
    <w:rsid w:val="00D6636C"/>
    <w:rsid w:val="00D66634"/>
    <w:rsid w:val="00D6664D"/>
    <w:rsid w:val="00D666DD"/>
    <w:rsid w:val="00D669B1"/>
    <w:rsid w:val="00D6764F"/>
    <w:rsid w:val="00D70769"/>
    <w:rsid w:val="00D70F36"/>
    <w:rsid w:val="00D70F7E"/>
    <w:rsid w:val="00D71122"/>
    <w:rsid w:val="00D71155"/>
    <w:rsid w:val="00D7134C"/>
    <w:rsid w:val="00D717E9"/>
    <w:rsid w:val="00D71C1C"/>
    <w:rsid w:val="00D71E27"/>
    <w:rsid w:val="00D71FC0"/>
    <w:rsid w:val="00D7219F"/>
    <w:rsid w:val="00D72422"/>
    <w:rsid w:val="00D72ADD"/>
    <w:rsid w:val="00D730CF"/>
    <w:rsid w:val="00D73B5B"/>
    <w:rsid w:val="00D73F53"/>
    <w:rsid w:val="00D74144"/>
    <w:rsid w:val="00D744DA"/>
    <w:rsid w:val="00D7483F"/>
    <w:rsid w:val="00D748DC"/>
    <w:rsid w:val="00D74ABC"/>
    <w:rsid w:val="00D74BC9"/>
    <w:rsid w:val="00D74C1E"/>
    <w:rsid w:val="00D74C6E"/>
    <w:rsid w:val="00D75417"/>
    <w:rsid w:val="00D75A00"/>
    <w:rsid w:val="00D75A39"/>
    <w:rsid w:val="00D75C7C"/>
    <w:rsid w:val="00D76174"/>
    <w:rsid w:val="00D76625"/>
    <w:rsid w:val="00D76AC2"/>
    <w:rsid w:val="00D76E06"/>
    <w:rsid w:val="00D7706F"/>
    <w:rsid w:val="00D7719E"/>
    <w:rsid w:val="00D777E2"/>
    <w:rsid w:val="00D77A63"/>
    <w:rsid w:val="00D8027F"/>
    <w:rsid w:val="00D805E8"/>
    <w:rsid w:val="00D807E5"/>
    <w:rsid w:val="00D80C47"/>
    <w:rsid w:val="00D80C87"/>
    <w:rsid w:val="00D8108C"/>
    <w:rsid w:val="00D81316"/>
    <w:rsid w:val="00D81CC0"/>
    <w:rsid w:val="00D820A7"/>
    <w:rsid w:val="00D837D7"/>
    <w:rsid w:val="00D83E40"/>
    <w:rsid w:val="00D84586"/>
    <w:rsid w:val="00D84759"/>
    <w:rsid w:val="00D84978"/>
    <w:rsid w:val="00D85144"/>
    <w:rsid w:val="00D856D3"/>
    <w:rsid w:val="00D856D6"/>
    <w:rsid w:val="00D8587A"/>
    <w:rsid w:val="00D8589A"/>
    <w:rsid w:val="00D859DC"/>
    <w:rsid w:val="00D85A28"/>
    <w:rsid w:val="00D85BCB"/>
    <w:rsid w:val="00D860F2"/>
    <w:rsid w:val="00D87005"/>
    <w:rsid w:val="00D9013A"/>
    <w:rsid w:val="00D90209"/>
    <w:rsid w:val="00D906E9"/>
    <w:rsid w:val="00D90B37"/>
    <w:rsid w:val="00D91298"/>
    <w:rsid w:val="00D91308"/>
    <w:rsid w:val="00D91488"/>
    <w:rsid w:val="00D915D2"/>
    <w:rsid w:val="00D91C12"/>
    <w:rsid w:val="00D91F2E"/>
    <w:rsid w:val="00D921C7"/>
    <w:rsid w:val="00D92888"/>
    <w:rsid w:val="00D929C3"/>
    <w:rsid w:val="00D92D87"/>
    <w:rsid w:val="00D92E09"/>
    <w:rsid w:val="00D92E99"/>
    <w:rsid w:val="00D93F4A"/>
    <w:rsid w:val="00D94BB6"/>
    <w:rsid w:val="00D94EFD"/>
    <w:rsid w:val="00D95342"/>
    <w:rsid w:val="00D9535C"/>
    <w:rsid w:val="00D95B47"/>
    <w:rsid w:val="00D95DE5"/>
    <w:rsid w:val="00D968F3"/>
    <w:rsid w:val="00D96C66"/>
    <w:rsid w:val="00D97545"/>
    <w:rsid w:val="00D977A8"/>
    <w:rsid w:val="00D97B02"/>
    <w:rsid w:val="00DA013F"/>
    <w:rsid w:val="00DA0941"/>
    <w:rsid w:val="00DA0C98"/>
    <w:rsid w:val="00DA0D56"/>
    <w:rsid w:val="00DA0FB6"/>
    <w:rsid w:val="00DA1023"/>
    <w:rsid w:val="00DA102E"/>
    <w:rsid w:val="00DA11AB"/>
    <w:rsid w:val="00DA11DA"/>
    <w:rsid w:val="00DA1393"/>
    <w:rsid w:val="00DA142F"/>
    <w:rsid w:val="00DA1A85"/>
    <w:rsid w:val="00DA1BAD"/>
    <w:rsid w:val="00DA1BB8"/>
    <w:rsid w:val="00DA1D9D"/>
    <w:rsid w:val="00DA24D7"/>
    <w:rsid w:val="00DA250B"/>
    <w:rsid w:val="00DA31A9"/>
    <w:rsid w:val="00DA31F7"/>
    <w:rsid w:val="00DA3472"/>
    <w:rsid w:val="00DA3926"/>
    <w:rsid w:val="00DA39B1"/>
    <w:rsid w:val="00DA4214"/>
    <w:rsid w:val="00DA48C3"/>
    <w:rsid w:val="00DA4B4C"/>
    <w:rsid w:val="00DA503E"/>
    <w:rsid w:val="00DA506A"/>
    <w:rsid w:val="00DA508A"/>
    <w:rsid w:val="00DA590D"/>
    <w:rsid w:val="00DA5944"/>
    <w:rsid w:val="00DA5B99"/>
    <w:rsid w:val="00DA63C0"/>
    <w:rsid w:val="00DA6562"/>
    <w:rsid w:val="00DA6574"/>
    <w:rsid w:val="00DA6F10"/>
    <w:rsid w:val="00DA74D0"/>
    <w:rsid w:val="00DA77FD"/>
    <w:rsid w:val="00DA9879"/>
    <w:rsid w:val="00DB0057"/>
    <w:rsid w:val="00DB00CA"/>
    <w:rsid w:val="00DB011B"/>
    <w:rsid w:val="00DB02B4"/>
    <w:rsid w:val="00DB08AD"/>
    <w:rsid w:val="00DB0B88"/>
    <w:rsid w:val="00DB0F73"/>
    <w:rsid w:val="00DB0F8F"/>
    <w:rsid w:val="00DB16CA"/>
    <w:rsid w:val="00DB179E"/>
    <w:rsid w:val="00DB1ABE"/>
    <w:rsid w:val="00DB1BF7"/>
    <w:rsid w:val="00DB1D44"/>
    <w:rsid w:val="00DB1DE2"/>
    <w:rsid w:val="00DB3089"/>
    <w:rsid w:val="00DB34C2"/>
    <w:rsid w:val="00DB3544"/>
    <w:rsid w:val="00DB3716"/>
    <w:rsid w:val="00DB4A2E"/>
    <w:rsid w:val="00DB4B84"/>
    <w:rsid w:val="00DB4CBB"/>
    <w:rsid w:val="00DB4E59"/>
    <w:rsid w:val="00DB504A"/>
    <w:rsid w:val="00DB558F"/>
    <w:rsid w:val="00DB569D"/>
    <w:rsid w:val="00DB5973"/>
    <w:rsid w:val="00DB5ED8"/>
    <w:rsid w:val="00DB62D1"/>
    <w:rsid w:val="00DB64E1"/>
    <w:rsid w:val="00DB6CC3"/>
    <w:rsid w:val="00DC06F0"/>
    <w:rsid w:val="00DC09F5"/>
    <w:rsid w:val="00DC0FA0"/>
    <w:rsid w:val="00DC110E"/>
    <w:rsid w:val="00DC1210"/>
    <w:rsid w:val="00DC14F4"/>
    <w:rsid w:val="00DC1ADE"/>
    <w:rsid w:val="00DC1FB9"/>
    <w:rsid w:val="00DC2101"/>
    <w:rsid w:val="00DC36FA"/>
    <w:rsid w:val="00DC3993"/>
    <w:rsid w:val="00DC3D70"/>
    <w:rsid w:val="00DC45B5"/>
    <w:rsid w:val="00DC4FF4"/>
    <w:rsid w:val="00DC6745"/>
    <w:rsid w:val="00DC67FA"/>
    <w:rsid w:val="00DC690D"/>
    <w:rsid w:val="00DC7478"/>
    <w:rsid w:val="00DC7A06"/>
    <w:rsid w:val="00DD0572"/>
    <w:rsid w:val="00DD09DB"/>
    <w:rsid w:val="00DD09F2"/>
    <w:rsid w:val="00DD1782"/>
    <w:rsid w:val="00DD1F52"/>
    <w:rsid w:val="00DD27E2"/>
    <w:rsid w:val="00DD2863"/>
    <w:rsid w:val="00DD2BD1"/>
    <w:rsid w:val="00DD2D33"/>
    <w:rsid w:val="00DD3061"/>
    <w:rsid w:val="00DD34C6"/>
    <w:rsid w:val="00DD350B"/>
    <w:rsid w:val="00DD3691"/>
    <w:rsid w:val="00DD3BC8"/>
    <w:rsid w:val="00DD3FB2"/>
    <w:rsid w:val="00DD46F7"/>
    <w:rsid w:val="00DD4756"/>
    <w:rsid w:val="00DD479B"/>
    <w:rsid w:val="00DD4E1C"/>
    <w:rsid w:val="00DD5354"/>
    <w:rsid w:val="00DD549A"/>
    <w:rsid w:val="00DD54C3"/>
    <w:rsid w:val="00DD54CA"/>
    <w:rsid w:val="00DD572F"/>
    <w:rsid w:val="00DD5AA3"/>
    <w:rsid w:val="00DD5E14"/>
    <w:rsid w:val="00DD61C9"/>
    <w:rsid w:val="00DD61CC"/>
    <w:rsid w:val="00DD6430"/>
    <w:rsid w:val="00DD6C9D"/>
    <w:rsid w:val="00DD6D2E"/>
    <w:rsid w:val="00DD6D94"/>
    <w:rsid w:val="00DD6E87"/>
    <w:rsid w:val="00DD7084"/>
    <w:rsid w:val="00DD73D3"/>
    <w:rsid w:val="00DD7974"/>
    <w:rsid w:val="00DD7F39"/>
    <w:rsid w:val="00DD7FC6"/>
    <w:rsid w:val="00DE0696"/>
    <w:rsid w:val="00DE0D83"/>
    <w:rsid w:val="00DE1193"/>
    <w:rsid w:val="00DE121D"/>
    <w:rsid w:val="00DE1223"/>
    <w:rsid w:val="00DE16CA"/>
    <w:rsid w:val="00DE1AC4"/>
    <w:rsid w:val="00DE1E8B"/>
    <w:rsid w:val="00DE21D9"/>
    <w:rsid w:val="00DE2450"/>
    <w:rsid w:val="00DE255D"/>
    <w:rsid w:val="00DE2E6F"/>
    <w:rsid w:val="00DE2F47"/>
    <w:rsid w:val="00DE415C"/>
    <w:rsid w:val="00DE434A"/>
    <w:rsid w:val="00DE5E21"/>
    <w:rsid w:val="00DE60D2"/>
    <w:rsid w:val="00DE6201"/>
    <w:rsid w:val="00DE6365"/>
    <w:rsid w:val="00DE6646"/>
    <w:rsid w:val="00DE68DC"/>
    <w:rsid w:val="00DE6B09"/>
    <w:rsid w:val="00DE6BD9"/>
    <w:rsid w:val="00DE7537"/>
    <w:rsid w:val="00DE75E8"/>
    <w:rsid w:val="00DE796A"/>
    <w:rsid w:val="00DE7982"/>
    <w:rsid w:val="00DE7EF5"/>
    <w:rsid w:val="00DF0573"/>
    <w:rsid w:val="00DF0A80"/>
    <w:rsid w:val="00DF126F"/>
    <w:rsid w:val="00DF1582"/>
    <w:rsid w:val="00DF1B4F"/>
    <w:rsid w:val="00DF1C11"/>
    <w:rsid w:val="00DF1CBA"/>
    <w:rsid w:val="00DF1EC8"/>
    <w:rsid w:val="00DF20DA"/>
    <w:rsid w:val="00DF265B"/>
    <w:rsid w:val="00DF2801"/>
    <w:rsid w:val="00DF2E6A"/>
    <w:rsid w:val="00DF382D"/>
    <w:rsid w:val="00DF39F3"/>
    <w:rsid w:val="00DF39FF"/>
    <w:rsid w:val="00DF3AC8"/>
    <w:rsid w:val="00DF44C5"/>
    <w:rsid w:val="00DF4C9F"/>
    <w:rsid w:val="00DF4EC8"/>
    <w:rsid w:val="00DF50AF"/>
    <w:rsid w:val="00DF52B5"/>
    <w:rsid w:val="00DF530A"/>
    <w:rsid w:val="00DF5344"/>
    <w:rsid w:val="00DF53AD"/>
    <w:rsid w:val="00DF5425"/>
    <w:rsid w:val="00DF56DD"/>
    <w:rsid w:val="00DF5CA1"/>
    <w:rsid w:val="00DF652B"/>
    <w:rsid w:val="00DF6670"/>
    <w:rsid w:val="00DF7059"/>
    <w:rsid w:val="00DF72D3"/>
    <w:rsid w:val="00DF73D1"/>
    <w:rsid w:val="00DF74A1"/>
    <w:rsid w:val="00DF78DF"/>
    <w:rsid w:val="00E00625"/>
    <w:rsid w:val="00E00780"/>
    <w:rsid w:val="00E00BC1"/>
    <w:rsid w:val="00E00C72"/>
    <w:rsid w:val="00E00D0A"/>
    <w:rsid w:val="00E01332"/>
    <w:rsid w:val="00E01AC4"/>
    <w:rsid w:val="00E01C20"/>
    <w:rsid w:val="00E020C3"/>
    <w:rsid w:val="00E023F7"/>
    <w:rsid w:val="00E028A6"/>
    <w:rsid w:val="00E028C4"/>
    <w:rsid w:val="00E032D8"/>
    <w:rsid w:val="00E035E3"/>
    <w:rsid w:val="00E03744"/>
    <w:rsid w:val="00E03990"/>
    <w:rsid w:val="00E03B2D"/>
    <w:rsid w:val="00E040D1"/>
    <w:rsid w:val="00E041A1"/>
    <w:rsid w:val="00E04329"/>
    <w:rsid w:val="00E044D2"/>
    <w:rsid w:val="00E04AE7"/>
    <w:rsid w:val="00E04C2F"/>
    <w:rsid w:val="00E04EAD"/>
    <w:rsid w:val="00E0520D"/>
    <w:rsid w:val="00E060EC"/>
    <w:rsid w:val="00E068BB"/>
    <w:rsid w:val="00E071DF"/>
    <w:rsid w:val="00E0725D"/>
    <w:rsid w:val="00E07A0F"/>
    <w:rsid w:val="00E07A3E"/>
    <w:rsid w:val="00E07B9F"/>
    <w:rsid w:val="00E1001D"/>
    <w:rsid w:val="00E102D0"/>
    <w:rsid w:val="00E10578"/>
    <w:rsid w:val="00E10ACD"/>
    <w:rsid w:val="00E10E0F"/>
    <w:rsid w:val="00E10E64"/>
    <w:rsid w:val="00E11B45"/>
    <w:rsid w:val="00E11ED2"/>
    <w:rsid w:val="00E1230D"/>
    <w:rsid w:val="00E12CDC"/>
    <w:rsid w:val="00E12CFF"/>
    <w:rsid w:val="00E13F29"/>
    <w:rsid w:val="00E144DE"/>
    <w:rsid w:val="00E1505A"/>
    <w:rsid w:val="00E15828"/>
    <w:rsid w:val="00E15955"/>
    <w:rsid w:val="00E1617D"/>
    <w:rsid w:val="00E16A58"/>
    <w:rsid w:val="00E16B2E"/>
    <w:rsid w:val="00E16B85"/>
    <w:rsid w:val="00E173E7"/>
    <w:rsid w:val="00E17954"/>
    <w:rsid w:val="00E1799F"/>
    <w:rsid w:val="00E17A73"/>
    <w:rsid w:val="00E17D4A"/>
    <w:rsid w:val="00E17E35"/>
    <w:rsid w:val="00E17FC2"/>
    <w:rsid w:val="00E201C6"/>
    <w:rsid w:val="00E203A9"/>
    <w:rsid w:val="00E2072A"/>
    <w:rsid w:val="00E20876"/>
    <w:rsid w:val="00E21364"/>
    <w:rsid w:val="00E218F5"/>
    <w:rsid w:val="00E227A2"/>
    <w:rsid w:val="00E229BB"/>
    <w:rsid w:val="00E23133"/>
    <w:rsid w:val="00E234E5"/>
    <w:rsid w:val="00E23FA8"/>
    <w:rsid w:val="00E249CF"/>
    <w:rsid w:val="00E24E84"/>
    <w:rsid w:val="00E25CBA"/>
    <w:rsid w:val="00E25DEE"/>
    <w:rsid w:val="00E26338"/>
    <w:rsid w:val="00E26D63"/>
    <w:rsid w:val="00E26D6C"/>
    <w:rsid w:val="00E270D6"/>
    <w:rsid w:val="00E270E7"/>
    <w:rsid w:val="00E27279"/>
    <w:rsid w:val="00E2735B"/>
    <w:rsid w:val="00E278A4"/>
    <w:rsid w:val="00E27A49"/>
    <w:rsid w:val="00E27C1F"/>
    <w:rsid w:val="00E27C6F"/>
    <w:rsid w:val="00E27CD8"/>
    <w:rsid w:val="00E27DC4"/>
    <w:rsid w:val="00E27F02"/>
    <w:rsid w:val="00E301E5"/>
    <w:rsid w:val="00E30291"/>
    <w:rsid w:val="00E30641"/>
    <w:rsid w:val="00E31154"/>
    <w:rsid w:val="00E3119F"/>
    <w:rsid w:val="00E3125C"/>
    <w:rsid w:val="00E3142F"/>
    <w:rsid w:val="00E315B1"/>
    <w:rsid w:val="00E319E5"/>
    <w:rsid w:val="00E31D62"/>
    <w:rsid w:val="00E321A5"/>
    <w:rsid w:val="00E32938"/>
    <w:rsid w:val="00E32D5C"/>
    <w:rsid w:val="00E32E96"/>
    <w:rsid w:val="00E32F1B"/>
    <w:rsid w:val="00E332E0"/>
    <w:rsid w:val="00E3363F"/>
    <w:rsid w:val="00E342F5"/>
    <w:rsid w:val="00E347CA"/>
    <w:rsid w:val="00E34969"/>
    <w:rsid w:val="00E34BE6"/>
    <w:rsid w:val="00E34D80"/>
    <w:rsid w:val="00E34F0B"/>
    <w:rsid w:val="00E3593C"/>
    <w:rsid w:val="00E35ACD"/>
    <w:rsid w:val="00E35EB4"/>
    <w:rsid w:val="00E35EC1"/>
    <w:rsid w:val="00E35F4F"/>
    <w:rsid w:val="00E36133"/>
    <w:rsid w:val="00E36693"/>
    <w:rsid w:val="00E36B8C"/>
    <w:rsid w:val="00E36F0D"/>
    <w:rsid w:val="00E376C9"/>
    <w:rsid w:val="00E377AE"/>
    <w:rsid w:val="00E37FEB"/>
    <w:rsid w:val="00E4000C"/>
    <w:rsid w:val="00E40093"/>
    <w:rsid w:val="00E40280"/>
    <w:rsid w:val="00E40886"/>
    <w:rsid w:val="00E40C4E"/>
    <w:rsid w:val="00E40D03"/>
    <w:rsid w:val="00E411DD"/>
    <w:rsid w:val="00E415EF"/>
    <w:rsid w:val="00E416F1"/>
    <w:rsid w:val="00E41857"/>
    <w:rsid w:val="00E41FA5"/>
    <w:rsid w:val="00E421BB"/>
    <w:rsid w:val="00E4260E"/>
    <w:rsid w:val="00E4263E"/>
    <w:rsid w:val="00E42809"/>
    <w:rsid w:val="00E42AD6"/>
    <w:rsid w:val="00E43027"/>
    <w:rsid w:val="00E431C5"/>
    <w:rsid w:val="00E431E3"/>
    <w:rsid w:val="00E43486"/>
    <w:rsid w:val="00E43566"/>
    <w:rsid w:val="00E43794"/>
    <w:rsid w:val="00E43B71"/>
    <w:rsid w:val="00E43BE8"/>
    <w:rsid w:val="00E43C51"/>
    <w:rsid w:val="00E44360"/>
    <w:rsid w:val="00E4479D"/>
    <w:rsid w:val="00E44A8D"/>
    <w:rsid w:val="00E44A9F"/>
    <w:rsid w:val="00E44B04"/>
    <w:rsid w:val="00E4521D"/>
    <w:rsid w:val="00E4533D"/>
    <w:rsid w:val="00E4539B"/>
    <w:rsid w:val="00E45E33"/>
    <w:rsid w:val="00E464D3"/>
    <w:rsid w:val="00E46726"/>
    <w:rsid w:val="00E46B29"/>
    <w:rsid w:val="00E46E71"/>
    <w:rsid w:val="00E46F4A"/>
    <w:rsid w:val="00E473DE"/>
    <w:rsid w:val="00E476DD"/>
    <w:rsid w:val="00E47E36"/>
    <w:rsid w:val="00E47FE4"/>
    <w:rsid w:val="00E5030D"/>
    <w:rsid w:val="00E50346"/>
    <w:rsid w:val="00E503B6"/>
    <w:rsid w:val="00E50477"/>
    <w:rsid w:val="00E504EB"/>
    <w:rsid w:val="00E50A28"/>
    <w:rsid w:val="00E50E34"/>
    <w:rsid w:val="00E5180F"/>
    <w:rsid w:val="00E5194E"/>
    <w:rsid w:val="00E51B0B"/>
    <w:rsid w:val="00E51D2E"/>
    <w:rsid w:val="00E52603"/>
    <w:rsid w:val="00E52903"/>
    <w:rsid w:val="00E52FC2"/>
    <w:rsid w:val="00E53601"/>
    <w:rsid w:val="00E53722"/>
    <w:rsid w:val="00E53A21"/>
    <w:rsid w:val="00E53A7E"/>
    <w:rsid w:val="00E53AC5"/>
    <w:rsid w:val="00E53C4A"/>
    <w:rsid w:val="00E540BD"/>
    <w:rsid w:val="00E542B3"/>
    <w:rsid w:val="00E548F6"/>
    <w:rsid w:val="00E54A96"/>
    <w:rsid w:val="00E54B08"/>
    <w:rsid w:val="00E54F51"/>
    <w:rsid w:val="00E5504F"/>
    <w:rsid w:val="00E55400"/>
    <w:rsid w:val="00E55409"/>
    <w:rsid w:val="00E5543E"/>
    <w:rsid w:val="00E5549D"/>
    <w:rsid w:val="00E55C99"/>
    <w:rsid w:val="00E56409"/>
    <w:rsid w:val="00E566A5"/>
    <w:rsid w:val="00E56806"/>
    <w:rsid w:val="00E5684D"/>
    <w:rsid w:val="00E56D72"/>
    <w:rsid w:val="00E57B37"/>
    <w:rsid w:val="00E57D42"/>
    <w:rsid w:val="00E60177"/>
    <w:rsid w:val="00E602B7"/>
    <w:rsid w:val="00E60669"/>
    <w:rsid w:val="00E60B35"/>
    <w:rsid w:val="00E60B9A"/>
    <w:rsid w:val="00E60D2A"/>
    <w:rsid w:val="00E60FC9"/>
    <w:rsid w:val="00E615A8"/>
    <w:rsid w:val="00E6177D"/>
    <w:rsid w:val="00E61FF8"/>
    <w:rsid w:val="00E62049"/>
    <w:rsid w:val="00E620E4"/>
    <w:rsid w:val="00E62CB6"/>
    <w:rsid w:val="00E62D06"/>
    <w:rsid w:val="00E63447"/>
    <w:rsid w:val="00E635A4"/>
    <w:rsid w:val="00E636B7"/>
    <w:rsid w:val="00E63738"/>
    <w:rsid w:val="00E63C49"/>
    <w:rsid w:val="00E63C9B"/>
    <w:rsid w:val="00E63E7E"/>
    <w:rsid w:val="00E64748"/>
    <w:rsid w:val="00E64DAF"/>
    <w:rsid w:val="00E64F09"/>
    <w:rsid w:val="00E64F0D"/>
    <w:rsid w:val="00E65275"/>
    <w:rsid w:val="00E65EAD"/>
    <w:rsid w:val="00E660AD"/>
    <w:rsid w:val="00E66485"/>
    <w:rsid w:val="00E66CAF"/>
    <w:rsid w:val="00E66E6A"/>
    <w:rsid w:val="00E673B3"/>
    <w:rsid w:val="00E70172"/>
    <w:rsid w:val="00E709F5"/>
    <w:rsid w:val="00E70CE2"/>
    <w:rsid w:val="00E7130B"/>
    <w:rsid w:val="00E71564"/>
    <w:rsid w:val="00E71B45"/>
    <w:rsid w:val="00E7267F"/>
    <w:rsid w:val="00E72A38"/>
    <w:rsid w:val="00E72D7C"/>
    <w:rsid w:val="00E74349"/>
    <w:rsid w:val="00E745EC"/>
    <w:rsid w:val="00E748FA"/>
    <w:rsid w:val="00E749D4"/>
    <w:rsid w:val="00E74BAF"/>
    <w:rsid w:val="00E750A3"/>
    <w:rsid w:val="00E75243"/>
    <w:rsid w:val="00E7546D"/>
    <w:rsid w:val="00E7548F"/>
    <w:rsid w:val="00E759D7"/>
    <w:rsid w:val="00E76E71"/>
    <w:rsid w:val="00E77281"/>
    <w:rsid w:val="00E776D2"/>
    <w:rsid w:val="00E80024"/>
    <w:rsid w:val="00E80391"/>
    <w:rsid w:val="00E803B5"/>
    <w:rsid w:val="00E804D6"/>
    <w:rsid w:val="00E80764"/>
    <w:rsid w:val="00E80962"/>
    <w:rsid w:val="00E81389"/>
    <w:rsid w:val="00E815ED"/>
    <w:rsid w:val="00E81B3F"/>
    <w:rsid w:val="00E81C6E"/>
    <w:rsid w:val="00E81EF8"/>
    <w:rsid w:val="00E8233E"/>
    <w:rsid w:val="00E825A4"/>
    <w:rsid w:val="00E82845"/>
    <w:rsid w:val="00E82981"/>
    <w:rsid w:val="00E82BD6"/>
    <w:rsid w:val="00E82CD9"/>
    <w:rsid w:val="00E834B9"/>
    <w:rsid w:val="00E83955"/>
    <w:rsid w:val="00E83AAF"/>
    <w:rsid w:val="00E83C59"/>
    <w:rsid w:val="00E83E64"/>
    <w:rsid w:val="00E845A6"/>
    <w:rsid w:val="00E846D5"/>
    <w:rsid w:val="00E84886"/>
    <w:rsid w:val="00E848B8"/>
    <w:rsid w:val="00E85044"/>
    <w:rsid w:val="00E85070"/>
    <w:rsid w:val="00E85199"/>
    <w:rsid w:val="00E851A3"/>
    <w:rsid w:val="00E85352"/>
    <w:rsid w:val="00E85565"/>
    <w:rsid w:val="00E85B2A"/>
    <w:rsid w:val="00E86150"/>
    <w:rsid w:val="00E86287"/>
    <w:rsid w:val="00E865EF"/>
    <w:rsid w:val="00E867D7"/>
    <w:rsid w:val="00E86C92"/>
    <w:rsid w:val="00E86CE6"/>
    <w:rsid w:val="00E86FFB"/>
    <w:rsid w:val="00E873AF"/>
    <w:rsid w:val="00E8767B"/>
    <w:rsid w:val="00E90290"/>
    <w:rsid w:val="00E9030A"/>
    <w:rsid w:val="00E904E4"/>
    <w:rsid w:val="00E90AB1"/>
    <w:rsid w:val="00E90CF4"/>
    <w:rsid w:val="00E90ED1"/>
    <w:rsid w:val="00E91171"/>
    <w:rsid w:val="00E914F0"/>
    <w:rsid w:val="00E916A6"/>
    <w:rsid w:val="00E91E48"/>
    <w:rsid w:val="00E91FEE"/>
    <w:rsid w:val="00E92180"/>
    <w:rsid w:val="00E924F5"/>
    <w:rsid w:val="00E928A3"/>
    <w:rsid w:val="00E9291A"/>
    <w:rsid w:val="00E92B01"/>
    <w:rsid w:val="00E92CE8"/>
    <w:rsid w:val="00E934D2"/>
    <w:rsid w:val="00E935FA"/>
    <w:rsid w:val="00E93C78"/>
    <w:rsid w:val="00E9429C"/>
    <w:rsid w:val="00E9458E"/>
    <w:rsid w:val="00E94608"/>
    <w:rsid w:val="00E94B14"/>
    <w:rsid w:val="00E94BEA"/>
    <w:rsid w:val="00E955CE"/>
    <w:rsid w:val="00E95B8F"/>
    <w:rsid w:val="00E96284"/>
    <w:rsid w:val="00E9683D"/>
    <w:rsid w:val="00E968E3"/>
    <w:rsid w:val="00E96AC5"/>
    <w:rsid w:val="00E96B47"/>
    <w:rsid w:val="00E96C89"/>
    <w:rsid w:val="00E97864"/>
    <w:rsid w:val="00E97A38"/>
    <w:rsid w:val="00E97DBF"/>
    <w:rsid w:val="00EA0729"/>
    <w:rsid w:val="00EA0F63"/>
    <w:rsid w:val="00EA166B"/>
    <w:rsid w:val="00EA196A"/>
    <w:rsid w:val="00EA1DED"/>
    <w:rsid w:val="00EA20D8"/>
    <w:rsid w:val="00EA266D"/>
    <w:rsid w:val="00EA29DC"/>
    <w:rsid w:val="00EA2C52"/>
    <w:rsid w:val="00EA2E0A"/>
    <w:rsid w:val="00EA332C"/>
    <w:rsid w:val="00EA3463"/>
    <w:rsid w:val="00EA3763"/>
    <w:rsid w:val="00EA3C98"/>
    <w:rsid w:val="00EA3D71"/>
    <w:rsid w:val="00EA3F60"/>
    <w:rsid w:val="00EA44ED"/>
    <w:rsid w:val="00EA4821"/>
    <w:rsid w:val="00EA5044"/>
    <w:rsid w:val="00EA523C"/>
    <w:rsid w:val="00EA5334"/>
    <w:rsid w:val="00EA5490"/>
    <w:rsid w:val="00EA55C1"/>
    <w:rsid w:val="00EA5783"/>
    <w:rsid w:val="00EA58E5"/>
    <w:rsid w:val="00EA5984"/>
    <w:rsid w:val="00EA59F7"/>
    <w:rsid w:val="00EA5BE1"/>
    <w:rsid w:val="00EA6552"/>
    <w:rsid w:val="00EA6586"/>
    <w:rsid w:val="00EA6A41"/>
    <w:rsid w:val="00EA6D7A"/>
    <w:rsid w:val="00EA6F55"/>
    <w:rsid w:val="00EA726B"/>
    <w:rsid w:val="00EA79A9"/>
    <w:rsid w:val="00EA7ADF"/>
    <w:rsid w:val="00EA7C2C"/>
    <w:rsid w:val="00EB00A9"/>
    <w:rsid w:val="00EB00AD"/>
    <w:rsid w:val="00EB0331"/>
    <w:rsid w:val="00EB081F"/>
    <w:rsid w:val="00EB0A0D"/>
    <w:rsid w:val="00EB0B68"/>
    <w:rsid w:val="00EB0C89"/>
    <w:rsid w:val="00EB0F5D"/>
    <w:rsid w:val="00EB0FFA"/>
    <w:rsid w:val="00EB1054"/>
    <w:rsid w:val="00EB12AD"/>
    <w:rsid w:val="00EB1AD2"/>
    <w:rsid w:val="00EB1DF3"/>
    <w:rsid w:val="00EB1FCF"/>
    <w:rsid w:val="00EB243C"/>
    <w:rsid w:val="00EB27C5"/>
    <w:rsid w:val="00EB2A27"/>
    <w:rsid w:val="00EB2D8A"/>
    <w:rsid w:val="00EB333C"/>
    <w:rsid w:val="00EB3688"/>
    <w:rsid w:val="00EB3DA9"/>
    <w:rsid w:val="00EB3F99"/>
    <w:rsid w:val="00EB4504"/>
    <w:rsid w:val="00EB4D95"/>
    <w:rsid w:val="00EB53E0"/>
    <w:rsid w:val="00EB573A"/>
    <w:rsid w:val="00EB5EF0"/>
    <w:rsid w:val="00EB6334"/>
    <w:rsid w:val="00EB6413"/>
    <w:rsid w:val="00EB661F"/>
    <w:rsid w:val="00EB681F"/>
    <w:rsid w:val="00EB696B"/>
    <w:rsid w:val="00EB6B6C"/>
    <w:rsid w:val="00EB6C35"/>
    <w:rsid w:val="00EB7130"/>
    <w:rsid w:val="00EB7427"/>
    <w:rsid w:val="00EB7631"/>
    <w:rsid w:val="00EB77D4"/>
    <w:rsid w:val="00EC0024"/>
    <w:rsid w:val="00EC070D"/>
    <w:rsid w:val="00EC1203"/>
    <w:rsid w:val="00EC1B6B"/>
    <w:rsid w:val="00EC20FD"/>
    <w:rsid w:val="00EC21B6"/>
    <w:rsid w:val="00EC24DE"/>
    <w:rsid w:val="00EC2553"/>
    <w:rsid w:val="00EC278C"/>
    <w:rsid w:val="00EC27C6"/>
    <w:rsid w:val="00EC2946"/>
    <w:rsid w:val="00EC2958"/>
    <w:rsid w:val="00EC3155"/>
    <w:rsid w:val="00EC31FF"/>
    <w:rsid w:val="00EC3200"/>
    <w:rsid w:val="00EC403B"/>
    <w:rsid w:val="00EC4953"/>
    <w:rsid w:val="00EC4B59"/>
    <w:rsid w:val="00EC5432"/>
    <w:rsid w:val="00EC58E4"/>
    <w:rsid w:val="00EC59D2"/>
    <w:rsid w:val="00EC59D6"/>
    <w:rsid w:val="00EC5CF4"/>
    <w:rsid w:val="00EC5F06"/>
    <w:rsid w:val="00EC605C"/>
    <w:rsid w:val="00EC63BF"/>
    <w:rsid w:val="00EC6AC7"/>
    <w:rsid w:val="00EC6C5D"/>
    <w:rsid w:val="00EC6CEF"/>
    <w:rsid w:val="00EC7414"/>
    <w:rsid w:val="00EC745D"/>
    <w:rsid w:val="00EC78FC"/>
    <w:rsid w:val="00EC7B5E"/>
    <w:rsid w:val="00ED007D"/>
    <w:rsid w:val="00ED00D2"/>
    <w:rsid w:val="00ED0382"/>
    <w:rsid w:val="00ED08D5"/>
    <w:rsid w:val="00ED098A"/>
    <w:rsid w:val="00ED09EF"/>
    <w:rsid w:val="00ED0D97"/>
    <w:rsid w:val="00ED0DD7"/>
    <w:rsid w:val="00ED1099"/>
    <w:rsid w:val="00ED1AF3"/>
    <w:rsid w:val="00ED2251"/>
    <w:rsid w:val="00ED22F3"/>
    <w:rsid w:val="00ED2368"/>
    <w:rsid w:val="00ED266A"/>
    <w:rsid w:val="00ED2A7E"/>
    <w:rsid w:val="00ED2D60"/>
    <w:rsid w:val="00ED2F6D"/>
    <w:rsid w:val="00ED30DA"/>
    <w:rsid w:val="00ED32DB"/>
    <w:rsid w:val="00ED3633"/>
    <w:rsid w:val="00ED3C2B"/>
    <w:rsid w:val="00ED3DFD"/>
    <w:rsid w:val="00ED3F8A"/>
    <w:rsid w:val="00ED4009"/>
    <w:rsid w:val="00ED4153"/>
    <w:rsid w:val="00ED433B"/>
    <w:rsid w:val="00ED4FED"/>
    <w:rsid w:val="00ED5935"/>
    <w:rsid w:val="00ED5A0B"/>
    <w:rsid w:val="00ED6048"/>
    <w:rsid w:val="00ED6516"/>
    <w:rsid w:val="00ED661E"/>
    <w:rsid w:val="00ED6FD2"/>
    <w:rsid w:val="00ED715C"/>
    <w:rsid w:val="00ED7A0F"/>
    <w:rsid w:val="00ED7E48"/>
    <w:rsid w:val="00EE037A"/>
    <w:rsid w:val="00EE18EC"/>
    <w:rsid w:val="00EE2313"/>
    <w:rsid w:val="00EE246C"/>
    <w:rsid w:val="00EE2926"/>
    <w:rsid w:val="00EE29B7"/>
    <w:rsid w:val="00EE29BC"/>
    <w:rsid w:val="00EE3616"/>
    <w:rsid w:val="00EE3654"/>
    <w:rsid w:val="00EE3707"/>
    <w:rsid w:val="00EE4478"/>
    <w:rsid w:val="00EE4C91"/>
    <w:rsid w:val="00EE5134"/>
    <w:rsid w:val="00EE5189"/>
    <w:rsid w:val="00EE55A5"/>
    <w:rsid w:val="00EE5BF2"/>
    <w:rsid w:val="00EE5CFC"/>
    <w:rsid w:val="00EE5DCC"/>
    <w:rsid w:val="00EE6475"/>
    <w:rsid w:val="00EE6539"/>
    <w:rsid w:val="00EE6C6C"/>
    <w:rsid w:val="00EE6D63"/>
    <w:rsid w:val="00EE7199"/>
    <w:rsid w:val="00EE7E21"/>
    <w:rsid w:val="00EF000F"/>
    <w:rsid w:val="00EF015E"/>
    <w:rsid w:val="00EF081F"/>
    <w:rsid w:val="00EF0D2E"/>
    <w:rsid w:val="00EF0EBE"/>
    <w:rsid w:val="00EF13AC"/>
    <w:rsid w:val="00EF20BB"/>
    <w:rsid w:val="00EF20FA"/>
    <w:rsid w:val="00EF2114"/>
    <w:rsid w:val="00EF2360"/>
    <w:rsid w:val="00EF268B"/>
    <w:rsid w:val="00EF2850"/>
    <w:rsid w:val="00EF2D44"/>
    <w:rsid w:val="00EF313F"/>
    <w:rsid w:val="00EF3534"/>
    <w:rsid w:val="00EF40E2"/>
    <w:rsid w:val="00EF40EB"/>
    <w:rsid w:val="00EF43EC"/>
    <w:rsid w:val="00EF43F5"/>
    <w:rsid w:val="00EF4478"/>
    <w:rsid w:val="00EF47D3"/>
    <w:rsid w:val="00EF4836"/>
    <w:rsid w:val="00EF5591"/>
    <w:rsid w:val="00EF594F"/>
    <w:rsid w:val="00EF5C36"/>
    <w:rsid w:val="00EF5D69"/>
    <w:rsid w:val="00EF5FFE"/>
    <w:rsid w:val="00EF602D"/>
    <w:rsid w:val="00EF69EE"/>
    <w:rsid w:val="00EF6DEF"/>
    <w:rsid w:val="00EF6F31"/>
    <w:rsid w:val="00EF71E6"/>
    <w:rsid w:val="00EF7A93"/>
    <w:rsid w:val="00EF7B11"/>
    <w:rsid w:val="00EF7CFB"/>
    <w:rsid w:val="00F0033B"/>
    <w:rsid w:val="00F00DE0"/>
    <w:rsid w:val="00F011A6"/>
    <w:rsid w:val="00F012D5"/>
    <w:rsid w:val="00F01580"/>
    <w:rsid w:val="00F01AB5"/>
    <w:rsid w:val="00F01ACD"/>
    <w:rsid w:val="00F01AFF"/>
    <w:rsid w:val="00F0245D"/>
    <w:rsid w:val="00F025BB"/>
    <w:rsid w:val="00F02695"/>
    <w:rsid w:val="00F03D04"/>
    <w:rsid w:val="00F03EB5"/>
    <w:rsid w:val="00F03FBD"/>
    <w:rsid w:val="00F040F2"/>
    <w:rsid w:val="00F042C3"/>
    <w:rsid w:val="00F04B35"/>
    <w:rsid w:val="00F0516D"/>
    <w:rsid w:val="00F056E6"/>
    <w:rsid w:val="00F05A55"/>
    <w:rsid w:val="00F05C40"/>
    <w:rsid w:val="00F0605F"/>
    <w:rsid w:val="00F0611F"/>
    <w:rsid w:val="00F06200"/>
    <w:rsid w:val="00F06B52"/>
    <w:rsid w:val="00F06BFB"/>
    <w:rsid w:val="00F06F63"/>
    <w:rsid w:val="00F07157"/>
    <w:rsid w:val="00F0733F"/>
    <w:rsid w:val="00F078B2"/>
    <w:rsid w:val="00F07B6B"/>
    <w:rsid w:val="00F07C17"/>
    <w:rsid w:val="00F07CB8"/>
    <w:rsid w:val="00F10500"/>
    <w:rsid w:val="00F10E71"/>
    <w:rsid w:val="00F11200"/>
    <w:rsid w:val="00F11B67"/>
    <w:rsid w:val="00F11C21"/>
    <w:rsid w:val="00F12B10"/>
    <w:rsid w:val="00F12D15"/>
    <w:rsid w:val="00F12E23"/>
    <w:rsid w:val="00F12F47"/>
    <w:rsid w:val="00F1350A"/>
    <w:rsid w:val="00F13523"/>
    <w:rsid w:val="00F13B2A"/>
    <w:rsid w:val="00F13C8E"/>
    <w:rsid w:val="00F1497D"/>
    <w:rsid w:val="00F14EAB"/>
    <w:rsid w:val="00F1583B"/>
    <w:rsid w:val="00F1598B"/>
    <w:rsid w:val="00F15D99"/>
    <w:rsid w:val="00F16069"/>
    <w:rsid w:val="00F164D7"/>
    <w:rsid w:val="00F16A0F"/>
    <w:rsid w:val="00F16A89"/>
    <w:rsid w:val="00F16BC0"/>
    <w:rsid w:val="00F16C5C"/>
    <w:rsid w:val="00F16D46"/>
    <w:rsid w:val="00F17508"/>
    <w:rsid w:val="00F179DD"/>
    <w:rsid w:val="00F17ADC"/>
    <w:rsid w:val="00F200E0"/>
    <w:rsid w:val="00F20149"/>
    <w:rsid w:val="00F20699"/>
    <w:rsid w:val="00F2117F"/>
    <w:rsid w:val="00F21754"/>
    <w:rsid w:val="00F21AAB"/>
    <w:rsid w:val="00F21AD2"/>
    <w:rsid w:val="00F21DFC"/>
    <w:rsid w:val="00F21EF8"/>
    <w:rsid w:val="00F222A6"/>
    <w:rsid w:val="00F223DC"/>
    <w:rsid w:val="00F223F6"/>
    <w:rsid w:val="00F2265B"/>
    <w:rsid w:val="00F227BE"/>
    <w:rsid w:val="00F22876"/>
    <w:rsid w:val="00F22901"/>
    <w:rsid w:val="00F22A2D"/>
    <w:rsid w:val="00F22D18"/>
    <w:rsid w:val="00F230A5"/>
    <w:rsid w:val="00F23177"/>
    <w:rsid w:val="00F23492"/>
    <w:rsid w:val="00F2349E"/>
    <w:rsid w:val="00F23540"/>
    <w:rsid w:val="00F23859"/>
    <w:rsid w:val="00F23E20"/>
    <w:rsid w:val="00F24181"/>
    <w:rsid w:val="00F24190"/>
    <w:rsid w:val="00F242B2"/>
    <w:rsid w:val="00F24316"/>
    <w:rsid w:val="00F24430"/>
    <w:rsid w:val="00F246CD"/>
    <w:rsid w:val="00F2477A"/>
    <w:rsid w:val="00F24C21"/>
    <w:rsid w:val="00F251B1"/>
    <w:rsid w:val="00F253F9"/>
    <w:rsid w:val="00F25C0A"/>
    <w:rsid w:val="00F25C2B"/>
    <w:rsid w:val="00F262AD"/>
    <w:rsid w:val="00F26467"/>
    <w:rsid w:val="00F265A3"/>
    <w:rsid w:val="00F26684"/>
    <w:rsid w:val="00F26738"/>
    <w:rsid w:val="00F267B0"/>
    <w:rsid w:val="00F26A81"/>
    <w:rsid w:val="00F26ED7"/>
    <w:rsid w:val="00F26FA2"/>
    <w:rsid w:val="00F2776D"/>
    <w:rsid w:val="00F27A6B"/>
    <w:rsid w:val="00F30120"/>
    <w:rsid w:val="00F30204"/>
    <w:rsid w:val="00F3020B"/>
    <w:rsid w:val="00F30224"/>
    <w:rsid w:val="00F3047D"/>
    <w:rsid w:val="00F305F8"/>
    <w:rsid w:val="00F307DF"/>
    <w:rsid w:val="00F307FA"/>
    <w:rsid w:val="00F30EB8"/>
    <w:rsid w:val="00F312DD"/>
    <w:rsid w:val="00F31737"/>
    <w:rsid w:val="00F3216C"/>
    <w:rsid w:val="00F324AA"/>
    <w:rsid w:val="00F32586"/>
    <w:rsid w:val="00F32871"/>
    <w:rsid w:val="00F33BF4"/>
    <w:rsid w:val="00F33D2D"/>
    <w:rsid w:val="00F34594"/>
    <w:rsid w:val="00F345DC"/>
    <w:rsid w:val="00F3478A"/>
    <w:rsid w:val="00F3490C"/>
    <w:rsid w:val="00F349E2"/>
    <w:rsid w:val="00F34E9C"/>
    <w:rsid w:val="00F34EDA"/>
    <w:rsid w:val="00F34F01"/>
    <w:rsid w:val="00F35B1A"/>
    <w:rsid w:val="00F35DF7"/>
    <w:rsid w:val="00F361F9"/>
    <w:rsid w:val="00F363B4"/>
    <w:rsid w:val="00F36B87"/>
    <w:rsid w:val="00F3709C"/>
    <w:rsid w:val="00F3741E"/>
    <w:rsid w:val="00F37540"/>
    <w:rsid w:val="00F37596"/>
    <w:rsid w:val="00F37839"/>
    <w:rsid w:val="00F40094"/>
    <w:rsid w:val="00F4024E"/>
    <w:rsid w:val="00F4032A"/>
    <w:rsid w:val="00F403C0"/>
    <w:rsid w:val="00F404F2"/>
    <w:rsid w:val="00F40565"/>
    <w:rsid w:val="00F4079B"/>
    <w:rsid w:val="00F4087E"/>
    <w:rsid w:val="00F40978"/>
    <w:rsid w:val="00F40A2E"/>
    <w:rsid w:val="00F40D6C"/>
    <w:rsid w:val="00F41362"/>
    <w:rsid w:val="00F41715"/>
    <w:rsid w:val="00F417DC"/>
    <w:rsid w:val="00F41F0E"/>
    <w:rsid w:val="00F422AF"/>
    <w:rsid w:val="00F4248C"/>
    <w:rsid w:val="00F425D2"/>
    <w:rsid w:val="00F426DB"/>
    <w:rsid w:val="00F43485"/>
    <w:rsid w:val="00F43496"/>
    <w:rsid w:val="00F43587"/>
    <w:rsid w:val="00F435AE"/>
    <w:rsid w:val="00F43C25"/>
    <w:rsid w:val="00F44309"/>
    <w:rsid w:val="00F449EA"/>
    <w:rsid w:val="00F45277"/>
    <w:rsid w:val="00F452B7"/>
    <w:rsid w:val="00F454E9"/>
    <w:rsid w:val="00F45504"/>
    <w:rsid w:val="00F4582D"/>
    <w:rsid w:val="00F45D81"/>
    <w:rsid w:val="00F45E28"/>
    <w:rsid w:val="00F45F76"/>
    <w:rsid w:val="00F46038"/>
    <w:rsid w:val="00F46047"/>
    <w:rsid w:val="00F46180"/>
    <w:rsid w:val="00F46692"/>
    <w:rsid w:val="00F4712F"/>
    <w:rsid w:val="00F471E0"/>
    <w:rsid w:val="00F47C14"/>
    <w:rsid w:val="00F47E05"/>
    <w:rsid w:val="00F47E63"/>
    <w:rsid w:val="00F50255"/>
    <w:rsid w:val="00F502E2"/>
    <w:rsid w:val="00F5096A"/>
    <w:rsid w:val="00F5099F"/>
    <w:rsid w:val="00F50E0B"/>
    <w:rsid w:val="00F51A3E"/>
    <w:rsid w:val="00F5218B"/>
    <w:rsid w:val="00F525A0"/>
    <w:rsid w:val="00F5269F"/>
    <w:rsid w:val="00F5278B"/>
    <w:rsid w:val="00F52B5A"/>
    <w:rsid w:val="00F52C09"/>
    <w:rsid w:val="00F5398A"/>
    <w:rsid w:val="00F53D84"/>
    <w:rsid w:val="00F540CE"/>
    <w:rsid w:val="00F5435D"/>
    <w:rsid w:val="00F5485F"/>
    <w:rsid w:val="00F54A42"/>
    <w:rsid w:val="00F54AAF"/>
    <w:rsid w:val="00F54D31"/>
    <w:rsid w:val="00F54FB6"/>
    <w:rsid w:val="00F55081"/>
    <w:rsid w:val="00F5580D"/>
    <w:rsid w:val="00F55BEC"/>
    <w:rsid w:val="00F55D72"/>
    <w:rsid w:val="00F56291"/>
    <w:rsid w:val="00F563E4"/>
    <w:rsid w:val="00F565F5"/>
    <w:rsid w:val="00F56698"/>
    <w:rsid w:val="00F568F5"/>
    <w:rsid w:val="00F573CA"/>
    <w:rsid w:val="00F57685"/>
    <w:rsid w:val="00F57787"/>
    <w:rsid w:val="00F57DE7"/>
    <w:rsid w:val="00F601FA"/>
    <w:rsid w:val="00F602BD"/>
    <w:rsid w:val="00F602CA"/>
    <w:rsid w:val="00F606FF"/>
    <w:rsid w:val="00F61652"/>
    <w:rsid w:val="00F61FC5"/>
    <w:rsid w:val="00F621AA"/>
    <w:rsid w:val="00F62FF2"/>
    <w:rsid w:val="00F6311E"/>
    <w:rsid w:val="00F6317E"/>
    <w:rsid w:val="00F6378A"/>
    <w:rsid w:val="00F63BA6"/>
    <w:rsid w:val="00F63C54"/>
    <w:rsid w:val="00F63EEC"/>
    <w:rsid w:val="00F64AC2"/>
    <w:rsid w:val="00F64DD1"/>
    <w:rsid w:val="00F64DF0"/>
    <w:rsid w:val="00F650FA"/>
    <w:rsid w:val="00F65283"/>
    <w:rsid w:val="00F66182"/>
    <w:rsid w:val="00F66B7B"/>
    <w:rsid w:val="00F66D4F"/>
    <w:rsid w:val="00F66D9D"/>
    <w:rsid w:val="00F6781E"/>
    <w:rsid w:val="00F67AB7"/>
    <w:rsid w:val="00F67C9E"/>
    <w:rsid w:val="00F7052B"/>
    <w:rsid w:val="00F70735"/>
    <w:rsid w:val="00F70A45"/>
    <w:rsid w:val="00F70B71"/>
    <w:rsid w:val="00F70C00"/>
    <w:rsid w:val="00F70D7E"/>
    <w:rsid w:val="00F70FE8"/>
    <w:rsid w:val="00F7108A"/>
    <w:rsid w:val="00F715C0"/>
    <w:rsid w:val="00F723E4"/>
    <w:rsid w:val="00F728A8"/>
    <w:rsid w:val="00F728DB"/>
    <w:rsid w:val="00F741F1"/>
    <w:rsid w:val="00F7423E"/>
    <w:rsid w:val="00F744A2"/>
    <w:rsid w:val="00F74AEE"/>
    <w:rsid w:val="00F74C9F"/>
    <w:rsid w:val="00F74FEC"/>
    <w:rsid w:val="00F751F4"/>
    <w:rsid w:val="00F754CD"/>
    <w:rsid w:val="00F75529"/>
    <w:rsid w:val="00F7562A"/>
    <w:rsid w:val="00F75CEC"/>
    <w:rsid w:val="00F7609F"/>
    <w:rsid w:val="00F760BC"/>
    <w:rsid w:val="00F76143"/>
    <w:rsid w:val="00F76269"/>
    <w:rsid w:val="00F76378"/>
    <w:rsid w:val="00F768E7"/>
    <w:rsid w:val="00F76972"/>
    <w:rsid w:val="00F76B15"/>
    <w:rsid w:val="00F76F6F"/>
    <w:rsid w:val="00F77357"/>
    <w:rsid w:val="00F777C6"/>
    <w:rsid w:val="00F77A20"/>
    <w:rsid w:val="00F77ECA"/>
    <w:rsid w:val="00F80620"/>
    <w:rsid w:val="00F80CA8"/>
    <w:rsid w:val="00F80EC2"/>
    <w:rsid w:val="00F81116"/>
    <w:rsid w:val="00F811D7"/>
    <w:rsid w:val="00F817DF"/>
    <w:rsid w:val="00F819FC"/>
    <w:rsid w:val="00F81AA1"/>
    <w:rsid w:val="00F822FF"/>
    <w:rsid w:val="00F8242C"/>
    <w:rsid w:val="00F82B4F"/>
    <w:rsid w:val="00F82CD3"/>
    <w:rsid w:val="00F82DA0"/>
    <w:rsid w:val="00F82EF0"/>
    <w:rsid w:val="00F82F4D"/>
    <w:rsid w:val="00F833AA"/>
    <w:rsid w:val="00F8384E"/>
    <w:rsid w:val="00F84300"/>
    <w:rsid w:val="00F846C5"/>
    <w:rsid w:val="00F84C27"/>
    <w:rsid w:val="00F853E9"/>
    <w:rsid w:val="00F85453"/>
    <w:rsid w:val="00F8555C"/>
    <w:rsid w:val="00F859B0"/>
    <w:rsid w:val="00F860C2"/>
    <w:rsid w:val="00F868F8"/>
    <w:rsid w:val="00F86CF7"/>
    <w:rsid w:val="00F86DC9"/>
    <w:rsid w:val="00F87879"/>
    <w:rsid w:val="00F90255"/>
    <w:rsid w:val="00F90C02"/>
    <w:rsid w:val="00F90CFC"/>
    <w:rsid w:val="00F90EE7"/>
    <w:rsid w:val="00F9112A"/>
    <w:rsid w:val="00F919D1"/>
    <w:rsid w:val="00F922DE"/>
    <w:rsid w:val="00F929CC"/>
    <w:rsid w:val="00F933F2"/>
    <w:rsid w:val="00F935B0"/>
    <w:rsid w:val="00F93C2B"/>
    <w:rsid w:val="00F93C98"/>
    <w:rsid w:val="00F93E5E"/>
    <w:rsid w:val="00F93F48"/>
    <w:rsid w:val="00F93F59"/>
    <w:rsid w:val="00F93F9F"/>
    <w:rsid w:val="00F94183"/>
    <w:rsid w:val="00F94240"/>
    <w:rsid w:val="00F94D31"/>
    <w:rsid w:val="00F95043"/>
    <w:rsid w:val="00F952F0"/>
    <w:rsid w:val="00F9593B"/>
    <w:rsid w:val="00F95ACC"/>
    <w:rsid w:val="00F95ED8"/>
    <w:rsid w:val="00F9658C"/>
    <w:rsid w:val="00F96644"/>
    <w:rsid w:val="00F96A31"/>
    <w:rsid w:val="00F96A7C"/>
    <w:rsid w:val="00F9731E"/>
    <w:rsid w:val="00F97350"/>
    <w:rsid w:val="00F97502"/>
    <w:rsid w:val="00F97580"/>
    <w:rsid w:val="00F97EF2"/>
    <w:rsid w:val="00FA0983"/>
    <w:rsid w:val="00FA09CB"/>
    <w:rsid w:val="00FA09E1"/>
    <w:rsid w:val="00FA0CC1"/>
    <w:rsid w:val="00FA1354"/>
    <w:rsid w:val="00FA184C"/>
    <w:rsid w:val="00FA1943"/>
    <w:rsid w:val="00FA3E9A"/>
    <w:rsid w:val="00FA4572"/>
    <w:rsid w:val="00FA50F1"/>
    <w:rsid w:val="00FA598D"/>
    <w:rsid w:val="00FA6184"/>
    <w:rsid w:val="00FA6226"/>
    <w:rsid w:val="00FA631B"/>
    <w:rsid w:val="00FA690F"/>
    <w:rsid w:val="00FA6971"/>
    <w:rsid w:val="00FA69BD"/>
    <w:rsid w:val="00FA6ACE"/>
    <w:rsid w:val="00FA6D21"/>
    <w:rsid w:val="00FA6F6F"/>
    <w:rsid w:val="00FA7202"/>
    <w:rsid w:val="00FA7579"/>
    <w:rsid w:val="00FA7792"/>
    <w:rsid w:val="00FA77B5"/>
    <w:rsid w:val="00FA77CC"/>
    <w:rsid w:val="00FA7B65"/>
    <w:rsid w:val="00FB0040"/>
    <w:rsid w:val="00FB00D3"/>
    <w:rsid w:val="00FB0DA8"/>
    <w:rsid w:val="00FB11EE"/>
    <w:rsid w:val="00FB18AC"/>
    <w:rsid w:val="00FB1924"/>
    <w:rsid w:val="00FB1D4E"/>
    <w:rsid w:val="00FB256B"/>
    <w:rsid w:val="00FB27B6"/>
    <w:rsid w:val="00FB30D4"/>
    <w:rsid w:val="00FB3453"/>
    <w:rsid w:val="00FB362C"/>
    <w:rsid w:val="00FB3708"/>
    <w:rsid w:val="00FB37EF"/>
    <w:rsid w:val="00FB3E73"/>
    <w:rsid w:val="00FB3F9D"/>
    <w:rsid w:val="00FB6CB7"/>
    <w:rsid w:val="00FB6EAC"/>
    <w:rsid w:val="00FB72DB"/>
    <w:rsid w:val="00FB7A54"/>
    <w:rsid w:val="00FB7BA1"/>
    <w:rsid w:val="00FB7E65"/>
    <w:rsid w:val="00FC0607"/>
    <w:rsid w:val="00FC07C7"/>
    <w:rsid w:val="00FC08CD"/>
    <w:rsid w:val="00FC0B92"/>
    <w:rsid w:val="00FC0C2C"/>
    <w:rsid w:val="00FC0D7E"/>
    <w:rsid w:val="00FC113A"/>
    <w:rsid w:val="00FC1275"/>
    <w:rsid w:val="00FC19FC"/>
    <w:rsid w:val="00FC1BEA"/>
    <w:rsid w:val="00FC1EA6"/>
    <w:rsid w:val="00FC2252"/>
    <w:rsid w:val="00FC272A"/>
    <w:rsid w:val="00FC2758"/>
    <w:rsid w:val="00FC2E7B"/>
    <w:rsid w:val="00FC3495"/>
    <w:rsid w:val="00FC3752"/>
    <w:rsid w:val="00FC382F"/>
    <w:rsid w:val="00FC3C79"/>
    <w:rsid w:val="00FC415C"/>
    <w:rsid w:val="00FC4269"/>
    <w:rsid w:val="00FC448C"/>
    <w:rsid w:val="00FC4B1A"/>
    <w:rsid w:val="00FC5763"/>
    <w:rsid w:val="00FC5AB9"/>
    <w:rsid w:val="00FC5B2F"/>
    <w:rsid w:val="00FC5BD3"/>
    <w:rsid w:val="00FC6845"/>
    <w:rsid w:val="00FC6A3D"/>
    <w:rsid w:val="00FC6ED4"/>
    <w:rsid w:val="00FC706C"/>
    <w:rsid w:val="00FC7164"/>
    <w:rsid w:val="00FC758B"/>
    <w:rsid w:val="00FC7749"/>
    <w:rsid w:val="00FC7A17"/>
    <w:rsid w:val="00FC7E4D"/>
    <w:rsid w:val="00FD003D"/>
    <w:rsid w:val="00FD03BE"/>
    <w:rsid w:val="00FD052B"/>
    <w:rsid w:val="00FD105F"/>
    <w:rsid w:val="00FD1434"/>
    <w:rsid w:val="00FD158E"/>
    <w:rsid w:val="00FD1D60"/>
    <w:rsid w:val="00FD1E9F"/>
    <w:rsid w:val="00FD1F5C"/>
    <w:rsid w:val="00FD2013"/>
    <w:rsid w:val="00FD2388"/>
    <w:rsid w:val="00FD2B51"/>
    <w:rsid w:val="00FD2C95"/>
    <w:rsid w:val="00FD337E"/>
    <w:rsid w:val="00FD33D8"/>
    <w:rsid w:val="00FD3B66"/>
    <w:rsid w:val="00FD3DB1"/>
    <w:rsid w:val="00FD3DF6"/>
    <w:rsid w:val="00FD406C"/>
    <w:rsid w:val="00FD44EB"/>
    <w:rsid w:val="00FD4600"/>
    <w:rsid w:val="00FD50A0"/>
    <w:rsid w:val="00FD59BF"/>
    <w:rsid w:val="00FD61C5"/>
    <w:rsid w:val="00FD6659"/>
    <w:rsid w:val="00FD73CF"/>
    <w:rsid w:val="00FD7557"/>
    <w:rsid w:val="00FD7D22"/>
    <w:rsid w:val="00FE0417"/>
    <w:rsid w:val="00FE043D"/>
    <w:rsid w:val="00FE0527"/>
    <w:rsid w:val="00FE0C67"/>
    <w:rsid w:val="00FE1458"/>
    <w:rsid w:val="00FE1A21"/>
    <w:rsid w:val="00FE1A4C"/>
    <w:rsid w:val="00FE1E1D"/>
    <w:rsid w:val="00FE1E28"/>
    <w:rsid w:val="00FE1E68"/>
    <w:rsid w:val="00FE2198"/>
    <w:rsid w:val="00FE26CB"/>
    <w:rsid w:val="00FE2820"/>
    <w:rsid w:val="00FE29E7"/>
    <w:rsid w:val="00FE2A3F"/>
    <w:rsid w:val="00FE2AD8"/>
    <w:rsid w:val="00FE2B4D"/>
    <w:rsid w:val="00FE2C2D"/>
    <w:rsid w:val="00FE37F5"/>
    <w:rsid w:val="00FE3918"/>
    <w:rsid w:val="00FE3B54"/>
    <w:rsid w:val="00FE3F1C"/>
    <w:rsid w:val="00FE4483"/>
    <w:rsid w:val="00FE4BF2"/>
    <w:rsid w:val="00FE60B2"/>
    <w:rsid w:val="00FE6243"/>
    <w:rsid w:val="00FE64D1"/>
    <w:rsid w:val="00FE65BB"/>
    <w:rsid w:val="00FE6AB3"/>
    <w:rsid w:val="00FE6DAE"/>
    <w:rsid w:val="00FE6FEA"/>
    <w:rsid w:val="00FE73DC"/>
    <w:rsid w:val="00FE7DBD"/>
    <w:rsid w:val="00FE7DD1"/>
    <w:rsid w:val="00FE7F14"/>
    <w:rsid w:val="00FEF4E2"/>
    <w:rsid w:val="00FF04D4"/>
    <w:rsid w:val="00FF0AA2"/>
    <w:rsid w:val="00FF0B41"/>
    <w:rsid w:val="00FF0C3C"/>
    <w:rsid w:val="00FF0ED0"/>
    <w:rsid w:val="00FF17C0"/>
    <w:rsid w:val="00FF1867"/>
    <w:rsid w:val="00FF20E5"/>
    <w:rsid w:val="00FF2168"/>
    <w:rsid w:val="00FF22D6"/>
    <w:rsid w:val="00FF2D6F"/>
    <w:rsid w:val="00FF2E2D"/>
    <w:rsid w:val="00FF2FAF"/>
    <w:rsid w:val="00FF308B"/>
    <w:rsid w:val="00FF3398"/>
    <w:rsid w:val="00FF3674"/>
    <w:rsid w:val="00FF3729"/>
    <w:rsid w:val="00FF3D89"/>
    <w:rsid w:val="00FF4582"/>
    <w:rsid w:val="00FF4814"/>
    <w:rsid w:val="00FF4915"/>
    <w:rsid w:val="00FF49AF"/>
    <w:rsid w:val="00FF4DB5"/>
    <w:rsid w:val="00FF51E1"/>
    <w:rsid w:val="00FF5508"/>
    <w:rsid w:val="00FF5721"/>
    <w:rsid w:val="00FF587C"/>
    <w:rsid w:val="00FF5D69"/>
    <w:rsid w:val="00FF5DB0"/>
    <w:rsid w:val="00FF6231"/>
    <w:rsid w:val="00FF641B"/>
    <w:rsid w:val="00FF6485"/>
    <w:rsid w:val="00FF68C6"/>
    <w:rsid w:val="00FF6962"/>
    <w:rsid w:val="00FF6A63"/>
    <w:rsid w:val="00FF71AE"/>
    <w:rsid w:val="00FF73EE"/>
    <w:rsid w:val="00FF7982"/>
    <w:rsid w:val="00FF7F14"/>
    <w:rsid w:val="00FF7F19"/>
    <w:rsid w:val="00FF7F61"/>
    <w:rsid w:val="0237630E"/>
    <w:rsid w:val="02BE747C"/>
    <w:rsid w:val="02D1A791"/>
    <w:rsid w:val="03C6E915"/>
    <w:rsid w:val="03E3FA4B"/>
    <w:rsid w:val="04EE9B2F"/>
    <w:rsid w:val="075BFE75"/>
    <w:rsid w:val="08DD952D"/>
    <w:rsid w:val="097027CE"/>
    <w:rsid w:val="0981D95D"/>
    <w:rsid w:val="0E0B3EBD"/>
    <w:rsid w:val="0E7FCE74"/>
    <w:rsid w:val="0EDF1BB8"/>
    <w:rsid w:val="0F8D627C"/>
    <w:rsid w:val="0F98312C"/>
    <w:rsid w:val="1097F95F"/>
    <w:rsid w:val="109B36B5"/>
    <w:rsid w:val="139E6BFD"/>
    <w:rsid w:val="16B90BD3"/>
    <w:rsid w:val="183DF219"/>
    <w:rsid w:val="194D2813"/>
    <w:rsid w:val="1A05F5B3"/>
    <w:rsid w:val="1A1B2C99"/>
    <w:rsid w:val="1B8688A9"/>
    <w:rsid w:val="1C0E5DB0"/>
    <w:rsid w:val="1D5A2244"/>
    <w:rsid w:val="1DF9C1D7"/>
    <w:rsid w:val="21048C58"/>
    <w:rsid w:val="21220816"/>
    <w:rsid w:val="2220F7A7"/>
    <w:rsid w:val="23DCD79F"/>
    <w:rsid w:val="2436C80B"/>
    <w:rsid w:val="26C9955F"/>
    <w:rsid w:val="276CB62F"/>
    <w:rsid w:val="27A7948C"/>
    <w:rsid w:val="27D240B9"/>
    <w:rsid w:val="2850079C"/>
    <w:rsid w:val="28796EAE"/>
    <w:rsid w:val="292F1520"/>
    <w:rsid w:val="292FDF69"/>
    <w:rsid w:val="29720196"/>
    <w:rsid w:val="2A540350"/>
    <w:rsid w:val="2A6CC869"/>
    <w:rsid w:val="2A7F30F7"/>
    <w:rsid w:val="2AEF04C7"/>
    <w:rsid w:val="2BAD1DFC"/>
    <w:rsid w:val="2BAE4159"/>
    <w:rsid w:val="2CAD1805"/>
    <w:rsid w:val="2D00E278"/>
    <w:rsid w:val="2E66CB88"/>
    <w:rsid w:val="30BFAE91"/>
    <w:rsid w:val="3169D4D3"/>
    <w:rsid w:val="3299A510"/>
    <w:rsid w:val="329F789D"/>
    <w:rsid w:val="33C5FDE7"/>
    <w:rsid w:val="37D46DCD"/>
    <w:rsid w:val="38A1BDDE"/>
    <w:rsid w:val="39753632"/>
    <w:rsid w:val="3A1E2316"/>
    <w:rsid w:val="3A824147"/>
    <w:rsid w:val="3AE22603"/>
    <w:rsid w:val="3B5406A7"/>
    <w:rsid w:val="3D01587D"/>
    <w:rsid w:val="3D04CC65"/>
    <w:rsid w:val="3D8A366F"/>
    <w:rsid w:val="3E81D572"/>
    <w:rsid w:val="3F279A67"/>
    <w:rsid w:val="3F80CB22"/>
    <w:rsid w:val="3FEADF08"/>
    <w:rsid w:val="41921CC4"/>
    <w:rsid w:val="438EFFD3"/>
    <w:rsid w:val="43A05A0A"/>
    <w:rsid w:val="44506A2B"/>
    <w:rsid w:val="458733B0"/>
    <w:rsid w:val="469D9DE9"/>
    <w:rsid w:val="46E26207"/>
    <w:rsid w:val="47620091"/>
    <w:rsid w:val="47998C09"/>
    <w:rsid w:val="47BE9034"/>
    <w:rsid w:val="48BBE015"/>
    <w:rsid w:val="4A66BE66"/>
    <w:rsid w:val="4C173C0D"/>
    <w:rsid w:val="4D720EC0"/>
    <w:rsid w:val="4E0D8719"/>
    <w:rsid w:val="4E0FF0CA"/>
    <w:rsid w:val="4F130A23"/>
    <w:rsid w:val="50F75D45"/>
    <w:rsid w:val="53A60C4B"/>
    <w:rsid w:val="53DCDA8B"/>
    <w:rsid w:val="54471447"/>
    <w:rsid w:val="54B495CA"/>
    <w:rsid w:val="56E17648"/>
    <w:rsid w:val="57B6E6DA"/>
    <w:rsid w:val="58BA089A"/>
    <w:rsid w:val="59015D0D"/>
    <w:rsid w:val="5B3E9DD7"/>
    <w:rsid w:val="5B843FB2"/>
    <w:rsid w:val="5B9A5E4B"/>
    <w:rsid w:val="5BA0A20F"/>
    <w:rsid w:val="5BA1BEEE"/>
    <w:rsid w:val="5E5C0F85"/>
    <w:rsid w:val="5EA828B6"/>
    <w:rsid w:val="5EEE8169"/>
    <w:rsid w:val="60C037F3"/>
    <w:rsid w:val="6153C3C1"/>
    <w:rsid w:val="62B59EB1"/>
    <w:rsid w:val="6479C40A"/>
    <w:rsid w:val="647BBD43"/>
    <w:rsid w:val="65791FF6"/>
    <w:rsid w:val="6728109A"/>
    <w:rsid w:val="6790013B"/>
    <w:rsid w:val="68E392E9"/>
    <w:rsid w:val="69A85EF7"/>
    <w:rsid w:val="69ED813E"/>
    <w:rsid w:val="6A131385"/>
    <w:rsid w:val="6B0446BF"/>
    <w:rsid w:val="6B16CD59"/>
    <w:rsid w:val="6C4F9C3E"/>
    <w:rsid w:val="6C568215"/>
    <w:rsid w:val="6DDE71BE"/>
    <w:rsid w:val="6E13E230"/>
    <w:rsid w:val="6EB0887B"/>
    <w:rsid w:val="6EC81C1C"/>
    <w:rsid w:val="6FD9CB07"/>
    <w:rsid w:val="704B0D19"/>
    <w:rsid w:val="711A1927"/>
    <w:rsid w:val="7373396C"/>
    <w:rsid w:val="738BE4C6"/>
    <w:rsid w:val="73B2A0B5"/>
    <w:rsid w:val="73F1C02A"/>
    <w:rsid w:val="754BAE92"/>
    <w:rsid w:val="75744B5B"/>
    <w:rsid w:val="7AFA51C0"/>
    <w:rsid w:val="7B97FF96"/>
    <w:rsid w:val="7CA2B46E"/>
    <w:rsid w:val="7D04398A"/>
    <w:rsid w:val="7D1F7887"/>
    <w:rsid w:val="7D7727BC"/>
    <w:rsid w:val="7DC53B4B"/>
    <w:rsid w:val="7E5F0F0B"/>
  </w:rsids>
  <m:mathPr>
    <m:mathFont m:val="Cambria Math"/>
    <m:brkBin m:val="before"/>
    <m:brkBinSub m:val="--"/>
    <m:smallFrac/>
    <m:dispDef/>
    <m:lMargin m:val="0"/>
    <m:rMargin m:val="0"/>
    <m:defJc m:val="centerGroup"/>
    <m:wrapIndent m:val="1440"/>
    <m:intLim m:val="subSup"/>
    <m:naryLim m:val="undOvr"/>
  </m:mathPr>
  <w:themeFontLang w:val="tr-T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4A7066"/>
  <w15:docId w15:val="{A41928D7-0586-4DA7-9819-6BECEAF0E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0AF"/>
    <w:pPr>
      <w:jc w:val="both"/>
    </w:pPr>
    <w:rPr>
      <w:rFonts w:eastAsia="Calibri" w:cs="Times New Roman"/>
      <w:lang w:val="en-US"/>
    </w:rPr>
  </w:style>
  <w:style w:type="paragraph" w:styleId="Balk1">
    <w:name w:val="heading 1"/>
    <w:basedOn w:val="Normal"/>
    <w:next w:val="Normal"/>
    <w:link w:val="Balk1Char"/>
    <w:uiPriority w:val="9"/>
    <w:qFormat/>
    <w:rsid w:val="00576DEB"/>
    <w:pPr>
      <w:keepNext/>
      <w:keepLines/>
      <w:spacing w:before="480" w:after="0"/>
      <w:outlineLvl w:val="0"/>
    </w:pPr>
    <w:rPr>
      <w:rFonts w:ascii="Times New Roman" w:eastAsiaTheme="majorEastAsia" w:hAnsi="Times New Roman" w:cstheme="majorBidi"/>
      <w:b/>
      <w:bCs/>
      <w:color w:val="000000" w:themeColor="text1"/>
      <w:sz w:val="24"/>
      <w:szCs w:val="28"/>
    </w:rPr>
  </w:style>
  <w:style w:type="paragraph" w:styleId="Balk2">
    <w:name w:val="heading 2"/>
    <w:basedOn w:val="Normal"/>
    <w:next w:val="Normal"/>
    <w:link w:val="Balk2Char"/>
    <w:uiPriority w:val="9"/>
    <w:unhideWhenUsed/>
    <w:qFormat/>
    <w:rsid w:val="00694BCF"/>
    <w:pPr>
      <w:keepNext/>
      <w:keepLines/>
      <w:spacing w:before="200" w:after="0"/>
      <w:outlineLvl w:val="1"/>
    </w:pPr>
    <w:rPr>
      <w:rFonts w:ascii="Times New Roman" w:eastAsiaTheme="majorEastAsia" w:hAnsi="Times New Roman" w:cstheme="majorBidi"/>
      <w:b/>
      <w:bCs/>
      <w:sz w:val="24"/>
      <w:szCs w:val="26"/>
    </w:rPr>
  </w:style>
  <w:style w:type="paragraph" w:styleId="Balk3">
    <w:name w:val="heading 3"/>
    <w:basedOn w:val="Normal"/>
    <w:next w:val="Normal"/>
    <w:link w:val="Balk3Char"/>
    <w:uiPriority w:val="9"/>
    <w:unhideWhenUsed/>
    <w:qFormat/>
    <w:rsid w:val="00382ACA"/>
    <w:pPr>
      <w:keepNext/>
      <w:keepLines/>
      <w:spacing w:before="200" w:after="0"/>
      <w:outlineLvl w:val="2"/>
    </w:pPr>
    <w:rPr>
      <w:rFonts w:asciiTheme="majorHAnsi" w:eastAsiaTheme="majorEastAsia" w:hAnsiTheme="majorHAnsi" w:cstheme="majorBidi"/>
      <w:b/>
      <w:bCs/>
      <w:color w:val="000000" w:themeColor="text1"/>
    </w:rPr>
  </w:style>
  <w:style w:type="paragraph" w:styleId="Balk4">
    <w:name w:val="heading 4"/>
    <w:basedOn w:val="Normal"/>
    <w:next w:val="Normal"/>
    <w:link w:val="Balk4Char"/>
    <w:uiPriority w:val="9"/>
    <w:unhideWhenUsed/>
    <w:qFormat/>
    <w:rsid w:val="002647C9"/>
    <w:pPr>
      <w:keepNext/>
      <w:keepLines/>
      <w:spacing w:before="200" w:after="0"/>
      <w:outlineLvl w:val="3"/>
    </w:pPr>
    <w:rPr>
      <w:rFonts w:ascii="Times New Roman" w:eastAsiaTheme="majorEastAsia" w:hAnsi="Times New Roman" w:cstheme="majorBidi"/>
      <w:b/>
      <w:bCs/>
      <w:i/>
      <w:iCs/>
    </w:rPr>
  </w:style>
  <w:style w:type="paragraph" w:styleId="Balk5">
    <w:name w:val="heading 5"/>
    <w:basedOn w:val="Normal"/>
    <w:next w:val="Normal"/>
    <w:link w:val="Balk5Char"/>
    <w:uiPriority w:val="9"/>
    <w:unhideWhenUsed/>
    <w:qFormat/>
    <w:rsid w:val="00576DEB"/>
    <w:pPr>
      <w:keepNext/>
      <w:keepLines/>
      <w:spacing w:before="200" w:after="0"/>
      <w:outlineLvl w:val="4"/>
    </w:pPr>
    <w:rPr>
      <w:rFonts w:asciiTheme="majorHAnsi" w:eastAsiaTheme="majorEastAsia" w:hAnsiTheme="majorHAnsi" w:cstheme="majorBidi"/>
      <w:b/>
      <w:color w:val="000000" w:themeColor="text1"/>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76DEB"/>
    <w:rPr>
      <w:rFonts w:ascii="Times New Roman" w:eastAsiaTheme="majorEastAsia" w:hAnsi="Times New Roman" w:cstheme="majorBidi"/>
      <w:b/>
      <w:bCs/>
      <w:color w:val="000000" w:themeColor="text1"/>
      <w:sz w:val="24"/>
      <w:szCs w:val="28"/>
      <w:lang w:val="en-US"/>
    </w:rPr>
  </w:style>
  <w:style w:type="character" w:customStyle="1" w:styleId="Balk2Char">
    <w:name w:val="Başlık 2 Char"/>
    <w:basedOn w:val="VarsaylanParagrafYazTipi"/>
    <w:link w:val="Balk2"/>
    <w:uiPriority w:val="9"/>
    <w:rsid w:val="004367E4"/>
    <w:rPr>
      <w:rFonts w:ascii="Times New Roman" w:eastAsiaTheme="majorEastAsia" w:hAnsi="Times New Roman" w:cstheme="majorBidi"/>
      <w:b/>
      <w:bCs/>
      <w:sz w:val="24"/>
      <w:szCs w:val="26"/>
    </w:rPr>
  </w:style>
  <w:style w:type="character" w:customStyle="1" w:styleId="Balk3Char">
    <w:name w:val="Başlık 3 Char"/>
    <w:basedOn w:val="VarsaylanParagrafYazTipi"/>
    <w:link w:val="Balk3"/>
    <w:uiPriority w:val="9"/>
    <w:rsid w:val="00382ACA"/>
    <w:rPr>
      <w:rFonts w:asciiTheme="majorHAnsi" w:eastAsiaTheme="majorEastAsia" w:hAnsiTheme="majorHAnsi" w:cstheme="majorBidi"/>
      <w:b/>
      <w:bCs/>
      <w:color w:val="000000" w:themeColor="text1"/>
      <w:lang w:val="en-US"/>
    </w:rPr>
  </w:style>
  <w:style w:type="character" w:customStyle="1" w:styleId="Balk4Char">
    <w:name w:val="Başlık 4 Char"/>
    <w:basedOn w:val="VarsaylanParagrafYazTipi"/>
    <w:link w:val="Balk4"/>
    <w:uiPriority w:val="9"/>
    <w:rsid w:val="006861CE"/>
    <w:rPr>
      <w:rFonts w:ascii="Times New Roman" w:eastAsiaTheme="majorEastAsia" w:hAnsi="Times New Roman" w:cstheme="majorBidi"/>
      <w:b/>
      <w:bCs/>
      <w:i/>
      <w:iCs/>
    </w:rPr>
  </w:style>
  <w:style w:type="character" w:customStyle="1" w:styleId="Balk5Char">
    <w:name w:val="Başlık 5 Char"/>
    <w:basedOn w:val="VarsaylanParagrafYazTipi"/>
    <w:link w:val="Balk5"/>
    <w:uiPriority w:val="9"/>
    <w:rsid w:val="00576DEB"/>
    <w:rPr>
      <w:rFonts w:asciiTheme="majorHAnsi" w:eastAsiaTheme="majorEastAsia" w:hAnsiTheme="majorHAnsi" w:cstheme="majorBidi"/>
      <w:b/>
      <w:color w:val="000000" w:themeColor="text1"/>
      <w:lang w:val="en-US"/>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link w:val="ListeParagrafChar"/>
    <w:uiPriority w:val="34"/>
    <w:qFormat/>
    <w:rsid w:val="004367E4"/>
    <w:pPr>
      <w:ind w:left="720"/>
      <w:contextualSpacing/>
    </w:pPr>
  </w:style>
  <w:style w:type="character" w:customStyle="1" w:styleId="ListeParagrafChar">
    <w:name w:val="Liste Paragraf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3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6E0095"/>
    <w:pPr>
      <w:tabs>
        <w:tab w:val="left" w:pos="851"/>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DB1D44"/>
    <w:pPr>
      <w:tabs>
        <w:tab w:val="left" w:pos="1320"/>
        <w:tab w:val="right" w:leader="dot" w:pos="9072"/>
      </w:tabs>
      <w:spacing w:after="0" w:line="23" w:lineRule="atLeast"/>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Alnt">
    <w:name w:val="Quote"/>
    <w:basedOn w:val="Normal"/>
    <w:next w:val="Normal"/>
    <w:link w:val="AlntChar"/>
    <w:uiPriority w:val="29"/>
    <w:qFormat/>
    <w:rsid w:val="005C0EDA"/>
    <w:rPr>
      <w:i/>
      <w:iCs/>
      <w:color w:val="000000" w:themeColor="text1"/>
    </w:rPr>
  </w:style>
  <w:style w:type="character" w:customStyle="1" w:styleId="AlntChar">
    <w:name w:val="Alıntı Char"/>
    <w:basedOn w:val="VarsaylanParagrafYazTipi"/>
    <w:link w:val="Alnt"/>
    <w:uiPriority w:val="29"/>
    <w:rsid w:val="005C0EDA"/>
    <w:rPr>
      <w:rFonts w:ascii="Calibri" w:eastAsia="Calibri" w:hAnsi="Calibri" w:cs="Times New Roman"/>
      <w:i/>
      <w:iCs/>
      <w:color w:val="000000" w:themeColor="text1"/>
    </w:rPr>
  </w:style>
  <w:style w:type="paragraph" w:styleId="GlAlnt">
    <w:name w:val="Intense Quote"/>
    <w:basedOn w:val="Normal"/>
    <w:next w:val="Normal"/>
    <w:link w:val="GlAlnt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yazChar">
    <w:name w:val="Altyazı Char"/>
    <w:link w:val="Altyaz"/>
    <w:rsid w:val="006F00AF"/>
    <w:rPr>
      <w:rFonts w:ascii="Calibri Light" w:eastAsia="Times New Roman" w:hAnsi="Calibri Light" w:cs="Times New Roman"/>
      <w:sz w:val="24"/>
      <w:szCs w:val="24"/>
    </w:rPr>
  </w:style>
  <w:style w:type="paragraph" w:styleId="Altyaz">
    <w:name w:val="Subtitle"/>
    <w:basedOn w:val="Normal"/>
    <w:next w:val="Normal"/>
    <w:link w:val="AltyazChar"/>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11"/>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11"/>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a0">
    <w:basedOn w:val="Normal"/>
    <w:next w:val="AltBilgi"/>
    <w:link w:val="AltbilgiChar0"/>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0">
    <w:name w:val="Altbilgi Char"/>
    <w:link w:val="a0"/>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ztplmc">
    <w:name w:val="ztplmc"/>
    <w:basedOn w:val="VarsaylanParagrafYazTipi"/>
    <w:rsid w:val="006A174F"/>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 w:type="character" w:customStyle="1" w:styleId="zmlenmeyenBahsetme2">
    <w:name w:val="Çözümlenmeyen Bahsetme2"/>
    <w:basedOn w:val="VarsaylanParagrafYazTipi"/>
    <w:uiPriority w:val="99"/>
    <w:semiHidden/>
    <w:unhideWhenUsed/>
    <w:rsid w:val="00850B5D"/>
    <w:rPr>
      <w:color w:val="605E5C"/>
      <w:shd w:val="clear" w:color="auto" w:fill="E1DFDD"/>
    </w:rPr>
  </w:style>
  <w:style w:type="table" w:customStyle="1" w:styleId="TabloKlavuzu3">
    <w:name w:val="Tablo Kılavuzu3"/>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
    <w:name w:val="Tablo Kılavuzu4"/>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C2BB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E737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oKlavuzu41">
    <w:name w:val="Tablo Kılavuzu4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
    <w:name w:val="Tablo Kılavuzu3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erial-icons-extended">
    <w:name w:val="material-icons-extended"/>
    <w:basedOn w:val="VarsaylanParagrafYazTipi"/>
    <w:rsid w:val="006A174F"/>
  </w:style>
  <w:style w:type="character" w:customStyle="1" w:styleId="q4iawc">
    <w:name w:val="q4iawc"/>
    <w:basedOn w:val="VarsaylanParagrafYazTipi"/>
    <w:rsid w:val="006A174F"/>
  </w:style>
  <w:style w:type="table" w:customStyle="1" w:styleId="TableNormal10">
    <w:name w:val="Table Normal10"/>
    <w:uiPriority w:val="2"/>
    <w:semiHidden/>
    <w:unhideWhenUsed/>
    <w:qFormat/>
    <w:rsid w:val="00A55AB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00">
    <w:name w:val="Table Normal100"/>
    <w:uiPriority w:val="2"/>
    <w:semiHidden/>
    <w:unhideWhenUsed/>
    <w:qFormat/>
    <w:rsid w:val="00A55ABD"/>
    <w:pPr>
      <w:widowControl w:val="0"/>
      <w:spacing w:after="0" w:line="240" w:lineRule="auto"/>
    </w:pPr>
    <w:rPr>
      <w:lang w:val="en-US"/>
    </w:rPr>
    <w:tblPr>
      <w:tblInd w:w="0" w:type="dxa"/>
      <w:tblCellMar>
        <w:top w:w="0" w:type="dxa"/>
        <w:left w:w="0" w:type="dxa"/>
        <w:bottom w:w="0" w:type="dxa"/>
        <w:right w:w="0" w:type="dxa"/>
      </w:tblCellMar>
    </w:tblPr>
  </w:style>
  <w:style w:type="paragraph" w:styleId="HTMLncedenBiimlendirilmi">
    <w:name w:val="HTML Preformatted"/>
    <w:basedOn w:val="Normal"/>
    <w:link w:val="HTMLncedenBiimlendirilmiChar"/>
    <w:uiPriority w:val="99"/>
    <w:unhideWhenUsed/>
    <w:rsid w:val="00A55ABD"/>
    <w:pPr>
      <w:spacing w:after="0" w:line="240" w:lineRule="auto"/>
    </w:pPr>
    <w:rPr>
      <w:rFonts w:ascii="Consolas" w:hAnsi="Consolas"/>
      <w:sz w:val="20"/>
      <w:szCs w:val="20"/>
    </w:rPr>
  </w:style>
  <w:style w:type="character" w:customStyle="1" w:styleId="HTMLncedenBiimlendirilmiChar">
    <w:name w:val="HTML Önceden Biçimlendirilmiş Char"/>
    <w:basedOn w:val="VarsaylanParagrafYazTipi"/>
    <w:link w:val="HTMLncedenBiimlendirilmi"/>
    <w:uiPriority w:val="99"/>
    <w:rsid w:val="00A55ABD"/>
    <w:rPr>
      <w:rFonts w:ascii="Consolas" w:eastAsia="Calibri" w:hAnsi="Consolas" w:cs="Times New Roman"/>
      <w:sz w:val="20"/>
      <w:szCs w:val="20"/>
    </w:rPr>
  </w:style>
  <w:style w:type="character" w:customStyle="1" w:styleId="viiyi">
    <w:name w:val="viiyi"/>
    <w:basedOn w:val="VarsaylanParagrafYazTipi"/>
    <w:rsid w:val="00A55ABD"/>
  </w:style>
  <w:style w:type="table" w:customStyle="1" w:styleId="TableNormal1000">
    <w:name w:val="Table Normal1000"/>
    <w:uiPriority w:val="2"/>
    <w:semiHidden/>
    <w:unhideWhenUsed/>
    <w:qFormat/>
    <w:rsid w:val="00A55AB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0000">
    <w:name w:val="Table Normal10000"/>
    <w:uiPriority w:val="2"/>
    <w:semiHidden/>
    <w:unhideWhenUsed/>
    <w:qFormat/>
    <w:rsid w:val="00A55AB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00000">
    <w:name w:val="Table Normal100000"/>
    <w:uiPriority w:val="2"/>
    <w:semiHidden/>
    <w:unhideWhenUsed/>
    <w:qFormat/>
    <w:rsid w:val="00C6507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000000">
    <w:name w:val="Table Normal1000000"/>
    <w:uiPriority w:val="2"/>
    <w:semiHidden/>
    <w:unhideWhenUsed/>
    <w:qFormat/>
    <w:rsid w:val="00C6507D"/>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y2iqfc">
    <w:name w:val="y2iqfc"/>
    <w:basedOn w:val="VarsaylanParagrafYazTipi"/>
    <w:rsid w:val="00AE67DA"/>
  </w:style>
  <w:style w:type="character" w:customStyle="1" w:styleId="UnresolvedMention">
    <w:name w:val="Unresolved Mention"/>
    <w:basedOn w:val="VarsaylanParagrafYazTipi"/>
    <w:uiPriority w:val="99"/>
    <w:semiHidden/>
    <w:unhideWhenUsed/>
    <w:rsid w:val="002D3E19"/>
    <w:rPr>
      <w:color w:val="605E5C"/>
      <w:shd w:val="clear" w:color="auto" w:fill="E1DFDD"/>
    </w:rPr>
  </w:style>
  <w:style w:type="paragraph" w:styleId="TBal">
    <w:name w:val="TOC Heading"/>
    <w:basedOn w:val="Balk1"/>
    <w:next w:val="Normal"/>
    <w:uiPriority w:val="39"/>
    <w:unhideWhenUsed/>
    <w:qFormat/>
    <w:rsid w:val="00171C59"/>
    <w:pPr>
      <w:spacing w:before="240" w:line="259" w:lineRule="auto"/>
      <w:jc w:val="left"/>
      <w:outlineLvl w:val="9"/>
    </w:pPr>
    <w:rPr>
      <w:rFonts w:asciiTheme="majorHAnsi" w:hAnsiTheme="majorHAnsi"/>
      <w:b w:val="0"/>
      <w:bCs w:val="0"/>
      <w:color w:val="365F91" w:themeColor="accent1" w:themeShade="BF"/>
      <w:sz w:val="32"/>
      <w:szCs w:val="32"/>
    </w:rPr>
  </w:style>
  <w:style w:type="paragraph" w:customStyle="1" w:styleId="P68B1DB1-Balk11">
    <w:name w:val="P68B1DB1-Balk11"/>
    <w:basedOn w:val="Balk1"/>
    <w:rsid w:val="00171C59"/>
    <w:rPr>
      <w:rFonts w:cs="Times New Roman"/>
      <w:bCs w:val="0"/>
      <w:sz w:val="22"/>
      <w:szCs w:val="20"/>
      <w:lang w:val="tr-TR" w:eastAsia="tr-TR"/>
    </w:rPr>
  </w:style>
  <w:style w:type="paragraph" w:customStyle="1" w:styleId="P68B1DB1-Normal2">
    <w:name w:val="P68B1DB1-Normal2"/>
    <w:basedOn w:val="Normal"/>
    <w:rsid w:val="00171C59"/>
    <w:rPr>
      <w:rFonts w:ascii="Times New Roman" w:hAnsi="Times New Roman"/>
      <w:szCs w:val="20"/>
      <w:lang w:val="tr-TR" w:eastAsia="tr-TR"/>
    </w:rPr>
  </w:style>
  <w:style w:type="paragraph" w:customStyle="1" w:styleId="P68B1DB1-Balk23">
    <w:name w:val="P68B1DB1-Balk23"/>
    <w:basedOn w:val="Balk2"/>
    <w:rsid w:val="00171C59"/>
    <w:rPr>
      <w:rFonts w:cs="Times New Roman"/>
      <w:bCs w:val="0"/>
      <w:szCs w:val="20"/>
      <w:lang w:val="tr-TR" w:eastAsia="tr-TR"/>
    </w:rPr>
  </w:style>
  <w:style w:type="paragraph" w:customStyle="1" w:styleId="P68B1DB1-Balk34">
    <w:name w:val="P68B1DB1-Balk34"/>
    <w:basedOn w:val="Balk3"/>
    <w:rsid w:val="00171C59"/>
    <w:rPr>
      <w:rFonts w:ascii="Times New Roman" w:hAnsi="Times New Roman" w:cs="Times New Roman"/>
      <w:bCs w:val="0"/>
      <w:color w:val="auto"/>
      <w:szCs w:val="20"/>
      <w:lang w:val="tr-TR" w:eastAsia="tr-TR"/>
    </w:rPr>
  </w:style>
  <w:style w:type="paragraph" w:customStyle="1" w:styleId="P68B1DB1-ListeParagraf5">
    <w:name w:val="P68B1DB1-ListeParagraf5"/>
    <w:basedOn w:val="ListeParagraf"/>
    <w:rsid w:val="00171C59"/>
    <w:rPr>
      <w:rFonts w:ascii="Times New Roman" w:hAnsi="Times New Roman"/>
      <w:szCs w:val="20"/>
      <w:lang w:val="tr-TR" w:eastAsia="tr-TR"/>
    </w:rPr>
  </w:style>
  <w:style w:type="paragraph" w:customStyle="1" w:styleId="P68B1DB1-ListeParagraf6">
    <w:name w:val="P68B1DB1-ListeParagraf6"/>
    <w:basedOn w:val="ListeParagraf"/>
    <w:rsid w:val="00171C59"/>
    <w:rPr>
      <w:rFonts w:ascii="Times New Roman" w:hAnsi="Times New Roman"/>
      <w:i/>
      <w:szCs w:val="20"/>
      <w:lang w:val="tr-TR" w:eastAsia="tr-TR"/>
    </w:rPr>
  </w:style>
  <w:style w:type="paragraph" w:customStyle="1" w:styleId="P68B1DB1-Normal7">
    <w:name w:val="P68B1DB1-Normal7"/>
    <w:basedOn w:val="Normal"/>
    <w:rsid w:val="00171C59"/>
    <w:rPr>
      <w:rFonts w:ascii="Times New Roman" w:hAnsi="Times New Roman"/>
      <w:i/>
      <w:szCs w:val="20"/>
      <w:lang w:val="tr-TR" w:eastAsia="tr-TR"/>
    </w:rPr>
  </w:style>
  <w:style w:type="paragraph" w:customStyle="1" w:styleId="P68B1DB1-Normal8">
    <w:name w:val="P68B1DB1-Normal8"/>
    <w:basedOn w:val="Normal"/>
    <w:rsid w:val="00171C59"/>
    <w:rPr>
      <w:rFonts w:ascii="Times New Roman" w:hAnsi="Times New Roman"/>
      <w:b/>
      <w:i/>
      <w:szCs w:val="20"/>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08">
      <w:bodyDiv w:val="1"/>
      <w:marLeft w:val="0"/>
      <w:marRight w:val="0"/>
      <w:marTop w:val="0"/>
      <w:marBottom w:val="0"/>
      <w:divBdr>
        <w:top w:val="none" w:sz="0" w:space="0" w:color="auto"/>
        <w:left w:val="none" w:sz="0" w:space="0" w:color="auto"/>
        <w:bottom w:val="none" w:sz="0" w:space="0" w:color="auto"/>
        <w:right w:val="none" w:sz="0" w:space="0" w:color="auto"/>
      </w:divBdr>
    </w:div>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12463620">
      <w:bodyDiv w:val="1"/>
      <w:marLeft w:val="0"/>
      <w:marRight w:val="0"/>
      <w:marTop w:val="0"/>
      <w:marBottom w:val="0"/>
      <w:divBdr>
        <w:top w:val="none" w:sz="0" w:space="0" w:color="auto"/>
        <w:left w:val="none" w:sz="0" w:space="0" w:color="auto"/>
        <w:bottom w:val="none" w:sz="0" w:space="0" w:color="auto"/>
        <w:right w:val="none" w:sz="0" w:space="0" w:color="auto"/>
      </w:divBdr>
    </w:div>
    <w:div w:id="20059412">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27725066">
      <w:bodyDiv w:val="1"/>
      <w:marLeft w:val="0"/>
      <w:marRight w:val="0"/>
      <w:marTop w:val="0"/>
      <w:marBottom w:val="0"/>
      <w:divBdr>
        <w:top w:val="none" w:sz="0" w:space="0" w:color="auto"/>
        <w:left w:val="none" w:sz="0" w:space="0" w:color="auto"/>
        <w:bottom w:val="none" w:sz="0" w:space="0" w:color="auto"/>
        <w:right w:val="none" w:sz="0" w:space="0" w:color="auto"/>
      </w:divBdr>
    </w:div>
    <w:div w:id="30081600">
      <w:bodyDiv w:val="1"/>
      <w:marLeft w:val="0"/>
      <w:marRight w:val="0"/>
      <w:marTop w:val="0"/>
      <w:marBottom w:val="0"/>
      <w:divBdr>
        <w:top w:val="none" w:sz="0" w:space="0" w:color="auto"/>
        <w:left w:val="none" w:sz="0" w:space="0" w:color="auto"/>
        <w:bottom w:val="none" w:sz="0" w:space="0" w:color="auto"/>
        <w:right w:val="none" w:sz="0" w:space="0" w:color="auto"/>
      </w:divBdr>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39911802">
      <w:bodyDiv w:val="1"/>
      <w:marLeft w:val="0"/>
      <w:marRight w:val="0"/>
      <w:marTop w:val="0"/>
      <w:marBottom w:val="0"/>
      <w:divBdr>
        <w:top w:val="none" w:sz="0" w:space="0" w:color="auto"/>
        <w:left w:val="none" w:sz="0" w:space="0" w:color="auto"/>
        <w:bottom w:val="none" w:sz="0" w:space="0" w:color="auto"/>
        <w:right w:val="none" w:sz="0" w:space="0" w:color="auto"/>
      </w:divBdr>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4647851">
      <w:bodyDiv w:val="1"/>
      <w:marLeft w:val="0"/>
      <w:marRight w:val="0"/>
      <w:marTop w:val="0"/>
      <w:marBottom w:val="0"/>
      <w:divBdr>
        <w:top w:val="none" w:sz="0" w:space="0" w:color="auto"/>
        <w:left w:val="none" w:sz="0" w:space="0" w:color="auto"/>
        <w:bottom w:val="none" w:sz="0" w:space="0" w:color="auto"/>
        <w:right w:val="none" w:sz="0" w:space="0" w:color="auto"/>
      </w:divBdr>
      <w:divsChild>
        <w:div w:id="50156789">
          <w:marLeft w:val="-225"/>
          <w:marRight w:val="-225"/>
          <w:marTop w:val="0"/>
          <w:marBottom w:val="0"/>
          <w:divBdr>
            <w:top w:val="none" w:sz="0" w:space="0" w:color="auto"/>
            <w:left w:val="none" w:sz="0" w:space="0" w:color="auto"/>
            <w:bottom w:val="none" w:sz="0" w:space="0" w:color="auto"/>
            <w:right w:val="none" w:sz="0" w:space="0" w:color="auto"/>
          </w:divBdr>
        </w:div>
        <w:div w:id="453209655">
          <w:marLeft w:val="-225"/>
          <w:marRight w:val="-225"/>
          <w:marTop w:val="0"/>
          <w:marBottom w:val="0"/>
          <w:divBdr>
            <w:top w:val="none" w:sz="0" w:space="0" w:color="auto"/>
            <w:left w:val="none" w:sz="0" w:space="0" w:color="auto"/>
            <w:bottom w:val="none" w:sz="0" w:space="0" w:color="auto"/>
            <w:right w:val="none" w:sz="0" w:space="0" w:color="auto"/>
          </w:divBdr>
        </w:div>
        <w:div w:id="497623380">
          <w:marLeft w:val="-225"/>
          <w:marRight w:val="-225"/>
          <w:marTop w:val="0"/>
          <w:marBottom w:val="0"/>
          <w:divBdr>
            <w:top w:val="none" w:sz="0" w:space="0" w:color="auto"/>
            <w:left w:val="none" w:sz="0" w:space="0" w:color="auto"/>
            <w:bottom w:val="none" w:sz="0" w:space="0" w:color="auto"/>
            <w:right w:val="none" w:sz="0" w:space="0" w:color="auto"/>
          </w:divBdr>
        </w:div>
        <w:div w:id="924724278">
          <w:marLeft w:val="-225"/>
          <w:marRight w:val="-225"/>
          <w:marTop w:val="0"/>
          <w:marBottom w:val="0"/>
          <w:divBdr>
            <w:top w:val="none" w:sz="0" w:space="0" w:color="auto"/>
            <w:left w:val="none" w:sz="0" w:space="0" w:color="auto"/>
            <w:bottom w:val="none" w:sz="0" w:space="0" w:color="auto"/>
            <w:right w:val="none" w:sz="0" w:space="0" w:color="auto"/>
          </w:divBdr>
        </w:div>
        <w:div w:id="983924565">
          <w:marLeft w:val="-225"/>
          <w:marRight w:val="-225"/>
          <w:marTop w:val="0"/>
          <w:marBottom w:val="0"/>
          <w:divBdr>
            <w:top w:val="none" w:sz="0" w:space="0" w:color="auto"/>
            <w:left w:val="none" w:sz="0" w:space="0" w:color="auto"/>
            <w:bottom w:val="none" w:sz="0" w:space="0" w:color="auto"/>
            <w:right w:val="none" w:sz="0" w:space="0" w:color="auto"/>
          </w:divBdr>
        </w:div>
        <w:div w:id="1279607875">
          <w:marLeft w:val="-225"/>
          <w:marRight w:val="-225"/>
          <w:marTop w:val="0"/>
          <w:marBottom w:val="0"/>
          <w:divBdr>
            <w:top w:val="none" w:sz="0" w:space="0" w:color="auto"/>
            <w:left w:val="none" w:sz="0" w:space="0" w:color="auto"/>
            <w:bottom w:val="none" w:sz="0" w:space="0" w:color="auto"/>
            <w:right w:val="none" w:sz="0" w:space="0" w:color="auto"/>
          </w:divBdr>
        </w:div>
        <w:div w:id="1551915536">
          <w:marLeft w:val="-225"/>
          <w:marRight w:val="-225"/>
          <w:marTop w:val="0"/>
          <w:marBottom w:val="0"/>
          <w:divBdr>
            <w:top w:val="none" w:sz="0" w:space="0" w:color="auto"/>
            <w:left w:val="none" w:sz="0" w:space="0" w:color="auto"/>
            <w:bottom w:val="none" w:sz="0" w:space="0" w:color="auto"/>
            <w:right w:val="none" w:sz="0" w:space="0" w:color="auto"/>
          </w:divBdr>
        </w:div>
        <w:div w:id="1778672140">
          <w:marLeft w:val="-225"/>
          <w:marRight w:val="-225"/>
          <w:marTop w:val="0"/>
          <w:marBottom w:val="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17897012">
          <w:marLeft w:val="0"/>
          <w:marRight w:val="0"/>
          <w:marTop w:val="0"/>
          <w:marBottom w:val="0"/>
          <w:divBdr>
            <w:top w:val="none" w:sz="0" w:space="0" w:color="auto"/>
            <w:left w:val="none" w:sz="0" w:space="0" w:color="auto"/>
            <w:bottom w:val="none" w:sz="0" w:space="0" w:color="auto"/>
            <w:right w:val="none" w:sz="0" w:space="0" w:color="auto"/>
          </w:divBdr>
        </w:div>
        <w:div w:id="331954858">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6418685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98765388">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07822787">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0390838">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75850717">
      <w:bodyDiv w:val="1"/>
      <w:marLeft w:val="0"/>
      <w:marRight w:val="0"/>
      <w:marTop w:val="0"/>
      <w:marBottom w:val="0"/>
      <w:divBdr>
        <w:top w:val="none" w:sz="0" w:space="0" w:color="auto"/>
        <w:left w:val="none" w:sz="0" w:space="0" w:color="auto"/>
        <w:bottom w:val="none" w:sz="0" w:space="0" w:color="auto"/>
        <w:right w:val="none" w:sz="0" w:space="0" w:color="auto"/>
      </w:divBdr>
    </w:div>
    <w:div w:id="179007842">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193619430">
      <w:bodyDiv w:val="1"/>
      <w:marLeft w:val="0"/>
      <w:marRight w:val="0"/>
      <w:marTop w:val="0"/>
      <w:marBottom w:val="0"/>
      <w:divBdr>
        <w:top w:val="none" w:sz="0" w:space="0" w:color="auto"/>
        <w:left w:val="none" w:sz="0" w:space="0" w:color="auto"/>
        <w:bottom w:val="none" w:sz="0" w:space="0" w:color="auto"/>
        <w:right w:val="none" w:sz="0" w:space="0" w:color="auto"/>
      </w:divBdr>
      <w:divsChild>
        <w:div w:id="406999193">
          <w:marLeft w:val="-225"/>
          <w:marRight w:val="-225"/>
          <w:marTop w:val="0"/>
          <w:marBottom w:val="0"/>
          <w:divBdr>
            <w:top w:val="none" w:sz="0" w:space="0" w:color="auto"/>
            <w:left w:val="none" w:sz="0" w:space="0" w:color="auto"/>
            <w:bottom w:val="none" w:sz="0" w:space="0" w:color="auto"/>
            <w:right w:val="none" w:sz="0" w:space="0" w:color="auto"/>
          </w:divBdr>
        </w:div>
        <w:div w:id="410009204">
          <w:marLeft w:val="-225"/>
          <w:marRight w:val="-225"/>
          <w:marTop w:val="0"/>
          <w:marBottom w:val="0"/>
          <w:divBdr>
            <w:top w:val="none" w:sz="0" w:space="0" w:color="auto"/>
            <w:left w:val="none" w:sz="0" w:space="0" w:color="auto"/>
            <w:bottom w:val="none" w:sz="0" w:space="0" w:color="auto"/>
            <w:right w:val="none" w:sz="0" w:space="0" w:color="auto"/>
          </w:divBdr>
        </w:div>
        <w:div w:id="543955308">
          <w:marLeft w:val="-225"/>
          <w:marRight w:val="-225"/>
          <w:marTop w:val="0"/>
          <w:marBottom w:val="0"/>
          <w:divBdr>
            <w:top w:val="none" w:sz="0" w:space="0" w:color="auto"/>
            <w:left w:val="none" w:sz="0" w:space="0" w:color="auto"/>
            <w:bottom w:val="none" w:sz="0" w:space="0" w:color="auto"/>
            <w:right w:val="none" w:sz="0" w:space="0" w:color="auto"/>
          </w:divBdr>
        </w:div>
        <w:div w:id="725881453">
          <w:marLeft w:val="-225"/>
          <w:marRight w:val="-225"/>
          <w:marTop w:val="0"/>
          <w:marBottom w:val="0"/>
          <w:divBdr>
            <w:top w:val="none" w:sz="0" w:space="0" w:color="auto"/>
            <w:left w:val="none" w:sz="0" w:space="0" w:color="auto"/>
            <w:bottom w:val="none" w:sz="0" w:space="0" w:color="auto"/>
            <w:right w:val="none" w:sz="0" w:space="0" w:color="auto"/>
          </w:divBdr>
        </w:div>
        <w:div w:id="881134661">
          <w:marLeft w:val="-225"/>
          <w:marRight w:val="-225"/>
          <w:marTop w:val="0"/>
          <w:marBottom w:val="0"/>
          <w:divBdr>
            <w:top w:val="none" w:sz="0" w:space="0" w:color="auto"/>
            <w:left w:val="none" w:sz="0" w:space="0" w:color="auto"/>
            <w:bottom w:val="none" w:sz="0" w:space="0" w:color="auto"/>
            <w:right w:val="none" w:sz="0" w:space="0" w:color="auto"/>
          </w:divBdr>
        </w:div>
        <w:div w:id="1152334592">
          <w:marLeft w:val="-225"/>
          <w:marRight w:val="-225"/>
          <w:marTop w:val="0"/>
          <w:marBottom w:val="0"/>
          <w:divBdr>
            <w:top w:val="none" w:sz="0" w:space="0" w:color="auto"/>
            <w:left w:val="none" w:sz="0" w:space="0" w:color="auto"/>
            <w:bottom w:val="none" w:sz="0" w:space="0" w:color="auto"/>
            <w:right w:val="none" w:sz="0" w:space="0" w:color="auto"/>
          </w:divBdr>
        </w:div>
        <w:div w:id="1357658777">
          <w:marLeft w:val="-225"/>
          <w:marRight w:val="-225"/>
          <w:marTop w:val="0"/>
          <w:marBottom w:val="0"/>
          <w:divBdr>
            <w:top w:val="none" w:sz="0" w:space="0" w:color="auto"/>
            <w:left w:val="none" w:sz="0" w:space="0" w:color="auto"/>
            <w:bottom w:val="none" w:sz="0" w:space="0" w:color="auto"/>
            <w:right w:val="none" w:sz="0" w:space="0" w:color="auto"/>
          </w:divBdr>
        </w:div>
        <w:div w:id="1375153190">
          <w:marLeft w:val="-225"/>
          <w:marRight w:val="-225"/>
          <w:marTop w:val="0"/>
          <w:marBottom w:val="0"/>
          <w:divBdr>
            <w:top w:val="none" w:sz="0" w:space="0" w:color="auto"/>
            <w:left w:val="none" w:sz="0" w:space="0" w:color="auto"/>
            <w:bottom w:val="none" w:sz="0" w:space="0" w:color="auto"/>
            <w:right w:val="none" w:sz="0" w:space="0" w:color="auto"/>
          </w:divBdr>
        </w:div>
        <w:div w:id="1787580824">
          <w:marLeft w:val="-225"/>
          <w:marRight w:val="-225"/>
          <w:marTop w:val="0"/>
          <w:marBottom w:val="0"/>
          <w:divBdr>
            <w:top w:val="none" w:sz="0" w:space="0" w:color="auto"/>
            <w:left w:val="none" w:sz="0" w:space="0" w:color="auto"/>
            <w:bottom w:val="none" w:sz="0" w:space="0" w:color="auto"/>
            <w:right w:val="none" w:sz="0" w:space="0" w:color="auto"/>
          </w:divBdr>
        </w:div>
        <w:div w:id="2014527103">
          <w:marLeft w:val="-225"/>
          <w:marRight w:val="-225"/>
          <w:marTop w:val="0"/>
          <w:marBottom w:val="0"/>
          <w:divBdr>
            <w:top w:val="none" w:sz="0" w:space="0" w:color="auto"/>
            <w:left w:val="none" w:sz="0" w:space="0" w:color="auto"/>
            <w:bottom w:val="none" w:sz="0" w:space="0" w:color="auto"/>
            <w:right w:val="none" w:sz="0" w:space="0" w:color="auto"/>
          </w:divBdr>
        </w:div>
      </w:divsChild>
    </w:div>
    <w:div w:id="202525951">
      <w:bodyDiv w:val="1"/>
      <w:marLeft w:val="0"/>
      <w:marRight w:val="0"/>
      <w:marTop w:val="0"/>
      <w:marBottom w:val="0"/>
      <w:divBdr>
        <w:top w:val="none" w:sz="0" w:space="0" w:color="auto"/>
        <w:left w:val="none" w:sz="0" w:space="0" w:color="auto"/>
        <w:bottom w:val="none" w:sz="0" w:space="0" w:color="auto"/>
        <w:right w:val="none" w:sz="0" w:space="0" w:color="auto"/>
      </w:divBdr>
    </w:div>
    <w:div w:id="205334456">
      <w:bodyDiv w:val="1"/>
      <w:marLeft w:val="0"/>
      <w:marRight w:val="0"/>
      <w:marTop w:val="0"/>
      <w:marBottom w:val="0"/>
      <w:divBdr>
        <w:top w:val="none" w:sz="0" w:space="0" w:color="auto"/>
        <w:left w:val="none" w:sz="0" w:space="0" w:color="auto"/>
        <w:bottom w:val="none" w:sz="0" w:space="0" w:color="auto"/>
        <w:right w:val="none" w:sz="0" w:space="0" w:color="auto"/>
      </w:divBdr>
    </w:div>
    <w:div w:id="216596700">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44606589">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59140029">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64774124">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3750680">
      <w:bodyDiv w:val="1"/>
      <w:marLeft w:val="0"/>
      <w:marRight w:val="0"/>
      <w:marTop w:val="0"/>
      <w:marBottom w:val="0"/>
      <w:divBdr>
        <w:top w:val="none" w:sz="0" w:space="0" w:color="auto"/>
        <w:left w:val="none" w:sz="0" w:space="0" w:color="auto"/>
        <w:bottom w:val="none" w:sz="0" w:space="0" w:color="auto"/>
        <w:right w:val="none" w:sz="0" w:space="0" w:color="auto"/>
      </w:divBdr>
    </w:div>
    <w:div w:id="277033445">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82925838">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300623834">
      <w:bodyDiv w:val="1"/>
      <w:marLeft w:val="0"/>
      <w:marRight w:val="0"/>
      <w:marTop w:val="0"/>
      <w:marBottom w:val="0"/>
      <w:divBdr>
        <w:top w:val="none" w:sz="0" w:space="0" w:color="auto"/>
        <w:left w:val="none" w:sz="0" w:space="0" w:color="auto"/>
        <w:bottom w:val="none" w:sz="0" w:space="0" w:color="auto"/>
        <w:right w:val="none" w:sz="0" w:space="0" w:color="auto"/>
      </w:divBdr>
    </w:div>
    <w:div w:id="305864429">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11100753">
      <w:bodyDiv w:val="1"/>
      <w:marLeft w:val="0"/>
      <w:marRight w:val="0"/>
      <w:marTop w:val="0"/>
      <w:marBottom w:val="0"/>
      <w:divBdr>
        <w:top w:val="none" w:sz="0" w:space="0" w:color="auto"/>
        <w:left w:val="none" w:sz="0" w:space="0" w:color="auto"/>
        <w:bottom w:val="none" w:sz="0" w:space="0" w:color="auto"/>
        <w:right w:val="none" w:sz="0" w:space="0" w:color="auto"/>
      </w:divBdr>
    </w:div>
    <w:div w:id="311757807">
      <w:bodyDiv w:val="1"/>
      <w:marLeft w:val="0"/>
      <w:marRight w:val="0"/>
      <w:marTop w:val="0"/>
      <w:marBottom w:val="0"/>
      <w:divBdr>
        <w:top w:val="none" w:sz="0" w:space="0" w:color="auto"/>
        <w:left w:val="none" w:sz="0" w:space="0" w:color="auto"/>
        <w:bottom w:val="none" w:sz="0" w:space="0" w:color="auto"/>
        <w:right w:val="none" w:sz="0" w:space="0" w:color="auto"/>
      </w:divBdr>
    </w:div>
    <w:div w:id="320038258">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053461">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26329634">
      <w:bodyDiv w:val="1"/>
      <w:marLeft w:val="0"/>
      <w:marRight w:val="0"/>
      <w:marTop w:val="0"/>
      <w:marBottom w:val="0"/>
      <w:divBdr>
        <w:top w:val="none" w:sz="0" w:space="0" w:color="auto"/>
        <w:left w:val="none" w:sz="0" w:space="0" w:color="auto"/>
        <w:bottom w:val="none" w:sz="0" w:space="0" w:color="auto"/>
        <w:right w:val="none" w:sz="0" w:space="0" w:color="auto"/>
      </w:divBdr>
    </w:div>
    <w:div w:id="327439460">
      <w:bodyDiv w:val="1"/>
      <w:marLeft w:val="0"/>
      <w:marRight w:val="0"/>
      <w:marTop w:val="0"/>
      <w:marBottom w:val="0"/>
      <w:divBdr>
        <w:top w:val="none" w:sz="0" w:space="0" w:color="auto"/>
        <w:left w:val="none" w:sz="0" w:space="0" w:color="auto"/>
        <w:bottom w:val="none" w:sz="0" w:space="0" w:color="auto"/>
        <w:right w:val="none" w:sz="0" w:space="0" w:color="auto"/>
      </w:divBdr>
    </w:div>
    <w:div w:id="328756957">
      <w:bodyDiv w:val="1"/>
      <w:marLeft w:val="0"/>
      <w:marRight w:val="0"/>
      <w:marTop w:val="0"/>
      <w:marBottom w:val="0"/>
      <w:divBdr>
        <w:top w:val="none" w:sz="0" w:space="0" w:color="auto"/>
        <w:left w:val="none" w:sz="0" w:space="0" w:color="auto"/>
        <w:bottom w:val="none" w:sz="0" w:space="0" w:color="auto"/>
        <w:right w:val="none" w:sz="0" w:space="0" w:color="auto"/>
      </w:divBdr>
    </w:div>
    <w:div w:id="330839262">
      <w:bodyDiv w:val="1"/>
      <w:marLeft w:val="0"/>
      <w:marRight w:val="0"/>
      <w:marTop w:val="0"/>
      <w:marBottom w:val="0"/>
      <w:divBdr>
        <w:top w:val="none" w:sz="0" w:space="0" w:color="auto"/>
        <w:left w:val="none" w:sz="0" w:space="0" w:color="auto"/>
        <w:bottom w:val="none" w:sz="0" w:space="0" w:color="auto"/>
        <w:right w:val="none" w:sz="0" w:space="0" w:color="auto"/>
      </w:divBdr>
    </w:div>
    <w:div w:id="340552242">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6953421">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79942273">
      <w:bodyDiv w:val="1"/>
      <w:marLeft w:val="0"/>
      <w:marRight w:val="0"/>
      <w:marTop w:val="0"/>
      <w:marBottom w:val="0"/>
      <w:divBdr>
        <w:top w:val="none" w:sz="0" w:space="0" w:color="auto"/>
        <w:left w:val="none" w:sz="0" w:space="0" w:color="auto"/>
        <w:bottom w:val="none" w:sz="0" w:space="0" w:color="auto"/>
        <w:right w:val="none" w:sz="0" w:space="0" w:color="auto"/>
      </w:divBdr>
      <w:divsChild>
        <w:div w:id="609557283">
          <w:marLeft w:val="-225"/>
          <w:marRight w:val="-225"/>
          <w:marTop w:val="0"/>
          <w:marBottom w:val="0"/>
          <w:divBdr>
            <w:top w:val="none" w:sz="0" w:space="0" w:color="auto"/>
            <w:left w:val="none" w:sz="0" w:space="0" w:color="auto"/>
            <w:bottom w:val="none" w:sz="0" w:space="0" w:color="auto"/>
            <w:right w:val="none" w:sz="0" w:space="0" w:color="auto"/>
          </w:divBdr>
        </w:div>
        <w:div w:id="645859876">
          <w:marLeft w:val="-225"/>
          <w:marRight w:val="-225"/>
          <w:marTop w:val="0"/>
          <w:marBottom w:val="0"/>
          <w:divBdr>
            <w:top w:val="none" w:sz="0" w:space="0" w:color="auto"/>
            <w:left w:val="none" w:sz="0" w:space="0" w:color="auto"/>
            <w:bottom w:val="none" w:sz="0" w:space="0" w:color="auto"/>
            <w:right w:val="none" w:sz="0" w:space="0" w:color="auto"/>
          </w:divBdr>
        </w:div>
      </w:divsChild>
    </w:div>
    <w:div w:id="381370253">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4356504">
      <w:bodyDiv w:val="1"/>
      <w:marLeft w:val="0"/>
      <w:marRight w:val="0"/>
      <w:marTop w:val="0"/>
      <w:marBottom w:val="0"/>
      <w:divBdr>
        <w:top w:val="none" w:sz="0" w:space="0" w:color="auto"/>
        <w:left w:val="none" w:sz="0" w:space="0" w:color="auto"/>
        <w:bottom w:val="none" w:sz="0" w:space="0" w:color="auto"/>
        <w:right w:val="none" w:sz="0" w:space="0" w:color="auto"/>
      </w:divBdr>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7966104">
      <w:bodyDiv w:val="1"/>
      <w:marLeft w:val="0"/>
      <w:marRight w:val="0"/>
      <w:marTop w:val="0"/>
      <w:marBottom w:val="0"/>
      <w:divBdr>
        <w:top w:val="none" w:sz="0" w:space="0" w:color="auto"/>
        <w:left w:val="none" w:sz="0" w:space="0" w:color="auto"/>
        <w:bottom w:val="none" w:sz="0" w:space="0" w:color="auto"/>
        <w:right w:val="none" w:sz="0" w:space="0" w:color="auto"/>
      </w:divBdr>
    </w:div>
    <w:div w:id="408115912">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10663782">
      <w:bodyDiv w:val="1"/>
      <w:marLeft w:val="0"/>
      <w:marRight w:val="0"/>
      <w:marTop w:val="0"/>
      <w:marBottom w:val="0"/>
      <w:divBdr>
        <w:top w:val="none" w:sz="0" w:space="0" w:color="auto"/>
        <w:left w:val="none" w:sz="0" w:space="0" w:color="auto"/>
        <w:bottom w:val="none" w:sz="0" w:space="0" w:color="auto"/>
        <w:right w:val="none" w:sz="0" w:space="0" w:color="auto"/>
      </w:divBdr>
      <w:divsChild>
        <w:div w:id="215506040">
          <w:marLeft w:val="0"/>
          <w:marRight w:val="0"/>
          <w:marTop w:val="0"/>
          <w:marBottom w:val="0"/>
          <w:divBdr>
            <w:top w:val="none" w:sz="0" w:space="0" w:color="auto"/>
            <w:left w:val="none" w:sz="0" w:space="0" w:color="auto"/>
            <w:bottom w:val="none" w:sz="0" w:space="0" w:color="auto"/>
            <w:right w:val="none" w:sz="0" w:space="0" w:color="auto"/>
          </w:divBdr>
          <w:divsChild>
            <w:div w:id="363755092">
              <w:marLeft w:val="0"/>
              <w:marRight w:val="0"/>
              <w:marTop w:val="0"/>
              <w:marBottom w:val="0"/>
              <w:divBdr>
                <w:top w:val="none" w:sz="0" w:space="0" w:color="auto"/>
                <w:left w:val="none" w:sz="0" w:space="0" w:color="auto"/>
                <w:bottom w:val="none" w:sz="0" w:space="0" w:color="auto"/>
                <w:right w:val="none" w:sz="0" w:space="0" w:color="auto"/>
              </w:divBdr>
              <w:divsChild>
                <w:div w:id="68120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358415">
          <w:marLeft w:val="0"/>
          <w:marRight w:val="0"/>
          <w:marTop w:val="100"/>
          <w:marBottom w:val="0"/>
          <w:divBdr>
            <w:top w:val="none" w:sz="0" w:space="0" w:color="auto"/>
            <w:left w:val="none" w:sz="0" w:space="0" w:color="auto"/>
            <w:bottom w:val="none" w:sz="0" w:space="0" w:color="auto"/>
            <w:right w:val="none" w:sz="0" w:space="0" w:color="auto"/>
          </w:divBdr>
        </w:div>
        <w:div w:id="1875656873">
          <w:marLeft w:val="0"/>
          <w:marRight w:val="0"/>
          <w:marTop w:val="0"/>
          <w:marBottom w:val="0"/>
          <w:divBdr>
            <w:top w:val="none" w:sz="0" w:space="0" w:color="auto"/>
            <w:left w:val="none" w:sz="0" w:space="0" w:color="auto"/>
            <w:bottom w:val="none" w:sz="0" w:space="0" w:color="auto"/>
            <w:right w:val="none" w:sz="0" w:space="0" w:color="auto"/>
          </w:divBdr>
          <w:divsChild>
            <w:div w:id="814030269">
              <w:marLeft w:val="0"/>
              <w:marRight w:val="0"/>
              <w:marTop w:val="0"/>
              <w:marBottom w:val="0"/>
              <w:divBdr>
                <w:top w:val="none" w:sz="0" w:space="0" w:color="auto"/>
                <w:left w:val="none" w:sz="0" w:space="0" w:color="auto"/>
                <w:bottom w:val="none" w:sz="0" w:space="0" w:color="auto"/>
                <w:right w:val="none" w:sz="0" w:space="0" w:color="auto"/>
              </w:divBdr>
              <w:divsChild>
                <w:div w:id="450591403">
                  <w:marLeft w:val="0"/>
                  <w:marRight w:val="0"/>
                  <w:marTop w:val="0"/>
                  <w:marBottom w:val="0"/>
                  <w:divBdr>
                    <w:top w:val="none" w:sz="0" w:space="0" w:color="auto"/>
                    <w:left w:val="none" w:sz="0" w:space="0" w:color="auto"/>
                    <w:bottom w:val="none" w:sz="0" w:space="0" w:color="auto"/>
                    <w:right w:val="none" w:sz="0" w:space="0" w:color="auto"/>
                  </w:divBdr>
                  <w:divsChild>
                    <w:div w:id="51697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28238696">
      <w:bodyDiv w:val="1"/>
      <w:marLeft w:val="0"/>
      <w:marRight w:val="0"/>
      <w:marTop w:val="0"/>
      <w:marBottom w:val="0"/>
      <w:divBdr>
        <w:top w:val="none" w:sz="0" w:space="0" w:color="auto"/>
        <w:left w:val="none" w:sz="0" w:space="0" w:color="auto"/>
        <w:bottom w:val="none" w:sz="0" w:space="0" w:color="auto"/>
        <w:right w:val="none" w:sz="0" w:space="0" w:color="auto"/>
      </w:divBdr>
    </w:div>
    <w:div w:id="431781176">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35978227">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49129546">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4548490">
      <w:bodyDiv w:val="1"/>
      <w:marLeft w:val="0"/>
      <w:marRight w:val="0"/>
      <w:marTop w:val="0"/>
      <w:marBottom w:val="0"/>
      <w:divBdr>
        <w:top w:val="none" w:sz="0" w:space="0" w:color="auto"/>
        <w:left w:val="none" w:sz="0" w:space="0" w:color="auto"/>
        <w:bottom w:val="none" w:sz="0" w:space="0" w:color="auto"/>
        <w:right w:val="none" w:sz="0" w:space="0" w:color="auto"/>
      </w:divBdr>
    </w:div>
    <w:div w:id="467473624">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68012794">
      <w:bodyDiv w:val="1"/>
      <w:marLeft w:val="0"/>
      <w:marRight w:val="0"/>
      <w:marTop w:val="0"/>
      <w:marBottom w:val="0"/>
      <w:divBdr>
        <w:top w:val="none" w:sz="0" w:space="0" w:color="auto"/>
        <w:left w:val="none" w:sz="0" w:space="0" w:color="auto"/>
        <w:bottom w:val="none" w:sz="0" w:space="0" w:color="auto"/>
        <w:right w:val="none" w:sz="0" w:space="0" w:color="auto"/>
      </w:divBdr>
    </w:div>
    <w:div w:id="478032657">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499154300">
      <w:bodyDiv w:val="1"/>
      <w:marLeft w:val="0"/>
      <w:marRight w:val="0"/>
      <w:marTop w:val="0"/>
      <w:marBottom w:val="0"/>
      <w:divBdr>
        <w:top w:val="none" w:sz="0" w:space="0" w:color="auto"/>
        <w:left w:val="none" w:sz="0" w:space="0" w:color="auto"/>
        <w:bottom w:val="none" w:sz="0" w:space="0" w:color="auto"/>
        <w:right w:val="none" w:sz="0" w:space="0" w:color="auto"/>
      </w:divBdr>
      <w:divsChild>
        <w:div w:id="849414776">
          <w:marLeft w:val="0"/>
          <w:marRight w:val="0"/>
          <w:marTop w:val="0"/>
          <w:marBottom w:val="0"/>
          <w:divBdr>
            <w:top w:val="none" w:sz="0" w:space="0" w:color="auto"/>
            <w:left w:val="none" w:sz="0" w:space="0" w:color="auto"/>
            <w:bottom w:val="none" w:sz="0" w:space="0" w:color="auto"/>
            <w:right w:val="none" w:sz="0" w:space="0" w:color="auto"/>
          </w:divBdr>
          <w:divsChild>
            <w:div w:id="953446152">
              <w:marLeft w:val="0"/>
              <w:marRight w:val="0"/>
              <w:marTop w:val="0"/>
              <w:marBottom w:val="0"/>
              <w:divBdr>
                <w:top w:val="none" w:sz="0" w:space="0" w:color="auto"/>
                <w:left w:val="none" w:sz="0" w:space="0" w:color="auto"/>
                <w:bottom w:val="none" w:sz="0" w:space="0" w:color="auto"/>
                <w:right w:val="none" w:sz="0" w:space="0" w:color="auto"/>
              </w:divBdr>
              <w:divsChild>
                <w:div w:id="18694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619623">
          <w:marLeft w:val="0"/>
          <w:marRight w:val="0"/>
          <w:marTop w:val="100"/>
          <w:marBottom w:val="0"/>
          <w:divBdr>
            <w:top w:val="none" w:sz="0" w:space="0" w:color="auto"/>
            <w:left w:val="none" w:sz="0" w:space="0" w:color="auto"/>
            <w:bottom w:val="none" w:sz="0" w:space="0" w:color="auto"/>
            <w:right w:val="none" w:sz="0" w:space="0" w:color="auto"/>
          </w:divBdr>
        </w:div>
        <w:div w:id="2030526730">
          <w:marLeft w:val="0"/>
          <w:marRight w:val="0"/>
          <w:marTop w:val="0"/>
          <w:marBottom w:val="0"/>
          <w:divBdr>
            <w:top w:val="none" w:sz="0" w:space="0" w:color="auto"/>
            <w:left w:val="none" w:sz="0" w:space="0" w:color="auto"/>
            <w:bottom w:val="none" w:sz="0" w:space="0" w:color="auto"/>
            <w:right w:val="none" w:sz="0" w:space="0" w:color="auto"/>
          </w:divBdr>
          <w:divsChild>
            <w:div w:id="1191265291">
              <w:marLeft w:val="0"/>
              <w:marRight w:val="0"/>
              <w:marTop w:val="0"/>
              <w:marBottom w:val="0"/>
              <w:divBdr>
                <w:top w:val="none" w:sz="0" w:space="0" w:color="auto"/>
                <w:left w:val="none" w:sz="0" w:space="0" w:color="auto"/>
                <w:bottom w:val="none" w:sz="0" w:space="0" w:color="auto"/>
                <w:right w:val="none" w:sz="0" w:space="0" w:color="auto"/>
              </w:divBdr>
              <w:divsChild>
                <w:div w:id="528030317">
                  <w:marLeft w:val="0"/>
                  <w:marRight w:val="0"/>
                  <w:marTop w:val="0"/>
                  <w:marBottom w:val="0"/>
                  <w:divBdr>
                    <w:top w:val="none" w:sz="0" w:space="0" w:color="auto"/>
                    <w:left w:val="none" w:sz="0" w:space="0" w:color="auto"/>
                    <w:bottom w:val="none" w:sz="0" w:space="0" w:color="auto"/>
                    <w:right w:val="none" w:sz="0" w:space="0" w:color="auto"/>
                  </w:divBdr>
                  <w:divsChild>
                    <w:div w:id="33345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971971">
      <w:bodyDiv w:val="1"/>
      <w:marLeft w:val="0"/>
      <w:marRight w:val="0"/>
      <w:marTop w:val="0"/>
      <w:marBottom w:val="0"/>
      <w:divBdr>
        <w:top w:val="none" w:sz="0" w:space="0" w:color="auto"/>
        <w:left w:val="none" w:sz="0" w:space="0" w:color="auto"/>
        <w:bottom w:val="none" w:sz="0" w:space="0" w:color="auto"/>
        <w:right w:val="none" w:sz="0" w:space="0" w:color="auto"/>
      </w:divBdr>
    </w:div>
    <w:div w:id="509221810">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28756797">
      <w:bodyDiv w:val="1"/>
      <w:marLeft w:val="0"/>
      <w:marRight w:val="0"/>
      <w:marTop w:val="0"/>
      <w:marBottom w:val="0"/>
      <w:divBdr>
        <w:top w:val="none" w:sz="0" w:space="0" w:color="auto"/>
        <w:left w:val="none" w:sz="0" w:space="0" w:color="auto"/>
        <w:bottom w:val="none" w:sz="0" w:space="0" w:color="auto"/>
        <w:right w:val="none" w:sz="0" w:space="0" w:color="auto"/>
      </w:divBdr>
    </w:div>
    <w:div w:id="529756587">
      <w:bodyDiv w:val="1"/>
      <w:marLeft w:val="0"/>
      <w:marRight w:val="0"/>
      <w:marTop w:val="0"/>
      <w:marBottom w:val="0"/>
      <w:divBdr>
        <w:top w:val="none" w:sz="0" w:space="0" w:color="auto"/>
        <w:left w:val="none" w:sz="0" w:space="0" w:color="auto"/>
        <w:bottom w:val="none" w:sz="0" w:space="0" w:color="auto"/>
        <w:right w:val="none" w:sz="0" w:space="0" w:color="auto"/>
      </w:divBdr>
    </w:div>
    <w:div w:id="532807998">
      <w:bodyDiv w:val="1"/>
      <w:marLeft w:val="0"/>
      <w:marRight w:val="0"/>
      <w:marTop w:val="0"/>
      <w:marBottom w:val="0"/>
      <w:divBdr>
        <w:top w:val="none" w:sz="0" w:space="0" w:color="auto"/>
        <w:left w:val="none" w:sz="0" w:space="0" w:color="auto"/>
        <w:bottom w:val="none" w:sz="0" w:space="0" w:color="auto"/>
        <w:right w:val="none" w:sz="0" w:space="0" w:color="auto"/>
      </w:divBdr>
    </w:div>
    <w:div w:id="534857089">
      <w:bodyDiv w:val="1"/>
      <w:marLeft w:val="0"/>
      <w:marRight w:val="0"/>
      <w:marTop w:val="0"/>
      <w:marBottom w:val="0"/>
      <w:divBdr>
        <w:top w:val="none" w:sz="0" w:space="0" w:color="auto"/>
        <w:left w:val="none" w:sz="0" w:space="0" w:color="auto"/>
        <w:bottom w:val="none" w:sz="0" w:space="0" w:color="auto"/>
        <w:right w:val="none" w:sz="0" w:space="0" w:color="auto"/>
      </w:divBdr>
    </w:div>
    <w:div w:id="535854168">
      <w:bodyDiv w:val="1"/>
      <w:marLeft w:val="0"/>
      <w:marRight w:val="0"/>
      <w:marTop w:val="0"/>
      <w:marBottom w:val="0"/>
      <w:divBdr>
        <w:top w:val="none" w:sz="0" w:space="0" w:color="auto"/>
        <w:left w:val="none" w:sz="0" w:space="0" w:color="auto"/>
        <w:bottom w:val="none" w:sz="0" w:space="0" w:color="auto"/>
        <w:right w:val="none" w:sz="0" w:space="0" w:color="auto"/>
      </w:divBdr>
    </w:div>
    <w:div w:id="536627679">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47379785">
      <w:bodyDiv w:val="1"/>
      <w:marLeft w:val="0"/>
      <w:marRight w:val="0"/>
      <w:marTop w:val="0"/>
      <w:marBottom w:val="0"/>
      <w:divBdr>
        <w:top w:val="none" w:sz="0" w:space="0" w:color="auto"/>
        <w:left w:val="none" w:sz="0" w:space="0" w:color="auto"/>
        <w:bottom w:val="none" w:sz="0" w:space="0" w:color="auto"/>
        <w:right w:val="none" w:sz="0" w:space="0" w:color="auto"/>
      </w:divBdr>
    </w:div>
    <w:div w:id="551621746">
      <w:bodyDiv w:val="1"/>
      <w:marLeft w:val="0"/>
      <w:marRight w:val="0"/>
      <w:marTop w:val="0"/>
      <w:marBottom w:val="0"/>
      <w:divBdr>
        <w:top w:val="none" w:sz="0" w:space="0" w:color="auto"/>
        <w:left w:val="none" w:sz="0" w:space="0" w:color="auto"/>
        <w:bottom w:val="none" w:sz="0" w:space="0" w:color="auto"/>
        <w:right w:val="none" w:sz="0" w:space="0" w:color="auto"/>
      </w:divBdr>
    </w:div>
    <w:div w:id="557087494">
      <w:bodyDiv w:val="1"/>
      <w:marLeft w:val="0"/>
      <w:marRight w:val="0"/>
      <w:marTop w:val="0"/>
      <w:marBottom w:val="0"/>
      <w:divBdr>
        <w:top w:val="none" w:sz="0" w:space="0" w:color="auto"/>
        <w:left w:val="none" w:sz="0" w:space="0" w:color="auto"/>
        <w:bottom w:val="none" w:sz="0" w:space="0" w:color="auto"/>
        <w:right w:val="none" w:sz="0" w:space="0" w:color="auto"/>
      </w:divBdr>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0048256">
      <w:bodyDiv w:val="1"/>
      <w:marLeft w:val="0"/>
      <w:marRight w:val="0"/>
      <w:marTop w:val="0"/>
      <w:marBottom w:val="0"/>
      <w:divBdr>
        <w:top w:val="none" w:sz="0" w:space="0" w:color="auto"/>
        <w:left w:val="none" w:sz="0" w:space="0" w:color="auto"/>
        <w:bottom w:val="none" w:sz="0" w:space="0" w:color="auto"/>
        <w:right w:val="none" w:sz="0" w:space="0" w:color="auto"/>
      </w:divBdr>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2736584">
      <w:bodyDiv w:val="1"/>
      <w:marLeft w:val="0"/>
      <w:marRight w:val="0"/>
      <w:marTop w:val="0"/>
      <w:marBottom w:val="0"/>
      <w:divBdr>
        <w:top w:val="none" w:sz="0" w:space="0" w:color="auto"/>
        <w:left w:val="none" w:sz="0" w:space="0" w:color="auto"/>
        <w:bottom w:val="none" w:sz="0" w:space="0" w:color="auto"/>
        <w:right w:val="none" w:sz="0" w:space="0" w:color="auto"/>
      </w:divBdr>
    </w:div>
    <w:div w:id="57621219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87345004">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6981988">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4017421">
      <w:bodyDiv w:val="1"/>
      <w:marLeft w:val="0"/>
      <w:marRight w:val="0"/>
      <w:marTop w:val="0"/>
      <w:marBottom w:val="0"/>
      <w:divBdr>
        <w:top w:val="none" w:sz="0" w:space="0" w:color="auto"/>
        <w:left w:val="none" w:sz="0" w:space="0" w:color="auto"/>
        <w:bottom w:val="none" w:sz="0" w:space="0" w:color="auto"/>
        <w:right w:val="none" w:sz="0" w:space="0" w:color="auto"/>
      </w:divBdr>
    </w:div>
    <w:div w:id="615448930">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8948781">
      <w:bodyDiv w:val="1"/>
      <w:marLeft w:val="0"/>
      <w:marRight w:val="0"/>
      <w:marTop w:val="0"/>
      <w:marBottom w:val="0"/>
      <w:divBdr>
        <w:top w:val="none" w:sz="0" w:space="0" w:color="auto"/>
        <w:left w:val="none" w:sz="0" w:space="0" w:color="auto"/>
        <w:bottom w:val="none" w:sz="0" w:space="0" w:color="auto"/>
        <w:right w:val="none" w:sz="0" w:space="0" w:color="auto"/>
      </w:divBdr>
      <w:divsChild>
        <w:div w:id="460004172">
          <w:marLeft w:val="-225"/>
          <w:marRight w:val="-225"/>
          <w:marTop w:val="0"/>
          <w:marBottom w:val="0"/>
          <w:divBdr>
            <w:top w:val="none" w:sz="0" w:space="0" w:color="auto"/>
            <w:left w:val="none" w:sz="0" w:space="0" w:color="auto"/>
            <w:bottom w:val="none" w:sz="0" w:space="0" w:color="auto"/>
            <w:right w:val="none" w:sz="0" w:space="0" w:color="auto"/>
          </w:divBdr>
        </w:div>
        <w:div w:id="777527688">
          <w:marLeft w:val="-225"/>
          <w:marRight w:val="-225"/>
          <w:marTop w:val="0"/>
          <w:marBottom w:val="0"/>
          <w:divBdr>
            <w:top w:val="none" w:sz="0" w:space="0" w:color="auto"/>
            <w:left w:val="none" w:sz="0" w:space="0" w:color="auto"/>
            <w:bottom w:val="none" w:sz="0" w:space="0" w:color="auto"/>
            <w:right w:val="none" w:sz="0" w:space="0" w:color="auto"/>
          </w:divBdr>
        </w:div>
        <w:div w:id="1092162933">
          <w:marLeft w:val="-225"/>
          <w:marRight w:val="-225"/>
          <w:marTop w:val="0"/>
          <w:marBottom w:val="0"/>
          <w:divBdr>
            <w:top w:val="none" w:sz="0" w:space="0" w:color="auto"/>
            <w:left w:val="none" w:sz="0" w:space="0" w:color="auto"/>
            <w:bottom w:val="none" w:sz="0" w:space="0" w:color="auto"/>
            <w:right w:val="none" w:sz="0" w:space="0" w:color="auto"/>
          </w:divBdr>
        </w:div>
        <w:div w:id="1678576798">
          <w:marLeft w:val="-225"/>
          <w:marRight w:val="-225"/>
          <w:marTop w:val="0"/>
          <w:marBottom w:val="0"/>
          <w:divBdr>
            <w:top w:val="none" w:sz="0" w:space="0" w:color="auto"/>
            <w:left w:val="none" w:sz="0" w:space="0" w:color="auto"/>
            <w:bottom w:val="none" w:sz="0" w:space="0" w:color="auto"/>
            <w:right w:val="none" w:sz="0" w:space="0" w:color="auto"/>
          </w:divBdr>
        </w:div>
      </w:divsChild>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5887345">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30523191">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8776122">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158310">
      <w:bodyDiv w:val="1"/>
      <w:marLeft w:val="0"/>
      <w:marRight w:val="0"/>
      <w:marTop w:val="0"/>
      <w:marBottom w:val="0"/>
      <w:divBdr>
        <w:top w:val="none" w:sz="0" w:space="0" w:color="auto"/>
        <w:left w:val="none" w:sz="0" w:space="0" w:color="auto"/>
        <w:bottom w:val="none" w:sz="0" w:space="0" w:color="auto"/>
        <w:right w:val="none" w:sz="0" w:space="0" w:color="auto"/>
      </w:divBdr>
      <w:divsChild>
        <w:div w:id="596671044">
          <w:marLeft w:val="-225"/>
          <w:marRight w:val="-225"/>
          <w:marTop w:val="0"/>
          <w:marBottom w:val="0"/>
          <w:divBdr>
            <w:top w:val="none" w:sz="0" w:space="0" w:color="auto"/>
            <w:left w:val="none" w:sz="0" w:space="0" w:color="auto"/>
            <w:bottom w:val="none" w:sz="0" w:space="0" w:color="auto"/>
            <w:right w:val="none" w:sz="0" w:space="0" w:color="auto"/>
          </w:divBdr>
        </w:div>
        <w:div w:id="1505165473">
          <w:marLeft w:val="-225"/>
          <w:marRight w:val="-225"/>
          <w:marTop w:val="0"/>
          <w:marBottom w:val="0"/>
          <w:divBdr>
            <w:top w:val="none" w:sz="0" w:space="0" w:color="auto"/>
            <w:left w:val="none" w:sz="0" w:space="0" w:color="auto"/>
            <w:bottom w:val="none" w:sz="0" w:space="0" w:color="auto"/>
            <w:right w:val="none" w:sz="0" w:space="0" w:color="auto"/>
          </w:divBdr>
        </w:div>
      </w:divsChild>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62858537">
      <w:bodyDiv w:val="1"/>
      <w:marLeft w:val="0"/>
      <w:marRight w:val="0"/>
      <w:marTop w:val="0"/>
      <w:marBottom w:val="0"/>
      <w:divBdr>
        <w:top w:val="none" w:sz="0" w:space="0" w:color="auto"/>
        <w:left w:val="none" w:sz="0" w:space="0" w:color="auto"/>
        <w:bottom w:val="none" w:sz="0" w:space="0" w:color="auto"/>
        <w:right w:val="none" w:sz="0" w:space="0" w:color="auto"/>
      </w:divBdr>
      <w:divsChild>
        <w:div w:id="305281126">
          <w:marLeft w:val="-225"/>
          <w:marRight w:val="-225"/>
          <w:marTop w:val="0"/>
          <w:marBottom w:val="0"/>
          <w:divBdr>
            <w:top w:val="none" w:sz="0" w:space="0" w:color="auto"/>
            <w:left w:val="none" w:sz="0" w:space="0" w:color="auto"/>
            <w:bottom w:val="none" w:sz="0" w:space="0" w:color="auto"/>
            <w:right w:val="none" w:sz="0" w:space="0" w:color="auto"/>
          </w:divBdr>
        </w:div>
        <w:div w:id="503975293">
          <w:marLeft w:val="-225"/>
          <w:marRight w:val="-225"/>
          <w:marTop w:val="0"/>
          <w:marBottom w:val="0"/>
          <w:divBdr>
            <w:top w:val="none" w:sz="0" w:space="0" w:color="auto"/>
            <w:left w:val="none" w:sz="0" w:space="0" w:color="auto"/>
            <w:bottom w:val="none" w:sz="0" w:space="0" w:color="auto"/>
            <w:right w:val="none" w:sz="0" w:space="0" w:color="auto"/>
          </w:divBdr>
        </w:div>
      </w:divsChild>
    </w:div>
    <w:div w:id="669407331">
      <w:bodyDiv w:val="1"/>
      <w:marLeft w:val="0"/>
      <w:marRight w:val="0"/>
      <w:marTop w:val="0"/>
      <w:marBottom w:val="0"/>
      <w:divBdr>
        <w:top w:val="none" w:sz="0" w:space="0" w:color="auto"/>
        <w:left w:val="none" w:sz="0" w:space="0" w:color="auto"/>
        <w:bottom w:val="none" w:sz="0" w:space="0" w:color="auto"/>
        <w:right w:val="none" w:sz="0" w:space="0" w:color="auto"/>
      </w:divBdr>
    </w:div>
    <w:div w:id="684018726">
      <w:bodyDiv w:val="1"/>
      <w:marLeft w:val="0"/>
      <w:marRight w:val="0"/>
      <w:marTop w:val="0"/>
      <w:marBottom w:val="0"/>
      <w:divBdr>
        <w:top w:val="none" w:sz="0" w:space="0" w:color="auto"/>
        <w:left w:val="none" w:sz="0" w:space="0" w:color="auto"/>
        <w:bottom w:val="none" w:sz="0" w:space="0" w:color="auto"/>
        <w:right w:val="none" w:sz="0" w:space="0" w:color="auto"/>
      </w:divBdr>
    </w:div>
    <w:div w:id="688289336">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08996080">
      <w:bodyDiv w:val="1"/>
      <w:marLeft w:val="0"/>
      <w:marRight w:val="0"/>
      <w:marTop w:val="0"/>
      <w:marBottom w:val="0"/>
      <w:divBdr>
        <w:top w:val="none" w:sz="0" w:space="0" w:color="auto"/>
        <w:left w:val="none" w:sz="0" w:space="0" w:color="auto"/>
        <w:bottom w:val="none" w:sz="0" w:space="0" w:color="auto"/>
        <w:right w:val="none" w:sz="0" w:space="0" w:color="auto"/>
      </w:divBdr>
    </w:div>
    <w:div w:id="711421719">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33745662">
      <w:bodyDiv w:val="1"/>
      <w:marLeft w:val="0"/>
      <w:marRight w:val="0"/>
      <w:marTop w:val="0"/>
      <w:marBottom w:val="0"/>
      <w:divBdr>
        <w:top w:val="none" w:sz="0" w:space="0" w:color="auto"/>
        <w:left w:val="none" w:sz="0" w:space="0" w:color="auto"/>
        <w:bottom w:val="none" w:sz="0" w:space="0" w:color="auto"/>
        <w:right w:val="none" w:sz="0" w:space="0" w:color="auto"/>
      </w:divBdr>
    </w:div>
    <w:div w:id="740907475">
      <w:bodyDiv w:val="1"/>
      <w:marLeft w:val="0"/>
      <w:marRight w:val="0"/>
      <w:marTop w:val="0"/>
      <w:marBottom w:val="0"/>
      <w:divBdr>
        <w:top w:val="none" w:sz="0" w:space="0" w:color="auto"/>
        <w:left w:val="none" w:sz="0" w:space="0" w:color="auto"/>
        <w:bottom w:val="none" w:sz="0" w:space="0" w:color="auto"/>
        <w:right w:val="none" w:sz="0" w:space="0" w:color="auto"/>
      </w:divBdr>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3672277">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70317609">
      <w:bodyDiv w:val="1"/>
      <w:marLeft w:val="0"/>
      <w:marRight w:val="0"/>
      <w:marTop w:val="0"/>
      <w:marBottom w:val="0"/>
      <w:divBdr>
        <w:top w:val="none" w:sz="0" w:space="0" w:color="auto"/>
        <w:left w:val="none" w:sz="0" w:space="0" w:color="auto"/>
        <w:bottom w:val="none" w:sz="0" w:space="0" w:color="auto"/>
        <w:right w:val="none" w:sz="0" w:space="0" w:color="auto"/>
      </w:divBdr>
    </w:div>
    <w:div w:id="780564526">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1542">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7534190">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4935913">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8032218">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541266">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40313699">
      <w:bodyDiv w:val="1"/>
      <w:marLeft w:val="0"/>
      <w:marRight w:val="0"/>
      <w:marTop w:val="0"/>
      <w:marBottom w:val="0"/>
      <w:divBdr>
        <w:top w:val="none" w:sz="0" w:space="0" w:color="auto"/>
        <w:left w:val="none" w:sz="0" w:space="0" w:color="auto"/>
        <w:bottom w:val="none" w:sz="0" w:space="0" w:color="auto"/>
        <w:right w:val="none" w:sz="0" w:space="0" w:color="auto"/>
      </w:divBdr>
    </w:div>
    <w:div w:id="843324931">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58544756">
      <w:bodyDiv w:val="1"/>
      <w:marLeft w:val="0"/>
      <w:marRight w:val="0"/>
      <w:marTop w:val="0"/>
      <w:marBottom w:val="0"/>
      <w:divBdr>
        <w:top w:val="none" w:sz="0" w:space="0" w:color="auto"/>
        <w:left w:val="none" w:sz="0" w:space="0" w:color="auto"/>
        <w:bottom w:val="none" w:sz="0" w:space="0" w:color="auto"/>
        <w:right w:val="none" w:sz="0" w:space="0" w:color="auto"/>
      </w:divBdr>
    </w:div>
    <w:div w:id="858814343">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1553576">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0653640">
      <w:bodyDiv w:val="1"/>
      <w:marLeft w:val="0"/>
      <w:marRight w:val="0"/>
      <w:marTop w:val="0"/>
      <w:marBottom w:val="0"/>
      <w:divBdr>
        <w:top w:val="none" w:sz="0" w:space="0" w:color="auto"/>
        <w:left w:val="none" w:sz="0" w:space="0" w:color="auto"/>
        <w:bottom w:val="none" w:sz="0" w:space="0" w:color="auto"/>
        <w:right w:val="none" w:sz="0" w:space="0" w:color="auto"/>
      </w:divBdr>
    </w:div>
    <w:div w:id="871109420">
      <w:bodyDiv w:val="1"/>
      <w:marLeft w:val="0"/>
      <w:marRight w:val="0"/>
      <w:marTop w:val="0"/>
      <w:marBottom w:val="0"/>
      <w:divBdr>
        <w:top w:val="none" w:sz="0" w:space="0" w:color="auto"/>
        <w:left w:val="none" w:sz="0" w:space="0" w:color="auto"/>
        <w:bottom w:val="none" w:sz="0" w:space="0" w:color="auto"/>
        <w:right w:val="none" w:sz="0" w:space="0" w:color="auto"/>
      </w:divBdr>
    </w:div>
    <w:div w:id="873539724">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74082891">
      <w:bodyDiv w:val="1"/>
      <w:marLeft w:val="0"/>
      <w:marRight w:val="0"/>
      <w:marTop w:val="0"/>
      <w:marBottom w:val="0"/>
      <w:divBdr>
        <w:top w:val="none" w:sz="0" w:space="0" w:color="auto"/>
        <w:left w:val="none" w:sz="0" w:space="0" w:color="auto"/>
        <w:bottom w:val="none" w:sz="0" w:space="0" w:color="auto"/>
        <w:right w:val="none" w:sz="0" w:space="0" w:color="auto"/>
      </w:divBdr>
    </w:div>
    <w:div w:id="87478106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5289164">
      <w:bodyDiv w:val="1"/>
      <w:marLeft w:val="0"/>
      <w:marRight w:val="0"/>
      <w:marTop w:val="0"/>
      <w:marBottom w:val="0"/>
      <w:divBdr>
        <w:top w:val="none" w:sz="0" w:space="0" w:color="auto"/>
        <w:left w:val="none" w:sz="0" w:space="0" w:color="auto"/>
        <w:bottom w:val="none" w:sz="0" w:space="0" w:color="auto"/>
        <w:right w:val="none" w:sz="0" w:space="0" w:color="auto"/>
      </w:divBdr>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5167002">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6669910">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6330272">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4653199">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5548242">
      <w:bodyDiv w:val="1"/>
      <w:marLeft w:val="0"/>
      <w:marRight w:val="0"/>
      <w:marTop w:val="0"/>
      <w:marBottom w:val="0"/>
      <w:divBdr>
        <w:top w:val="none" w:sz="0" w:space="0" w:color="auto"/>
        <w:left w:val="none" w:sz="0" w:space="0" w:color="auto"/>
        <w:bottom w:val="none" w:sz="0" w:space="0" w:color="auto"/>
        <w:right w:val="none" w:sz="0" w:space="0" w:color="auto"/>
      </w:divBdr>
      <w:divsChild>
        <w:div w:id="634414743">
          <w:marLeft w:val="-225"/>
          <w:marRight w:val="-225"/>
          <w:marTop w:val="0"/>
          <w:marBottom w:val="0"/>
          <w:divBdr>
            <w:top w:val="none" w:sz="0" w:space="0" w:color="auto"/>
            <w:left w:val="none" w:sz="0" w:space="0" w:color="auto"/>
            <w:bottom w:val="none" w:sz="0" w:space="0" w:color="auto"/>
            <w:right w:val="none" w:sz="0" w:space="0" w:color="auto"/>
          </w:divBdr>
        </w:div>
        <w:div w:id="784084646">
          <w:marLeft w:val="-225"/>
          <w:marRight w:val="-225"/>
          <w:marTop w:val="0"/>
          <w:marBottom w:val="0"/>
          <w:divBdr>
            <w:top w:val="none" w:sz="0" w:space="0" w:color="auto"/>
            <w:left w:val="none" w:sz="0" w:space="0" w:color="auto"/>
            <w:bottom w:val="none" w:sz="0" w:space="0" w:color="auto"/>
            <w:right w:val="none" w:sz="0" w:space="0" w:color="auto"/>
          </w:divBdr>
        </w:div>
        <w:div w:id="1017847020">
          <w:marLeft w:val="-225"/>
          <w:marRight w:val="-225"/>
          <w:marTop w:val="0"/>
          <w:marBottom w:val="0"/>
          <w:divBdr>
            <w:top w:val="none" w:sz="0" w:space="0" w:color="auto"/>
            <w:left w:val="none" w:sz="0" w:space="0" w:color="auto"/>
            <w:bottom w:val="none" w:sz="0" w:space="0" w:color="auto"/>
            <w:right w:val="none" w:sz="0" w:space="0" w:color="auto"/>
          </w:divBdr>
        </w:div>
        <w:div w:id="1050685041">
          <w:marLeft w:val="-225"/>
          <w:marRight w:val="-225"/>
          <w:marTop w:val="0"/>
          <w:marBottom w:val="0"/>
          <w:divBdr>
            <w:top w:val="none" w:sz="0" w:space="0" w:color="auto"/>
            <w:left w:val="none" w:sz="0" w:space="0" w:color="auto"/>
            <w:bottom w:val="none" w:sz="0" w:space="0" w:color="auto"/>
            <w:right w:val="none" w:sz="0" w:space="0" w:color="auto"/>
          </w:divBdr>
        </w:div>
        <w:div w:id="1149982054">
          <w:marLeft w:val="-225"/>
          <w:marRight w:val="-225"/>
          <w:marTop w:val="0"/>
          <w:marBottom w:val="0"/>
          <w:divBdr>
            <w:top w:val="none" w:sz="0" w:space="0" w:color="auto"/>
            <w:left w:val="none" w:sz="0" w:space="0" w:color="auto"/>
            <w:bottom w:val="none" w:sz="0" w:space="0" w:color="auto"/>
            <w:right w:val="none" w:sz="0" w:space="0" w:color="auto"/>
          </w:divBdr>
        </w:div>
        <w:div w:id="1360623082">
          <w:marLeft w:val="-225"/>
          <w:marRight w:val="-225"/>
          <w:marTop w:val="0"/>
          <w:marBottom w:val="0"/>
          <w:divBdr>
            <w:top w:val="none" w:sz="0" w:space="0" w:color="auto"/>
            <w:left w:val="none" w:sz="0" w:space="0" w:color="auto"/>
            <w:bottom w:val="none" w:sz="0" w:space="0" w:color="auto"/>
            <w:right w:val="none" w:sz="0" w:space="0" w:color="auto"/>
          </w:divBdr>
        </w:div>
        <w:div w:id="1664703936">
          <w:marLeft w:val="-225"/>
          <w:marRight w:val="-225"/>
          <w:marTop w:val="0"/>
          <w:marBottom w:val="0"/>
          <w:divBdr>
            <w:top w:val="none" w:sz="0" w:space="0" w:color="auto"/>
            <w:left w:val="none" w:sz="0" w:space="0" w:color="auto"/>
            <w:bottom w:val="none" w:sz="0" w:space="0" w:color="auto"/>
            <w:right w:val="none" w:sz="0" w:space="0" w:color="auto"/>
          </w:divBdr>
        </w:div>
      </w:divsChild>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74258974">
      <w:bodyDiv w:val="1"/>
      <w:marLeft w:val="0"/>
      <w:marRight w:val="0"/>
      <w:marTop w:val="0"/>
      <w:marBottom w:val="0"/>
      <w:divBdr>
        <w:top w:val="none" w:sz="0" w:space="0" w:color="auto"/>
        <w:left w:val="none" w:sz="0" w:space="0" w:color="auto"/>
        <w:bottom w:val="none" w:sz="0" w:space="0" w:color="auto"/>
        <w:right w:val="none" w:sz="0" w:space="0" w:color="auto"/>
      </w:divBdr>
    </w:div>
    <w:div w:id="984773402">
      <w:bodyDiv w:val="1"/>
      <w:marLeft w:val="0"/>
      <w:marRight w:val="0"/>
      <w:marTop w:val="0"/>
      <w:marBottom w:val="0"/>
      <w:divBdr>
        <w:top w:val="none" w:sz="0" w:space="0" w:color="auto"/>
        <w:left w:val="none" w:sz="0" w:space="0" w:color="auto"/>
        <w:bottom w:val="none" w:sz="0" w:space="0" w:color="auto"/>
        <w:right w:val="none" w:sz="0" w:space="0" w:color="auto"/>
      </w:divBdr>
    </w:div>
    <w:div w:id="985277413">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09020349">
      <w:bodyDiv w:val="1"/>
      <w:marLeft w:val="0"/>
      <w:marRight w:val="0"/>
      <w:marTop w:val="0"/>
      <w:marBottom w:val="0"/>
      <w:divBdr>
        <w:top w:val="none" w:sz="0" w:space="0" w:color="auto"/>
        <w:left w:val="none" w:sz="0" w:space="0" w:color="auto"/>
        <w:bottom w:val="none" w:sz="0" w:space="0" w:color="auto"/>
        <w:right w:val="none" w:sz="0" w:space="0" w:color="auto"/>
      </w:divBdr>
    </w:div>
    <w:div w:id="1018190127">
      <w:bodyDiv w:val="1"/>
      <w:marLeft w:val="0"/>
      <w:marRight w:val="0"/>
      <w:marTop w:val="0"/>
      <w:marBottom w:val="0"/>
      <w:divBdr>
        <w:top w:val="none" w:sz="0" w:space="0" w:color="auto"/>
        <w:left w:val="none" w:sz="0" w:space="0" w:color="auto"/>
        <w:bottom w:val="none" w:sz="0" w:space="0" w:color="auto"/>
        <w:right w:val="none" w:sz="0" w:space="0" w:color="auto"/>
      </w:divBdr>
    </w:div>
    <w:div w:id="1018199412">
      <w:bodyDiv w:val="1"/>
      <w:marLeft w:val="0"/>
      <w:marRight w:val="0"/>
      <w:marTop w:val="0"/>
      <w:marBottom w:val="0"/>
      <w:divBdr>
        <w:top w:val="none" w:sz="0" w:space="0" w:color="auto"/>
        <w:left w:val="none" w:sz="0" w:space="0" w:color="auto"/>
        <w:bottom w:val="none" w:sz="0" w:space="0" w:color="auto"/>
        <w:right w:val="none" w:sz="0" w:space="0" w:color="auto"/>
      </w:divBdr>
    </w:div>
    <w:div w:id="1029797204">
      <w:bodyDiv w:val="1"/>
      <w:marLeft w:val="0"/>
      <w:marRight w:val="0"/>
      <w:marTop w:val="0"/>
      <w:marBottom w:val="0"/>
      <w:divBdr>
        <w:top w:val="none" w:sz="0" w:space="0" w:color="auto"/>
        <w:left w:val="none" w:sz="0" w:space="0" w:color="auto"/>
        <w:bottom w:val="none" w:sz="0" w:space="0" w:color="auto"/>
        <w:right w:val="none" w:sz="0" w:space="0" w:color="auto"/>
      </w:divBdr>
    </w:div>
    <w:div w:id="1030036737">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41712525">
      <w:bodyDiv w:val="1"/>
      <w:marLeft w:val="0"/>
      <w:marRight w:val="0"/>
      <w:marTop w:val="0"/>
      <w:marBottom w:val="0"/>
      <w:divBdr>
        <w:top w:val="none" w:sz="0" w:space="0" w:color="auto"/>
        <w:left w:val="none" w:sz="0" w:space="0" w:color="auto"/>
        <w:bottom w:val="none" w:sz="0" w:space="0" w:color="auto"/>
        <w:right w:val="none" w:sz="0" w:space="0" w:color="auto"/>
      </w:divBdr>
      <w:divsChild>
        <w:div w:id="963391472">
          <w:marLeft w:val="0"/>
          <w:marRight w:val="0"/>
          <w:marTop w:val="0"/>
          <w:marBottom w:val="0"/>
          <w:divBdr>
            <w:top w:val="none" w:sz="0" w:space="0" w:color="auto"/>
            <w:left w:val="none" w:sz="0" w:space="0" w:color="auto"/>
            <w:bottom w:val="none" w:sz="0" w:space="0" w:color="auto"/>
            <w:right w:val="none" w:sz="0" w:space="0" w:color="auto"/>
          </w:divBdr>
          <w:divsChild>
            <w:div w:id="2088185557">
              <w:marLeft w:val="0"/>
              <w:marRight w:val="0"/>
              <w:marTop w:val="0"/>
              <w:marBottom w:val="0"/>
              <w:divBdr>
                <w:top w:val="none" w:sz="0" w:space="0" w:color="auto"/>
                <w:left w:val="none" w:sz="0" w:space="0" w:color="auto"/>
                <w:bottom w:val="none" w:sz="0" w:space="0" w:color="auto"/>
                <w:right w:val="none" w:sz="0" w:space="0" w:color="auto"/>
              </w:divBdr>
              <w:divsChild>
                <w:div w:id="1846628267">
                  <w:marLeft w:val="0"/>
                  <w:marRight w:val="0"/>
                  <w:marTop w:val="0"/>
                  <w:marBottom w:val="0"/>
                  <w:divBdr>
                    <w:top w:val="none" w:sz="0" w:space="0" w:color="auto"/>
                    <w:left w:val="none" w:sz="0" w:space="0" w:color="auto"/>
                    <w:bottom w:val="none" w:sz="0" w:space="0" w:color="auto"/>
                    <w:right w:val="none" w:sz="0" w:space="0" w:color="auto"/>
                  </w:divBdr>
                  <w:divsChild>
                    <w:div w:id="113247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938747">
          <w:marLeft w:val="0"/>
          <w:marRight w:val="0"/>
          <w:marTop w:val="0"/>
          <w:marBottom w:val="0"/>
          <w:divBdr>
            <w:top w:val="none" w:sz="0" w:space="0" w:color="auto"/>
            <w:left w:val="none" w:sz="0" w:space="0" w:color="auto"/>
            <w:bottom w:val="none" w:sz="0" w:space="0" w:color="auto"/>
            <w:right w:val="none" w:sz="0" w:space="0" w:color="auto"/>
          </w:divBdr>
          <w:divsChild>
            <w:div w:id="1291520089">
              <w:marLeft w:val="0"/>
              <w:marRight w:val="0"/>
              <w:marTop w:val="0"/>
              <w:marBottom w:val="0"/>
              <w:divBdr>
                <w:top w:val="none" w:sz="0" w:space="0" w:color="auto"/>
                <w:left w:val="none" w:sz="0" w:space="0" w:color="auto"/>
                <w:bottom w:val="none" w:sz="0" w:space="0" w:color="auto"/>
                <w:right w:val="none" w:sz="0" w:space="0" w:color="auto"/>
              </w:divBdr>
              <w:divsChild>
                <w:div w:id="58638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779055">
          <w:marLeft w:val="0"/>
          <w:marRight w:val="0"/>
          <w:marTop w:val="100"/>
          <w:marBottom w:val="0"/>
          <w:divBdr>
            <w:top w:val="none" w:sz="0" w:space="0" w:color="auto"/>
            <w:left w:val="none" w:sz="0" w:space="0" w:color="auto"/>
            <w:bottom w:val="none" w:sz="0" w:space="0" w:color="auto"/>
            <w:right w:val="none" w:sz="0" w:space="0" w:color="auto"/>
          </w:divBdr>
        </w:div>
      </w:divsChild>
    </w:div>
    <w:div w:id="1048603677">
      <w:bodyDiv w:val="1"/>
      <w:marLeft w:val="0"/>
      <w:marRight w:val="0"/>
      <w:marTop w:val="0"/>
      <w:marBottom w:val="0"/>
      <w:divBdr>
        <w:top w:val="none" w:sz="0" w:space="0" w:color="auto"/>
        <w:left w:val="none" w:sz="0" w:space="0" w:color="auto"/>
        <w:bottom w:val="none" w:sz="0" w:space="0" w:color="auto"/>
        <w:right w:val="none" w:sz="0" w:space="0" w:color="auto"/>
      </w:divBdr>
    </w:div>
    <w:div w:id="1048842044">
      <w:bodyDiv w:val="1"/>
      <w:marLeft w:val="0"/>
      <w:marRight w:val="0"/>
      <w:marTop w:val="0"/>
      <w:marBottom w:val="0"/>
      <w:divBdr>
        <w:top w:val="none" w:sz="0" w:space="0" w:color="auto"/>
        <w:left w:val="none" w:sz="0" w:space="0" w:color="auto"/>
        <w:bottom w:val="none" w:sz="0" w:space="0" w:color="auto"/>
        <w:right w:val="none" w:sz="0" w:space="0" w:color="auto"/>
      </w:divBdr>
    </w:div>
    <w:div w:id="1059010764">
      <w:bodyDiv w:val="1"/>
      <w:marLeft w:val="0"/>
      <w:marRight w:val="0"/>
      <w:marTop w:val="0"/>
      <w:marBottom w:val="0"/>
      <w:divBdr>
        <w:top w:val="none" w:sz="0" w:space="0" w:color="auto"/>
        <w:left w:val="none" w:sz="0" w:space="0" w:color="auto"/>
        <w:bottom w:val="none" w:sz="0" w:space="0" w:color="auto"/>
        <w:right w:val="none" w:sz="0" w:space="0" w:color="auto"/>
      </w:divBdr>
    </w:div>
    <w:div w:id="1070076706">
      <w:bodyDiv w:val="1"/>
      <w:marLeft w:val="0"/>
      <w:marRight w:val="0"/>
      <w:marTop w:val="0"/>
      <w:marBottom w:val="0"/>
      <w:divBdr>
        <w:top w:val="none" w:sz="0" w:space="0" w:color="auto"/>
        <w:left w:val="none" w:sz="0" w:space="0" w:color="auto"/>
        <w:bottom w:val="none" w:sz="0" w:space="0" w:color="auto"/>
        <w:right w:val="none" w:sz="0" w:space="0" w:color="auto"/>
      </w:divBdr>
    </w:div>
    <w:div w:id="1071346750">
      <w:bodyDiv w:val="1"/>
      <w:marLeft w:val="0"/>
      <w:marRight w:val="0"/>
      <w:marTop w:val="0"/>
      <w:marBottom w:val="0"/>
      <w:divBdr>
        <w:top w:val="none" w:sz="0" w:space="0" w:color="auto"/>
        <w:left w:val="none" w:sz="0" w:space="0" w:color="auto"/>
        <w:bottom w:val="none" w:sz="0" w:space="0" w:color="auto"/>
        <w:right w:val="none" w:sz="0" w:space="0" w:color="auto"/>
      </w:divBdr>
      <w:divsChild>
        <w:div w:id="772285736">
          <w:marLeft w:val="0"/>
          <w:marRight w:val="0"/>
          <w:marTop w:val="100"/>
          <w:marBottom w:val="0"/>
          <w:divBdr>
            <w:top w:val="none" w:sz="0" w:space="0" w:color="auto"/>
            <w:left w:val="none" w:sz="0" w:space="0" w:color="auto"/>
            <w:bottom w:val="none" w:sz="0" w:space="0" w:color="auto"/>
            <w:right w:val="none" w:sz="0" w:space="0" w:color="auto"/>
          </w:divBdr>
        </w:div>
        <w:div w:id="1476491384">
          <w:marLeft w:val="0"/>
          <w:marRight w:val="0"/>
          <w:marTop w:val="0"/>
          <w:marBottom w:val="0"/>
          <w:divBdr>
            <w:top w:val="none" w:sz="0" w:space="0" w:color="auto"/>
            <w:left w:val="none" w:sz="0" w:space="0" w:color="auto"/>
            <w:bottom w:val="none" w:sz="0" w:space="0" w:color="auto"/>
            <w:right w:val="none" w:sz="0" w:space="0" w:color="auto"/>
          </w:divBdr>
          <w:divsChild>
            <w:div w:id="1610775056">
              <w:marLeft w:val="0"/>
              <w:marRight w:val="0"/>
              <w:marTop w:val="0"/>
              <w:marBottom w:val="0"/>
              <w:divBdr>
                <w:top w:val="none" w:sz="0" w:space="0" w:color="auto"/>
                <w:left w:val="none" w:sz="0" w:space="0" w:color="auto"/>
                <w:bottom w:val="none" w:sz="0" w:space="0" w:color="auto"/>
                <w:right w:val="none" w:sz="0" w:space="0" w:color="auto"/>
              </w:divBdr>
              <w:divsChild>
                <w:div w:id="1274241427">
                  <w:marLeft w:val="0"/>
                  <w:marRight w:val="0"/>
                  <w:marTop w:val="0"/>
                  <w:marBottom w:val="0"/>
                  <w:divBdr>
                    <w:top w:val="none" w:sz="0" w:space="0" w:color="auto"/>
                    <w:left w:val="none" w:sz="0" w:space="0" w:color="auto"/>
                    <w:bottom w:val="none" w:sz="0" w:space="0" w:color="auto"/>
                    <w:right w:val="none" w:sz="0" w:space="0" w:color="auto"/>
                  </w:divBdr>
                  <w:divsChild>
                    <w:div w:id="13202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054717">
          <w:marLeft w:val="0"/>
          <w:marRight w:val="0"/>
          <w:marTop w:val="0"/>
          <w:marBottom w:val="0"/>
          <w:divBdr>
            <w:top w:val="none" w:sz="0" w:space="0" w:color="auto"/>
            <w:left w:val="none" w:sz="0" w:space="0" w:color="auto"/>
            <w:bottom w:val="none" w:sz="0" w:space="0" w:color="auto"/>
            <w:right w:val="none" w:sz="0" w:space="0" w:color="auto"/>
          </w:divBdr>
          <w:divsChild>
            <w:div w:id="858200756">
              <w:marLeft w:val="0"/>
              <w:marRight w:val="0"/>
              <w:marTop w:val="0"/>
              <w:marBottom w:val="0"/>
              <w:divBdr>
                <w:top w:val="none" w:sz="0" w:space="0" w:color="auto"/>
                <w:left w:val="none" w:sz="0" w:space="0" w:color="auto"/>
                <w:bottom w:val="none" w:sz="0" w:space="0" w:color="auto"/>
                <w:right w:val="none" w:sz="0" w:space="0" w:color="auto"/>
              </w:divBdr>
              <w:divsChild>
                <w:div w:id="77721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75055910">
      <w:bodyDiv w:val="1"/>
      <w:marLeft w:val="0"/>
      <w:marRight w:val="0"/>
      <w:marTop w:val="0"/>
      <w:marBottom w:val="0"/>
      <w:divBdr>
        <w:top w:val="none" w:sz="0" w:space="0" w:color="auto"/>
        <w:left w:val="none" w:sz="0" w:space="0" w:color="auto"/>
        <w:bottom w:val="none" w:sz="0" w:space="0" w:color="auto"/>
        <w:right w:val="none" w:sz="0" w:space="0" w:color="auto"/>
      </w:divBdr>
    </w:div>
    <w:div w:id="1075592784">
      <w:bodyDiv w:val="1"/>
      <w:marLeft w:val="0"/>
      <w:marRight w:val="0"/>
      <w:marTop w:val="0"/>
      <w:marBottom w:val="0"/>
      <w:divBdr>
        <w:top w:val="none" w:sz="0" w:space="0" w:color="auto"/>
        <w:left w:val="none" w:sz="0" w:space="0" w:color="auto"/>
        <w:bottom w:val="none" w:sz="0" w:space="0" w:color="auto"/>
        <w:right w:val="none" w:sz="0" w:space="0" w:color="auto"/>
      </w:divBdr>
    </w:div>
    <w:div w:id="1077357672">
      <w:bodyDiv w:val="1"/>
      <w:marLeft w:val="0"/>
      <w:marRight w:val="0"/>
      <w:marTop w:val="0"/>
      <w:marBottom w:val="0"/>
      <w:divBdr>
        <w:top w:val="none" w:sz="0" w:space="0" w:color="auto"/>
        <w:left w:val="none" w:sz="0" w:space="0" w:color="auto"/>
        <w:bottom w:val="none" w:sz="0" w:space="0" w:color="auto"/>
        <w:right w:val="none" w:sz="0" w:space="0" w:color="auto"/>
      </w:divBdr>
    </w:div>
    <w:div w:id="1082725876">
      <w:bodyDiv w:val="1"/>
      <w:marLeft w:val="0"/>
      <w:marRight w:val="0"/>
      <w:marTop w:val="0"/>
      <w:marBottom w:val="0"/>
      <w:divBdr>
        <w:top w:val="none" w:sz="0" w:space="0" w:color="auto"/>
        <w:left w:val="none" w:sz="0" w:space="0" w:color="auto"/>
        <w:bottom w:val="none" w:sz="0" w:space="0" w:color="auto"/>
        <w:right w:val="none" w:sz="0" w:space="0" w:color="auto"/>
      </w:divBdr>
    </w:div>
    <w:div w:id="1083572322">
      <w:bodyDiv w:val="1"/>
      <w:marLeft w:val="0"/>
      <w:marRight w:val="0"/>
      <w:marTop w:val="0"/>
      <w:marBottom w:val="0"/>
      <w:divBdr>
        <w:top w:val="none" w:sz="0" w:space="0" w:color="auto"/>
        <w:left w:val="none" w:sz="0" w:space="0" w:color="auto"/>
        <w:bottom w:val="none" w:sz="0" w:space="0" w:color="auto"/>
        <w:right w:val="none" w:sz="0" w:space="0" w:color="auto"/>
      </w:divBdr>
    </w:div>
    <w:div w:id="1084689533">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097990996">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07627452">
      <w:bodyDiv w:val="1"/>
      <w:marLeft w:val="0"/>
      <w:marRight w:val="0"/>
      <w:marTop w:val="0"/>
      <w:marBottom w:val="0"/>
      <w:divBdr>
        <w:top w:val="none" w:sz="0" w:space="0" w:color="auto"/>
        <w:left w:val="none" w:sz="0" w:space="0" w:color="auto"/>
        <w:bottom w:val="none" w:sz="0" w:space="0" w:color="auto"/>
        <w:right w:val="none" w:sz="0" w:space="0" w:color="auto"/>
      </w:divBdr>
    </w:div>
    <w:div w:id="1108625161">
      <w:bodyDiv w:val="1"/>
      <w:marLeft w:val="0"/>
      <w:marRight w:val="0"/>
      <w:marTop w:val="0"/>
      <w:marBottom w:val="0"/>
      <w:divBdr>
        <w:top w:val="none" w:sz="0" w:space="0" w:color="auto"/>
        <w:left w:val="none" w:sz="0" w:space="0" w:color="auto"/>
        <w:bottom w:val="none" w:sz="0" w:space="0" w:color="auto"/>
        <w:right w:val="none" w:sz="0" w:space="0" w:color="auto"/>
      </w:divBdr>
    </w:div>
    <w:div w:id="1113134196">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57572708">
      <w:bodyDiv w:val="1"/>
      <w:marLeft w:val="0"/>
      <w:marRight w:val="0"/>
      <w:marTop w:val="0"/>
      <w:marBottom w:val="0"/>
      <w:divBdr>
        <w:top w:val="none" w:sz="0" w:space="0" w:color="auto"/>
        <w:left w:val="none" w:sz="0" w:space="0" w:color="auto"/>
        <w:bottom w:val="none" w:sz="0" w:space="0" w:color="auto"/>
        <w:right w:val="none" w:sz="0" w:space="0" w:color="auto"/>
      </w:divBdr>
    </w:div>
    <w:div w:id="1173571664">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112864">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85168832">
      <w:bodyDiv w:val="1"/>
      <w:marLeft w:val="0"/>
      <w:marRight w:val="0"/>
      <w:marTop w:val="0"/>
      <w:marBottom w:val="0"/>
      <w:divBdr>
        <w:top w:val="none" w:sz="0" w:space="0" w:color="auto"/>
        <w:left w:val="none" w:sz="0" w:space="0" w:color="auto"/>
        <w:bottom w:val="none" w:sz="0" w:space="0" w:color="auto"/>
        <w:right w:val="none" w:sz="0" w:space="0" w:color="auto"/>
      </w:divBdr>
    </w:div>
    <w:div w:id="1185246326">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26377556">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41019872">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4779498">
      <w:bodyDiv w:val="1"/>
      <w:marLeft w:val="0"/>
      <w:marRight w:val="0"/>
      <w:marTop w:val="0"/>
      <w:marBottom w:val="0"/>
      <w:divBdr>
        <w:top w:val="none" w:sz="0" w:space="0" w:color="auto"/>
        <w:left w:val="none" w:sz="0" w:space="0" w:color="auto"/>
        <w:bottom w:val="none" w:sz="0" w:space="0" w:color="auto"/>
        <w:right w:val="none" w:sz="0" w:space="0" w:color="auto"/>
      </w:divBdr>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57011978">
      <w:bodyDiv w:val="1"/>
      <w:marLeft w:val="0"/>
      <w:marRight w:val="0"/>
      <w:marTop w:val="0"/>
      <w:marBottom w:val="0"/>
      <w:divBdr>
        <w:top w:val="none" w:sz="0" w:space="0" w:color="auto"/>
        <w:left w:val="none" w:sz="0" w:space="0" w:color="auto"/>
        <w:bottom w:val="none" w:sz="0" w:space="0" w:color="auto"/>
        <w:right w:val="none" w:sz="0" w:space="0" w:color="auto"/>
      </w:divBdr>
    </w:div>
    <w:div w:id="1259946161">
      <w:bodyDiv w:val="1"/>
      <w:marLeft w:val="0"/>
      <w:marRight w:val="0"/>
      <w:marTop w:val="0"/>
      <w:marBottom w:val="0"/>
      <w:divBdr>
        <w:top w:val="none" w:sz="0" w:space="0" w:color="auto"/>
        <w:left w:val="none" w:sz="0" w:space="0" w:color="auto"/>
        <w:bottom w:val="none" w:sz="0" w:space="0" w:color="auto"/>
        <w:right w:val="none" w:sz="0" w:space="0" w:color="auto"/>
      </w:divBdr>
    </w:div>
    <w:div w:id="1264925048">
      <w:bodyDiv w:val="1"/>
      <w:marLeft w:val="0"/>
      <w:marRight w:val="0"/>
      <w:marTop w:val="0"/>
      <w:marBottom w:val="0"/>
      <w:divBdr>
        <w:top w:val="none" w:sz="0" w:space="0" w:color="auto"/>
        <w:left w:val="none" w:sz="0" w:space="0" w:color="auto"/>
        <w:bottom w:val="none" w:sz="0" w:space="0" w:color="auto"/>
        <w:right w:val="none" w:sz="0" w:space="0" w:color="auto"/>
      </w:divBdr>
    </w:div>
    <w:div w:id="1267350721">
      <w:bodyDiv w:val="1"/>
      <w:marLeft w:val="0"/>
      <w:marRight w:val="0"/>
      <w:marTop w:val="0"/>
      <w:marBottom w:val="0"/>
      <w:divBdr>
        <w:top w:val="none" w:sz="0" w:space="0" w:color="auto"/>
        <w:left w:val="none" w:sz="0" w:space="0" w:color="auto"/>
        <w:bottom w:val="none" w:sz="0" w:space="0" w:color="auto"/>
        <w:right w:val="none" w:sz="0" w:space="0" w:color="auto"/>
      </w:divBdr>
    </w:div>
    <w:div w:id="1275597550">
      <w:bodyDiv w:val="1"/>
      <w:marLeft w:val="0"/>
      <w:marRight w:val="0"/>
      <w:marTop w:val="0"/>
      <w:marBottom w:val="0"/>
      <w:divBdr>
        <w:top w:val="none" w:sz="0" w:space="0" w:color="auto"/>
        <w:left w:val="none" w:sz="0" w:space="0" w:color="auto"/>
        <w:bottom w:val="none" w:sz="0" w:space="0" w:color="auto"/>
        <w:right w:val="none" w:sz="0" w:space="0" w:color="auto"/>
      </w:divBdr>
    </w:div>
    <w:div w:id="1275862343">
      <w:bodyDiv w:val="1"/>
      <w:marLeft w:val="0"/>
      <w:marRight w:val="0"/>
      <w:marTop w:val="0"/>
      <w:marBottom w:val="0"/>
      <w:divBdr>
        <w:top w:val="none" w:sz="0" w:space="0" w:color="auto"/>
        <w:left w:val="none" w:sz="0" w:space="0" w:color="auto"/>
        <w:bottom w:val="none" w:sz="0" w:space="0" w:color="auto"/>
        <w:right w:val="none" w:sz="0" w:space="0" w:color="auto"/>
      </w:divBdr>
    </w:div>
    <w:div w:id="1278944861">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298990454">
      <w:bodyDiv w:val="1"/>
      <w:marLeft w:val="0"/>
      <w:marRight w:val="0"/>
      <w:marTop w:val="0"/>
      <w:marBottom w:val="0"/>
      <w:divBdr>
        <w:top w:val="none" w:sz="0" w:space="0" w:color="auto"/>
        <w:left w:val="none" w:sz="0" w:space="0" w:color="auto"/>
        <w:bottom w:val="none" w:sz="0" w:space="0" w:color="auto"/>
        <w:right w:val="none" w:sz="0" w:space="0" w:color="auto"/>
      </w:divBdr>
    </w:div>
    <w:div w:id="1300497918">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8651005">
      <w:bodyDiv w:val="1"/>
      <w:marLeft w:val="0"/>
      <w:marRight w:val="0"/>
      <w:marTop w:val="0"/>
      <w:marBottom w:val="0"/>
      <w:divBdr>
        <w:top w:val="none" w:sz="0" w:space="0" w:color="auto"/>
        <w:left w:val="none" w:sz="0" w:space="0" w:color="auto"/>
        <w:bottom w:val="none" w:sz="0" w:space="0" w:color="auto"/>
        <w:right w:val="none" w:sz="0" w:space="0" w:color="auto"/>
      </w:divBdr>
    </w:div>
    <w:div w:id="1319117418">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29794471">
      <w:bodyDiv w:val="1"/>
      <w:marLeft w:val="0"/>
      <w:marRight w:val="0"/>
      <w:marTop w:val="0"/>
      <w:marBottom w:val="0"/>
      <w:divBdr>
        <w:top w:val="none" w:sz="0" w:space="0" w:color="auto"/>
        <w:left w:val="none" w:sz="0" w:space="0" w:color="auto"/>
        <w:bottom w:val="none" w:sz="0" w:space="0" w:color="auto"/>
        <w:right w:val="none" w:sz="0" w:space="0" w:color="auto"/>
      </w:divBdr>
    </w:div>
    <w:div w:id="1338382515">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45937243">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59431233">
      <w:bodyDiv w:val="1"/>
      <w:marLeft w:val="0"/>
      <w:marRight w:val="0"/>
      <w:marTop w:val="0"/>
      <w:marBottom w:val="0"/>
      <w:divBdr>
        <w:top w:val="none" w:sz="0" w:space="0" w:color="auto"/>
        <w:left w:val="none" w:sz="0" w:space="0" w:color="auto"/>
        <w:bottom w:val="none" w:sz="0" w:space="0" w:color="auto"/>
        <w:right w:val="none" w:sz="0" w:space="0" w:color="auto"/>
      </w:divBdr>
    </w:div>
    <w:div w:id="136205449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76734204">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4983407">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389457555">
      <w:bodyDiv w:val="1"/>
      <w:marLeft w:val="0"/>
      <w:marRight w:val="0"/>
      <w:marTop w:val="0"/>
      <w:marBottom w:val="0"/>
      <w:divBdr>
        <w:top w:val="none" w:sz="0" w:space="0" w:color="auto"/>
        <w:left w:val="none" w:sz="0" w:space="0" w:color="auto"/>
        <w:bottom w:val="none" w:sz="0" w:space="0" w:color="auto"/>
        <w:right w:val="none" w:sz="0" w:space="0" w:color="auto"/>
      </w:divBdr>
    </w:div>
    <w:div w:id="1401515741">
      <w:bodyDiv w:val="1"/>
      <w:marLeft w:val="0"/>
      <w:marRight w:val="0"/>
      <w:marTop w:val="0"/>
      <w:marBottom w:val="0"/>
      <w:divBdr>
        <w:top w:val="none" w:sz="0" w:space="0" w:color="auto"/>
        <w:left w:val="none" w:sz="0" w:space="0" w:color="auto"/>
        <w:bottom w:val="none" w:sz="0" w:space="0" w:color="auto"/>
        <w:right w:val="none" w:sz="0" w:space="0" w:color="auto"/>
      </w:divBdr>
    </w:div>
    <w:div w:id="1404523514">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06949087">
      <w:bodyDiv w:val="1"/>
      <w:marLeft w:val="0"/>
      <w:marRight w:val="0"/>
      <w:marTop w:val="0"/>
      <w:marBottom w:val="0"/>
      <w:divBdr>
        <w:top w:val="none" w:sz="0" w:space="0" w:color="auto"/>
        <w:left w:val="none" w:sz="0" w:space="0" w:color="auto"/>
        <w:bottom w:val="none" w:sz="0" w:space="0" w:color="auto"/>
        <w:right w:val="none" w:sz="0" w:space="0" w:color="auto"/>
      </w:divBdr>
    </w:div>
    <w:div w:id="1410034161">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59715032">
      <w:bodyDiv w:val="1"/>
      <w:marLeft w:val="0"/>
      <w:marRight w:val="0"/>
      <w:marTop w:val="0"/>
      <w:marBottom w:val="0"/>
      <w:divBdr>
        <w:top w:val="none" w:sz="0" w:space="0" w:color="auto"/>
        <w:left w:val="none" w:sz="0" w:space="0" w:color="auto"/>
        <w:bottom w:val="none" w:sz="0" w:space="0" w:color="auto"/>
        <w:right w:val="none" w:sz="0" w:space="0" w:color="auto"/>
      </w:divBdr>
      <w:divsChild>
        <w:div w:id="567112034">
          <w:marLeft w:val="-225"/>
          <w:marRight w:val="-225"/>
          <w:marTop w:val="0"/>
          <w:marBottom w:val="0"/>
          <w:divBdr>
            <w:top w:val="none" w:sz="0" w:space="0" w:color="auto"/>
            <w:left w:val="none" w:sz="0" w:space="0" w:color="auto"/>
            <w:bottom w:val="none" w:sz="0" w:space="0" w:color="auto"/>
            <w:right w:val="none" w:sz="0" w:space="0" w:color="auto"/>
          </w:divBdr>
          <w:divsChild>
            <w:div w:id="1754428175">
              <w:marLeft w:val="0"/>
              <w:marRight w:val="0"/>
              <w:marTop w:val="0"/>
              <w:marBottom w:val="0"/>
              <w:divBdr>
                <w:top w:val="none" w:sz="0" w:space="0" w:color="auto"/>
                <w:left w:val="none" w:sz="0" w:space="0" w:color="auto"/>
                <w:bottom w:val="none" w:sz="0" w:space="0" w:color="auto"/>
                <w:right w:val="none" w:sz="0" w:space="0" w:color="auto"/>
              </w:divBdr>
              <w:divsChild>
                <w:div w:id="711266695">
                  <w:marLeft w:val="0"/>
                  <w:marRight w:val="0"/>
                  <w:marTop w:val="0"/>
                  <w:marBottom w:val="0"/>
                  <w:divBdr>
                    <w:top w:val="none" w:sz="0" w:space="0" w:color="auto"/>
                    <w:left w:val="none" w:sz="0" w:space="0" w:color="auto"/>
                    <w:bottom w:val="none" w:sz="0" w:space="0" w:color="auto"/>
                    <w:right w:val="none" w:sz="0" w:space="0" w:color="auto"/>
                  </w:divBdr>
                  <w:divsChild>
                    <w:div w:id="1617023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140263617">
          <w:marLeft w:val="-225"/>
          <w:marRight w:val="-225"/>
          <w:marTop w:val="0"/>
          <w:marBottom w:val="0"/>
          <w:divBdr>
            <w:top w:val="none" w:sz="0" w:space="0" w:color="auto"/>
            <w:left w:val="none" w:sz="0" w:space="0" w:color="auto"/>
            <w:bottom w:val="none" w:sz="0" w:space="0" w:color="auto"/>
            <w:right w:val="none" w:sz="0" w:space="0" w:color="auto"/>
          </w:divBdr>
          <w:divsChild>
            <w:div w:id="856970237">
              <w:marLeft w:val="0"/>
              <w:marRight w:val="0"/>
              <w:marTop w:val="0"/>
              <w:marBottom w:val="0"/>
              <w:divBdr>
                <w:top w:val="none" w:sz="0" w:space="0" w:color="auto"/>
                <w:left w:val="none" w:sz="0" w:space="0" w:color="auto"/>
                <w:bottom w:val="none" w:sz="0" w:space="0" w:color="auto"/>
                <w:right w:val="none" w:sz="0" w:space="0" w:color="auto"/>
              </w:divBdr>
              <w:divsChild>
                <w:div w:id="1271549765">
                  <w:marLeft w:val="0"/>
                  <w:marRight w:val="0"/>
                  <w:marTop w:val="0"/>
                  <w:marBottom w:val="0"/>
                  <w:divBdr>
                    <w:top w:val="none" w:sz="0" w:space="0" w:color="auto"/>
                    <w:left w:val="none" w:sz="0" w:space="0" w:color="auto"/>
                    <w:bottom w:val="none" w:sz="0" w:space="0" w:color="auto"/>
                    <w:right w:val="none" w:sz="0" w:space="0" w:color="auto"/>
                  </w:divBdr>
                  <w:divsChild>
                    <w:div w:id="118640232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223103504">
          <w:marLeft w:val="-225"/>
          <w:marRight w:val="-225"/>
          <w:marTop w:val="0"/>
          <w:marBottom w:val="0"/>
          <w:divBdr>
            <w:top w:val="none" w:sz="0" w:space="0" w:color="auto"/>
            <w:left w:val="none" w:sz="0" w:space="0" w:color="auto"/>
            <w:bottom w:val="none" w:sz="0" w:space="0" w:color="auto"/>
            <w:right w:val="none" w:sz="0" w:space="0" w:color="auto"/>
          </w:divBdr>
          <w:divsChild>
            <w:div w:id="833225273">
              <w:marLeft w:val="0"/>
              <w:marRight w:val="0"/>
              <w:marTop w:val="0"/>
              <w:marBottom w:val="0"/>
              <w:divBdr>
                <w:top w:val="none" w:sz="0" w:space="0" w:color="auto"/>
                <w:left w:val="none" w:sz="0" w:space="0" w:color="auto"/>
                <w:bottom w:val="none" w:sz="0" w:space="0" w:color="auto"/>
                <w:right w:val="none" w:sz="0" w:space="0" w:color="auto"/>
              </w:divBdr>
              <w:divsChild>
                <w:div w:id="299464153">
                  <w:marLeft w:val="0"/>
                  <w:marRight w:val="0"/>
                  <w:marTop w:val="0"/>
                  <w:marBottom w:val="0"/>
                  <w:divBdr>
                    <w:top w:val="none" w:sz="0" w:space="0" w:color="auto"/>
                    <w:left w:val="none" w:sz="0" w:space="0" w:color="auto"/>
                    <w:bottom w:val="none" w:sz="0" w:space="0" w:color="auto"/>
                    <w:right w:val="none" w:sz="0" w:space="0" w:color="auto"/>
                  </w:divBdr>
                  <w:divsChild>
                    <w:div w:id="19317691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95907169">
          <w:marLeft w:val="-225"/>
          <w:marRight w:val="-225"/>
          <w:marTop w:val="0"/>
          <w:marBottom w:val="0"/>
          <w:divBdr>
            <w:top w:val="none" w:sz="0" w:space="0" w:color="auto"/>
            <w:left w:val="none" w:sz="0" w:space="0" w:color="auto"/>
            <w:bottom w:val="none" w:sz="0" w:space="0" w:color="auto"/>
            <w:right w:val="none" w:sz="0" w:space="0" w:color="auto"/>
          </w:divBdr>
          <w:divsChild>
            <w:div w:id="1504661149">
              <w:marLeft w:val="0"/>
              <w:marRight w:val="0"/>
              <w:marTop w:val="0"/>
              <w:marBottom w:val="0"/>
              <w:divBdr>
                <w:top w:val="none" w:sz="0" w:space="0" w:color="auto"/>
                <w:left w:val="none" w:sz="0" w:space="0" w:color="auto"/>
                <w:bottom w:val="none" w:sz="0" w:space="0" w:color="auto"/>
                <w:right w:val="none" w:sz="0" w:space="0" w:color="auto"/>
              </w:divBdr>
              <w:divsChild>
                <w:div w:id="810027014">
                  <w:marLeft w:val="0"/>
                  <w:marRight w:val="0"/>
                  <w:marTop w:val="0"/>
                  <w:marBottom w:val="0"/>
                  <w:divBdr>
                    <w:top w:val="none" w:sz="0" w:space="0" w:color="auto"/>
                    <w:left w:val="none" w:sz="0" w:space="0" w:color="auto"/>
                    <w:bottom w:val="none" w:sz="0" w:space="0" w:color="auto"/>
                    <w:right w:val="none" w:sz="0" w:space="0" w:color="auto"/>
                  </w:divBdr>
                  <w:divsChild>
                    <w:div w:id="927420353">
                      <w:marLeft w:val="-225"/>
                      <w:marRight w:val="-225"/>
                      <w:marTop w:val="0"/>
                      <w:marBottom w:val="0"/>
                      <w:divBdr>
                        <w:top w:val="none" w:sz="0" w:space="0" w:color="auto"/>
                        <w:left w:val="none" w:sz="0" w:space="0" w:color="auto"/>
                        <w:bottom w:val="none" w:sz="0" w:space="0" w:color="auto"/>
                        <w:right w:val="none" w:sz="0" w:space="0" w:color="auto"/>
                      </w:divBdr>
                      <w:divsChild>
                        <w:div w:id="986515338">
                          <w:marLeft w:val="0"/>
                          <w:marRight w:val="0"/>
                          <w:marTop w:val="0"/>
                          <w:marBottom w:val="0"/>
                          <w:divBdr>
                            <w:top w:val="dotted" w:sz="6" w:space="8" w:color="C3C3C3"/>
                            <w:left w:val="dotted" w:sz="6" w:space="15" w:color="C3C3C3"/>
                            <w:bottom w:val="dotted" w:sz="6" w:space="8" w:color="C3C3C3"/>
                            <w:right w:val="dotted" w:sz="6" w:space="8" w:color="C3C3C3"/>
                          </w:divBdr>
                        </w:div>
                      </w:divsChild>
                    </w:div>
                  </w:divsChild>
                </w:div>
              </w:divsChild>
            </w:div>
          </w:divsChild>
        </w:div>
      </w:divsChild>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6423439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72602374">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85123538">
      <w:bodyDiv w:val="1"/>
      <w:marLeft w:val="0"/>
      <w:marRight w:val="0"/>
      <w:marTop w:val="0"/>
      <w:marBottom w:val="0"/>
      <w:divBdr>
        <w:top w:val="none" w:sz="0" w:space="0" w:color="auto"/>
        <w:left w:val="none" w:sz="0" w:space="0" w:color="auto"/>
        <w:bottom w:val="none" w:sz="0" w:space="0" w:color="auto"/>
        <w:right w:val="none" w:sz="0" w:space="0" w:color="auto"/>
      </w:divBdr>
    </w:div>
    <w:div w:id="1489128972">
      <w:bodyDiv w:val="1"/>
      <w:marLeft w:val="0"/>
      <w:marRight w:val="0"/>
      <w:marTop w:val="0"/>
      <w:marBottom w:val="0"/>
      <w:divBdr>
        <w:top w:val="none" w:sz="0" w:space="0" w:color="auto"/>
        <w:left w:val="none" w:sz="0" w:space="0" w:color="auto"/>
        <w:bottom w:val="none" w:sz="0" w:space="0" w:color="auto"/>
        <w:right w:val="none" w:sz="0" w:space="0" w:color="auto"/>
      </w:divBdr>
    </w:div>
    <w:div w:id="1489440738">
      <w:bodyDiv w:val="1"/>
      <w:marLeft w:val="0"/>
      <w:marRight w:val="0"/>
      <w:marTop w:val="0"/>
      <w:marBottom w:val="0"/>
      <w:divBdr>
        <w:top w:val="none" w:sz="0" w:space="0" w:color="auto"/>
        <w:left w:val="none" w:sz="0" w:space="0" w:color="auto"/>
        <w:bottom w:val="none" w:sz="0" w:space="0" w:color="auto"/>
        <w:right w:val="none" w:sz="0" w:space="0" w:color="auto"/>
      </w:divBdr>
    </w:div>
    <w:div w:id="1489902611">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1429908">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18737366">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69266141">
      <w:bodyDiv w:val="1"/>
      <w:marLeft w:val="0"/>
      <w:marRight w:val="0"/>
      <w:marTop w:val="0"/>
      <w:marBottom w:val="0"/>
      <w:divBdr>
        <w:top w:val="none" w:sz="0" w:space="0" w:color="auto"/>
        <w:left w:val="none" w:sz="0" w:space="0" w:color="auto"/>
        <w:bottom w:val="none" w:sz="0" w:space="0" w:color="auto"/>
        <w:right w:val="none" w:sz="0" w:space="0" w:color="auto"/>
      </w:divBdr>
      <w:divsChild>
        <w:div w:id="243497731">
          <w:marLeft w:val="-225"/>
          <w:marRight w:val="-225"/>
          <w:marTop w:val="0"/>
          <w:marBottom w:val="0"/>
          <w:divBdr>
            <w:top w:val="none" w:sz="0" w:space="0" w:color="auto"/>
            <w:left w:val="none" w:sz="0" w:space="0" w:color="auto"/>
            <w:bottom w:val="none" w:sz="0" w:space="0" w:color="auto"/>
            <w:right w:val="none" w:sz="0" w:space="0" w:color="auto"/>
          </w:divBdr>
        </w:div>
        <w:div w:id="515001009">
          <w:marLeft w:val="-225"/>
          <w:marRight w:val="-225"/>
          <w:marTop w:val="0"/>
          <w:marBottom w:val="0"/>
          <w:divBdr>
            <w:top w:val="none" w:sz="0" w:space="0" w:color="auto"/>
            <w:left w:val="none" w:sz="0" w:space="0" w:color="auto"/>
            <w:bottom w:val="none" w:sz="0" w:space="0" w:color="auto"/>
            <w:right w:val="none" w:sz="0" w:space="0" w:color="auto"/>
          </w:divBdr>
        </w:div>
        <w:div w:id="1108045580">
          <w:marLeft w:val="-225"/>
          <w:marRight w:val="-225"/>
          <w:marTop w:val="0"/>
          <w:marBottom w:val="0"/>
          <w:divBdr>
            <w:top w:val="none" w:sz="0" w:space="0" w:color="auto"/>
            <w:left w:val="none" w:sz="0" w:space="0" w:color="auto"/>
            <w:bottom w:val="none" w:sz="0" w:space="0" w:color="auto"/>
            <w:right w:val="none" w:sz="0" w:space="0" w:color="auto"/>
          </w:divBdr>
        </w:div>
        <w:div w:id="1237013742">
          <w:marLeft w:val="-225"/>
          <w:marRight w:val="-225"/>
          <w:marTop w:val="0"/>
          <w:marBottom w:val="0"/>
          <w:divBdr>
            <w:top w:val="none" w:sz="0" w:space="0" w:color="auto"/>
            <w:left w:val="none" w:sz="0" w:space="0" w:color="auto"/>
            <w:bottom w:val="none" w:sz="0" w:space="0" w:color="auto"/>
            <w:right w:val="none" w:sz="0" w:space="0" w:color="auto"/>
          </w:divBdr>
        </w:div>
      </w:divsChild>
    </w:div>
    <w:div w:id="1588147685">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3709313">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599828244">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12973839">
      <w:bodyDiv w:val="1"/>
      <w:marLeft w:val="0"/>
      <w:marRight w:val="0"/>
      <w:marTop w:val="0"/>
      <w:marBottom w:val="0"/>
      <w:divBdr>
        <w:top w:val="none" w:sz="0" w:space="0" w:color="auto"/>
        <w:left w:val="none" w:sz="0" w:space="0" w:color="auto"/>
        <w:bottom w:val="none" w:sz="0" w:space="0" w:color="auto"/>
        <w:right w:val="none" w:sz="0" w:space="0" w:color="auto"/>
      </w:divBdr>
      <w:divsChild>
        <w:div w:id="139083215">
          <w:marLeft w:val="-225"/>
          <w:marRight w:val="-225"/>
          <w:marTop w:val="0"/>
          <w:marBottom w:val="0"/>
          <w:divBdr>
            <w:top w:val="none" w:sz="0" w:space="0" w:color="auto"/>
            <w:left w:val="none" w:sz="0" w:space="0" w:color="auto"/>
            <w:bottom w:val="none" w:sz="0" w:space="0" w:color="auto"/>
            <w:right w:val="none" w:sz="0" w:space="0" w:color="auto"/>
          </w:divBdr>
        </w:div>
        <w:div w:id="1265455159">
          <w:marLeft w:val="-225"/>
          <w:marRight w:val="-225"/>
          <w:marTop w:val="0"/>
          <w:marBottom w:val="0"/>
          <w:divBdr>
            <w:top w:val="none" w:sz="0" w:space="0" w:color="auto"/>
            <w:left w:val="none" w:sz="0" w:space="0" w:color="auto"/>
            <w:bottom w:val="none" w:sz="0" w:space="0" w:color="auto"/>
            <w:right w:val="none" w:sz="0" w:space="0" w:color="auto"/>
          </w:divBdr>
        </w:div>
      </w:divsChild>
    </w:div>
    <w:div w:id="1615088019">
      <w:bodyDiv w:val="1"/>
      <w:marLeft w:val="0"/>
      <w:marRight w:val="0"/>
      <w:marTop w:val="0"/>
      <w:marBottom w:val="0"/>
      <w:divBdr>
        <w:top w:val="none" w:sz="0" w:space="0" w:color="auto"/>
        <w:left w:val="none" w:sz="0" w:space="0" w:color="auto"/>
        <w:bottom w:val="none" w:sz="0" w:space="0" w:color="auto"/>
        <w:right w:val="none" w:sz="0" w:space="0" w:color="auto"/>
      </w:divBdr>
    </w:div>
    <w:div w:id="1615936881">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45967177">
      <w:bodyDiv w:val="1"/>
      <w:marLeft w:val="0"/>
      <w:marRight w:val="0"/>
      <w:marTop w:val="0"/>
      <w:marBottom w:val="0"/>
      <w:divBdr>
        <w:top w:val="none" w:sz="0" w:space="0" w:color="auto"/>
        <w:left w:val="none" w:sz="0" w:space="0" w:color="auto"/>
        <w:bottom w:val="none" w:sz="0" w:space="0" w:color="auto"/>
        <w:right w:val="none" w:sz="0" w:space="0" w:color="auto"/>
      </w:divBdr>
    </w:div>
    <w:div w:id="1647972763">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5918966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363119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2418312">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08065459">
      <w:bodyDiv w:val="1"/>
      <w:marLeft w:val="0"/>
      <w:marRight w:val="0"/>
      <w:marTop w:val="0"/>
      <w:marBottom w:val="0"/>
      <w:divBdr>
        <w:top w:val="none" w:sz="0" w:space="0" w:color="auto"/>
        <w:left w:val="none" w:sz="0" w:space="0" w:color="auto"/>
        <w:bottom w:val="none" w:sz="0" w:space="0" w:color="auto"/>
        <w:right w:val="none" w:sz="0" w:space="0" w:color="auto"/>
      </w:divBdr>
    </w:div>
    <w:div w:id="1711997995">
      <w:bodyDiv w:val="1"/>
      <w:marLeft w:val="0"/>
      <w:marRight w:val="0"/>
      <w:marTop w:val="0"/>
      <w:marBottom w:val="0"/>
      <w:divBdr>
        <w:top w:val="none" w:sz="0" w:space="0" w:color="auto"/>
        <w:left w:val="none" w:sz="0" w:space="0" w:color="auto"/>
        <w:bottom w:val="none" w:sz="0" w:space="0" w:color="auto"/>
        <w:right w:val="none" w:sz="0" w:space="0" w:color="auto"/>
      </w:divBdr>
    </w:div>
    <w:div w:id="1719625006">
      <w:bodyDiv w:val="1"/>
      <w:marLeft w:val="0"/>
      <w:marRight w:val="0"/>
      <w:marTop w:val="0"/>
      <w:marBottom w:val="0"/>
      <w:divBdr>
        <w:top w:val="none" w:sz="0" w:space="0" w:color="auto"/>
        <w:left w:val="none" w:sz="0" w:space="0" w:color="auto"/>
        <w:bottom w:val="none" w:sz="0" w:space="0" w:color="auto"/>
        <w:right w:val="none" w:sz="0" w:space="0" w:color="auto"/>
      </w:divBdr>
      <w:divsChild>
        <w:div w:id="391587700">
          <w:marLeft w:val="0"/>
          <w:marRight w:val="0"/>
          <w:marTop w:val="100"/>
          <w:marBottom w:val="0"/>
          <w:divBdr>
            <w:top w:val="none" w:sz="0" w:space="0" w:color="auto"/>
            <w:left w:val="none" w:sz="0" w:space="0" w:color="auto"/>
            <w:bottom w:val="none" w:sz="0" w:space="0" w:color="auto"/>
            <w:right w:val="none" w:sz="0" w:space="0" w:color="auto"/>
          </w:divBdr>
        </w:div>
        <w:div w:id="419103997">
          <w:marLeft w:val="0"/>
          <w:marRight w:val="0"/>
          <w:marTop w:val="0"/>
          <w:marBottom w:val="0"/>
          <w:divBdr>
            <w:top w:val="none" w:sz="0" w:space="0" w:color="auto"/>
            <w:left w:val="none" w:sz="0" w:space="0" w:color="auto"/>
            <w:bottom w:val="none" w:sz="0" w:space="0" w:color="auto"/>
            <w:right w:val="none" w:sz="0" w:space="0" w:color="auto"/>
          </w:divBdr>
          <w:divsChild>
            <w:div w:id="2140221294">
              <w:marLeft w:val="0"/>
              <w:marRight w:val="0"/>
              <w:marTop w:val="0"/>
              <w:marBottom w:val="0"/>
              <w:divBdr>
                <w:top w:val="none" w:sz="0" w:space="0" w:color="auto"/>
                <w:left w:val="none" w:sz="0" w:space="0" w:color="auto"/>
                <w:bottom w:val="none" w:sz="0" w:space="0" w:color="auto"/>
                <w:right w:val="none" w:sz="0" w:space="0" w:color="auto"/>
              </w:divBdr>
              <w:divsChild>
                <w:div w:id="74484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390775">
          <w:marLeft w:val="0"/>
          <w:marRight w:val="0"/>
          <w:marTop w:val="0"/>
          <w:marBottom w:val="0"/>
          <w:divBdr>
            <w:top w:val="none" w:sz="0" w:space="0" w:color="auto"/>
            <w:left w:val="none" w:sz="0" w:space="0" w:color="auto"/>
            <w:bottom w:val="none" w:sz="0" w:space="0" w:color="auto"/>
            <w:right w:val="none" w:sz="0" w:space="0" w:color="auto"/>
          </w:divBdr>
          <w:divsChild>
            <w:div w:id="255750851">
              <w:marLeft w:val="0"/>
              <w:marRight w:val="0"/>
              <w:marTop w:val="0"/>
              <w:marBottom w:val="0"/>
              <w:divBdr>
                <w:top w:val="none" w:sz="0" w:space="0" w:color="auto"/>
                <w:left w:val="none" w:sz="0" w:space="0" w:color="auto"/>
                <w:bottom w:val="none" w:sz="0" w:space="0" w:color="auto"/>
                <w:right w:val="none" w:sz="0" w:space="0" w:color="auto"/>
              </w:divBdr>
              <w:divsChild>
                <w:div w:id="1622108454">
                  <w:marLeft w:val="0"/>
                  <w:marRight w:val="0"/>
                  <w:marTop w:val="0"/>
                  <w:marBottom w:val="0"/>
                  <w:divBdr>
                    <w:top w:val="none" w:sz="0" w:space="0" w:color="auto"/>
                    <w:left w:val="none" w:sz="0" w:space="0" w:color="auto"/>
                    <w:bottom w:val="none" w:sz="0" w:space="0" w:color="auto"/>
                    <w:right w:val="none" w:sz="0" w:space="0" w:color="auto"/>
                  </w:divBdr>
                  <w:divsChild>
                    <w:div w:id="65491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062420">
      <w:bodyDiv w:val="1"/>
      <w:marLeft w:val="0"/>
      <w:marRight w:val="0"/>
      <w:marTop w:val="0"/>
      <w:marBottom w:val="0"/>
      <w:divBdr>
        <w:top w:val="none" w:sz="0" w:space="0" w:color="auto"/>
        <w:left w:val="none" w:sz="0" w:space="0" w:color="auto"/>
        <w:bottom w:val="none" w:sz="0" w:space="0" w:color="auto"/>
        <w:right w:val="none" w:sz="0" w:space="0" w:color="auto"/>
      </w:divBdr>
    </w:div>
    <w:div w:id="1728721822">
      <w:bodyDiv w:val="1"/>
      <w:marLeft w:val="0"/>
      <w:marRight w:val="0"/>
      <w:marTop w:val="0"/>
      <w:marBottom w:val="0"/>
      <w:divBdr>
        <w:top w:val="none" w:sz="0" w:space="0" w:color="auto"/>
        <w:left w:val="none" w:sz="0" w:space="0" w:color="auto"/>
        <w:bottom w:val="none" w:sz="0" w:space="0" w:color="auto"/>
        <w:right w:val="none" w:sz="0" w:space="0" w:color="auto"/>
      </w:divBdr>
    </w:div>
    <w:div w:id="1732848522">
      <w:bodyDiv w:val="1"/>
      <w:marLeft w:val="0"/>
      <w:marRight w:val="0"/>
      <w:marTop w:val="0"/>
      <w:marBottom w:val="0"/>
      <w:divBdr>
        <w:top w:val="none" w:sz="0" w:space="0" w:color="auto"/>
        <w:left w:val="none" w:sz="0" w:space="0" w:color="auto"/>
        <w:bottom w:val="none" w:sz="0" w:space="0" w:color="auto"/>
        <w:right w:val="none" w:sz="0" w:space="0" w:color="auto"/>
      </w:divBdr>
    </w:div>
    <w:div w:id="1738164611">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45910103">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8042953">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76486599">
      <w:bodyDiv w:val="1"/>
      <w:marLeft w:val="0"/>
      <w:marRight w:val="0"/>
      <w:marTop w:val="0"/>
      <w:marBottom w:val="0"/>
      <w:divBdr>
        <w:top w:val="none" w:sz="0" w:space="0" w:color="auto"/>
        <w:left w:val="none" w:sz="0" w:space="0" w:color="auto"/>
        <w:bottom w:val="none" w:sz="0" w:space="0" w:color="auto"/>
        <w:right w:val="none" w:sz="0" w:space="0" w:color="auto"/>
      </w:divBdr>
    </w:div>
    <w:div w:id="1779988542">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04034598">
      <w:bodyDiv w:val="1"/>
      <w:marLeft w:val="0"/>
      <w:marRight w:val="0"/>
      <w:marTop w:val="0"/>
      <w:marBottom w:val="0"/>
      <w:divBdr>
        <w:top w:val="none" w:sz="0" w:space="0" w:color="auto"/>
        <w:left w:val="none" w:sz="0" w:space="0" w:color="auto"/>
        <w:bottom w:val="none" w:sz="0" w:space="0" w:color="auto"/>
        <w:right w:val="none" w:sz="0" w:space="0" w:color="auto"/>
      </w:divBdr>
    </w:div>
    <w:div w:id="1804735946">
      <w:bodyDiv w:val="1"/>
      <w:marLeft w:val="0"/>
      <w:marRight w:val="0"/>
      <w:marTop w:val="0"/>
      <w:marBottom w:val="0"/>
      <w:divBdr>
        <w:top w:val="none" w:sz="0" w:space="0" w:color="auto"/>
        <w:left w:val="none" w:sz="0" w:space="0" w:color="auto"/>
        <w:bottom w:val="none" w:sz="0" w:space="0" w:color="auto"/>
        <w:right w:val="none" w:sz="0" w:space="0" w:color="auto"/>
      </w:divBdr>
    </w:div>
    <w:div w:id="1810249193">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17379330">
      <w:bodyDiv w:val="1"/>
      <w:marLeft w:val="0"/>
      <w:marRight w:val="0"/>
      <w:marTop w:val="0"/>
      <w:marBottom w:val="0"/>
      <w:divBdr>
        <w:top w:val="none" w:sz="0" w:space="0" w:color="auto"/>
        <w:left w:val="none" w:sz="0" w:space="0" w:color="auto"/>
        <w:bottom w:val="none" w:sz="0" w:space="0" w:color="auto"/>
        <w:right w:val="none" w:sz="0" w:space="0" w:color="auto"/>
      </w:divBdr>
    </w:div>
    <w:div w:id="1820030508">
      <w:bodyDiv w:val="1"/>
      <w:marLeft w:val="0"/>
      <w:marRight w:val="0"/>
      <w:marTop w:val="0"/>
      <w:marBottom w:val="0"/>
      <w:divBdr>
        <w:top w:val="none" w:sz="0" w:space="0" w:color="auto"/>
        <w:left w:val="none" w:sz="0" w:space="0" w:color="auto"/>
        <w:bottom w:val="none" w:sz="0" w:space="0" w:color="auto"/>
        <w:right w:val="none" w:sz="0" w:space="0" w:color="auto"/>
      </w:divBdr>
    </w:div>
    <w:div w:id="1821730723">
      <w:bodyDiv w:val="1"/>
      <w:marLeft w:val="0"/>
      <w:marRight w:val="0"/>
      <w:marTop w:val="0"/>
      <w:marBottom w:val="0"/>
      <w:divBdr>
        <w:top w:val="none" w:sz="0" w:space="0" w:color="auto"/>
        <w:left w:val="none" w:sz="0" w:space="0" w:color="auto"/>
        <w:bottom w:val="none" w:sz="0" w:space="0" w:color="auto"/>
        <w:right w:val="none" w:sz="0" w:space="0" w:color="auto"/>
      </w:divBdr>
    </w:div>
    <w:div w:id="1824009397">
      <w:bodyDiv w:val="1"/>
      <w:marLeft w:val="0"/>
      <w:marRight w:val="0"/>
      <w:marTop w:val="0"/>
      <w:marBottom w:val="0"/>
      <w:divBdr>
        <w:top w:val="none" w:sz="0" w:space="0" w:color="auto"/>
        <w:left w:val="none" w:sz="0" w:space="0" w:color="auto"/>
        <w:bottom w:val="none" w:sz="0" w:space="0" w:color="auto"/>
        <w:right w:val="none" w:sz="0" w:space="0" w:color="auto"/>
      </w:divBdr>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
    <w:div w:id="1839731833">
      <w:bodyDiv w:val="1"/>
      <w:marLeft w:val="0"/>
      <w:marRight w:val="0"/>
      <w:marTop w:val="0"/>
      <w:marBottom w:val="0"/>
      <w:divBdr>
        <w:top w:val="none" w:sz="0" w:space="0" w:color="auto"/>
        <w:left w:val="none" w:sz="0" w:space="0" w:color="auto"/>
        <w:bottom w:val="none" w:sz="0" w:space="0" w:color="auto"/>
        <w:right w:val="none" w:sz="0" w:space="0" w:color="auto"/>
      </w:divBdr>
    </w:div>
    <w:div w:id="1852449184">
      <w:bodyDiv w:val="1"/>
      <w:marLeft w:val="0"/>
      <w:marRight w:val="0"/>
      <w:marTop w:val="0"/>
      <w:marBottom w:val="0"/>
      <w:divBdr>
        <w:top w:val="none" w:sz="0" w:space="0" w:color="auto"/>
        <w:left w:val="none" w:sz="0" w:space="0" w:color="auto"/>
        <w:bottom w:val="none" w:sz="0" w:space="0" w:color="auto"/>
        <w:right w:val="none" w:sz="0" w:space="0" w:color="auto"/>
      </w:divBdr>
    </w:div>
    <w:div w:id="1853452454">
      <w:bodyDiv w:val="1"/>
      <w:marLeft w:val="0"/>
      <w:marRight w:val="0"/>
      <w:marTop w:val="0"/>
      <w:marBottom w:val="0"/>
      <w:divBdr>
        <w:top w:val="none" w:sz="0" w:space="0" w:color="auto"/>
        <w:left w:val="none" w:sz="0" w:space="0" w:color="auto"/>
        <w:bottom w:val="none" w:sz="0" w:space="0" w:color="auto"/>
        <w:right w:val="none" w:sz="0" w:space="0" w:color="auto"/>
      </w:divBdr>
    </w:div>
    <w:div w:id="1856995110">
      <w:bodyDiv w:val="1"/>
      <w:marLeft w:val="0"/>
      <w:marRight w:val="0"/>
      <w:marTop w:val="0"/>
      <w:marBottom w:val="0"/>
      <w:divBdr>
        <w:top w:val="none" w:sz="0" w:space="0" w:color="auto"/>
        <w:left w:val="none" w:sz="0" w:space="0" w:color="auto"/>
        <w:bottom w:val="none" w:sz="0" w:space="0" w:color="auto"/>
        <w:right w:val="none" w:sz="0" w:space="0" w:color="auto"/>
      </w:divBdr>
    </w:div>
    <w:div w:id="1861045242">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870801673">
      <w:bodyDiv w:val="1"/>
      <w:marLeft w:val="0"/>
      <w:marRight w:val="0"/>
      <w:marTop w:val="0"/>
      <w:marBottom w:val="0"/>
      <w:divBdr>
        <w:top w:val="none" w:sz="0" w:space="0" w:color="auto"/>
        <w:left w:val="none" w:sz="0" w:space="0" w:color="auto"/>
        <w:bottom w:val="none" w:sz="0" w:space="0" w:color="auto"/>
        <w:right w:val="none" w:sz="0" w:space="0" w:color="auto"/>
      </w:divBdr>
    </w:div>
    <w:div w:id="1871526333">
      <w:bodyDiv w:val="1"/>
      <w:marLeft w:val="0"/>
      <w:marRight w:val="0"/>
      <w:marTop w:val="0"/>
      <w:marBottom w:val="0"/>
      <w:divBdr>
        <w:top w:val="none" w:sz="0" w:space="0" w:color="auto"/>
        <w:left w:val="none" w:sz="0" w:space="0" w:color="auto"/>
        <w:bottom w:val="none" w:sz="0" w:space="0" w:color="auto"/>
        <w:right w:val="none" w:sz="0" w:space="0" w:color="auto"/>
      </w:divBdr>
    </w:div>
    <w:div w:id="1872063754">
      <w:bodyDiv w:val="1"/>
      <w:marLeft w:val="0"/>
      <w:marRight w:val="0"/>
      <w:marTop w:val="0"/>
      <w:marBottom w:val="0"/>
      <w:divBdr>
        <w:top w:val="none" w:sz="0" w:space="0" w:color="auto"/>
        <w:left w:val="none" w:sz="0" w:space="0" w:color="auto"/>
        <w:bottom w:val="none" w:sz="0" w:space="0" w:color="auto"/>
        <w:right w:val="none" w:sz="0" w:space="0" w:color="auto"/>
      </w:divBdr>
    </w:div>
    <w:div w:id="1879395146">
      <w:bodyDiv w:val="1"/>
      <w:marLeft w:val="0"/>
      <w:marRight w:val="0"/>
      <w:marTop w:val="0"/>
      <w:marBottom w:val="0"/>
      <w:divBdr>
        <w:top w:val="none" w:sz="0" w:space="0" w:color="auto"/>
        <w:left w:val="none" w:sz="0" w:space="0" w:color="auto"/>
        <w:bottom w:val="none" w:sz="0" w:space="0" w:color="auto"/>
        <w:right w:val="none" w:sz="0" w:space="0" w:color="auto"/>
      </w:divBdr>
    </w:div>
    <w:div w:id="1881938914">
      <w:bodyDiv w:val="1"/>
      <w:marLeft w:val="0"/>
      <w:marRight w:val="0"/>
      <w:marTop w:val="0"/>
      <w:marBottom w:val="0"/>
      <w:divBdr>
        <w:top w:val="none" w:sz="0" w:space="0" w:color="auto"/>
        <w:left w:val="none" w:sz="0" w:space="0" w:color="auto"/>
        <w:bottom w:val="none" w:sz="0" w:space="0" w:color="auto"/>
        <w:right w:val="none" w:sz="0" w:space="0" w:color="auto"/>
      </w:divBdr>
    </w:div>
    <w:div w:id="1904366537">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37899975">
      <w:bodyDiv w:val="1"/>
      <w:marLeft w:val="0"/>
      <w:marRight w:val="0"/>
      <w:marTop w:val="0"/>
      <w:marBottom w:val="0"/>
      <w:divBdr>
        <w:top w:val="none" w:sz="0" w:space="0" w:color="auto"/>
        <w:left w:val="none" w:sz="0" w:space="0" w:color="auto"/>
        <w:bottom w:val="none" w:sz="0" w:space="0" w:color="auto"/>
        <w:right w:val="none" w:sz="0" w:space="0" w:color="auto"/>
      </w:divBdr>
    </w:div>
    <w:div w:id="1944066142">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49315294">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61766642">
      <w:bodyDiv w:val="1"/>
      <w:marLeft w:val="0"/>
      <w:marRight w:val="0"/>
      <w:marTop w:val="0"/>
      <w:marBottom w:val="0"/>
      <w:divBdr>
        <w:top w:val="none" w:sz="0" w:space="0" w:color="auto"/>
        <w:left w:val="none" w:sz="0" w:space="0" w:color="auto"/>
        <w:bottom w:val="none" w:sz="0" w:space="0" w:color="auto"/>
        <w:right w:val="none" w:sz="0" w:space="0" w:color="auto"/>
      </w:divBdr>
    </w:div>
    <w:div w:id="1965962318">
      <w:bodyDiv w:val="1"/>
      <w:marLeft w:val="0"/>
      <w:marRight w:val="0"/>
      <w:marTop w:val="0"/>
      <w:marBottom w:val="0"/>
      <w:divBdr>
        <w:top w:val="none" w:sz="0" w:space="0" w:color="auto"/>
        <w:left w:val="none" w:sz="0" w:space="0" w:color="auto"/>
        <w:bottom w:val="none" w:sz="0" w:space="0" w:color="auto"/>
        <w:right w:val="none" w:sz="0" w:space="0" w:color="auto"/>
      </w:divBdr>
    </w:div>
    <w:div w:id="1968465524">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85505280">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1060157">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0882431">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19114204">
      <w:bodyDiv w:val="1"/>
      <w:marLeft w:val="0"/>
      <w:marRight w:val="0"/>
      <w:marTop w:val="0"/>
      <w:marBottom w:val="0"/>
      <w:divBdr>
        <w:top w:val="none" w:sz="0" w:space="0" w:color="auto"/>
        <w:left w:val="none" w:sz="0" w:space="0" w:color="auto"/>
        <w:bottom w:val="none" w:sz="0" w:space="0" w:color="auto"/>
        <w:right w:val="none" w:sz="0" w:space="0" w:color="auto"/>
      </w:divBdr>
    </w:div>
    <w:div w:id="2031026954">
      <w:bodyDiv w:val="1"/>
      <w:marLeft w:val="0"/>
      <w:marRight w:val="0"/>
      <w:marTop w:val="0"/>
      <w:marBottom w:val="0"/>
      <w:divBdr>
        <w:top w:val="none" w:sz="0" w:space="0" w:color="auto"/>
        <w:left w:val="none" w:sz="0" w:space="0" w:color="auto"/>
        <w:bottom w:val="none" w:sz="0" w:space="0" w:color="auto"/>
        <w:right w:val="none" w:sz="0" w:space="0" w:color="auto"/>
      </w:divBdr>
    </w:div>
    <w:div w:id="203380111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58889702">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2747476">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75275175">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5030335">
      <w:bodyDiv w:val="1"/>
      <w:marLeft w:val="0"/>
      <w:marRight w:val="0"/>
      <w:marTop w:val="0"/>
      <w:marBottom w:val="0"/>
      <w:divBdr>
        <w:top w:val="none" w:sz="0" w:space="0" w:color="auto"/>
        <w:left w:val="none" w:sz="0" w:space="0" w:color="auto"/>
        <w:bottom w:val="none" w:sz="0" w:space="0" w:color="auto"/>
        <w:right w:val="none" w:sz="0" w:space="0" w:color="auto"/>
      </w:divBdr>
      <w:divsChild>
        <w:div w:id="203569289">
          <w:marLeft w:val="0"/>
          <w:marRight w:val="0"/>
          <w:marTop w:val="0"/>
          <w:marBottom w:val="0"/>
          <w:divBdr>
            <w:top w:val="none" w:sz="0" w:space="0" w:color="auto"/>
            <w:left w:val="none" w:sz="0" w:space="0" w:color="auto"/>
            <w:bottom w:val="none" w:sz="0" w:space="0" w:color="auto"/>
            <w:right w:val="none" w:sz="0" w:space="0" w:color="auto"/>
          </w:divBdr>
          <w:divsChild>
            <w:div w:id="1065759234">
              <w:marLeft w:val="0"/>
              <w:marRight w:val="0"/>
              <w:marTop w:val="0"/>
              <w:marBottom w:val="0"/>
              <w:divBdr>
                <w:top w:val="none" w:sz="0" w:space="0" w:color="auto"/>
                <w:left w:val="none" w:sz="0" w:space="0" w:color="auto"/>
                <w:bottom w:val="none" w:sz="0" w:space="0" w:color="auto"/>
                <w:right w:val="none" w:sz="0" w:space="0" w:color="auto"/>
              </w:divBdr>
              <w:divsChild>
                <w:div w:id="971518317">
                  <w:marLeft w:val="0"/>
                  <w:marRight w:val="0"/>
                  <w:marTop w:val="0"/>
                  <w:marBottom w:val="0"/>
                  <w:divBdr>
                    <w:top w:val="none" w:sz="0" w:space="0" w:color="auto"/>
                    <w:left w:val="none" w:sz="0" w:space="0" w:color="auto"/>
                    <w:bottom w:val="none" w:sz="0" w:space="0" w:color="auto"/>
                    <w:right w:val="none" w:sz="0" w:space="0" w:color="auto"/>
                  </w:divBdr>
                  <w:divsChild>
                    <w:div w:id="123851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635758">
          <w:marLeft w:val="0"/>
          <w:marRight w:val="0"/>
          <w:marTop w:val="100"/>
          <w:marBottom w:val="0"/>
          <w:divBdr>
            <w:top w:val="none" w:sz="0" w:space="0" w:color="auto"/>
            <w:left w:val="none" w:sz="0" w:space="0" w:color="auto"/>
            <w:bottom w:val="none" w:sz="0" w:space="0" w:color="auto"/>
            <w:right w:val="none" w:sz="0" w:space="0" w:color="auto"/>
          </w:divBdr>
        </w:div>
        <w:div w:id="332268911">
          <w:marLeft w:val="0"/>
          <w:marRight w:val="0"/>
          <w:marTop w:val="0"/>
          <w:marBottom w:val="0"/>
          <w:divBdr>
            <w:top w:val="none" w:sz="0" w:space="0" w:color="auto"/>
            <w:left w:val="none" w:sz="0" w:space="0" w:color="auto"/>
            <w:bottom w:val="none" w:sz="0" w:space="0" w:color="auto"/>
            <w:right w:val="none" w:sz="0" w:space="0" w:color="auto"/>
          </w:divBdr>
          <w:divsChild>
            <w:div w:id="1170289441">
              <w:marLeft w:val="0"/>
              <w:marRight w:val="0"/>
              <w:marTop w:val="0"/>
              <w:marBottom w:val="0"/>
              <w:divBdr>
                <w:top w:val="none" w:sz="0" w:space="0" w:color="auto"/>
                <w:left w:val="none" w:sz="0" w:space="0" w:color="auto"/>
                <w:bottom w:val="none" w:sz="0" w:space="0" w:color="auto"/>
                <w:right w:val="none" w:sz="0" w:space="0" w:color="auto"/>
              </w:divBdr>
              <w:divsChild>
                <w:div w:id="18677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0342991">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2580442">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16124391">
      <w:bodyDiv w:val="1"/>
      <w:marLeft w:val="0"/>
      <w:marRight w:val="0"/>
      <w:marTop w:val="0"/>
      <w:marBottom w:val="0"/>
      <w:divBdr>
        <w:top w:val="none" w:sz="0" w:space="0" w:color="auto"/>
        <w:left w:val="none" w:sz="0" w:space="0" w:color="auto"/>
        <w:bottom w:val="none" w:sz="0" w:space="0" w:color="auto"/>
        <w:right w:val="none" w:sz="0" w:space="0" w:color="auto"/>
      </w:divBdr>
    </w:div>
    <w:div w:id="2117751421">
      <w:bodyDiv w:val="1"/>
      <w:marLeft w:val="0"/>
      <w:marRight w:val="0"/>
      <w:marTop w:val="0"/>
      <w:marBottom w:val="0"/>
      <w:divBdr>
        <w:top w:val="none" w:sz="0" w:space="0" w:color="auto"/>
        <w:left w:val="none" w:sz="0" w:space="0" w:color="auto"/>
        <w:bottom w:val="none" w:sz="0" w:space="0" w:color="auto"/>
        <w:right w:val="none" w:sz="0" w:space="0" w:color="auto"/>
      </w:divBdr>
      <w:divsChild>
        <w:div w:id="70474461">
          <w:marLeft w:val="0"/>
          <w:marRight w:val="0"/>
          <w:marTop w:val="0"/>
          <w:marBottom w:val="0"/>
          <w:divBdr>
            <w:top w:val="none" w:sz="0" w:space="0" w:color="auto"/>
            <w:left w:val="none" w:sz="0" w:space="0" w:color="auto"/>
            <w:bottom w:val="none" w:sz="0" w:space="0" w:color="auto"/>
            <w:right w:val="none" w:sz="0" w:space="0" w:color="auto"/>
          </w:divBdr>
          <w:divsChild>
            <w:div w:id="972104346">
              <w:marLeft w:val="0"/>
              <w:marRight w:val="0"/>
              <w:marTop w:val="0"/>
              <w:marBottom w:val="0"/>
              <w:divBdr>
                <w:top w:val="none" w:sz="0" w:space="0" w:color="auto"/>
                <w:left w:val="none" w:sz="0" w:space="0" w:color="auto"/>
                <w:bottom w:val="none" w:sz="0" w:space="0" w:color="auto"/>
                <w:right w:val="none" w:sz="0" w:space="0" w:color="auto"/>
              </w:divBdr>
              <w:divsChild>
                <w:div w:id="89358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11434">
          <w:marLeft w:val="0"/>
          <w:marRight w:val="0"/>
          <w:marTop w:val="100"/>
          <w:marBottom w:val="0"/>
          <w:divBdr>
            <w:top w:val="none" w:sz="0" w:space="0" w:color="auto"/>
            <w:left w:val="none" w:sz="0" w:space="0" w:color="auto"/>
            <w:bottom w:val="none" w:sz="0" w:space="0" w:color="auto"/>
            <w:right w:val="none" w:sz="0" w:space="0" w:color="auto"/>
          </w:divBdr>
        </w:div>
        <w:div w:id="1209805044">
          <w:marLeft w:val="0"/>
          <w:marRight w:val="0"/>
          <w:marTop w:val="0"/>
          <w:marBottom w:val="0"/>
          <w:divBdr>
            <w:top w:val="none" w:sz="0" w:space="0" w:color="auto"/>
            <w:left w:val="none" w:sz="0" w:space="0" w:color="auto"/>
            <w:bottom w:val="none" w:sz="0" w:space="0" w:color="auto"/>
            <w:right w:val="none" w:sz="0" w:space="0" w:color="auto"/>
          </w:divBdr>
          <w:divsChild>
            <w:div w:id="401173940">
              <w:marLeft w:val="0"/>
              <w:marRight w:val="0"/>
              <w:marTop w:val="0"/>
              <w:marBottom w:val="0"/>
              <w:divBdr>
                <w:top w:val="none" w:sz="0" w:space="0" w:color="auto"/>
                <w:left w:val="none" w:sz="0" w:space="0" w:color="auto"/>
                <w:bottom w:val="none" w:sz="0" w:space="0" w:color="auto"/>
                <w:right w:val="none" w:sz="0" w:space="0" w:color="auto"/>
              </w:divBdr>
              <w:divsChild>
                <w:div w:id="2078702658">
                  <w:marLeft w:val="0"/>
                  <w:marRight w:val="0"/>
                  <w:marTop w:val="0"/>
                  <w:marBottom w:val="0"/>
                  <w:divBdr>
                    <w:top w:val="none" w:sz="0" w:space="0" w:color="auto"/>
                    <w:left w:val="none" w:sz="0" w:space="0" w:color="auto"/>
                    <w:bottom w:val="none" w:sz="0" w:space="0" w:color="auto"/>
                    <w:right w:val="none" w:sz="0" w:space="0" w:color="auto"/>
                  </w:divBdr>
                  <w:divsChild>
                    <w:div w:id="144037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521971">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1415736">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3764539">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lexpera.com.tr/Appendix/PUBLICATION_TR/images/RG801Y2021N31377P4_375235100_1.JPG" TargetMode="External"/><Relationship Id="rId26" Type="http://schemas.openxmlformats.org/officeDocument/2006/relationships/hyperlink" Target="http://www.lexpera.com.tr/Appendix/PUBLICATION_TR/images/RG801Y2021N31377P4_375235104_1.JPG" TargetMode="External"/><Relationship Id="rId39" Type="http://schemas.openxmlformats.org/officeDocument/2006/relationships/footer" Target="footer6.xml"/><Relationship Id="rId21" Type="http://schemas.openxmlformats.org/officeDocument/2006/relationships/image" Target="http://www.lexpera.com.tr/Appendix/PUBLICATION_TR/images/RG801Y2021N31377P4_375235101_1.JPG" TargetMode="External"/><Relationship Id="rId34" Type="http://schemas.openxmlformats.org/officeDocument/2006/relationships/hyperlink" Target="https://www.lexpera.com.tr/Appendix/PUBLICATION_TR/images/RG801Y2021N31479S6_392374174_1.JPG" TargetMode="External"/><Relationship Id="rId42" Type="http://schemas.openxmlformats.org/officeDocument/2006/relationships/image" Target="media/image7.png"/><Relationship Id="rId47" Type="http://schemas.openxmlformats.org/officeDocument/2006/relationships/chart" Target="charts/chart2.xml"/><Relationship Id="rId50" Type="http://schemas.openxmlformats.org/officeDocument/2006/relationships/chart" Target="charts/chart5.xml"/><Relationship Id="rId55" Type="http://schemas.openxmlformats.org/officeDocument/2006/relationships/chart" Target="charts/chart10.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lexpera.com.tr/Appendix/PUBLICATION_TR/images/RG801Y2021N31377P4_375235099_1.JPG" TargetMode="External"/><Relationship Id="rId29" Type="http://schemas.openxmlformats.org/officeDocument/2006/relationships/image" Target="http://www.lexpera.com.tr/Appendix/PUBLICATION_TR/images/RG801Y2021N31377P4_375242907_1.JPG" TargetMode="External"/><Relationship Id="rId11" Type="http://schemas.openxmlformats.org/officeDocument/2006/relationships/footer" Target="footer3.xml"/><Relationship Id="rId24" Type="http://schemas.openxmlformats.org/officeDocument/2006/relationships/hyperlink" Target="http://www.lexpera.com.tr/Appendix/PUBLICATION_TR/images/RG801Y2021N31377P4_375235103_1.JPG" TargetMode="External"/><Relationship Id="rId32" Type="http://schemas.openxmlformats.org/officeDocument/2006/relationships/hyperlink" Target="http://www.lexpera.com.tr/Appendix/PUBLICATION_TR/images/RG801Y2021N31377P4_375235106_1.JPG" TargetMode="External"/><Relationship Id="rId37" Type="http://schemas.openxmlformats.org/officeDocument/2006/relationships/image" Target="media/image5.jpeg"/><Relationship Id="rId40" Type="http://schemas.openxmlformats.org/officeDocument/2006/relationships/footer" Target="footer7.xml"/><Relationship Id="rId45" Type="http://schemas.openxmlformats.org/officeDocument/2006/relationships/image" Target="media/image10.png"/><Relationship Id="rId53" Type="http://schemas.openxmlformats.org/officeDocument/2006/relationships/chart" Target="charts/chart8.xm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http://www.lexpera.com.tr/Appendix/PUBLICATION_TR/images/RG801Y2021N31377P4_375235100_1.JPG"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http://www.lexpera.com.tr/Appendix/PUBLICATION_TR/images/RG801Y2021N31377P4_375235102_1.JPG" TargetMode="External"/><Relationship Id="rId27" Type="http://schemas.openxmlformats.org/officeDocument/2006/relationships/image" Target="http://www.lexpera.com.tr/Appendix/PUBLICATION_TR/images/RG801Y2021N31377P4_375235104_1.JPG" TargetMode="External"/><Relationship Id="rId30" Type="http://schemas.openxmlformats.org/officeDocument/2006/relationships/hyperlink" Target="http://www.lexpera.com.tr/Appendix/PUBLICATION_TR/images/RG801Y2021N31377P4_375235105_1.JPG" TargetMode="External"/><Relationship Id="rId35" Type="http://schemas.openxmlformats.org/officeDocument/2006/relationships/image" Target="media/image4.jpeg"/><Relationship Id="rId43" Type="http://schemas.openxmlformats.org/officeDocument/2006/relationships/image" Target="media/image8.png"/><Relationship Id="rId48" Type="http://schemas.openxmlformats.org/officeDocument/2006/relationships/chart" Target="charts/chart3.xml"/><Relationship Id="rId56" Type="http://schemas.openxmlformats.org/officeDocument/2006/relationships/chart" Target="charts/chart11.xml"/><Relationship Id="rId8" Type="http://schemas.openxmlformats.org/officeDocument/2006/relationships/endnotes" Target="endnotes.xml"/><Relationship Id="rId51" Type="http://schemas.openxmlformats.org/officeDocument/2006/relationships/chart" Target="charts/chart6.xml"/><Relationship Id="rId3" Type="http://schemas.openxmlformats.org/officeDocument/2006/relationships/numbering" Target="numbering.xml"/><Relationship Id="rId12" Type="http://schemas.openxmlformats.org/officeDocument/2006/relationships/image" Target="media/image1.png"/><Relationship Id="rId17" Type="http://schemas.openxmlformats.org/officeDocument/2006/relationships/image" Target="http://www.lexpera.com.tr/Appendix/PUBLICATION_TR/images/RG801Y2021N31377P4_375235099_1.JPG" TargetMode="External"/><Relationship Id="rId25" Type="http://schemas.openxmlformats.org/officeDocument/2006/relationships/image" Target="http://www.lexpera.com.tr/Appendix/PUBLICATION_TR/images/RG801Y2021N31377P4_375235103_1.JPG" TargetMode="External"/><Relationship Id="rId33" Type="http://schemas.openxmlformats.org/officeDocument/2006/relationships/image" Target="http://www.lexpera.com.tr/Appendix/PUBLICATION_TR/images/RG801Y2021N31377P4_375235106_1.JPG" TargetMode="External"/><Relationship Id="rId38" Type="http://schemas.openxmlformats.org/officeDocument/2006/relationships/footer" Target="footer5.xml"/><Relationship Id="rId46" Type="http://schemas.openxmlformats.org/officeDocument/2006/relationships/chart" Target="charts/chart1.xml"/><Relationship Id="rId20" Type="http://schemas.openxmlformats.org/officeDocument/2006/relationships/hyperlink" Target="http://www.lexpera.com.tr/Appendix/PUBLICATION_TR/images/RG801Y2021N31377P4_375235101_1.JPG" TargetMode="External"/><Relationship Id="rId41" Type="http://schemas.openxmlformats.org/officeDocument/2006/relationships/image" Target="media/image6.png"/><Relationship Id="rId54"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http://www.lexpera.com.tr/Appendix/PUBLICATION_TR/images/RG801Y2021N31377P4_375235102_1.JPG" TargetMode="External"/><Relationship Id="rId28" Type="http://schemas.openxmlformats.org/officeDocument/2006/relationships/hyperlink" Target="http://www.lexpera.com.tr/Appendix/PUBLICATION_TR/images/RG801Y2021N31377P4_375242907_1.JPG" TargetMode="External"/><Relationship Id="rId36" Type="http://schemas.openxmlformats.org/officeDocument/2006/relationships/hyperlink" Target="https://www.lexpera.com.tr/Appendix/PUBLICATION_TR/images/RG801Y2021N31479S6_392374175_1.JPG" TargetMode="External"/><Relationship Id="rId49" Type="http://schemas.openxmlformats.org/officeDocument/2006/relationships/chart" Target="charts/chart4.xml"/><Relationship Id="rId57" Type="http://schemas.openxmlformats.org/officeDocument/2006/relationships/fontTable" Target="fontTable.xml"/><Relationship Id="rId10" Type="http://schemas.openxmlformats.org/officeDocument/2006/relationships/footer" Target="footer2.xml"/><Relationship Id="rId31" Type="http://schemas.openxmlformats.org/officeDocument/2006/relationships/image" Target="http://www.lexpera.com.tr/Appendix/PUBLICATION_TR/images/RG801Y2021N31377P4_375235105_1.JPG" TargetMode="External"/><Relationship Id="rId44" Type="http://schemas.openxmlformats.org/officeDocument/2006/relationships/image" Target="media/image9.png"/><Relationship Id="rId52"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al__ma_Sayfas_.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hp\Downloads\Faaliyet%20Raporu%20Verileri-2021-T&#252;ketici%20(1).XLS" TargetMode="Externa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_al__ma_Sayfas_1.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hp\Downloads\Faaliyet%20Raporu%20Verileri-2021-T&#252;ketici%20(1).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p\Downloads\Faaliyet%20Raporu%20Verileri-2021-T&#252;ketici%20(2).XLS" TargetMode="Externa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_al__ma_Sayfas_2.xlsx"/><Relationship Id="rId2" Type="http://schemas.microsoft.com/office/2011/relationships/chartColorStyle" Target="colors3.xml"/><Relationship Id="rId1" Type="http://schemas.microsoft.com/office/2011/relationships/chartStyle" Target="style3.xml"/></Relationships>
</file>

<file path=word/charts/_rels/chart7.xml.rels><?xml version="1.0" encoding="UTF-8" standalone="yes"?>
<Relationships xmlns="http://schemas.openxmlformats.org/package/2006/relationships"><Relationship Id="rId1" Type="http://schemas.openxmlformats.org/officeDocument/2006/relationships/oleObject" Target="file:///C:\Users\hp\Downloads\Faaliyet%20Raporu%20Verileri-2021-T&#252;ketici%20(2).XLS" TargetMode="Externa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_al__ma_Sayfas_3.xlsx"/><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1" Type="http://schemas.openxmlformats.org/officeDocument/2006/relationships/oleObject" Target="file:///C:\Users\hp\Downloads\Faaliyet%20Raporu%20Verileri-2021-T&#252;ketici%20(2).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hp\Downloads\Faaliyet%20Raporu%20Verileri-2021-T&#252;ketici%20(2).XLS"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hp\Downloads\Soru%20&#214;nergeleri-FR%20(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232271732316985"/>
          <c:y val="7.1684587813620068E-2"/>
          <c:w val="0.8876772826768301"/>
          <c:h val="0.73327159709874978"/>
        </c:manualLayout>
      </c:layout>
      <c:barChart>
        <c:barDir val="col"/>
        <c:grouping val="clustered"/>
        <c:varyColors val="0"/>
        <c:ser>
          <c:idx val="0"/>
          <c:order val="0"/>
          <c:tx>
            <c:strRef>
              <c:f>Sayfa1!$B$1</c:f>
              <c:strCache>
                <c:ptCount val="1"/>
                <c:pt idx="0">
                  <c:v>Seri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Sayfa1!$B$2:$B$13</c:f>
              <c:numCache>
                <c:formatCode>0%</c:formatCode>
                <c:ptCount val="12"/>
                <c:pt idx="0" formatCode="0.00%">
                  <c:v>8.6999999999999994E-2</c:v>
                </c:pt>
                <c:pt idx="1">
                  <c:v>0.08</c:v>
                </c:pt>
                <c:pt idx="2" formatCode="0.00%">
                  <c:v>7.0999999999999994E-2</c:v>
                </c:pt>
                <c:pt idx="3" formatCode="0.00%">
                  <c:v>0.10100000000000001</c:v>
                </c:pt>
                <c:pt idx="4" formatCode="0.00%">
                  <c:v>9.9000000000000005E-2</c:v>
                </c:pt>
                <c:pt idx="5" formatCode="0.00%">
                  <c:v>5.8000000000000003E-2</c:v>
                </c:pt>
                <c:pt idx="6" formatCode="0.00%">
                  <c:v>6.4000000000000001E-2</c:v>
                </c:pt>
                <c:pt idx="7" formatCode="0.00%">
                  <c:v>0.106</c:v>
                </c:pt>
                <c:pt idx="8" formatCode="0.00%">
                  <c:v>7.4999999999999997E-2</c:v>
                </c:pt>
                <c:pt idx="9" formatCode="0.00%">
                  <c:v>0.08</c:v>
                </c:pt>
                <c:pt idx="10">
                  <c:v>7.3999999999999996E-2</c:v>
                </c:pt>
                <c:pt idx="11" formatCode="0.00%">
                  <c:v>0.105</c:v>
                </c:pt>
              </c:numCache>
            </c:numRef>
          </c:val>
          <c:extLst>
            <c:ext xmlns:c16="http://schemas.microsoft.com/office/drawing/2014/chart" uri="{C3380CC4-5D6E-409C-BE32-E72D297353CC}">
              <c16:uniqueId val="{00000000-1A69-4473-953E-7573B0EF17EA}"/>
            </c:ext>
          </c:extLst>
        </c:ser>
        <c:dLbls>
          <c:dLblPos val="outEnd"/>
          <c:showLegendKey val="0"/>
          <c:showVal val="1"/>
          <c:showCatName val="0"/>
          <c:showSerName val="0"/>
          <c:showPercent val="0"/>
          <c:showBubbleSize val="0"/>
        </c:dLbls>
        <c:gapWidth val="219"/>
        <c:overlap val="-27"/>
        <c:axId val="814621552"/>
        <c:axId val="814619888"/>
      </c:barChart>
      <c:catAx>
        <c:axId val="814621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14619888"/>
        <c:crosses val="autoZero"/>
        <c:auto val="1"/>
        <c:lblAlgn val="ctr"/>
        <c:lblOffset val="100"/>
        <c:noMultiLvlLbl val="0"/>
      </c:catAx>
      <c:valAx>
        <c:axId val="8146198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1462155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932330827067669"/>
          <c:y val="8.1018518518518517E-2"/>
          <c:w val="0.41854636591478694"/>
          <c:h val="0.77314814814814814"/>
        </c:manualLayout>
      </c:layout>
      <c:pieChart>
        <c:varyColors val="1"/>
        <c:ser>
          <c:idx val="0"/>
          <c:order val="0"/>
          <c:spPr>
            <a:effectLst>
              <a:outerShdw blurRad="50800" dist="50800" algn="ctr" rotWithShape="0">
                <a:srgbClr val="000000">
                  <a:alpha val="43137"/>
                </a:srgbClr>
              </a:outerShdw>
            </a:effectLst>
          </c:spPr>
          <c:dPt>
            <c:idx val="0"/>
            <c:bubble3D val="0"/>
            <c:explosion val="8"/>
            <c:extLst>
              <c:ext xmlns:c16="http://schemas.microsoft.com/office/drawing/2014/chart" uri="{C3380CC4-5D6E-409C-BE32-E72D297353CC}">
                <c16:uniqueId val="{00000001-D732-4FDE-8E39-A069C764A747}"/>
              </c:ext>
            </c:extLst>
          </c:dPt>
          <c:dPt>
            <c:idx val="1"/>
            <c:bubble3D val="0"/>
            <c:extLst>
              <c:ext xmlns:c16="http://schemas.microsoft.com/office/drawing/2014/chart" uri="{C3380CC4-5D6E-409C-BE32-E72D297353CC}">
                <c16:uniqueId val="{00000002-D732-4FDE-8E39-A069C764A747}"/>
              </c:ext>
            </c:extLst>
          </c:dPt>
          <c:dPt>
            <c:idx val="2"/>
            <c:bubble3D val="0"/>
            <c:extLst>
              <c:ext xmlns:c16="http://schemas.microsoft.com/office/drawing/2014/chart" uri="{C3380CC4-5D6E-409C-BE32-E72D297353CC}">
                <c16:uniqueId val="{00000003-D732-4FDE-8E39-A069C764A747}"/>
              </c:ext>
            </c:extLst>
          </c:dPt>
          <c:dPt>
            <c:idx val="3"/>
            <c:bubble3D val="0"/>
            <c:extLst>
              <c:ext xmlns:c16="http://schemas.microsoft.com/office/drawing/2014/chart" uri="{C3380CC4-5D6E-409C-BE32-E72D297353CC}">
                <c16:uniqueId val="{00000004-D732-4FDE-8E39-A069C764A747}"/>
              </c:ext>
            </c:extLst>
          </c:dPt>
          <c:dPt>
            <c:idx val="4"/>
            <c:bubble3D val="0"/>
            <c:extLst>
              <c:ext xmlns:c16="http://schemas.microsoft.com/office/drawing/2014/chart" uri="{C3380CC4-5D6E-409C-BE32-E72D297353CC}">
                <c16:uniqueId val="{00000005-D732-4FDE-8E39-A069C764A747}"/>
              </c:ext>
            </c:extLst>
          </c:dPt>
          <c:dLbls>
            <c:dLbl>
              <c:idx val="0"/>
              <c:layout>
                <c:manualLayout>
                  <c:x val="-4.6067728376058256E-2"/>
                  <c:y val="-1.4136028272056544E-3"/>
                </c:manualLayout>
              </c:layout>
              <c:tx>
                <c:rich>
                  <a:bodyPr/>
                  <a:lstStyle/>
                  <a:p>
                    <a:pPr>
                      <a:defRPr sz="1000" b="0" i="0" u="none" strike="noStrike" baseline="0">
                        <a:solidFill>
                          <a:srgbClr val="000000"/>
                        </a:solidFill>
                        <a:latin typeface="Calibri"/>
                        <a:ea typeface="Calibri"/>
                        <a:cs typeface="Calibri"/>
                      </a:defRPr>
                    </a:pPr>
                    <a:r>
                      <a:rPr lang="en-US"/>
                      <a:t>CIMER; 90,1%</a:t>
                    </a:r>
                  </a:p>
                </c:rich>
              </c:tx>
              <c:spPr>
                <a:noFill/>
                <a:ln>
                  <a:noFill/>
                </a:ln>
                <a:effectLst>
                  <a:outerShdw blurRad="50800" dist="50800" dir="600000" algn="ctr" rotWithShape="0">
                    <a:srgbClr val="000000">
                      <a:alpha val="43137"/>
                    </a:srgbClr>
                  </a:outerShdw>
                </a:effectLst>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732-4FDE-8E39-A069C764A747}"/>
                </c:ext>
              </c:extLst>
            </c:dLbl>
            <c:dLbl>
              <c:idx val="1"/>
              <c:layout>
                <c:manualLayout>
                  <c:x val="1.7494129023345673E-2"/>
                  <c:y val="-0.18824305426388629"/>
                </c:manualLayout>
              </c:layout>
              <c:tx>
                <c:rich>
                  <a:bodyPr/>
                  <a:lstStyle/>
                  <a:p>
                    <a:pPr algn="l">
                      <a:defRPr sz="1000" b="0" i="0" u="none" strike="noStrike" baseline="0">
                        <a:solidFill>
                          <a:srgbClr val="000000"/>
                        </a:solidFill>
                        <a:latin typeface="Calibri"/>
                        <a:ea typeface="Calibri"/>
                        <a:cs typeface="Calibri"/>
                      </a:defRPr>
                    </a:pPr>
                    <a:r>
                      <a:rPr lang="en-US"/>
                      <a:t>Institution Web Page; 9,51%</a:t>
                    </a:r>
                  </a:p>
                </c:rich>
              </c:tx>
              <c:spPr>
                <a:noFill/>
                <a:ln>
                  <a:noFill/>
                </a:ln>
                <a:effectLst>
                  <a:outerShdw blurRad="50800" dist="50800" dir="600000" algn="ctr" rotWithShape="0">
                    <a:srgbClr val="000000">
                      <a:alpha val="43137"/>
                    </a:srgbClr>
                  </a:outerShdw>
                </a:effectLst>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732-4FDE-8E39-A069C764A747}"/>
                </c:ext>
              </c:extLst>
            </c:dLbl>
            <c:dLbl>
              <c:idx val="2"/>
              <c:layout>
                <c:manualLayout>
                  <c:x val="7.3885303810707958E-2"/>
                  <c:y val="-4.5819813861849946E-2"/>
                </c:manualLayout>
              </c:layout>
              <c:tx>
                <c:rich>
                  <a:bodyPr/>
                  <a:lstStyle/>
                  <a:p>
                    <a:pPr>
                      <a:defRPr sz="1000" b="0" i="0" u="none" strike="noStrike" baseline="0">
                        <a:solidFill>
                          <a:srgbClr val="000000"/>
                        </a:solidFill>
                        <a:latin typeface="Calibri"/>
                        <a:ea typeface="Calibri"/>
                        <a:cs typeface="Calibri"/>
                      </a:defRPr>
                    </a:pPr>
                    <a:r>
                      <a:rPr lang="en-US"/>
                      <a:t>ETBK; 0,2%</a:t>
                    </a:r>
                  </a:p>
                </c:rich>
              </c:tx>
              <c:spPr>
                <a:noFill/>
                <a:ln>
                  <a:noFill/>
                </a:ln>
                <a:effectLst>
                  <a:outerShdw blurRad="50800" dist="50800" dir="600000" algn="ctr" rotWithShape="0">
                    <a:srgbClr val="000000">
                      <a:alpha val="43137"/>
                    </a:srgbClr>
                  </a:outerShdw>
                </a:effectLst>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732-4FDE-8E39-A069C764A747}"/>
                </c:ext>
              </c:extLst>
            </c:dLbl>
            <c:dLbl>
              <c:idx val="3"/>
              <c:delete val="1"/>
              <c:extLst>
                <c:ext xmlns:c15="http://schemas.microsoft.com/office/drawing/2012/chart" uri="{CE6537A1-D6FC-4f65-9D91-7224C49458BB}"/>
                <c:ext xmlns:c16="http://schemas.microsoft.com/office/drawing/2014/chart" uri="{C3380CC4-5D6E-409C-BE32-E72D297353CC}">
                  <c16:uniqueId val="{00000004-D732-4FDE-8E39-A069C764A747}"/>
                </c:ext>
              </c:extLst>
            </c:dLbl>
            <c:dLbl>
              <c:idx val="4"/>
              <c:layout>
                <c:manualLayout>
                  <c:x val="3.7458607147790736E-2"/>
                  <c:y val="0.15270182762587747"/>
                </c:manualLayout>
              </c:layout>
              <c:tx>
                <c:rich>
                  <a:bodyPr/>
                  <a:lstStyle/>
                  <a:p>
                    <a:pPr>
                      <a:defRPr sz="1000" b="0" i="0" u="none" strike="noStrike" baseline="0">
                        <a:solidFill>
                          <a:srgbClr val="000000"/>
                        </a:solidFill>
                        <a:latin typeface="Calibri"/>
                        <a:ea typeface="Calibri"/>
                        <a:cs typeface="Calibri"/>
                      </a:defRPr>
                    </a:pPr>
                    <a:fld id="{361DACC3-9CB8-4786-8F11-9AB435F10A3C}" type="CATEGORYNAME">
                      <a:rPr lang="en-US"/>
                      <a:pPr>
                        <a:defRPr sz="1000" b="0" i="0" u="none" strike="noStrike" baseline="0">
                          <a:solidFill>
                            <a:srgbClr val="000000"/>
                          </a:solidFill>
                          <a:latin typeface="Calibri"/>
                          <a:ea typeface="Calibri"/>
                          <a:cs typeface="Calibri"/>
                        </a:defRPr>
                      </a:pPr>
                      <a:t>[KATEGORİ ADI]</a:t>
                    </a:fld>
                    <a:r>
                      <a:rPr lang="en-US" baseline="0"/>
                      <a:t>; 0,2%</a:t>
                    </a:r>
                  </a:p>
                </c:rich>
              </c:tx>
              <c:spPr>
                <a:noFill/>
                <a:ln>
                  <a:noFill/>
                </a:ln>
                <a:effectLst>
                  <a:outerShdw blurRad="50800" dist="50800" dir="600000" algn="ctr" rotWithShape="0">
                    <a:srgbClr val="000000">
                      <a:alpha val="43137"/>
                    </a:srgbClr>
                  </a:outerShdw>
                </a:effectLst>
              </c:sp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D732-4FDE-8E39-A069C764A747}"/>
                </c:ext>
              </c:extLst>
            </c:dLbl>
            <c:spPr>
              <a:noFill/>
              <a:ln>
                <a:noFill/>
              </a:ln>
              <a:effectLst>
                <a:outerShdw blurRad="50800" dist="50800" dir="600000" algn="ctr" rotWithShape="0">
                  <a:srgbClr val="000000">
                    <a:alpha val="43137"/>
                  </a:srgbClr>
                </a:outerShdw>
              </a:effectLst>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tr-TR"/>
              </a:p>
            </c:txPr>
            <c:showLegendKey val="0"/>
            <c:showVal val="1"/>
            <c:showCatName val="1"/>
            <c:showSerName val="0"/>
            <c:showPercent val="0"/>
            <c:showBubbleSize val="0"/>
            <c:showLeaderLines val="1"/>
            <c:extLst>
              <c:ext xmlns:c15="http://schemas.microsoft.com/office/drawing/2012/chart" uri="{CE6537A1-D6FC-4f65-9D91-7224C49458BB}"/>
            </c:extLst>
          </c:dLbls>
          <c:cat>
            <c:strRef>
              <c:f>'Şikayet Kanalları'!$A$2:$A$6</c:f>
              <c:strCache>
                <c:ptCount val="5"/>
                <c:pt idx="0">
                  <c:v>Cimer</c:v>
                </c:pt>
                <c:pt idx="1">
                  <c:v>Form</c:v>
                </c:pt>
                <c:pt idx="2">
                  <c:v>ETKB</c:v>
                </c:pt>
                <c:pt idx="3">
                  <c:v>General Document</c:v>
                </c:pt>
                <c:pt idx="4">
                  <c:v>Other</c:v>
                </c:pt>
              </c:strCache>
            </c:strRef>
          </c:cat>
          <c:val>
            <c:numRef>
              <c:f>'Şikayet Kanalları'!$C$2:$C$6</c:f>
              <c:numCache>
                <c:formatCode>0.00%</c:formatCode>
                <c:ptCount val="5"/>
                <c:pt idx="0">
                  <c:v>0.9010787043140418</c:v>
                </c:pt>
                <c:pt idx="1">
                  <c:v>9.5082628285162576E-2</c:v>
                </c:pt>
                <c:pt idx="2">
                  <c:v>2.0240246295104344E-3</c:v>
                </c:pt>
                <c:pt idx="3">
                  <c:v>1.6517902148878256E-3</c:v>
                </c:pt>
                <c:pt idx="4">
                  <c:v>1.6285255639739125E-4</c:v>
                </c:pt>
              </c:numCache>
            </c:numRef>
          </c:val>
          <c:extLst>
            <c:ext xmlns:c16="http://schemas.microsoft.com/office/drawing/2014/chart" uri="{C3380CC4-5D6E-409C-BE32-E72D297353CC}">
              <c16:uniqueId val="{00000006-D732-4FDE-8E39-A069C764A747}"/>
            </c:ext>
          </c:extLst>
        </c:ser>
        <c:dLbls>
          <c:showLegendKey val="0"/>
          <c:showVal val="0"/>
          <c:showCatName val="0"/>
          <c:showSerName val="0"/>
          <c:showPercent val="0"/>
          <c:showBubbleSize val="0"/>
          <c:showLeaderLines val="1"/>
        </c:dLbls>
        <c:firstSliceAng val="94"/>
      </c:pieChart>
      <c:spPr>
        <a:noFill/>
        <a:ln w="25400">
          <a:noFill/>
        </a:ln>
      </c:spPr>
    </c:plotArea>
    <c:plotVisOnly val="1"/>
    <c:dispBlanksAs val="gap"/>
    <c:showDLblsOverMax val="0"/>
  </c:chart>
  <c:spPr>
    <a:ln w="12700">
      <a:prstDash val="sysDot"/>
    </a:ln>
  </c:spPr>
  <c:txPr>
    <a:bodyPr/>
    <a:lstStyle/>
    <a:p>
      <a:pPr>
        <a:defRPr sz="1000" b="0" i="0" u="none" strike="noStrike" baseline="0">
          <a:solidFill>
            <a:srgbClr val="000000"/>
          </a:solidFill>
          <a:latin typeface="Calibri"/>
          <a:ea typeface="Calibri"/>
          <a:cs typeface="Calibri"/>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Sayfa1!$B$1</c:f>
              <c:strCache>
                <c:ptCount val="1"/>
                <c:pt idx="0">
                  <c:v>Sütun1</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6024-4849-ADEA-041797CED1BB}"/>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6024-4849-ADEA-041797CED1BB}"/>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6024-4849-ADEA-041797CED1BB}"/>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6024-4849-ADEA-041797CED1BB}"/>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6024-4849-ADEA-041797CED1BB}"/>
              </c:ext>
            </c:extLst>
          </c:dPt>
          <c:dLbls>
            <c:dLbl>
              <c:idx val="0"/>
              <c:layout>
                <c:manualLayout>
                  <c:x val="5.092592592592584E-2"/>
                  <c:y val="-8.333333333333332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024-4849-ADEA-041797CED1BB}"/>
                </c:ext>
              </c:extLst>
            </c:dLbl>
            <c:dLbl>
              <c:idx val="1"/>
              <c:layout>
                <c:manualLayout>
                  <c:x val="-4.3981481481481503E-2"/>
                  <c:y val="8.33333333333333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6024-4849-ADEA-041797CED1BB}"/>
                </c:ext>
              </c:extLst>
            </c:dLbl>
            <c:dLbl>
              <c:idx val="2"/>
              <c:layout>
                <c:manualLayout>
                  <c:x val="-5.7870370370370371E-2"/>
                  <c:y val="1.587301587301587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024-4849-ADEA-041797CED1BB}"/>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6-6024-4849-ADEA-041797CED1BB}"/>
                </c:ext>
              </c:extLst>
            </c:dLbl>
            <c:dLbl>
              <c:idx val="4"/>
              <c:layout>
                <c:manualLayout>
                  <c:x val="6.0185185185185099E-2"/>
                  <c:y val="3.968253968253968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6024-4849-ADEA-041797CED1B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Sayfa1!$A$2:$A$6</c:f>
              <c:strCache>
                <c:ptCount val="5"/>
                <c:pt idx="0">
                  <c:v>Electricity</c:v>
                </c:pt>
                <c:pt idx="1">
                  <c:v>Natural Gas</c:v>
                </c:pt>
                <c:pt idx="2">
                  <c:v>Petroleum</c:v>
                </c:pt>
                <c:pt idx="3">
                  <c:v>LPG</c:v>
                </c:pt>
                <c:pt idx="4">
                  <c:v>Other</c:v>
                </c:pt>
              </c:strCache>
            </c:strRef>
          </c:cat>
          <c:val>
            <c:numRef>
              <c:f>Sayfa1!$B$2:$B$6</c:f>
              <c:numCache>
                <c:formatCode>0%</c:formatCode>
                <c:ptCount val="5"/>
                <c:pt idx="0" formatCode="0.00%">
                  <c:v>0.77800000000000002</c:v>
                </c:pt>
                <c:pt idx="1">
                  <c:v>0.17</c:v>
                </c:pt>
                <c:pt idx="2" formatCode="0.00%">
                  <c:v>2.1000000000000001E-2</c:v>
                </c:pt>
                <c:pt idx="3" formatCode="0.00%">
                  <c:v>8.9999999999999993E-3</c:v>
                </c:pt>
                <c:pt idx="4" formatCode="0.00%">
                  <c:v>2.3E-2</c:v>
                </c:pt>
              </c:numCache>
            </c:numRef>
          </c:val>
          <c:extLst>
            <c:ext xmlns:c16="http://schemas.microsoft.com/office/drawing/2014/chart" uri="{C3380CC4-5D6E-409C-BE32-E72D297353CC}">
              <c16:uniqueId val="{00000000-6024-4849-ADEA-041797CED1BB}"/>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doughnutChart>
        <c:varyColors val="1"/>
        <c:ser>
          <c:idx val="0"/>
          <c:order val="0"/>
          <c:spPr>
            <a:ln>
              <a:noFill/>
            </a:ln>
          </c:spPr>
          <c:dPt>
            <c:idx val="0"/>
            <c:bubble3D val="0"/>
            <c:explosion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74AA-40E2-90FC-EF54551C133E}"/>
              </c:ext>
            </c:extLst>
          </c:dPt>
          <c:dPt>
            <c:idx val="1"/>
            <c:bubble3D val="0"/>
            <c:explosion val="9"/>
            <c:spPr>
              <a:solidFill>
                <a:srgbClr val="92D050"/>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74AA-40E2-90FC-EF54551C133E}"/>
              </c:ext>
            </c:extLst>
          </c:dPt>
          <c:dPt>
            <c:idx val="2"/>
            <c:bubble3D val="0"/>
            <c:explosion val="11"/>
            <c:spPr>
              <a:solidFill>
                <a:srgbClr val="EE0000"/>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74AA-40E2-90FC-EF54551C133E}"/>
              </c:ext>
            </c:extLst>
          </c:dPt>
          <c:dPt>
            <c:idx val="3"/>
            <c:bubble3D val="0"/>
            <c:explosion val="7"/>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74AA-40E2-90FC-EF54551C133E}"/>
              </c:ext>
            </c:extLst>
          </c:dPt>
          <c:dLbls>
            <c:dLbl>
              <c:idx val="0"/>
              <c:layout>
                <c:manualLayout>
                  <c:x val="4.2390975166564544E-3"/>
                  <c:y val="7.4178053648585552E-3"/>
                </c:manualLayout>
              </c:layout>
              <c:tx>
                <c:rich>
                  <a:bodyPr anchorCtr="0"/>
                  <a:lstStyle/>
                  <a:p>
                    <a:pPr algn="ctr">
                      <a:defRPr sz="900" b="1" i="0" u="none" strike="noStrike" baseline="0">
                        <a:solidFill>
                          <a:srgbClr val="000000"/>
                        </a:solidFill>
                        <a:latin typeface="Calibri"/>
                        <a:ea typeface="Calibri"/>
                        <a:cs typeface="Calibri"/>
                      </a:defRPr>
                    </a:pPr>
                    <a:r>
                      <a:rPr lang="en-US"/>
                      <a:t>Electricity Distribution; %55</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4AA-40E2-90FC-EF54551C133E}"/>
                </c:ext>
              </c:extLst>
            </c:dLbl>
            <c:dLbl>
              <c:idx val="1"/>
              <c:layout>
                <c:manualLayout>
                  <c:x val="-4.2390975166565715E-3"/>
                  <c:y val="2.5954276606703941E-5"/>
                </c:manualLayout>
              </c:layout>
              <c:tx>
                <c:rich>
                  <a:bodyPr anchorCtr="0"/>
                  <a:lstStyle/>
                  <a:p>
                    <a:pPr algn="ctr">
                      <a:defRPr sz="900" b="1" i="0" u="none" strike="noStrike" baseline="0">
                        <a:solidFill>
                          <a:srgbClr val="000000"/>
                        </a:solidFill>
                        <a:latin typeface="Calibri"/>
                        <a:ea typeface="Calibri"/>
                        <a:cs typeface="Calibri"/>
                      </a:defRPr>
                    </a:pPr>
                    <a:r>
                      <a:rPr lang="en-US"/>
                      <a:t>Natural</a:t>
                    </a:r>
                    <a:r>
                      <a:rPr lang="en-US" baseline="0"/>
                      <a:t> Gas</a:t>
                    </a:r>
                    <a:r>
                      <a:rPr lang="en-US"/>
                      <a:t>; %14</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4AA-40E2-90FC-EF54551C133E}"/>
                </c:ext>
              </c:extLst>
            </c:dLbl>
            <c:dLbl>
              <c:idx val="2"/>
              <c:layout>
                <c:manualLayout>
                  <c:x val="6.4612356147789223E-3"/>
                  <c:y val="-6.4841825133974823E-3"/>
                </c:manualLayout>
              </c:layout>
              <c:tx>
                <c:rich>
                  <a:bodyPr anchorCtr="0"/>
                  <a:lstStyle/>
                  <a:p>
                    <a:pPr algn="ctr">
                      <a:defRPr sz="900" b="1" i="0" u="none" strike="noStrike" baseline="0">
                        <a:solidFill>
                          <a:srgbClr val="000000"/>
                        </a:solidFill>
                        <a:latin typeface="Calibri"/>
                        <a:ea typeface="Calibri"/>
                        <a:cs typeface="Calibri"/>
                      </a:defRPr>
                    </a:pPr>
                    <a:r>
                      <a:rPr lang="en-US"/>
                      <a:t>Institution; %14</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4AA-40E2-90FC-EF54551C133E}"/>
                </c:ext>
              </c:extLst>
            </c:dLbl>
            <c:dLbl>
              <c:idx val="3"/>
              <c:layout>
                <c:manualLayout>
                  <c:x val="-8.4393296991722188E-4"/>
                  <c:y val="-1.0984142302546464E-2"/>
                </c:manualLayout>
              </c:layout>
              <c:tx>
                <c:rich>
                  <a:bodyPr anchorCtr="0"/>
                  <a:lstStyle/>
                  <a:p>
                    <a:pPr algn="ctr">
                      <a:defRPr sz="900" b="1" i="0" u="none" strike="noStrike" baseline="0">
                        <a:solidFill>
                          <a:srgbClr val="000000"/>
                        </a:solidFill>
                        <a:latin typeface="Calibri"/>
                        <a:ea typeface="Calibri"/>
                        <a:cs typeface="Calibri"/>
                      </a:defRPr>
                    </a:pPr>
                    <a:r>
                      <a:rPr lang="en-US"/>
                      <a:t>Electricity Retail; %16</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4AA-40E2-90FC-EF54551C133E}"/>
                </c:ext>
              </c:extLst>
            </c:dLbl>
            <c:spPr>
              <a:noFill/>
              <a:ln w="25400">
                <a:noFill/>
              </a:ln>
            </c:spPr>
            <c:txPr>
              <a:bodyPr wrap="square" lIns="38100" tIns="19050" rIns="38100" bIns="19050" anchor="ctr" anchorCtr="0">
                <a:spAutoFit/>
              </a:bodyPr>
              <a:lstStyle/>
              <a:p>
                <a:pPr algn="ctr">
                  <a:defRPr sz="900" b="0" i="0" u="none" strike="noStrike" baseline="0">
                    <a:solidFill>
                      <a:srgbClr val="333333"/>
                    </a:solidFill>
                    <a:latin typeface="Calibri"/>
                    <a:ea typeface="Calibri"/>
                    <a:cs typeface="Calibri"/>
                  </a:defRPr>
                </a:pPr>
                <a:endParaRPr lang="tr-TR"/>
              </a:p>
            </c:txPr>
            <c:showLegendKey val="0"/>
            <c:showVal val="0"/>
            <c:showCatName val="1"/>
            <c:showSerName val="0"/>
            <c:showPercent val="1"/>
            <c:showBubbleSize val="0"/>
            <c:showLeaderLines val="0"/>
            <c:extLst>
              <c:ext xmlns:c15="http://schemas.microsoft.com/office/drawing/2012/chart" uri="{CE6537A1-D6FC-4f65-9D91-7224C49458BB}"/>
            </c:extLst>
          </c:dLbls>
          <c:val>
            <c:numRef>
              <c:f>'Şikayetlerin Gönderildiği Yer'!$C$2:$C$5</c:f>
              <c:numCache>
                <c:formatCode>0.00%</c:formatCode>
                <c:ptCount val="4"/>
                <c:pt idx="0">
                  <c:v>0.55310156571100655</c:v>
                </c:pt>
                <c:pt idx="1">
                  <c:v>0.16448108196136518</c:v>
                </c:pt>
                <c:pt idx="2">
                  <c:v>0.14479143240455677</c:v>
                </c:pt>
                <c:pt idx="3">
                  <c:v>0.13762591992307155</c:v>
                </c:pt>
              </c:numCache>
            </c:numRef>
          </c:val>
          <c:extLst>
            <c:ext xmlns:c16="http://schemas.microsoft.com/office/drawing/2014/chart" uri="{C3380CC4-5D6E-409C-BE32-E72D297353CC}">
              <c16:uniqueId val="{00000008-74AA-40E2-90FC-EF54551C133E}"/>
            </c:ext>
          </c:extLst>
        </c:ser>
        <c:dLbls>
          <c:showLegendKey val="0"/>
          <c:showVal val="0"/>
          <c:showCatName val="0"/>
          <c:showSerName val="0"/>
          <c:showPercent val="0"/>
          <c:showBubbleSize val="0"/>
          <c:showLeaderLines val="0"/>
        </c:dLbls>
        <c:firstSliceAng val="0"/>
        <c:holeSize val="50"/>
      </c:doughnutChart>
      <c:spPr>
        <a:noFill/>
        <a:ln w="25400">
          <a:noFill/>
        </a:ln>
      </c:spPr>
    </c:plotArea>
    <c:plotVisOnly val="1"/>
    <c:dispBlanksAs val="gap"/>
    <c:showDLblsOverMax val="0"/>
  </c:chart>
  <c:spPr>
    <a:solidFill>
      <a:schemeClr val="bg1"/>
    </a:solidFill>
    <a:ln w="12700" cap="flat" cmpd="sng" algn="ctr">
      <a:solidFill>
        <a:schemeClr val="tx1">
          <a:lumMod val="15000"/>
          <a:lumOff val="85000"/>
        </a:schemeClr>
      </a:solidFill>
      <a:prstDash val="sysDot"/>
      <a:round/>
    </a:ln>
    <a:effectLst/>
  </c:spPr>
  <c:txPr>
    <a:bodyPr/>
    <a:lstStyle/>
    <a:p>
      <a:pPr>
        <a:defRPr sz="1000" b="0" i="0" u="none" strike="noStrike" baseline="0">
          <a:solidFill>
            <a:srgbClr val="000000"/>
          </a:solidFill>
          <a:latin typeface="Calibri"/>
          <a:ea typeface="Calibri"/>
          <a:cs typeface="Calibri"/>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4946446088178371"/>
          <c:y val="5.9391239792130658E-2"/>
          <c:w val="0.4933385694212466"/>
          <c:h val="0.87305765509823519"/>
        </c:manualLayout>
      </c:layout>
      <c:barChart>
        <c:barDir val="bar"/>
        <c:grouping val="clustered"/>
        <c:varyColors val="0"/>
        <c:ser>
          <c:idx val="0"/>
          <c:order val="0"/>
          <c:spPr>
            <a:solidFill>
              <a:srgbClr val="4472C4"/>
            </a:solidFill>
            <a:ln w="25400">
              <a:noFill/>
            </a:ln>
          </c:spPr>
          <c:invertIfNegative val="0"/>
          <c:dLbls>
            <c:spPr>
              <a:noFill/>
              <a:ln w="25400">
                <a:noFill/>
              </a:ln>
            </c:spPr>
            <c:txPr>
              <a:bodyPr wrap="square" lIns="38100" tIns="19050" rIns="38100" bIns="19050" anchor="ctr">
                <a:spAutoFit/>
              </a:bodyPr>
              <a:lstStyle/>
              <a:p>
                <a:pPr>
                  <a:defRPr sz="900" b="1" i="0" u="none" strike="noStrike" baseline="0">
                    <a:solidFill>
                      <a:srgbClr val="333333"/>
                    </a:solidFill>
                    <a:latin typeface="Calibri"/>
                    <a:ea typeface="Calibri"/>
                    <a:cs typeface="Calibri"/>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'Elektrik-Şikayet Kategorisi'!$A$3:$A$17</c:f>
              <c:strCache>
                <c:ptCount val="15"/>
                <c:pt idx="0">
                  <c:v>Power Outage</c:v>
                </c:pt>
                <c:pt idx="1">
                  <c:v>Investment/Initial Connection (Physical Connection to Grid)</c:v>
                </c:pt>
                <c:pt idx="2">
                  <c:v>High Bill Objections</c:v>
                </c:pt>
                <c:pt idx="3">
                  <c:v>Illegal Energy Use Accrual</c:v>
                </c:pt>
                <c:pt idx="4">
                  <c:v>Voltage Surge/Pressure Change</c:v>
                </c:pt>
                <c:pt idx="5">
                  <c:v>Relocation/Removal of Facility (Line, Transformer, Pole)</c:v>
                </c:pt>
                <c:pt idx="6">
                  <c:v>Objection to Other Billing Elements</c:v>
                </c:pt>
                <c:pt idx="7">
                  <c:v>Complaints About The Company And Customer Service</c:v>
                </c:pt>
                <c:pt idx="8">
                  <c:v>Fault Notification</c:v>
                </c:pt>
                <c:pt idx="9">
                  <c:v>Power Outage Due to Debt</c:v>
                </c:pt>
                <c:pt idx="10">
                  <c:v>Illegal Electricity Usage Notice</c:v>
                </c:pt>
                <c:pt idx="11">
                  <c:v>Complaints About Company And Consumer Services</c:v>
                </c:pt>
                <c:pt idx="12">
                  <c:v>Meter Reading and Reading Notification</c:v>
                </c:pt>
                <c:pt idx="13">
                  <c:v>Subscription Termination Procedures</c:v>
                </c:pt>
                <c:pt idx="14">
                  <c:v>Other*</c:v>
                </c:pt>
              </c:strCache>
            </c:strRef>
          </c:cat>
          <c:val>
            <c:numRef>
              <c:f>'Elektrik-Şikayet Kategorisi'!$C$3:$C$17</c:f>
              <c:numCache>
                <c:formatCode>0.0%</c:formatCode>
                <c:ptCount val="15"/>
                <c:pt idx="0">
                  <c:v>0.30554530678180747</c:v>
                </c:pt>
                <c:pt idx="1">
                  <c:v>0.10653849605616106</c:v>
                </c:pt>
                <c:pt idx="2">
                  <c:v>8.6874146166349225E-2</c:v>
                </c:pt>
                <c:pt idx="3">
                  <c:v>6.9303870047764823E-2</c:v>
                </c:pt>
                <c:pt idx="4">
                  <c:v>6.479662554969437E-2</c:v>
                </c:pt>
                <c:pt idx="5">
                  <c:v>5.5742249434101492E-2</c:v>
                </c:pt>
                <c:pt idx="6">
                  <c:v>3.4153346030733028E-2</c:v>
                </c:pt>
                <c:pt idx="7">
                  <c:v>2.9775734670881404E-2</c:v>
                </c:pt>
                <c:pt idx="8">
                  <c:v>2.3653061835006931E-2</c:v>
                </c:pt>
                <c:pt idx="9">
                  <c:v>2.0282600241317072E-2</c:v>
                </c:pt>
                <c:pt idx="10">
                  <c:v>1.7470558319954529E-2</c:v>
                </c:pt>
                <c:pt idx="11">
                  <c:v>1.3102918739965896E-2</c:v>
                </c:pt>
                <c:pt idx="12">
                  <c:v>1.2813737123939252E-2</c:v>
                </c:pt>
                <c:pt idx="13">
                  <c:v>1.1278083025039139E-2</c:v>
                </c:pt>
                <c:pt idx="14">
                  <c:v>0.14899999999999999</c:v>
                </c:pt>
              </c:numCache>
            </c:numRef>
          </c:val>
          <c:extLst>
            <c:ext xmlns:c16="http://schemas.microsoft.com/office/drawing/2014/chart" uri="{C3380CC4-5D6E-409C-BE32-E72D297353CC}">
              <c16:uniqueId val="{00000000-B1F4-4EFD-935E-B57939214AA7}"/>
            </c:ext>
          </c:extLst>
        </c:ser>
        <c:dLbls>
          <c:showLegendKey val="0"/>
          <c:showVal val="0"/>
          <c:showCatName val="0"/>
          <c:showSerName val="0"/>
          <c:showPercent val="0"/>
          <c:showBubbleSize val="0"/>
        </c:dLbls>
        <c:gapWidth val="182"/>
        <c:axId val="581080399"/>
        <c:axId val="1"/>
      </c:barChart>
      <c:catAx>
        <c:axId val="5810803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tr-TR"/>
          </a:p>
        </c:txPr>
        <c:crossAx val="1"/>
        <c:crosses val="autoZero"/>
        <c:auto val="1"/>
        <c:lblAlgn val="ctr"/>
        <c:lblOffset val="100"/>
        <c:noMultiLvlLbl val="0"/>
      </c:catAx>
      <c:valAx>
        <c:axId val="1"/>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tr-TR"/>
          </a:p>
        </c:txPr>
        <c:crossAx val="581080399"/>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Sayfa1!$B$1</c:f>
              <c:strCache>
                <c:ptCount val="1"/>
                <c:pt idx="0">
                  <c:v>Seri 1</c:v>
                </c:pt>
              </c:strCache>
            </c:strRef>
          </c:tx>
          <c:spPr>
            <a:solidFill>
              <a:schemeClr val="accent1"/>
            </a:solidFill>
            <a:ln>
              <a:noFill/>
            </a:ln>
            <a:effectLst/>
          </c:spPr>
          <c:invertIfNegative val="0"/>
          <c:dLbls>
            <c:dLbl>
              <c:idx val="1"/>
              <c:tx>
                <c:rich>
                  <a:bodyPr/>
                  <a:lstStyle/>
                  <a:p>
                    <a:r>
                      <a:rPr lang="en-US"/>
                      <a:t>8,2%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4A1-4AC6-A2A4-4BE563C2F7D5}"/>
                </c:ext>
              </c:extLst>
            </c:dLbl>
            <c:dLbl>
              <c:idx val="10"/>
              <c:tx>
                <c:rich>
                  <a:bodyPr/>
                  <a:lstStyle/>
                  <a:p>
                    <a:r>
                      <a:rPr lang="en-US"/>
                      <a:t>6,4%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4A1-4AC6-A2A4-4BE563C2F7D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Sayfa1!$B$2:$B$13</c:f>
              <c:numCache>
                <c:formatCode>0%</c:formatCode>
                <c:ptCount val="12"/>
                <c:pt idx="0" formatCode="0.00%">
                  <c:v>8.6999999999999994E-2</c:v>
                </c:pt>
                <c:pt idx="1">
                  <c:v>8.2000000000000003E-2</c:v>
                </c:pt>
                <c:pt idx="2" formatCode="0.00%">
                  <c:v>7.0999999999999994E-2</c:v>
                </c:pt>
                <c:pt idx="3" formatCode="0.00%">
                  <c:v>0.10299999999999999</c:v>
                </c:pt>
                <c:pt idx="4" formatCode="0.00%">
                  <c:v>0.1</c:v>
                </c:pt>
                <c:pt idx="5" formatCode="0.00%">
                  <c:v>0.06</c:v>
                </c:pt>
                <c:pt idx="6" formatCode="0.00%">
                  <c:v>7.0999999999999994E-2</c:v>
                </c:pt>
                <c:pt idx="7" formatCode="0.00%">
                  <c:v>0.11899999999999999</c:v>
                </c:pt>
                <c:pt idx="8" formatCode="0.00%">
                  <c:v>7.4999999999999997E-2</c:v>
                </c:pt>
                <c:pt idx="9" formatCode="0.00%">
                  <c:v>7.0000000000000007E-2</c:v>
                </c:pt>
                <c:pt idx="10">
                  <c:v>6.4000000000000001E-2</c:v>
                </c:pt>
                <c:pt idx="11" formatCode="0.00%">
                  <c:v>9.9000000000000005E-2</c:v>
                </c:pt>
              </c:numCache>
            </c:numRef>
          </c:val>
          <c:extLst>
            <c:ext xmlns:c16="http://schemas.microsoft.com/office/drawing/2014/chart" uri="{C3380CC4-5D6E-409C-BE32-E72D297353CC}">
              <c16:uniqueId val="{00000000-34A1-4AC6-A2A4-4BE563C2F7D5}"/>
            </c:ext>
          </c:extLst>
        </c:ser>
        <c:dLbls>
          <c:dLblPos val="outEnd"/>
          <c:showLegendKey val="0"/>
          <c:showVal val="1"/>
          <c:showCatName val="0"/>
          <c:showSerName val="0"/>
          <c:showPercent val="0"/>
          <c:showBubbleSize val="0"/>
        </c:dLbls>
        <c:gapWidth val="219"/>
        <c:overlap val="-27"/>
        <c:axId val="814621552"/>
        <c:axId val="814619888"/>
      </c:barChart>
      <c:catAx>
        <c:axId val="814621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14619888"/>
        <c:crosses val="autoZero"/>
        <c:auto val="1"/>
        <c:lblAlgn val="ctr"/>
        <c:lblOffset val="100"/>
        <c:noMultiLvlLbl val="0"/>
      </c:catAx>
      <c:valAx>
        <c:axId val="8146198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1462155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42589226805364927"/>
          <c:y val="0.10739938757655293"/>
          <c:w val="0.54601908706365831"/>
          <c:h val="0.8416746864975212"/>
        </c:manualLayout>
      </c:layout>
      <c:barChart>
        <c:barDir val="bar"/>
        <c:grouping val="clustered"/>
        <c:varyColors val="0"/>
        <c:ser>
          <c:idx val="0"/>
          <c:order val="0"/>
          <c:spPr>
            <a:solidFill>
              <a:srgbClr val="4472C4"/>
            </a:solidFill>
            <a:ln w="25400">
              <a:noFill/>
            </a:ln>
          </c:spPr>
          <c:invertIfNegative val="0"/>
          <c:dLbls>
            <c:dLbl>
              <c:idx val="3"/>
              <c:tx>
                <c:rich>
                  <a:bodyPr/>
                  <a:lstStyle/>
                  <a:p>
                    <a:pPr>
                      <a:defRPr sz="900" b="1" i="0" u="none" strike="noStrike" baseline="0">
                        <a:solidFill>
                          <a:srgbClr val="333333"/>
                        </a:solidFill>
                        <a:latin typeface="Calibri"/>
                        <a:ea typeface="Calibri"/>
                        <a:cs typeface="Calibri"/>
                      </a:defRPr>
                    </a:pPr>
                    <a:r>
                      <a:rPr lang="en-US"/>
                      <a:t>5%</a:t>
                    </a:r>
                  </a:p>
                </c:rich>
              </c:tx>
              <c:numFmt formatCode="0%" sourceLinked="0"/>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D31-4689-8FB4-F1D327561196}"/>
                </c:ext>
              </c:extLst>
            </c:dLbl>
            <c:numFmt formatCode="0%" sourceLinked="0"/>
            <c:spPr>
              <a:noFill/>
              <a:ln w="25400">
                <a:noFill/>
              </a:ln>
            </c:spPr>
            <c:txPr>
              <a:bodyPr wrap="square" lIns="38100" tIns="19050" rIns="38100" bIns="19050" anchor="ctr">
                <a:spAutoFit/>
              </a:bodyPr>
              <a:lstStyle/>
              <a:p>
                <a:pPr>
                  <a:defRPr sz="900" b="1" i="0" u="none" strike="noStrike" baseline="0">
                    <a:solidFill>
                      <a:srgbClr val="333333"/>
                    </a:solidFill>
                    <a:latin typeface="Calibri"/>
                    <a:ea typeface="Calibri"/>
                    <a:cs typeface="Calibri"/>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'Doğalgaz- Şikayet Kategorisi'!$A$2:$A$12</c:f>
              <c:strCache>
                <c:ptCount val="11"/>
                <c:pt idx="0">
                  <c:v>Connection / Service Line</c:v>
                </c:pt>
                <c:pt idx="1">
                  <c:v>Debt Not Paid on Time</c:v>
                </c:pt>
                <c:pt idx="2">
                  <c:v>Incorrect Billing</c:v>
                </c:pt>
                <c:pt idx="3">
                  <c:v>Other</c:v>
                </c:pt>
                <c:pt idx="4">
                  <c:v>Meter Fee, Meter Change and Maintenance Fees</c:v>
                </c:pt>
                <c:pt idx="5">
                  <c:v>Invoice Items Objection</c:v>
                </c:pt>
                <c:pt idx="6">
                  <c:v>Personnel/Company Communication (Personnel Behaviors, Inability to Reach Company Phones, etc.)</c:v>
                </c:pt>
                <c:pt idx="7">
                  <c:v>Service Interruption</c:v>
                </c:pt>
                <c:pt idx="8">
                  <c:v>Interior Installation Company Transactions</c:v>
                </c:pt>
                <c:pt idx="9">
                  <c:v>Illegal / Irregular Use Accrual</c:v>
                </c:pt>
                <c:pt idx="10">
                  <c:v>Other*</c:v>
                </c:pt>
              </c:strCache>
            </c:strRef>
          </c:cat>
          <c:val>
            <c:numRef>
              <c:f>'Doğalgaz- Şikayet Kategorisi'!$C$2:$C$12</c:f>
              <c:numCache>
                <c:formatCode>0.00%</c:formatCode>
                <c:ptCount val="11"/>
                <c:pt idx="0">
                  <c:v>0.53</c:v>
                </c:pt>
                <c:pt idx="1">
                  <c:v>7.0000000000000007E-2</c:v>
                </c:pt>
                <c:pt idx="2">
                  <c:v>0.05</c:v>
                </c:pt>
                <c:pt idx="3">
                  <c:v>0.05</c:v>
                </c:pt>
                <c:pt idx="4">
                  <c:v>0.03</c:v>
                </c:pt>
                <c:pt idx="5">
                  <c:v>0.03</c:v>
                </c:pt>
                <c:pt idx="6">
                  <c:v>0.03</c:v>
                </c:pt>
                <c:pt idx="7">
                  <c:v>2.4016468435498629E-2</c:v>
                </c:pt>
                <c:pt idx="8">
                  <c:v>0.02</c:v>
                </c:pt>
                <c:pt idx="9">
                  <c:v>0.02</c:v>
                </c:pt>
                <c:pt idx="10">
                  <c:v>0.15</c:v>
                </c:pt>
              </c:numCache>
            </c:numRef>
          </c:val>
          <c:extLst>
            <c:ext xmlns:c16="http://schemas.microsoft.com/office/drawing/2014/chart" uri="{C3380CC4-5D6E-409C-BE32-E72D297353CC}">
              <c16:uniqueId val="{00000001-7D31-4689-8FB4-F1D327561196}"/>
            </c:ext>
          </c:extLst>
        </c:ser>
        <c:dLbls>
          <c:showLegendKey val="0"/>
          <c:showVal val="0"/>
          <c:showCatName val="0"/>
          <c:showSerName val="0"/>
          <c:showPercent val="0"/>
          <c:showBubbleSize val="0"/>
        </c:dLbls>
        <c:gapWidth val="182"/>
        <c:axId val="579937487"/>
        <c:axId val="1"/>
      </c:barChart>
      <c:catAx>
        <c:axId val="57993748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tr-TR"/>
          </a:p>
        </c:txPr>
        <c:crossAx val="1"/>
        <c:crosses val="autoZero"/>
        <c:auto val="1"/>
        <c:lblAlgn val="ctr"/>
        <c:lblOffset val="100"/>
        <c:noMultiLvlLbl val="0"/>
      </c:catAx>
      <c:valAx>
        <c:axId val="1"/>
        <c:scaling>
          <c:orientation val="minMax"/>
          <c:max val="0.60000000000000009"/>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tr-TR"/>
          </a:p>
        </c:txPr>
        <c:crossAx val="579937487"/>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Sayfa1!$B$1</c:f>
              <c:strCache>
                <c:ptCount val="1"/>
                <c:pt idx="0">
                  <c:v>Seri 1</c:v>
                </c:pt>
              </c:strCache>
            </c:strRef>
          </c:tx>
          <c:spPr>
            <a:solidFill>
              <a:schemeClr val="accent1"/>
            </a:solidFill>
            <a:ln>
              <a:noFill/>
            </a:ln>
            <a:effectLst/>
          </c:spPr>
          <c:invertIfNegative val="0"/>
          <c:dLbls>
            <c:dLbl>
              <c:idx val="1"/>
              <c:tx>
                <c:rich>
                  <a:bodyPr/>
                  <a:lstStyle/>
                  <a:p>
                    <a:r>
                      <a:rPr lang="en-US"/>
                      <a:t>8,3%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E1A-4CE3-954E-8F2FCF24DF8F}"/>
                </c:ext>
              </c:extLst>
            </c:dLbl>
            <c:dLbl>
              <c:idx val="10"/>
              <c:tx>
                <c:rich>
                  <a:bodyPr/>
                  <a:lstStyle/>
                  <a:p>
                    <a:r>
                      <a:rPr lang="en-US"/>
                      <a:t>9,8%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E1A-4CE3-954E-8F2FCF24DF8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Sayfa1!$B$2:$B$13</c:f>
              <c:numCache>
                <c:formatCode>0%</c:formatCode>
                <c:ptCount val="12"/>
                <c:pt idx="0" formatCode="0.00%">
                  <c:v>9.9000000000000005E-2</c:v>
                </c:pt>
                <c:pt idx="1">
                  <c:v>8.3000000000000004E-2</c:v>
                </c:pt>
                <c:pt idx="2" formatCode="0.00%">
                  <c:v>7.5999999999999998E-2</c:v>
                </c:pt>
                <c:pt idx="3" formatCode="0.00%">
                  <c:v>0.10299999999999999</c:v>
                </c:pt>
                <c:pt idx="4" formatCode="0.00%">
                  <c:v>9.6000000000000002E-2</c:v>
                </c:pt>
                <c:pt idx="5" formatCode="0.00%">
                  <c:v>4.9000000000000002E-2</c:v>
                </c:pt>
                <c:pt idx="6" formatCode="0.00%">
                  <c:v>4.1000000000000002E-2</c:v>
                </c:pt>
                <c:pt idx="7" formatCode="0.00%">
                  <c:v>6.0999999999999999E-2</c:v>
                </c:pt>
                <c:pt idx="8" formatCode="0.00%">
                  <c:v>7.4999999999999997E-2</c:v>
                </c:pt>
                <c:pt idx="9" formatCode="0.00%">
                  <c:v>0.113</c:v>
                </c:pt>
                <c:pt idx="10">
                  <c:v>9.8000000000000004E-2</c:v>
                </c:pt>
                <c:pt idx="11" formatCode="0.00%">
                  <c:v>0.105</c:v>
                </c:pt>
              </c:numCache>
            </c:numRef>
          </c:val>
          <c:extLst>
            <c:ext xmlns:c16="http://schemas.microsoft.com/office/drawing/2014/chart" uri="{C3380CC4-5D6E-409C-BE32-E72D297353CC}">
              <c16:uniqueId val="{00000000-0E1A-4CE3-954E-8F2FCF24DF8F}"/>
            </c:ext>
          </c:extLst>
        </c:ser>
        <c:dLbls>
          <c:dLblPos val="outEnd"/>
          <c:showLegendKey val="0"/>
          <c:showVal val="1"/>
          <c:showCatName val="0"/>
          <c:showSerName val="0"/>
          <c:showPercent val="0"/>
          <c:showBubbleSize val="0"/>
        </c:dLbls>
        <c:gapWidth val="219"/>
        <c:overlap val="-27"/>
        <c:axId val="814621552"/>
        <c:axId val="814619888"/>
      </c:barChart>
      <c:catAx>
        <c:axId val="814621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14619888"/>
        <c:crosses val="autoZero"/>
        <c:auto val="1"/>
        <c:lblAlgn val="ctr"/>
        <c:lblOffset val="100"/>
        <c:noMultiLvlLbl val="0"/>
      </c:catAx>
      <c:valAx>
        <c:axId val="8146198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1462155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0"/>
    <c:plotArea>
      <c:layout/>
      <c:barChart>
        <c:barDir val="bar"/>
        <c:grouping val="clustered"/>
        <c:varyColors val="0"/>
        <c:ser>
          <c:idx val="0"/>
          <c:order val="0"/>
          <c:spPr>
            <a:solidFill>
              <a:srgbClr val="4472C4"/>
            </a:solidFill>
            <a:ln w="25400">
              <a:noFill/>
            </a:ln>
          </c:spPr>
          <c:invertIfNegative val="0"/>
          <c:dLbls>
            <c:dLbl>
              <c:idx val="9"/>
              <c:tx>
                <c:rich>
                  <a:bodyPr/>
                  <a:lstStyle/>
                  <a:p>
                    <a:pPr>
                      <a:defRPr sz="900" b="1" i="0" u="none" strike="noStrike" baseline="0">
                        <a:solidFill>
                          <a:srgbClr val="333333"/>
                        </a:solidFill>
                        <a:latin typeface="Calibri"/>
                        <a:ea typeface="Calibri"/>
                        <a:cs typeface="Calibri"/>
                      </a:defRPr>
                    </a:pPr>
                    <a:r>
                      <a:rPr lang="en-US"/>
                      <a:t>1,2%</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BB6-499D-936A-733E29D5CF53}"/>
                </c:ext>
              </c:extLst>
            </c:dLbl>
            <c:spPr>
              <a:noFill/>
              <a:ln w="25400">
                <a:noFill/>
              </a:ln>
            </c:spPr>
            <c:txPr>
              <a:bodyPr wrap="square" lIns="38100" tIns="19050" rIns="38100" bIns="19050" anchor="ctr">
                <a:spAutoFit/>
              </a:bodyPr>
              <a:lstStyle/>
              <a:p>
                <a:pPr>
                  <a:defRPr sz="900" b="1" i="0" u="none" strike="noStrike" baseline="0">
                    <a:solidFill>
                      <a:srgbClr val="333333"/>
                    </a:solidFill>
                    <a:latin typeface="Calibri"/>
                    <a:ea typeface="Calibri"/>
                    <a:cs typeface="Calibri"/>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'Petrol - Şikayet Kategorisi'!$A$2:$A$11</c:f>
              <c:strCache>
                <c:ptCount val="10"/>
                <c:pt idx="0">
                  <c:v>Fuel Price and Price Increases</c:v>
                </c:pt>
                <c:pt idx="1">
                  <c:v>Other</c:v>
                </c:pt>
                <c:pt idx="2">
                  <c:v>Fuel Non-Technical Regulations</c:v>
                </c:pt>
                <c:pt idx="3">
                  <c:v>Customer Service and Quality</c:v>
                </c:pt>
                <c:pt idx="4">
                  <c:v>Not Timely Implementation of Price Increases and Decreases</c:v>
                </c:pt>
                <c:pt idx="5">
                  <c:v>The Subject Is Not In The Duties Of The Institution</c:v>
                </c:pt>
                <c:pt idx="6">
                  <c:v>Incomplete Fuel Supply</c:v>
                </c:pt>
                <c:pt idx="7">
                  <c:v>Oil Complaint Categories</c:v>
                </c:pt>
                <c:pt idx="8">
                  <c:v>Legislation/Recommendation</c:v>
                </c:pt>
                <c:pt idx="9">
                  <c:v>Behaviors of Company Employees</c:v>
                </c:pt>
              </c:strCache>
            </c:strRef>
          </c:cat>
          <c:val>
            <c:numRef>
              <c:f>'Petrol - Şikayet Kategorisi'!$C$2:$C$11</c:f>
              <c:numCache>
                <c:formatCode>0.0%</c:formatCode>
                <c:ptCount val="10"/>
                <c:pt idx="0">
                  <c:v>0.42862305746295626</c:v>
                </c:pt>
                <c:pt idx="1">
                  <c:v>0.22948355619804844</c:v>
                </c:pt>
                <c:pt idx="2">
                  <c:v>0.11348030357788218</c:v>
                </c:pt>
                <c:pt idx="3">
                  <c:v>6.5052403324900615E-2</c:v>
                </c:pt>
                <c:pt idx="4">
                  <c:v>4.8066498012287677E-2</c:v>
                </c:pt>
                <c:pt idx="5">
                  <c:v>3.7585833032164798E-2</c:v>
                </c:pt>
                <c:pt idx="6">
                  <c:v>2.9273581496205278E-2</c:v>
                </c:pt>
                <c:pt idx="7">
                  <c:v>1.9515720997470183E-2</c:v>
                </c:pt>
                <c:pt idx="8">
                  <c:v>1.734730755330683E-2</c:v>
                </c:pt>
                <c:pt idx="9">
                  <c:v>1.1564871702204554E-2</c:v>
                </c:pt>
              </c:numCache>
            </c:numRef>
          </c:val>
          <c:extLst>
            <c:ext xmlns:c16="http://schemas.microsoft.com/office/drawing/2014/chart" uri="{C3380CC4-5D6E-409C-BE32-E72D297353CC}">
              <c16:uniqueId val="{00000001-BBB6-499D-936A-733E29D5CF53}"/>
            </c:ext>
          </c:extLst>
        </c:ser>
        <c:dLbls>
          <c:showLegendKey val="0"/>
          <c:showVal val="0"/>
          <c:showCatName val="0"/>
          <c:showSerName val="0"/>
          <c:showPercent val="0"/>
          <c:showBubbleSize val="0"/>
        </c:dLbls>
        <c:gapWidth val="182"/>
        <c:axId val="579276319"/>
        <c:axId val="1"/>
      </c:barChart>
      <c:catAx>
        <c:axId val="579276319"/>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900" b="1" i="0" u="none" strike="noStrike" baseline="0">
                <a:solidFill>
                  <a:srgbClr val="333333"/>
                </a:solidFill>
                <a:latin typeface="Calibri"/>
                <a:ea typeface="Calibri"/>
                <a:cs typeface="Calibri"/>
              </a:defRPr>
            </a:pPr>
            <a:endParaRPr lang="tr-TR"/>
          </a:p>
        </c:txPr>
        <c:crossAx val="1"/>
        <c:crosses val="autoZero"/>
        <c:auto val="1"/>
        <c:lblAlgn val="ctr"/>
        <c:lblOffset val="100"/>
        <c:noMultiLvlLbl val="0"/>
      </c:catAx>
      <c:valAx>
        <c:axId val="1"/>
        <c:scaling>
          <c:orientation val="minMax"/>
        </c:scaling>
        <c:delete val="0"/>
        <c:axPos val="t"/>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tr-TR"/>
          </a:p>
        </c:txPr>
        <c:crossAx val="579276319"/>
        <c:crosses val="autoZero"/>
        <c:crossBetween val="between"/>
        <c:majorUnit val="0.1"/>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0"/>
    <c:plotArea>
      <c:layout/>
      <c:barChart>
        <c:barDir val="bar"/>
        <c:grouping val="clustered"/>
        <c:varyColors val="0"/>
        <c:ser>
          <c:idx val="0"/>
          <c:order val="0"/>
          <c:spPr>
            <a:solidFill>
              <a:srgbClr val="4472C4"/>
            </a:solidFill>
            <a:ln w="25400">
              <a:noFill/>
            </a:ln>
          </c:spPr>
          <c:invertIfNegative val="0"/>
          <c:dLbls>
            <c:spPr>
              <a:noFill/>
              <a:ln w="25400">
                <a:noFill/>
              </a:ln>
            </c:spPr>
            <c:txPr>
              <a:bodyPr wrap="square" lIns="38100" tIns="19050" rIns="38100" bIns="19050" anchor="ctr">
                <a:spAutoFit/>
              </a:bodyPr>
              <a:lstStyle/>
              <a:p>
                <a:pPr>
                  <a:defRPr sz="900" b="1" i="0" u="none" strike="noStrike" baseline="0">
                    <a:solidFill>
                      <a:srgbClr val="333333"/>
                    </a:solidFill>
                    <a:latin typeface="Calibri"/>
                    <a:ea typeface="Calibri"/>
                    <a:cs typeface="Calibri"/>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'LPG- Şikayet Kategorisi'!$A$2:$A$10</c:f>
              <c:strCache>
                <c:ptCount val="9"/>
                <c:pt idx="0">
                  <c:v>LPG Price And Price Increases</c:v>
                </c:pt>
                <c:pt idx="1">
                  <c:v>Other*</c:v>
                </c:pt>
                <c:pt idx="2">
                  <c:v>LPG Contrary to Technical Regulations</c:v>
                </c:pt>
                <c:pt idx="3">
                  <c:v>The Subject Is Not In The Duties Of The Institution</c:v>
                </c:pt>
                <c:pt idx="4">
                  <c:v>Not Timely Implementation of Price Increases and Decreases</c:v>
                </c:pt>
                <c:pt idx="5">
                  <c:v>Leakage LPG Notification</c:v>
                </c:pt>
                <c:pt idx="6">
                  <c:v>Customer Service and Quality</c:v>
                </c:pt>
                <c:pt idx="7">
                  <c:v>Legislation/Suggestion (Business Opening License, License Base Documents, Distance Limitation Etc.)</c:v>
                </c:pt>
                <c:pt idx="8">
                  <c:v>Violation Of Competition</c:v>
                </c:pt>
              </c:strCache>
            </c:strRef>
          </c:cat>
          <c:val>
            <c:numRef>
              <c:f>'LPG- Şikayet Kategorisi'!$C$2:$C$10</c:f>
              <c:numCache>
                <c:formatCode>0.0%</c:formatCode>
                <c:ptCount val="9"/>
                <c:pt idx="0">
                  <c:v>0.59050966608084354</c:v>
                </c:pt>
                <c:pt idx="1">
                  <c:v>0.14608435852372584</c:v>
                </c:pt>
                <c:pt idx="2">
                  <c:v>8.8752196836555358E-2</c:v>
                </c:pt>
                <c:pt idx="3">
                  <c:v>5.6239015817223195E-2</c:v>
                </c:pt>
                <c:pt idx="4">
                  <c:v>4.5694200351493852E-2</c:v>
                </c:pt>
                <c:pt idx="5">
                  <c:v>2.1968365553602813E-2</c:v>
                </c:pt>
                <c:pt idx="6">
                  <c:v>2.10896309314587E-2</c:v>
                </c:pt>
                <c:pt idx="7">
                  <c:v>1.8453427065026361E-2</c:v>
                </c:pt>
                <c:pt idx="8">
                  <c:v>1.1423550087873463E-2</c:v>
                </c:pt>
              </c:numCache>
            </c:numRef>
          </c:val>
          <c:extLst>
            <c:ext xmlns:c16="http://schemas.microsoft.com/office/drawing/2014/chart" uri="{C3380CC4-5D6E-409C-BE32-E72D297353CC}">
              <c16:uniqueId val="{00000000-531A-49F1-A9BD-F90E0230D093}"/>
            </c:ext>
          </c:extLst>
        </c:ser>
        <c:dLbls>
          <c:showLegendKey val="0"/>
          <c:showVal val="0"/>
          <c:showCatName val="0"/>
          <c:showSerName val="0"/>
          <c:showPercent val="0"/>
          <c:showBubbleSize val="0"/>
        </c:dLbls>
        <c:gapWidth val="182"/>
        <c:axId val="418435647"/>
        <c:axId val="1"/>
      </c:barChart>
      <c:catAx>
        <c:axId val="41843564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900" b="1" i="0" u="none" strike="noStrike" baseline="0">
                <a:solidFill>
                  <a:srgbClr val="333333"/>
                </a:solidFill>
                <a:latin typeface="Calibri"/>
                <a:ea typeface="Calibri"/>
                <a:cs typeface="Calibri"/>
              </a:defRPr>
            </a:pPr>
            <a:endParaRPr lang="tr-TR"/>
          </a:p>
        </c:txPr>
        <c:crossAx val="1"/>
        <c:crosses val="autoZero"/>
        <c:auto val="1"/>
        <c:lblAlgn val="ctr"/>
        <c:lblOffset val="100"/>
        <c:noMultiLvlLbl val="0"/>
      </c:catAx>
      <c:valAx>
        <c:axId val="1"/>
        <c:scaling>
          <c:orientation val="minMax"/>
        </c:scaling>
        <c:delete val="0"/>
        <c:axPos val="t"/>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tr-TR"/>
          </a:p>
        </c:txPr>
        <c:crossAx val="418435647"/>
        <c:crosses val="autoZero"/>
        <c:crossBetween val="between"/>
        <c:majorUnit val="0.1"/>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6994618927622499"/>
          <c:y val="0.14911186900562576"/>
          <c:w val="0.5125160929286271"/>
          <c:h val="0.77137509141316085"/>
        </c:manualLayout>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7795-48F1-AB91-22B517686184}"/>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7795-48F1-AB91-22B517686184}"/>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7795-48F1-AB91-22B517686184}"/>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7795-48F1-AB91-22B517686184}"/>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7795-48F1-AB91-22B517686184}"/>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7795-48F1-AB91-22B517686184}"/>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7795-48F1-AB91-22B517686184}"/>
              </c:ext>
            </c:extLst>
          </c:dPt>
          <c:dPt>
            <c:idx val="7"/>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F-7795-48F1-AB91-22B517686184}"/>
              </c:ext>
            </c:extLst>
          </c:dPt>
          <c:dPt>
            <c:idx val="8"/>
            <c:bubble3D val="0"/>
            <c:spPr>
              <a:solidFill>
                <a:schemeClr val="accent3">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1-7795-48F1-AB91-22B517686184}"/>
              </c:ext>
            </c:extLst>
          </c:dPt>
          <c:dPt>
            <c:idx val="9"/>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3-7795-48F1-AB91-22B517686184}"/>
              </c:ext>
            </c:extLst>
          </c:dPt>
          <c:dLbls>
            <c:dLbl>
              <c:idx val="0"/>
              <c:layout>
                <c:manualLayout>
                  <c:x val="-2.6055165102575203E-2"/>
                  <c:y val="-0.16164026721566321"/>
                </c:manualLayout>
              </c:layout>
              <c:spPr>
                <a:noFill/>
                <a:ln>
                  <a:noFill/>
                </a:ln>
                <a:effectLst/>
              </c:spPr>
              <c:txPr>
                <a:bodyPr rot="0" spcFirstLastPara="1" vertOverflow="ellipsis" vert="horz" wrap="square" lIns="38100" tIns="19050" rIns="38100" bIns="19050" anchor="ctr" anchorCtr="1">
                  <a:noAutofit/>
                </a:bodyPr>
                <a:lstStyle/>
                <a:p>
                  <a:pPr>
                    <a:defRPr sz="8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8385375277278371"/>
                      <c:h val="0.19305168641678069"/>
                    </c:manualLayout>
                  </c15:layout>
                </c:ext>
                <c:ext xmlns:c16="http://schemas.microsoft.com/office/drawing/2014/chart" uri="{C3380CC4-5D6E-409C-BE32-E72D297353CC}">
                  <c16:uniqueId val="{00000001-7795-48F1-AB91-22B517686184}"/>
                </c:ext>
              </c:extLst>
            </c:dLbl>
            <c:dLbl>
              <c:idx val="1"/>
              <c:layout>
                <c:manualLayout>
                  <c:x val="-0.15623656912532116"/>
                  <c:y val="0"/>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795-48F1-AB91-22B517686184}"/>
                </c:ext>
              </c:extLst>
            </c:dLbl>
            <c:dLbl>
              <c:idx val="2"/>
              <c:layout>
                <c:manualLayout>
                  <c:x val="-6.0720342918029101E-2"/>
                  <c:y val="7.6973239169846035E-3"/>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795-48F1-AB91-22B517686184}"/>
                </c:ext>
              </c:extLst>
            </c:dLbl>
            <c:dLbl>
              <c:idx val="3"/>
              <c:layout>
                <c:manualLayout>
                  <c:x val="-4.2310656233147767E-2"/>
                  <c:y val="7.0994669480747827E-2"/>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795-48F1-AB91-22B517686184}"/>
                </c:ext>
              </c:extLst>
            </c:dLbl>
            <c:dLbl>
              <c:idx val="4"/>
              <c:layout>
                <c:manualLayout>
                  <c:x val="-8.5609270908175578E-2"/>
                  <c:y val="8.4124523094407017E-2"/>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795-48F1-AB91-22B517686184}"/>
                </c:ext>
              </c:extLst>
            </c:dLbl>
            <c:dLbl>
              <c:idx val="5"/>
              <c:layout>
                <c:manualLayout>
                  <c:x val="-0.13129843871936864"/>
                  <c:y val="3.9561652731552883E-2"/>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795-48F1-AB91-22B517686184}"/>
                </c:ext>
              </c:extLst>
            </c:dLbl>
            <c:dLbl>
              <c:idx val="6"/>
              <c:layout>
                <c:manualLayout>
                  <c:x val="-0.16761177664709975"/>
                  <c:y val="-2.0567145601645153E-3"/>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795-48F1-AB91-22B517686184}"/>
                </c:ext>
              </c:extLst>
            </c:dLbl>
            <c:dLbl>
              <c:idx val="7"/>
              <c:layout>
                <c:manualLayout>
                  <c:x val="2.3607058428683343E-2"/>
                  <c:y val="0"/>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7795-48F1-AB91-22B517686184}"/>
                </c:ext>
              </c:extLst>
            </c:dLbl>
            <c:dLbl>
              <c:idx val="8"/>
              <c:layout>
                <c:manualLayout>
                  <c:x val="0.25074824815530133"/>
                  <c:y val="-3.0771188912120447E-2"/>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795-48F1-AB91-22B517686184}"/>
                </c:ext>
              </c:extLst>
            </c:dLbl>
            <c:dLbl>
              <c:idx val="9"/>
              <c:layout>
                <c:manualLayout>
                  <c:x val="0.27315947977021743"/>
                  <c:y val="2.2876907335735563E-2"/>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7795-48F1-AB91-22B517686184}"/>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Sayfa1!$A$3:$A$12</c:f>
              <c:strCache>
                <c:ptCount val="10"/>
                <c:pt idx="0">
                  <c:v>Number of Consumers whose Electricity / Natural Gas Was Cut Due to Unpaid Bills</c:v>
                </c:pt>
                <c:pt idx="1">
                  <c:v>Complaints About Distribution Companies Due to Electricity and Natural Gas Interruptions
</c:v>
                </c:pt>
                <c:pt idx="2">
                  <c:v>Whether Agricultural Irrigation Subscribers Can Be Supported During the Pandemic Period</c:v>
                </c:pt>
                <c:pt idx="3">
                  <c:v>Amount of Electricity Produced in the Scope of Renewable Energy and its Distribution by Regions</c:v>
                </c:pt>
                <c:pt idx="4">
                  <c:v>Whether There is a New Study for The Regions Without Electricity and Natural Gas Lines</c:v>
                </c:pt>
                <c:pt idx="5">
                  <c:v>Elements of Electricity Bill</c:v>
                </c:pt>
                <c:pt idx="6">
                  <c:v>Coal Power Plants and Their Negative Effects on the Environment</c:v>
                </c:pt>
                <c:pt idx="7">
                  <c:v>Tariff Regulations (Loss and Leakage Rates/Energy Fund/TRT Share/Guarantee Fee/CPI Rate)</c:v>
                </c:pt>
                <c:pt idx="8">
                  <c:v>EMRA Business and Transactions</c:v>
                </c:pt>
                <c:pt idx="9">
                  <c:v>Other</c:v>
                </c:pt>
              </c:strCache>
            </c:strRef>
          </c:cat>
          <c:val>
            <c:numRef>
              <c:f>Sayfa1!$B$3:$B$12</c:f>
              <c:numCache>
                <c:formatCode>General</c:formatCode>
                <c:ptCount val="10"/>
                <c:pt idx="0">
                  <c:v>173</c:v>
                </c:pt>
                <c:pt idx="1">
                  <c:v>83</c:v>
                </c:pt>
                <c:pt idx="2">
                  <c:v>40</c:v>
                </c:pt>
                <c:pt idx="3">
                  <c:v>33</c:v>
                </c:pt>
                <c:pt idx="4">
                  <c:v>25</c:v>
                </c:pt>
                <c:pt idx="5">
                  <c:v>17</c:v>
                </c:pt>
                <c:pt idx="6">
                  <c:v>14</c:v>
                </c:pt>
                <c:pt idx="7">
                  <c:v>11</c:v>
                </c:pt>
                <c:pt idx="8">
                  <c:v>7</c:v>
                </c:pt>
                <c:pt idx="9">
                  <c:v>7</c:v>
                </c:pt>
              </c:numCache>
            </c:numRef>
          </c:val>
          <c:extLst>
            <c:ext xmlns:c16="http://schemas.microsoft.com/office/drawing/2014/chart" uri="{C3380CC4-5D6E-409C-BE32-E72D297353CC}">
              <c16:uniqueId val="{00000014-7795-48F1-AB91-22B517686184}"/>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18A244-7C3E-4E80-B020-1CB8A2E75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272</Pages>
  <Words>114700</Words>
  <Characters>653792</Characters>
  <Application>Microsoft Office Word</Application>
  <DocSecurity>0</DocSecurity>
  <Lines>5448</Lines>
  <Paragraphs>1533</Paragraphs>
  <ScaleCrop>false</ScaleCrop>
  <HeadingPairs>
    <vt:vector size="2" baseType="variant">
      <vt:variant>
        <vt:lpstr>Konu Başlığı</vt:lpstr>
      </vt:variant>
      <vt:variant>
        <vt:i4>1</vt:i4>
      </vt:variant>
    </vt:vector>
  </HeadingPairs>
  <TitlesOfParts>
    <vt:vector size="1" baseType="lpstr">
      <vt:lpstr>ENERGY MARKET REGULATORY AUTHORITY</vt:lpstr>
    </vt:vector>
  </TitlesOfParts>
  <Company>ENERJİ PİYASASI DÜZENLEME KURUMU</Company>
  <LinksUpToDate>false</LinksUpToDate>
  <CharactersWithSpaces>766959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MARKET REGULATORY AUTHORITY</dc:title>
  <dc:subject>2021 ACTIVITY REPORT</dc:subject>
  <dc:creator>Serhat KÜÇÜKÇAPRAZ</dc:creator>
  <cp:keywords/>
  <cp:lastModifiedBy>Ali Arda GÜL</cp:lastModifiedBy>
  <cp:revision>407</cp:revision>
  <cp:lastPrinted>2016-03-30T23:56:00Z</cp:lastPrinted>
  <dcterms:created xsi:type="dcterms:W3CDTF">2022-04-14T23:47:00Z</dcterms:created>
  <dcterms:modified xsi:type="dcterms:W3CDTF">2022-09-12T08:52:00Z</dcterms:modified>
</cp:coreProperties>
</file>