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A1F" w:rsidRDefault="003E6A1F" w:rsidP="00A86458"/>
    <w:p w:rsidR="00F941D8" w:rsidRDefault="00F941D8"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lang w:val="en-GB"/>
        </w:rPr>
        <w:id w:val="395681"/>
        <w:docPartObj>
          <w:docPartGallery w:val="Cover Pages"/>
          <w:docPartUnique/>
        </w:docPartObj>
      </w:sdtPr>
      <w:sdtEndPr>
        <w:rPr>
          <w:b/>
          <w:bCs/>
          <w:caps/>
        </w:rPr>
      </w:sdtEndPr>
      <w:sdtContent>
        <w:p w:rsidR="00DE2BF4" w:rsidRPr="00F876CB" w:rsidRDefault="00DE2BF4" w:rsidP="00A86458">
          <w:pPr>
            <w:rPr>
              <w:rFonts w:asciiTheme="minorHAnsi" w:hAnsiTheme="minorHAnsi" w:cstheme="minorHAnsi"/>
              <w:sz w:val="24"/>
              <w:szCs w:val="24"/>
              <w:lang w:val="en-GB"/>
            </w:rPr>
          </w:pPr>
        </w:p>
        <w:p w:rsidR="00DE2BF4" w:rsidRPr="00F876CB" w:rsidRDefault="00DE2BF4" w:rsidP="00DB31F2">
          <w:pPr>
            <w:ind w:left="2127"/>
            <w:rPr>
              <w:rFonts w:asciiTheme="minorHAnsi" w:hAnsiTheme="minorHAnsi" w:cstheme="minorHAnsi"/>
              <w:sz w:val="24"/>
              <w:szCs w:val="24"/>
              <w:lang w:val="en-GB"/>
            </w:rPr>
          </w:pPr>
        </w:p>
        <w:p w:rsidR="00DE2BF4" w:rsidRPr="00F876CB" w:rsidRDefault="00DE2BF4" w:rsidP="00DB31F2">
          <w:pPr>
            <w:ind w:left="2127"/>
            <w:rPr>
              <w:rFonts w:asciiTheme="minorHAnsi" w:eastAsia="Times New Roman" w:hAnsiTheme="minorHAnsi" w:cstheme="minorHAnsi"/>
              <w:noProof/>
              <w:sz w:val="24"/>
              <w:szCs w:val="24"/>
              <w:lang w:val="en-GB" w:eastAsia="tr-TR"/>
            </w:rPr>
          </w:pPr>
        </w:p>
        <w:p w:rsidR="00DE2BF4" w:rsidRPr="00F876CB" w:rsidRDefault="00DE2BF4" w:rsidP="00DB31F2">
          <w:pPr>
            <w:ind w:left="2127"/>
            <w:rPr>
              <w:rFonts w:asciiTheme="minorHAnsi" w:eastAsia="Times New Roman" w:hAnsiTheme="minorHAnsi" w:cstheme="minorHAnsi"/>
              <w:noProof/>
              <w:sz w:val="24"/>
              <w:szCs w:val="24"/>
              <w:lang w:val="en-GB" w:eastAsia="tr-TR"/>
            </w:rPr>
          </w:pPr>
        </w:p>
        <w:p w:rsidR="00B54690" w:rsidRPr="00F876CB" w:rsidRDefault="00B54690" w:rsidP="00DB31F2">
          <w:pPr>
            <w:ind w:left="2127"/>
            <w:rPr>
              <w:rFonts w:asciiTheme="minorHAnsi" w:hAnsiTheme="minorHAnsi" w:cstheme="minorHAnsi"/>
              <w:noProof/>
              <w:color w:val="0000FF"/>
              <w:sz w:val="24"/>
              <w:szCs w:val="24"/>
              <w:lang w:val="en-GB" w:eastAsia="tr-TR" w:bidi="ar-SA"/>
            </w:rPr>
          </w:pPr>
          <w:bookmarkStart w:id="0" w:name="_Toc417654949"/>
          <w:bookmarkStart w:id="1" w:name="_Toc417894681"/>
          <w:bookmarkStart w:id="2" w:name="_Toc417896779"/>
          <w:bookmarkStart w:id="3" w:name="_Toc447549287"/>
          <w:bookmarkStart w:id="4" w:name="_Toc447804984"/>
          <w:bookmarkStart w:id="5" w:name="_Toc449629898"/>
          <w:bookmarkStart w:id="6" w:name="_Toc449690105"/>
          <w:bookmarkStart w:id="7" w:name="_Toc449694158"/>
          <w:bookmarkStart w:id="8" w:name="_Toc449694808"/>
          <w:bookmarkStart w:id="9" w:name="_Toc450057409"/>
          <w:bookmarkStart w:id="10" w:name="_Toc450122456"/>
          <w:bookmarkStart w:id="11" w:name="_Toc428963342"/>
          <w:bookmarkStart w:id="12" w:name="_Toc428963968"/>
          <w:bookmarkStart w:id="13" w:name="_Toc428966355"/>
          <w:bookmarkStart w:id="14" w:name="_Toc429048067"/>
          <w:bookmarkStart w:id="15" w:name="_Toc463600057"/>
          <w:bookmarkStart w:id="16" w:name="_Toc464482372"/>
          <w:r w:rsidRPr="00F876CB">
            <w:rPr>
              <w:rFonts w:ascii="Times New Roman" w:eastAsia="Times New Roman" w:hAnsi="Times New Roman" w:cs="Times New Roman"/>
              <w:noProof/>
              <w:lang w:eastAsia="tr-TR" w:bidi="ar-SA"/>
            </w:rPr>
            <w:drawing>
              <wp:anchor distT="0" distB="0" distL="114300" distR="114300" simplePos="0" relativeHeight="251659264" behindDoc="1" locked="0" layoutInCell="1" allowOverlap="1" wp14:anchorId="395C5FF0" wp14:editId="27D943C5">
                <wp:simplePos x="0" y="0"/>
                <wp:positionH relativeFrom="column">
                  <wp:posOffset>798830</wp:posOffset>
                </wp:positionH>
                <wp:positionV relativeFrom="paragraph">
                  <wp:posOffset>34925</wp:posOffset>
                </wp:positionV>
                <wp:extent cx="3883290" cy="2152650"/>
                <wp:effectExtent l="0" t="0" r="0" b="0"/>
                <wp:wrapNone/>
                <wp:docPr id="8" name="Picture 6"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3290" cy="2152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B54690" w:rsidRPr="00F876CB" w:rsidRDefault="00B54690" w:rsidP="00DB31F2">
          <w:pPr>
            <w:ind w:left="2127"/>
            <w:rPr>
              <w:rFonts w:asciiTheme="minorHAnsi" w:hAnsiTheme="minorHAnsi" w:cstheme="minorHAnsi"/>
              <w:noProof/>
              <w:color w:val="0000FF"/>
              <w:sz w:val="24"/>
              <w:szCs w:val="24"/>
              <w:lang w:val="en-GB" w:eastAsia="tr-TR" w:bidi="ar-SA"/>
            </w:rPr>
          </w:pPr>
        </w:p>
        <w:p w:rsidR="00B54690" w:rsidRPr="00F876CB" w:rsidRDefault="00B54690" w:rsidP="00DB31F2">
          <w:pPr>
            <w:ind w:left="2127"/>
            <w:rPr>
              <w:rFonts w:asciiTheme="minorHAnsi" w:hAnsiTheme="minorHAnsi" w:cstheme="minorHAnsi"/>
              <w:noProof/>
              <w:color w:val="0000FF"/>
              <w:sz w:val="24"/>
              <w:szCs w:val="24"/>
              <w:lang w:val="en-GB" w:eastAsia="tr-TR" w:bidi="ar-SA"/>
            </w:rPr>
          </w:pPr>
        </w:p>
        <w:p w:rsidR="00B54690" w:rsidRPr="00F876CB" w:rsidRDefault="00B54690" w:rsidP="00DB31F2">
          <w:pPr>
            <w:ind w:left="2127"/>
            <w:rPr>
              <w:rFonts w:asciiTheme="minorHAnsi" w:hAnsiTheme="minorHAnsi" w:cstheme="minorHAnsi"/>
              <w:noProof/>
              <w:color w:val="0000FF"/>
              <w:sz w:val="24"/>
              <w:szCs w:val="24"/>
              <w:lang w:val="en-GB" w:eastAsia="tr-TR" w:bidi="ar-SA"/>
            </w:rPr>
          </w:pPr>
        </w:p>
        <w:p w:rsidR="00B54690" w:rsidRPr="00F876CB" w:rsidRDefault="00B54690" w:rsidP="00DB31F2">
          <w:pPr>
            <w:ind w:left="2127"/>
            <w:rPr>
              <w:rFonts w:asciiTheme="minorHAnsi" w:hAnsiTheme="minorHAnsi" w:cstheme="minorHAnsi"/>
              <w:noProof/>
              <w:color w:val="0000FF"/>
              <w:sz w:val="24"/>
              <w:szCs w:val="24"/>
              <w:lang w:val="en-GB" w:eastAsia="tr-TR" w:bidi="ar-SA"/>
            </w:rPr>
          </w:pPr>
        </w:p>
        <w:p w:rsidR="00B54690" w:rsidRPr="00F876CB" w:rsidRDefault="00B54690" w:rsidP="00DB31F2">
          <w:pPr>
            <w:ind w:left="2127"/>
            <w:rPr>
              <w:rFonts w:asciiTheme="minorHAnsi" w:hAnsiTheme="minorHAnsi" w:cstheme="minorHAnsi"/>
              <w:noProof/>
              <w:color w:val="0000FF"/>
              <w:sz w:val="24"/>
              <w:szCs w:val="24"/>
              <w:lang w:val="en-GB" w:eastAsia="tr-TR" w:bidi="ar-SA"/>
            </w:rPr>
          </w:pPr>
        </w:p>
        <w:p w:rsidR="00DB31F2" w:rsidRPr="00F876CB" w:rsidRDefault="00DB31F2" w:rsidP="00DB31F2">
          <w:pPr>
            <w:ind w:left="2127"/>
            <w:rPr>
              <w:rFonts w:asciiTheme="minorHAnsi" w:hAnsiTheme="minorHAnsi" w:cstheme="minorHAnsi"/>
              <w:sz w:val="24"/>
              <w:szCs w:val="24"/>
              <w:lang w:val="en-GB"/>
            </w:rPr>
          </w:pPr>
          <w:r w:rsidRPr="00F876CB">
            <w:rPr>
              <w:rFonts w:asciiTheme="minorHAnsi" w:eastAsia="Times New Roman" w:hAnsiTheme="minorHAnsi" w:cstheme="minorHAnsi"/>
              <w:noProof/>
              <w:sz w:val="24"/>
              <w:szCs w:val="24"/>
              <w:lang w:val="en-GB" w:eastAsia="tr-TR"/>
            </w:rPr>
            <w:t xml:space="preserve"> </w:t>
          </w:r>
        </w:p>
        <w:p w:rsidR="00DB31F2" w:rsidRPr="00F876CB" w:rsidRDefault="00DB31F2" w:rsidP="00DB31F2">
          <w:pPr>
            <w:ind w:left="851"/>
            <w:rPr>
              <w:rFonts w:asciiTheme="minorHAnsi" w:hAnsiTheme="minorHAnsi" w:cstheme="minorHAnsi"/>
              <w:sz w:val="24"/>
              <w:szCs w:val="24"/>
              <w:lang w:val="en-GB"/>
            </w:rPr>
          </w:pPr>
        </w:p>
        <w:p w:rsidR="00DB31F2" w:rsidRPr="00F876CB" w:rsidRDefault="00DB31F2" w:rsidP="00DB31F2">
          <w:pPr>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  </w:t>
          </w:r>
        </w:p>
        <w:p w:rsidR="00DB31F2" w:rsidRPr="00F876CB" w:rsidRDefault="00DB31F2" w:rsidP="00DB31F2">
          <w:pPr>
            <w:ind w:left="-142"/>
            <w:rPr>
              <w:rFonts w:asciiTheme="minorHAnsi" w:hAnsiTheme="minorHAnsi" w:cstheme="minorHAnsi"/>
              <w:sz w:val="24"/>
              <w:szCs w:val="24"/>
              <w:lang w:val="en-GB"/>
            </w:rPr>
          </w:pPr>
        </w:p>
        <w:p w:rsidR="00DB31F2" w:rsidRPr="00F876CB" w:rsidRDefault="00DB31F2" w:rsidP="00DB31F2">
          <w:pPr>
            <w:spacing w:after="180" w:line="240" w:lineRule="auto"/>
            <w:jc w:val="center"/>
            <w:rPr>
              <w:rFonts w:asciiTheme="minorHAnsi" w:eastAsia="Times New Roman" w:hAnsiTheme="minorHAnsi" w:cstheme="minorHAnsi"/>
              <w:b/>
              <w:color w:val="222222"/>
              <w:sz w:val="52"/>
              <w:szCs w:val="52"/>
              <w:lang w:val="en-GB" w:eastAsia="tr-TR"/>
            </w:rPr>
          </w:pPr>
        </w:p>
        <w:p w:rsidR="00B54690" w:rsidRPr="00F876CB" w:rsidRDefault="00B54690" w:rsidP="00B54690">
          <w:pPr>
            <w:spacing w:line="240" w:lineRule="auto"/>
            <w:jc w:val="center"/>
            <w:rPr>
              <w:rFonts w:ascii="Times New Roman" w:eastAsia="Times New Roman" w:hAnsi="Times New Roman" w:cs="Times New Roman"/>
              <w:b/>
              <w:color w:val="222222"/>
              <w:sz w:val="52"/>
              <w:szCs w:val="52"/>
              <w:lang w:val="en-GB" w:eastAsia="tr-TR"/>
            </w:rPr>
          </w:pPr>
          <w:r w:rsidRPr="00F876CB">
            <w:rPr>
              <w:rFonts w:ascii="Times New Roman" w:eastAsia="Times New Roman" w:hAnsi="Times New Roman" w:cs="Times New Roman"/>
              <w:b/>
              <w:color w:val="222222"/>
              <w:sz w:val="52"/>
              <w:szCs w:val="52"/>
              <w:lang w:val="en-GB" w:eastAsia="tr-TR"/>
            </w:rPr>
            <w:t>ELECTRICITY MARKET DEVELOPMENT REPORT 2019</w:t>
          </w: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BD262C" w:rsidRPr="00F876CB" w:rsidRDefault="00BD262C" w:rsidP="00DB31F2">
          <w:pPr>
            <w:spacing w:after="180" w:line="240" w:lineRule="auto"/>
            <w:jc w:val="center"/>
            <w:rPr>
              <w:rFonts w:asciiTheme="minorHAnsi" w:eastAsia="Times New Roman" w:hAnsiTheme="minorHAnsi" w:cstheme="minorHAnsi"/>
              <w:b/>
              <w:color w:val="222222"/>
              <w:sz w:val="24"/>
              <w:szCs w:val="24"/>
              <w:lang w:val="en-GB" w:eastAsia="tr-TR"/>
            </w:rPr>
            <w:sectPr w:rsidR="00BD262C" w:rsidRPr="00F876CB" w:rsidSect="00151A3B">
              <w:footerReference w:type="default" r:id="rId10"/>
              <w:pgSz w:w="11906" w:h="16838"/>
              <w:pgMar w:top="1418" w:right="1418" w:bottom="1418" w:left="1418" w:header="709" w:footer="709" w:gutter="0"/>
              <w:cols w:space="708"/>
              <w:titlePg/>
              <w:docGrid w:linePitch="360"/>
            </w:sect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DB31F2" w:rsidRPr="00F876CB" w:rsidRDefault="00DB31F2" w:rsidP="00DB31F2">
          <w:pPr>
            <w:spacing w:after="180" w:line="240" w:lineRule="auto"/>
            <w:jc w:val="center"/>
            <w:rPr>
              <w:rFonts w:asciiTheme="minorHAnsi" w:eastAsia="Times New Roman" w:hAnsiTheme="minorHAnsi" w:cstheme="minorHAnsi"/>
              <w:b/>
              <w:color w:val="222222"/>
              <w:sz w:val="24"/>
              <w:szCs w:val="24"/>
              <w:lang w:val="en-GB" w:eastAsia="tr-TR"/>
            </w:rPr>
          </w:pPr>
        </w:p>
        <w:p w:rsidR="009B34BF" w:rsidRPr="00F876CB" w:rsidRDefault="009B34BF" w:rsidP="009B34BF">
          <w:pPr>
            <w:spacing w:line="240" w:lineRule="auto"/>
            <w:jc w:val="center"/>
            <w:rPr>
              <w:rFonts w:ascii="Times New Roman" w:eastAsia="Times New Roman" w:hAnsi="Times New Roman" w:cs="Times New Roman"/>
              <w:sz w:val="32"/>
              <w:szCs w:val="32"/>
              <w:lang w:val="en-GB" w:eastAsia="tr-TR"/>
            </w:rPr>
          </w:pPr>
          <w:r w:rsidRPr="00F876CB">
            <w:rPr>
              <w:rFonts w:ascii="Times New Roman" w:hAnsi="Times New Roman" w:cs="Times New Roman"/>
              <w:sz w:val="28"/>
              <w:lang w:val="en-GB"/>
            </w:rPr>
            <w:t>All the information, tables and figures provided in this report are reserved and cannot be used without reference.</w:t>
          </w:r>
        </w:p>
        <w:p w:rsidR="00DB31F2" w:rsidRPr="00F876CB" w:rsidRDefault="00DB31F2" w:rsidP="00DB31F2">
          <w:pPr>
            <w:spacing w:after="0" w:line="240" w:lineRule="auto"/>
            <w:jc w:val="center"/>
            <w:rPr>
              <w:rFonts w:asciiTheme="minorHAnsi" w:eastAsia="Times New Roman" w:hAnsiTheme="minorHAnsi" w:cstheme="minorHAnsi"/>
              <w:sz w:val="28"/>
              <w:szCs w:val="28"/>
              <w:lang w:val="en-GB" w:eastAsia="tr-TR"/>
            </w:rPr>
          </w:pPr>
        </w:p>
        <w:p w:rsidR="00DB31F2" w:rsidRPr="00F876CB" w:rsidRDefault="00DB31F2" w:rsidP="00DB31F2">
          <w:pPr>
            <w:spacing w:after="0" w:line="240" w:lineRule="auto"/>
            <w:jc w:val="center"/>
            <w:rPr>
              <w:rFonts w:asciiTheme="minorHAnsi" w:eastAsia="Times New Roman" w:hAnsiTheme="minorHAnsi" w:cstheme="minorHAnsi"/>
              <w:sz w:val="24"/>
              <w:szCs w:val="24"/>
              <w:lang w:val="en-GB" w:eastAsia="tr-TR"/>
            </w:rPr>
          </w:pPr>
        </w:p>
        <w:p w:rsidR="00DB31F2" w:rsidRPr="00F876CB" w:rsidRDefault="00DB31F2" w:rsidP="00DB31F2">
          <w:pPr>
            <w:spacing w:after="0" w:line="240" w:lineRule="auto"/>
            <w:jc w:val="center"/>
            <w:rPr>
              <w:rFonts w:asciiTheme="minorHAnsi" w:eastAsia="Times New Roman" w:hAnsiTheme="minorHAnsi" w:cstheme="minorHAnsi"/>
              <w:sz w:val="24"/>
              <w:szCs w:val="24"/>
              <w:lang w:val="en-GB" w:eastAsia="tr-TR"/>
            </w:rPr>
          </w:pPr>
        </w:p>
        <w:p w:rsidR="00DB31F2" w:rsidRPr="00F876CB" w:rsidRDefault="00DB31F2" w:rsidP="00DB31F2">
          <w:pPr>
            <w:spacing w:after="0" w:line="240" w:lineRule="auto"/>
            <w:jc w:val="center"/>
            <w:rPr>
              <w:rFonts w:asciiTheme="minorHAnsi" w:eastAsia="Times New Roman" w:hAnsiTheme="minorHAnsi" w:cstheme="minorHAnsi"/>
              <w:sz w:val="24"/>
              <w:szCs w:val="24"/>
              <w:lang w:val="en-GB" w:eastAsia="tr-TR"/>
            </w:rPr>
          </w:pPr>
        </w:p>
        <w:p w:rsidR="00DB31F2" w:rsidRPr="00F876CB" w:rsidRDefault="00DB31F2" w:rsidP="00DB31F2">
          <w:pPr>
            <w:spacing w:after="0" w:line="240" w:lineRule="auto"/>
            <w:jc w:val="center"/>
            <w:rPr>
              <w:rFonts w:asciiTheme="minorHAnsi" w:eastAsia="Times New Roman" w:hAnsiTheme="minorHAnsi" w:cstheme="minorHAnsi"/>
              <w:sz w:val="24"/>
              <w:szCs w:val="24"/>
              <w:lang w:val="en-GB" w:eastAsia="tr-TR"/>
            </w:rPr>
          </w:pPr>
        </w:p>
        <w:p w:rsidR="009B34BF" w:rsidRPr="00F876CB" w:rsidRDefault="009B34BF" w:rsidP="009B34BF">
          <w:pPr>
            <w:spacing w:line="240" w:lineRule="auto"/>
            <w:jc w:val="center"/>
            <w:rPr>
              <w:rFonts w:ascii="Times New Roman" w:eastAsia="Times New Roman" w:hAnsi="Times New Roman" w:cs="Times New Roman"/>
              <w:b/>
              <w:sz w:val="32"/>
              <w:szCs w:val="32"/>
              <w:lang w:val="en-GB" w:eastAsia="tr-TR"/>
            </w:rPr>
          </w:pPr>
          <w:r w:rsidRPr="00F876CB">
            <w:rPr>
              <w:rFonts w:ascii="Times New Roman" w:eastAsia="Times New Roman" w:hAnsi="Times New Roman" w:cs="Times New Roman"/>
              <w:b/>
              <w:sz w:val="32"/>
              <w:szCs w:val="32"/>
              <w:lang w:val="en-GB" w:eastAsia="tr-TR"/>
            </w:rPr>
            <w:t>REPUBLIC OF TURKEY</w:t>
          </w:r>
        </w:p>
        <w:p w:rsidR="009B34BF" w:rsidRPr="00F876CB" w:rsidRDefault="009B34BF" w:rsidP="009B34BF">
          <w:pPr>
            <w:spacing w:line="240" w:lineRule="auto"/>
            <w:jc w:val="center"/>
            <w:rPr>
              <w:rFonts w:ascii="Times New Roman" w:eastAsia="Times New Roman" w:hAnsi="Times New Roman" w:cs="Times New Roman"/>
              <w:b/>
              <w:sz w:val="32"/>
              <w:szCs w:val="32"/>
              <w:lang w:val="en-GB" w:eastAsia="tr-TR"/>
            </w:rPr>
          </w:pPr>
          <w:r w:rsidRPr="00F876CB">
            <w:rPr>
              <w:rFonts w:ascii="Times New Roman" w:eastAsia="Times New Roman" w:hAnsi="Times New Roman" w:cs="Times New Roman"/>
              <w:b/>
              <w:sz w:val="32"/>
              <w:szCs w:val="32"/>
              <w:lang w:val="en-GB" w:eastAsia="tr-TR"/>
            </w:rPr>
            <w:t>ENERGY MARKET REGULATORY AUTHORITY</w:t>
          </w:r>
        </w:p>
        <w:p w:rsidR="009B34BF" w:rsidRPr="00F876CB" w:rsidRDefault="009B34BF" w:rsidP="009B34BF">
          <w:pPr>
            <w:spacing w:line="240" w:lineRule="auto"/>
            <w:jc w:val="center"/>
            <w:rPr>
              <w:rFonts w:ascii="Times New Roman" w:eastAsia="Times New Roman" w:hAnsi="Times New Roman" w:cs="Times New Roman"/>
              <w:b/>
              <w:sz w:val="32"/>
              <w:szCs w:val="32"/>
              <w:lang w:val="en-GB" w:eastAsia="tr-TR"/>
            </w:rPr>
          </w:pPr>
        </w:p>
        <w:p w:rsidR="009B34BF" w:rsidRPr="00F876CB" w:rsidRDefault="009B34BF" w:rsidP="009B34BF">
          <w:pPr>
            <w:jc w:val="center"/>
            <w:rPr>
              <w:rFonts w:ascii="Times New Roman" w:hAnsi="Times New Roman" w:cs="Times New Roman"/>
              <w:sz w:val="28"/>
              <w:szCs w:val="48"/>
              <w:lang w:val="en-GB"/>
            </w:rPr>
          </w:pPr>
          <w:r w:rsidRPr="00F876CB">
            <w:rPr>
              <w:rFonts w:ascii="Times New Roman" w:hAnsi="Times New Roman" w:cs="Times New Roman"/>
              <w:sz w:val="28"/>
              <w:szCs w:val="48"/>
              <w:lang w:val="en-GB"/>
            </w:rPr>
            <w:t>Strategy Development Department</w:t>
          </w:r>
        </w:p>
        <w:p w:rsidR="00DB31F2" w:rsidRPr="00F876CB" w:rsidRDefault="00DB31F2" w:rsidP="00DB31F2">
          <w:pPr>
            <w:spacing w:after="0" w:line="240" w:lineRule="auto"/>
            <w:jc w:val="center"/>
            <w:rPr>
              <w:rFonts w:asciiTheme="minorHAnsi" w:eastAsia="Times New Roman" w:hAnsiTheme="minorHAnsi" w:cstheme="minorHAnsi"/>
              <w:sz w:val="28"/>
              <w:szCs w:val="28"/>
              <w:lang w:val="en-GB" w:eastAsia="tr-TR"/>
            </w:rPr>
          </w:pPr>
        </w:p>
        <w:p w:rsidR="00DB31F2" w:rsidRPr="00F876CB" w:rsidRDefault="00DB31F2" w:rsidP="00DB31F2">
          <w:pPr>
            <w:spacing w:after="0" w:line="240" w:lineRule="auto"/>
            <w:jc w:val="center"/>
            <w:rPr>
              <w:rFonts w:asciiTheme="minorHAnsi" w:eastAsia="Times New Roman" w:hAnsiTheme="minorHAnsi" w:cstheme="minorHAnsi"/>
              <w:sz w:val="28"/>
              <w:szCs w:val="28"/>
              <w:lang w:val="en-GB" w:eastAsia="tr-TR"/>
            </w:rPr>
          </w:pPr>
        </w:p>
        <w:p w:rsidR="00DE2BF4" w:rsidRPr="00F876CB" w:rsidRDefault="00DE2BF4" w:rsidP="00DB31F2">
          <w:pPr>
            <w:spacing w:after="0" w:line="240" w:lineRule="auto"/>
            <w:jc w:val="center"/>
            <w:rPr>
              <w:rFonts w:asciiTheme="minorHAnsi" w:eastAsia="Times New Roman" w:hAnsiTheme="minorHAnsi" w:cstheme="minorHAnsi"/>
              <w:sz w:val="28"/>
              <w:szCs w:val="28"/>
              <w:lang w:val="en-GB" w:eastAsia="tr-TR"/>
            </w:rPr>
          </w:pPr>
        </w:p>
        <w:p w:rsidR="00DB31F2" w:rsidRPr="00F876CB" w:rsidRDefault="00DB31F2" w:rsidP="00DB31F2">
          <w:pPr>
            <w:spacing w:after="0" w:line="240" w:lineRule="auto"/>
            <w:jc w:val="center"/>
            <w:rPr>
              <w:rFonts w:asciiTheme="minorHAnsi" w:eastAsia="Times New Roman" w:hAnsiTheme="minorHAnsi" w:cstheme="minorHAnsi"/>
              <w:b/>
              <w:sz w:val="28"/>
              <w:szCs w:val="28"/>
              <w:lang w:val="en-GB" w:eastAsia="tr-TR"/>
            </w:rPr>
          </w:pPr>
          <w:r w:rsidRPr="00F876CB">
            <w:rPr>
              <w:rFonts w:asciiTheme="minorHAnsi" w:eastAsia="Times New Roman" w:hAnsiTheme="minorHAnsi" w:cstheme="minorHAnsi"/>
              <w:b/>
              <w:sz w:val="28"/>
              <w:szCs w:val="28"/>
              <w:lang w:val="en-GB" w:eastAsia="tr-TR"/>
            </w:rPr>
            <w:t xml:space="preserve">ANKARA, </w:t>
          </w:r>
          <w:r w:rsidR="00267836" w:rsidRPr="00F876CB">
            <w:rPr>
              <w:rFonts w:asciiTheme="minorHAnsi" w:eastAsia="Times New Roman" w:hAnsiTheme="minorHAnsi" w:cstheme="minorHAnsi"/>
              <w:b/>
              <w:sz w:val="28"/>
              <w:szCs w:val="28"/>
              <w:lang w:val="en-GB" w:eastAsia="tr-TR"/>
            </w:rPr>
            <w:t>2020</w:t>
          </w:r>
        </w:p>
        <w:p w:rsidR="00E955C9" w:rsidRPr="00F876CB" w:rsidRDefault="00E955C9" w:rsidP="00DB31F2">
          <w:pPr>
            <w:pStyle w:val="AralkYok"/>
            <w:rPr>
              <w:rFonts w:asciiTheme="minorHAnsi" w:hAnsiTheme="minorHAnsi" w:cstheme="minorHAnsi"/>
              <w:b/>
              <w:bCs/>
              <w:caps/>
              <w:color w:val="FFFFFF" w:themeColor="background1"/>
              <w:sz w:val="28"/>
              <w:szCs w:val="28"/>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076349" w:rsidRPr="00F876CB" w:rsidRDefault="00076349" w:rsidP="00DB31F2">
          <w:pPr>
            <w:pStyle w:val="AralkYok"/>
            <w:rPr>
              <w:rFonts w:asciiTheme="minorHAnsi" w:hAnsiTheme="minorHAnsi" w:cstheme="minorHAnsi"/>
              <w:b/>
              <w:bCs/>
              <w:caps/>
              <w:color w:val="FFFFFF" w:themeColor="background1"/>
              <w:sz w:val="24"/>
              <w:szCs w:val="24"/>
              <w:lang w:val="en-GB"/>
            </w:rPr>
          </w:pPr>
        </w:p>
        <w:p w:rsidR="001D4821" w:rsidRPr="006F7A4F" w:rsidRDefault="001D4821" w:rsidP="001D4821">
          <w:pPr>
            <w:jc w:val="both"/>
            <w:rPr>
              <w:rFonts w:ascii="Times New Roman" w:hAnsi="Times New Roman" w:cs="Times New Roman"/>
              <w:b/>
              <w:sz w:val="24"/>
              <w:szCs w:val="24"/>
            </w:rPr>
          </w:pPr>
          <w:proofErr w:type="spellStart"/>
          <w:r w:rsidRPr="006F7A4F">
            <w:rPr>
              <w:rFonts w:ascii="Times New Roman" w:hAnsi="Times New Roman" w:cs="Times New Roman"/>
              <w:b/>
              <w:sz w:val="24"/>
              <w:szCs w:val="24"/>
            </w:rPr>
            <w:t>Important</w:t>
          </w:r>
          <w:proofErr w:type="spellEnd"/>
          <w:r w:rsidRPr="006F7A4F">
            <w:rPr>
              <w:rFonts w:ascii="Times New Roman" w:hAnsi="Times New Roman" w:cs="Times New Roman"/>
              <w:b/>
              <w:sz w:val="24"/>
              <w:szCs w:val="24"/>
            </w:rPr>
            <w:t xml:space="preserve"> </w:t>
          </w:r>
          <w:proofErr w:type="spellStart"/>
          <w:r w:rsidRPr="006F7A4F">
            <w:rPr>
              <w:rFonts w:ascii="Times New Roman" w:hAnsi="Times New Roman" w:cs="Times New Roman"/>
              <w:b/>
              <w:sz w:val="24"/>
              <w:szCs w:val="24"/>
            </w:rPr>
            <w:t>Notice</w:t>
          </w:r>
          <w:proofErr w:type="spellEnd"/>
          <w:r w:rsidRPr="006F7A4F">
            <w:rPr>
              <w:rFonts w:ascii="Times New Roman" w:hAnsi="Times New Roman" w:cs="Times New Roman"/>
              <w:b/>
              <w:sz w:val="24"/>
              <w:szCs w:val="24"/>
            </w:rPr>
            <w:t>:</w:t>
          </w:r>
        </w:p>
        <w:p w:rsidR="001D4821" w:rsidRPr="006F7A4F" w:rsidRDefault="001D4821" w:rsidP="001D4821">
          <w:pPr>
            <w:pStyle w:val="ListeParagraf"/>
            <w:numPr>
              <w:ilvl w:val="0"/>
              <w:numId w:val="35"/>
            </w:numPr>
            <w:spacing w:after="160" w:line="259" w:lineRule="auto"/>
            <w:jc w:val="both"/>
            <w:rPr>
              <w:rFonts w:ascii="Times New Roman" w:hAnsi="Times New Roman" w:cs="Times New Roman"/>
              <w:sz w:val="24"/>
              <w:szCs w:val="24"/>
            </w:rPr>
          </w:pPr>
          <w:proofErr w:type="spellStart"/>
          <w:r w:rsidRPr="006F7A4F">
            <w:rPr>
              <w:rFonts w:ascii="Times New Roman" w:hAnsi="Times New Roman" w:cs="Times New Roman"/>
              <w:sz w:val="24"/>
              <w:szCs w:val="24"/>
            </w:rPr>
            <w:t>Licensees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may</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revise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their</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own</w:t>
          </w:r>
          <w:proofErr w:type="spellEnd"/>
          <w:r w:rsidRPr="006F7A4F">
            <w:rPr>
              <w:rFonts w:ascii="Times New Roman" w:hAnsi="Times New Roman" w:cs="Times New Roman"/>
              <w:sz w:val="24"/>
              <w:szCs w:val="24"/>
            </w:rPr>
            <w:t xml:space="preserve"> data </w:t>
          </w:r>
          <w:proofErr w:type="spellStart"/>
          <w:r w:rsidRPr="006F7A4F">
            <w:rPr>
              <w:rFonts w:ascii="Times New Roman" w:hAnsi="Times New Roman" w:cs="Times New Roman"/>
              <w:sz w:val="24"/>
              <w:szCs w:val="24"/>
            </w:rPr>
            <w:t>submitted</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before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through</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correction</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requests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Therefore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there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may</w:t>
          </w:r>
          <w:proofErr w:type="spellEnd"/>
          <w:r w:rsidRPr="006F7A4F">
            <w:rPr>
              <w:rFonts w:ascii="Times New Roman" w:hAnsi="Times New Roman" w:cs="Times New Roman"/>
              <w:sz w:val="24"/>
              <w:szCs w:val="24"/>
            </w:rPr>
            <w:t xml:space="preserve"> be </w:t>
          </w:r>
          <w:proofErr w:type="spellStart"/>
          <w:r w:rsidRPr="006F7A4F">
            <w:rPr>
              <w:rFonts w:ascii="Times New Roman" w:hAnsi="Times New Roman" w:cs="Times New Roman"/>
              <w:sz w:val="24"/>
              <w:szCs w:val="24"/>
            </w:rPr>
            <w:t>some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nonconformity</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between</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previous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reports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and</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present</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report</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published</w:t>
          </w:r>
          <w:proofErr w:type="spellEnd"/>
          <w:r w:rsidRPr="006F7A4F">
            <w:rPr>
              <w:rFonts w:ascii="Times New Roman" w:hAnsi="Times New Roman" w:cs="Times New Roman"/>
              <w:sz w:val="24"/>
              <w:szCs w:val="24"/>
            </w:rPr>
            <w:t>.</w:t>
          </w:r>
        </w:p>
        <w:p w:rsidR="001D4821" w:rsidRPr="006F7A4F" w:rsidRDefault="001D4821" w:rsidP="001D4821">
          <w:pPr>
            <w:pStyle w:val="ListeParagraf"/>
            <w:numPr>
              <w:ilvl w:val="0"/>
              <w:numId w:val="35"/>
            </w:numPr>
            <w:spacing w:after="160" w:line="259" w:lineRule="auto"/>
            <w:jc w:val="both"/>
            <w:rPr>
              <w:rFonts w:ascii="Times New Roman" w:hAnsi="Times New Roman" w:cs="Times New Roman"/>
              <w:sz w:val="24"/>
              <w:szCs w:val="24"/>
            </w:rPr>
          </w:pPr>
          <w:proofErr w:type="spellStart"/>
          <w:r w:rsidRPr="006F7A4F">
            <w:rPr>
              <w:rFonts w:ascii="Times New Roman" w:hAnsi="Times New Roman" w:cs="Times New Roman"/>
              <w:sz w:val="24"/>
              <w:szCs w:val="24"/>
            </w:rPr>
            <w:t>In</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this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report</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Turkish</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punctuation</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rules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are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adopted</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for</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numbers</w:t>
          </w:r>
          <w:proofErr w:type="spellEnd"/>
          <w:r w:rsidRPr="006F7A4F">
            <w:rPr>
              <w:rFonts w:ascii="Times New Roman" w:hAnsi="Times New Roman" w:cs="Times New Roman"/>
              <w:sz w:val="24"/>
              <w:szCs w:val="24"/>
            </w:rPr>
            <w:t>.</w:t>
          </w:r>
        </w:p>
        <w:p w:rsidR="001D4821" w:rsidRPr="006F7A4F" w:rsidRDefault="001D4821" w:rsidP="001D4821">
          <w:pPr>
            <w:rPr>
              <w:rFonts w:ascii="Times New Roman" w:hAnsi="Times New Roman" w:cs="Times New Roman"/>
              <w:sz w:val="24"/>
              <w:szCs w:val="24"/>
            </w:rPr>
          </w:pPr>
        </w:p>
        <w:p w:rsidR="001D4821" w:rsidRPr="006F7A4F" w:rsidRDefault="001D4821" w:rsidP="001D4821">
          <w:pPr>
            <w:rPr>
              <w:rFonts w:ascii="Times New Roman" w:eastAsia="Calibri" w:hAnsi="Times New Roman" w:cs="Times New Roman"/>
              <w:bCs/>
              <w:sz w:val="24"/>
              <w:szCs w:val="24"/>
            </w:rPr>
          </w:pPr>
          <w:proofErr w:type="spellStart"/>
          <w:r w:rsidRPr="006F7A4F">
            <w:rPr>
              <w:rFonts w:ascii="Times New Roman" w:hAnsi="Times New Roman" w:cs="Times New Roman"/>
              <w:sz w:val="24"/>
              <w:szCs w:val="24"/>
            </w:rPr>
            <w:t>This</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report</w:t>
          </w:r>
          <w:proofErr w:type="spellEnd"/>
          <w:r w:rsidRPr="006F7A4F">
            <w:rPr>
              <w:rFonts w:ascii="Times New Roman" w:hAnsi="Times New Roman" w:cs="Times New Roman"/>
              <w:sz w:val="24"/>
              <w:szCs w:val="24"/>
            </w:rPr>
            <w:t xml:space="preserve"> is </w:t>
          </w:r>
          <w:proofErr w:type="spellStart"/>
          <w:r w:rsidRPr="006F7A4F">
            <w:rPr>
              <w:rFonts w:ascii="Times New Roman" w:hAnsi="Times New Roman" w:cs="Times New Roman"/>
              <w:sz w:val="24"/>
              <w:szCs w:val="24"/>
            </w:rPr>
            <w:t>published</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within</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the</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scope</w:t>
          </w:r>
          <w:proofErr w:type="spellEnd"/>
          <w:r w:rsidRPr="006F7A4F">
            <w:rPr>
              <w:rFonts w:ascii="Times New Roman" w:hAnsi="Times New Roman" w:cs="Times New Roman"/>
              <w:sz w:val="24"/>
              <w:szCs w:val="24"/>
            </w:rPr>
            <w:t xml:space="preserve"> of </w:t>
          </w:r>
          <w:proofErr w:type="spellStart"/>
          <w:r w:rsidRPr="006F7A4F">
            <w:rPr>
              <w:rFonts w:ascii="Times New Roman" w:hAnsi="Times New Roman" w:cs="Times New Roman"/>
              <w:sz w:val="24"/>
              <w:szCs w:val="24"/>
            </w:rPr>
            <w:t>Official</w:t>
          </w:r>
          <w:proofErr w:type="spellEnd"/>
          <w:r w:rsidRPr="006F7A4F">
            <w:rPr>
              <w:rFonts w:ascii="Times New Roman" w:hAnsi="Times New Roman" w:cs="Times New Roman"/>
              <w:sz w:val="24"/>
              <w:szCs w:val="24"/>
            </w:rPr>
            <w:t xml:space="preserve"> </w:t>
          </w:r>
          <w:proofErr w:type="spellStart"/>
          <w:r w:rsidRPr="006F7A4F">
            <w:rPr>
              <w:rFonts w:ascii="Times New Roman" w:hAnsi="Times New Roman" w:cs="Times New Roman"/>
              <w:sz w:val="24"/>
              <w:szCs w:val="24"/>
            </w:rPr>
            <w:t>Statistics</w:t>
          </w:r>
          <w:proofErr w:type="spellEnd"/>
          <w:r w:rsidRPr="006F7A4F">
            <w:rPr>
              <w:rFonts w:ascii="Times New Roman" w:hAnsi="Times New Roman" w:cs="Times New Roman"/>
              <w:sz w:val="24"/>
              <w:szCs w:val="24"/>
            </w:rPr>
            <w:t xml:space="preserve"> Program.</w:t>
          </w:r>
        </w:p>
        <w:p w:rsidR="00BD262C" w:rsidRPr="00F876CB" w:rsidRDefault="00BD262C" w:rsidP="00DB31F2">
          <w:pPr>
            <w:pStyle w:val="AralkYok"/>
            <w:rPr>
              <w:rFonts w:asciiTheme="minorHAnsi" w:hAnsiTheme="minorHAnsi" w:cstheme="minorHAnsi"/>
              <w:bCs/>
              <w:caps/>
              <w:color w:val="FFFFFF" w:themeColor="background1"/>
              <w:sz w:val="24"/>
              <w:szCs w:val="24"/>
              <w:lang w:val="en-GB"/>
            </w:rPr>
            <w:sectPr w:rsidR="00BD262C" w:rsidRPr="00F876CB" w:rsidSect="00151A3B">
              <w:pgSz w:w="11906" w:h="16838"/>
              <w:pgMar w:top="1418" w:right="1418" w:bottom="1418" w:left="1418" w:header="709" w:footer="709" w:gutter="0"/>
              <w:cols w:space="708"/>
              <w:titlePg/>
              <w:docGrid w:linePitch="360"/>
            </w:sectPr>
          </w:pPr>
        </w:p>
        <w:p w:rsidR="00B83CE1" w:rsidRPr="00F876CB" w:rsidRDefault="00B83CE1" w:rsidP="00B83CE1">
          <w:pPr>
            <w:jc w:val="both"/>
            <w:rPr>
              <w:rFonts w:ascii="Times New Roman" w:hAnsi="Times New Roman" w:cs="Times New Roman"/>
              <w:b/>
              <w:bCs/>
              <w:caps/>
              <w:sz w:val="24"/>
              <w:szCs w:val="24"/>
              <w:lang w:val="en-GB"/>
            </w:rPr>
          </w:pPr>
          <w:r w:rsidRPr="00F876CB">
            <w:rPr>
              <w:rFonts w:ascii="Times New Roman" w:hAnsi="Times New Roman" w:cs="Times New Roman"/>
              <w:b/>
              <w:bCs/>
              <w:caps/>
              <w:sz w:val="24"/>
              <w:szCs w:val="24"/>
              <w:lang w:val="en-GB"/>
            </w:rPr>
            <w:lastRenderedPageBreak/>
            <w:t xml:space="preserve">PRESIDENT’s MeSSAGE </w:t>
          </w:r>
        </w:p>
        <w:p w:rsidR="00902604" w:rsidRPr="00F876CB" w:rsidRDefault="00902604" w:rsidP="00902604">
          <w:pPr>
            <w:spacing w:line="360" w:lineRule="auto"/>
            <w:jc w:val="both"/>
            <w:rPr>
              <w:rFonts w:asciiTheme="minorHAnsi" w:eastAsia="Microsoft JhengHei" w:hAnsiTheme="minorHAnsi" w:cstheme="minorHAnsi"/>
              <w:sz w:val="24"/>
              <w:szCs w:val="24"/>
              <w:lang w:val="en-GB"/>
            </w:rPr>
          </w:pPr>
        </w:p>
        <w:p w:rsidR="009E2A90" w:rsidRPr="00F876CB" w:rsidRDefault="009E2A90" w:rsidP="009E2A90">
          <w:pPr>
            <w:spacing w:line="360" w:lineRule="auto"/>
            <w:jc w:val="both"/>
            <w:rPr>
              <w:rFonts w:ascii="Times New Roman" w:eastAsia="Microsoft JhengHei" w:hAnsi="Times New Roman" w:cs="Times New Roman"/>
              <w:sz w:val="24"/>
              <w:szCs w:val="24"/>
              <w:lang w:val="en-GB"/>
            </w:rPr>
          </w:pPr>
          <w:r w:rsidRPr="00F876CB">
            <w:rPr>
              <w:rFonts w:ascii="Times New Roman" w:eastAsia="Microsoft JhengHei" w:hAnsi="Times New Roman" w:cs="Times New Roman"/>
              <w:sz w:val="24"/>
              <w:szCs w:val="24"/>
              <w:lang w:val="en-GB"/>
            </w:rPr>
            <w:t>After the period which were striving for a number of regulations and other legislations that were put into effect in the framework of the Electricity Market Law numbered 6446, which entered into force in 2013, a significant process was made in 2019 on the light of these regulations as moving towards a more liberal, competitive, transparent and foreseeable structure on the market.</w:t>
          </w:r>
        </w:p>
        <w:p w:rsidR="00B560DB" w:rsidRPr="00F876CB" w:rsidRDefault="00B560DB" w:rsidP="00902604">
          <w:pPr>
            <w:spacing w:line="360" w:lineRule="auto"/>
            <w:jc w:val="both"/>
            <w:rPr>
              <w:rFonts w:asciiTheme="minorHAnsi" w:eastAsia="Microsoft JhengHei" w:hAnsiTheme="minorHAnsi" w:cstheme="minorHAnsi"/>
              <w:sz w:val="24"/>
              <w:szCs w:val="24"/>
              <w:lang w:val="en-GB"/>
            </w:rPr>
          </w:pPr>
          <w:r w:rsidRPr="00F876CB">
            <w:rPr>
              <w:rFonts w:asciiTheme="minorHAnsi" w:eastAsia="Microsoft JhengHei" w:hAnsiTheme="minorHAnsi" w:cstheme="minorHAnsi"/>
              <w:sz w:val="24"/>
              <w:szCs w:val="24"/>
              <w:lang w:val="en-GB"/>
            </w:rPr>
            <w:t>The structural arrangements we have made in recent years to encourage the use of renewable energy sources instead of imported resources in electricity production continued to show the results. In this context, the share of renewable energy sources, which was 30</w:t>
          </w:r>
          <w:r w:rsidR="00302599">
            <w:rPr>
              <w:rFonts w:asciiTheme="minorHAnsi" w:eastAsia="Microsoft JhengHei" w:hAnsiTheme="minorHAnsi" w:cstheme="minorHAnsi"/>
              <w:sz w:val="24"/>
              <w:szCs w:val="24"/>
              <w:lang w:val="en-GB"/>
            </w:rPr>
            <w:t>,</w:t>
          </w:r>
          <w:r w:rsidRPr="00F876CB">
            <w:rPr>
              <w:rFonts w:asciiTheme="minorHAnsi" w:eastAsia="Microsoft JhengHei" w:hAnsiTheme="minorHAnsi" w:cstheme="minorHAnsi"/>
              <w:sz w:val="24"/>
              <w:szCs w:val="24"/>
              <w:lang w:val="en-GB"/>
            </w:rPr>
            <w:t>67% in total electricity generation in 2018, increased to 42</w:t>
          </w:r>
          <w:r w:rsidR="00302599">
            <w:rPr>
              <w:rFonts w:asciiTheme="minorHAnsi" w:eastAsia="Microsoft JhengHei" w:hAnsiTheme="minorHAnsi" w:cstheme="minorHAnsi"/>
              <w:sz w:val="24"/>
              <w:szCs w:val="24"/>
              <w:lang w:val="en-GB"/>
            </w:rPr>
            <w:t>,</w:t>
          </w:r>
          <w:r w:rsidRPr="00F876CB">
            <w:rPr>
              <w:rFonts w:asciiTheme="minorHAnsi" w:eastAsia="Microsoft JhengHei" w:hAnsiTheme="minorHAnsi" w:cstheme="minorHAnsi"/>
              <w:sz w:val="24"/>
              <w:szCs w:val="24"/>
              <w:lang w:val="en-GB"/>
            </w:rPr>
            <w:t>10% in 2019.</w:t>
          </w:r>
        </w:p>
        <w:p w:rsidR="00B560DB" w:rsidRPr="00F876CB" w:rsidRDefault="00B560DB" w:rsidP="00B560DB">
          <w:pPr>
            <w:spacing w:line="360" w:lineRule="auto"/>
            <w:jc w:val="both"/>
            <w:rPr>
              <w:rFonts w:ascii="Times New Roman" w:eastAsia="Microsoft JhengHei" w:hAnsi="Times New Roman" w:cs="Times New Roman"/>
              <w:sz w:val="24"/>
              <w:szCs w:val="24"/>
              <w:lang w:val="en-GB"/>
            </w:rPr>
          </w:pPr>
          <w:r w:rsidRPr="00F876CB">
            <w:rPr>
              <w:rFonts w:ascii="Times New Roman" w:eastAsia="Microsoft JhengHei" w:hAnsi="Times New Roman" w:cs="Times New Roman"/>
              <w:sz w:val="24"/>
              <w:szCs w:val="24"/>
              <w:lang w:val="en-GB"/>
            </w:rPr>
            <w:t xml:space="preserve">Market developments reports, which we submit to our stakeholders by our Institution, are compiled and </w:t>
          </w:r>
          <w:proofErr w:type="spellStart"/>
          <w:r w:rsidRPr="00F876CB">
            <w:rPr>
              <w:rFonts w:ascii="Times New Roman" w:eastAsia="Microsoft JhengHei" w:hAnsi="Times New Roman" w:cs="Times New Roman"/>
              <w:sz w:val="24"/>
              <w:szCs w:val="24"/>
              <w:lang w:val="en-GB"/>
            </w:rPr>
            <w:t>analyzed</w:t>
          </w:r>
          <w:proofErr w:type="spellEnd"/>
          <w:r w:rsidRPr="00F876CB">
            <w:rPr>
              <w:rFonts w:ascii="Times New Roman" w:eastAsia="Microsoft JhengHei" w:hAnsi="Times New Roman" w:cs="Times New Roman"/>
              <w:sz w:val="24"/>
              <w:szCs w:val="24"/>
              <w:lang w:val="en-GB"/>
            </w:rPr>
            <w:t xml:space="preserve"> from the data submitted to our Agency by using the Energy Market Notification System. It is one of our main objectives to ensure the integrity, consistency and reliability of the data contained in these reports, which are of great importance for accurate and timely sharing with all relevant parties and the public.</w:t>
          </w:r>
        </w:p>
        <w:p w:rsidR="00ED7C99" w:rsidRPr="00F876CB" w:rsidRDefault="00ED7C99" w:rsidP="00ED7C99">
          <w:pPr>
            <w:spacing w:line="360" w:lineRule="auto"/>
            <w:jc w:val="both"/>
            <w:rPr>
              <w:rFonts w:ascii="Times New Roman" w:eastAsia="Microsoft JhengHei" w:hAnsi="Times New Roman" w:cs="Times New Roman"/>
              <w:sz w:val="24"/>
              <w:szCs w:val="24"/>
              <w:lang w:val="en-GB"/>
            </w:rPr>
          </w:pPr>
          <w:r w:rsidRPr="00F876CB">
            <w:rPr>
              <w:rFonts w:ascii="Times New Roman" w:eastAsia="Microsoft JhengHei" w:hAnsi="Times New Roman" w:cs="Times New Roman"/>
              <w:sz w:val="24"/>
              <w:szCs w:val="24"/>
              <w:lang w:val="en-GB"/>
            </w:rPr>
            <w:t>Once again, I would like to indicate that as EMRA we are open to all kind of constructive opinion and suggestion and I wish the Electricity Market Development Report of 2019 will be useful to all related parties, institutions and organizations.</w:t>
          </w:r>
        </w:p>
        <w:p w:rsidR="001D2523" w:rsidRPr="00F876CB" w:rsidRDefault="001D2523" w:rsidP="001D2523">
          <w:pPr>
            <w:jc w:val="center"/>
            <w:rPr>
              <w:rFonts w:asciiTheme="minorHAnsi" w:hAnsiTheme="minorHAnsi" w:cstheme="minorHAnsi"/>
              <w:b/>
              <w:bCs/>
              <w:caps/>
              <w:sz w:val="24"/>
              <w:szCs w:val="24"/>
              <w:lang w:val="en-GB"/>
            </w:rPr>
          </w:pPr>
        </w:p>
        <w:p w:rsidR="00902604" w:rsidRPr="00F876CB" w:rsidRDefault="00902604" w:rsidP="001D2523">
          <w:pPr>
            <w:pStyle w:val="AralkYok"/>
            <w:jc w:val="right"/>
            <w:rPr>
              <w:rFonts w:asciiTheme="minorHAnsi" w:hAnsiTheme="minorHAnsi" w:cstheme="minorHAnsi"/>
              <w:b/>
              <w:sz w:val="24"/>
              <w:szCs w:val="24"/>
              <w:lang w:val="en-GB" w:eastAsia="tr-TR"/>
            </w:rPr>
          </w:pPr>
        </w:p>
        <w:p w:rsidR="00902604" w:rsidRPr="00F876CB" w:rsidRDefault="00902604" w:rsidP="001D2523">
          <w:pPr>
            <w:pStyle w:val="AralkYok"/>
            <w:jc w:val="right"/>
            <w:rPr>
              <w:rFonts w:asciiTheme="minorHAnsi" w:hAnsiTheme="minorHAnsi" w:cstheme="minorHAnsi"/>
              <w:b/>
              <w:sz w:val="24"/>
              <w:szCs w:val="24"/>
              <w:lang w:val="en-GB" w:eastAsia="tr-TR"/>
            </w:rPr>
          </w:pPr>
        </w:p>
        <w:p w:rsidR="001D2523" w:rsidRPr="00F876CB" w:rsidRDefault="001D2523" w:rsidP="001D2523">
          <w:pPr>
            <w:pStyle w:val="AralkYok"/>
            <w:jc w:val="right"/>
            <w:rPr>
              <w:rFonts w:asciiTheme="minorHAnsi" w:hAnsiTheme="minorHAnsi" w:cstheme="minorHAnsi"/>
              <w:b/>
              <w:sz w:val="24"/>
              <w:szCs w:val="24"/>
              <w:lang w:val="en-GB" w:eastAsia="tr-TR"/>
            </w:rPr>
          </w:pPr>
          <w:r w:rsidRPr="00F876CB">
            <w:rPr>
              <w:rFonts w:asciiTheme="minorHAnsi" w:hAnsiTheme="minorHAnsi" w:cstheme="minorHAnsi"/>
              <w:b/>
              <w:sz w:val="24"/>
              <w:szCs w:val="24"/>
              <w:lang w:val="en-GB" w:eastAsia="tr-TR"/>
            </w:rPr>
            <w:t>Mustafa YILMAZ</w:t>
          </w:r>
        </w:p>
        <w:p w:rsidR="001D2523" w:rsidRPr="00F876CB" w:rsidRDefault="001D2523" w:rsidP="001D2523">
          <w:pPr>
            <w:pStyle w:val="AralkYok"/>
            <w:ind w:left="6372"/>
            <w:rPr>
              <w:rFonts w:asciiTheme="minorHAnsi" w:hAnsiTheme="minorHAnsi" w:cstheme="minorHAnsi"/>
              <w:b/>
              <w:sz w:val="24"/>
              <w:szCs w:val="24"/>
              <w:lang w:val="en-GB" w:eastAsia="tr-TR"/>
            </w:rPr>
          </w:pPr>
          <w:r w:rsidRPr="00F876CB">
            <w:rPr>
              <w:rFonts w:asciiTheme="minorHAnsi" w:hAnsiTheme="minorHAnsi" w:cstheme="minorHAnsi"/>
              <w:b/>
              <w:sz w:val="24"/>
              <w:szCs w:val="24"/>
              <w:lang w:val="en-GB" w:eastAsia="tr-TR"/>
            </w:rPr>
            <w:t xml:space="preserve">             </w:t>
          </w:r>
          <w:r w:rsidR="00635A25" w:rsidRPr="00F876CB">
            <w:rPr>
              <w:rFonts w:asciiTheme="minorHAnsi" w:hAnsiTheme="minorHAnsi" w:cstheme="minorHAnsi"/>
              <w:b/>
              <w:sz w:val="24"/>
              <w:szCs w:val="24"/>
              <w:lang w:val="en-GB" w:eastAsia="tr-TR"/>
            </w:rPr>
            <w:t xml:space="preserve">  </w:t>
          </w:r>
          <w:r w:rsidR="00ED7C99" w:rsidRPr="00F876CB">
            <w:rPr>
              <w:rFonts w:asciiTheme="minorHAnsi" w:hAnsiTheme="minorHAnsi" w:cstheme="minorHAnsi"/>
              <w:b/>
              <w:sz w:val="24"/>
              <w:szCs w:val="24"/>
              <w:lang w:val="en-GB" w:eastAsia="tr-TR"/>
            </w:rPr>
            <w:t xml:space="preserve">     </w:t>
          </w:r>
          <w:r w:rsidR="00635A25" w:rsidRPr="00F876CB">
            <w:rPr>
              <w:rFonts w:asciiTheme="minorHAnsi" w:hAnsiTheme="minorHAnsi" w:cstheme="minorHAnsi"/>
              <w:b/>
              <w:sz w:val="24"/>
              <w:szCs w:val="24"/>
              <w:lang w:val="en-GB" w:eastAsia="tr-TR"/>
            </w:rPr>
            <w:t xml:space="preserve"> </w:t>
          </w:r>
          <w:r w:rsidR="00ED7C99" w:rsidRPr="00F876CB">
            <w:rPr>
              <w:rFonts w:asciiTheme="minorHAnsi" w:hAnsiTheme="minorHAnsi" w:cstheme="minorHAnsi"/>
              <w:b/>
              <w:sz w:val="24"/>
              <w:szCs w:val="24"/>
              <w:lang w:val="en-GB" w:eastAsia="tr-TR"/>
            </w:rPr>
            <w:t>President</w:t>
          </w:r>
        </w:p>
        <w:p w:rsidR="001D2523" w:rsidRPr="00F876CB" w:rsidRDefault="001D2523" w:rsidP="001D2523">
          <w:pPr>
            <w:pStyle w:val="AralkYok"/>
            <w:jc w:val="center"/>
            <w:rPr>
              <w:rFonts w:asciiTheme="minorHAnsi" w:hAnsiTheme="minorHAnsi" w:cstheme="minorHAnsi"/>
              <w:b/>
              <w:sz w:val="24"/>
              <w:szCs w:val="24"/>
              <w:lang w:val="en-GB" w:eastAsia="tr-TR"/>
            </w:rPr>
            <w:sectPr w:rsidR="001D2523" w:rsidRPr="00F876CB" w:rsidSect="00151A3B">
              <w:footerReference w:type="first" r:id="rId11"/>
              <w:pgSz w:w="11906" w:h="16838"/>
              <w:pgMar w:top="1417" w:right="1417" w:bottom="1417" w:left="1417" w:header="708" w:footer="708" w:gutter="0"/>
              <w:pgNumType w:fmt="lowerRoman" w:start="1"/>
              <w:cols w:space="708"/>
              <w:docGrid w:linePitch="360"/>
            </w:sectPr>
          </w:pPr>
        </w:p>
        <w:p w:rsidR="0032509B" w:rsidRPr="00F876CB" w:rsidRDefault="0032509B" w:rsidP="0032509B">
          <w:pPr>
            <w:jc w:val="both"/>
            <w:rPr>
              <w:rFonts w:ascii="Times New Roman" w:hAnsi="Times New Roman" w:cs="Times New Roman"/>
              <w:b/>
              <w:bCs/>
              <w:caps/>
              <w:sz w:val="24"/>
              <w:szCs w:val="24"/>
              <w:lang w:val="en-GB"/>
            </w:rPr>
          </w:pPr>
          <w:r w:rsidRPr="00F876CB">
            <w:rPr>
              <w:rFonts w:ascii="Times New Roman" w:hAnsi="Times New Roman" w:cs="Times New Roman"/>
              <w:b/>
              <w:bCs/>
              <w:caps/>
              <w:sz w:val="24"/>
              <w:szCs w:val="24"/>
              <w:lang w:val="en-GB"/>
            </w:rPr>
            <w:lastRenderedPageBreak/>
            <w:t xml:space="preserve">                                                        EXECUTIVE SUMMARY</w:t>
          </w:r>
        </w:p>
        <w:p w:rsidR="001C1731" w:rsidRPr="00F876CB" w:rsidRDefault="001C1731" w:rsidP="001C1731">
          <w:pPr>
            <w:jc w:val="center"/>
            <w:rPr>
              <w:rFonts w:asciiTheme="minorHAnsi" w:hAnsiTheme="minorHAnsi" w:cstheme="minorHAnsi"/>
              <w:b/>
              <w:bCs/>
              <w:caps/>
              <w:sz w:val="24"/>
              <w:szCs w:val="24"/>
              <w:lang w:val="en-GB"/>
            </w:rPr>
          </w:pPr>
        </w:p>
        <w:p w:rsidR="007D49DA" w:rsidRPr="00F876CB" w:rsidRDefault="007D49DA" w:rsidP="001C1731">
          <w:pPr>
            <w:jc w:val="center"/>
            <w:rPr>
              <w:rFonts w:asciiTheme="minorHAnsi" w:hAnsiTheme="minorHAnsi" w:cstheme="minorHAnsi"/>
              <w:b/>
              <w:bCs/>
              <w:caps/>
              <w:sz w:val="24"/>
              <w:szCs w:val="24"/>
              <w:lang w:val="en-GB"/>
            </w:rPr>
          </w:pPr>
        </w:p>
        <w:p w:rsidR="0032509B" w:rsidRPr="00F876CB" w:rsidRDefault="0032509B" w:rsidP="0099719A">
          <w:pPr>
            <w:pStyle w:val="ListeParagraf"/>
            <w:numPr>
              <w:ilvl w:val="0"/>
              <w:numId w:val="20"/>
            </w:numPr>
            <w:spacing w:line="240" w:lineRule="auto"/>
            <w:ind w:left="0"/>
            <w:rPr>
              <w:rFonts w:ascii="Times New Roman" w:hAnsi="Times New Roman" w:cs="Times New Roman"/>
              <w:bCs/>
              <w:sz w:val="24"/>
              <w:szCs w:val="24"/>
              <w:lang w:val="en-GB"/>
            </w:rPr>
          </w:pPr>
          <w:r w:rsidRPr="00F876CB">
            <w:rPr>
              <w:rFonts w:ascii="Times New Roman" w:hAnsi="Times New Roman" w:cs="Times New Roman"/>
              <w:b/>
              <w:bCs/>
              <w:sz w:val="24"/>
              <w:szCs w:val="24"/>
              <w:lang w:val="en-GB"/>
            </w:rPr>
            <w:t>Licensed Installed Capacity and Peak Demand</w:t>
          </w:r>
        </w:p>
        <w:p w:rsidR="007D49DA" w:rsidRPr="00F876CB" w:rsidRDefault="007D49DA" w:rsidP="007D49DA">
          <w:pPr>
            <w:pStyle w:val="ListeParagraf"/>
            <w:spacing w:after="120" w:line="240" w:lineRule="auto"/>
            <w:jc w:val="both"/>
            <w:rPr>
              <w:rFonts w:asciiTheme="minorHAnsi" w:hAnsiTheme="minorHAnsi" w:cstheme="minorHAnsi"/>
              <w:bCs/>
              <w:sz w:val="24"/>
              <w:szCs w:val="24"/>
              <w:lang w:val="en-GB"/>
            </w:rPr>
          </w:pPr>
        </w:p>
        <w:p w:rsidR="0099719A" w:rsidRPr="00F876CB" w:rsidRDefault="0099719A" w:rsidP="0099719A">
          <w:pPr>
            <w:pStyle w:val="ListeParagraf"/>
            <w:numPr>
              <w:ilvl w:val="1"/>
              <w:numId w:val="20"/>
            </w:numPr>
            <w:spacing w:line="240" w:lineRule="auto"/>
            <w:ind w:left="0"/>
            <w:jc w:val="both"/>
            <w:rPr>
              <w:rFonts w:ascii="Times New Roman" w:hAnsi="Times New Roman" w:cs="Times New Roman"/>
              <w:bCs/>
              <w:sz w:val="24"/>
              <w:szCs w:val="24"/>
              <w:lang w:val="en-GB"/>
            </w:rPr>
          </w:pPr>
          <w:r w:rsidRPr="00F876CB">
            <w:rPr>
              <w:rFonts w:ascii="Times New Roman" w:hAnsi="Times New Roman" w:cs="Times New Roman"/>
              <w:bCs/>
              <w:sz w:val="24"/>
              <w:szCs w:val="24"/>
              <w:lang w:val="en-GB"/>
            </w:rPr>
            <w:t>Licensed installed capacity in 2019 w</w:t>
          </w:r>
          <w:r w:rsidR="003A69A1">
            <w:rPr>
              <w:rFonts w:ascii="Times New Roman" w:hAnsi="Times New Roman" w:cs="Times New Roman"/>
              <w:bCs/>
              <w:sz w:val="24"/>
              <w:szCs w:val="24"/>
              <w:lang w:val="en-GB"/>
            </w:rPr>
            <w:t>as 84.957,72 MW increasing by 2,</w:t>
          </w:r>
          <w:r w:rsidRPr="00F876CB">
            <w:rPr>
              <w:rFonts w:ascii="Times New Roman" w:hAnsi="Times New Roman" w:cs="Times New Roman"/>
              <w:bCs/>
              <w:sz w:val="24"/>
              <w:szCs w:val="24"/>
              <w:lang w:val="en-GB"/>
            </w:rPr>
            <w:t>13% compared to previous year.</w:t>
          </w: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99719A" w:rsidRPr="00F876CB" w:rsidRDefault="0099719A" w:rsidP="0099719A">
          <w:pPr>
            <w:pStyle w:val="ListeParagraf"/>
            <w:numPr>
              <w:ilvl w:val="1"/>
              <w:numId w:val="20"/>
            </w:numPr>
            <w:spacing w:line="240" w:lineRule="auto"/>
            <w:ind w:left="0"/>
            <w:jc w:val="both"/>
            <w:rPr>
              <w:rFonts w:ascii="Times New Roman" w:hAnsi="Times New Roman" w:cs="Times New Roman"/>
              <w:bCs/>
              <w:sz w:val="24"/>
              <w:szCs w:val="24"/>
              <w:lang w:val="en-GB"/>
            </w:rPr>
          </w:pPr>
          <w:r w:rsidRPr="00F876CB">
            <w:rPr>
              <w:rFonts w:ascii="Times New Roman" w:hAnsi="Times New Roman" w:cs="Times New Roman"/>
              <w:bCs/>
              <w:sz w:val="24"/>
              <w:szCs w:val="24"/>
              <w:lang w:val="en-GB"/>
            </w:rPr>
            <w:t>In 2018-2019, licensed installed capacity according to resource type is given below:</w:t>
          </w:r>
        </w:p>
        <w:p w:rsidR="007D49DA" w:rsidRPr="00F876CB" w:rsidRDefault="007D49DA" w:rsidP="007D49DA">
          <w:pPr>
            <w:pStyle w:val="ListeParagraf"/>
            <w:ind w:left="1440"/>
            <w:rPr>
              <w:rFonts w:asciiTheme="minorHAnsi" w:hAnsiTheme="minorHAnsi" w:cstheme="minorHAnsi"/>
              <w:bCs/>
              <w:sz w:val="24"/>
              <w:szCs w:val="24"/>
              <w:lang w:val="en-GB"/>
            </w:rPr>
          </w:pPr>
        </w:p>
        <w:tbl>
          <w:tblPr>
            <w:tblW w:w="8416" w:type="dxa"/>
            <w:jc w:val="center"/>
            <w:tblCellMar>
              <w:left w:w="70" w:type="dxa"/>
              <w:right w:w="70" w:type="dxa"/>
            </w:tblCellMar>
            <w:tblLook w:val="04A0" w:firstRow="1" w:lastRow="0" w:firstColumn="1" w:lastColumn="0" w:noHBand="0" w:noVBand="1"/>
          </w:tblPr>
          <w:tblGrid>
            <w:gridCol w:w="2040"/>
            <w:gridCol w:w="1420"/>
            <w:gridCol w:w="1033"/>
            <w:gridCol w:w="1417"/>
            <w:gridCol w:w="993"/>
            <w:gridCol w:w="1513"/>
          </w:tblGrid>
          <w:tr w:rsidR="001633BA" w:rsidRPr="00F876CB" w:rsidTr="001633BA">
            <w:trPr>
              <w:trHeight w:val="766"/>
              <w:jc w:val="center"/>
            </w:trPr>
            <w:tc>
              <w:tcPr>
                <w:tcW w:w="20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Resource Type</w:t>
                </w:r>
              </w:p>
            </w:tc>
            <w:tc>
              <w:tcPr>
                <w:tcW w:w="1420" w:type="dxa"/>
                <w:tcBorders>
                  <w:top w:val="single" w:sz="8" w:space="0" w:color="auto"/>
                  <w:left w:val="nil"/>
                  <w:bottom w:val="single" w:sz="4" w:space="0" w:color="auto"/>
                  <w:right w:val="single" w:sz="4" w:space="0" w:color="auto"/>
                </w:tcBorders>
                <w:shd w:val="clear" w:color="auto" w:fill="auto"/>
                <w:vAlign w:val="center"/>
                <w:hideMark/>
              </w:tcPr>
              <w:p w:rsidR="001633BA" w:rsidRPr="00F876CB" w:rsidRDefault="001633BA"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 xml:space="preserve">2018 </w:t>
                </w:r>
                <w:r w:rsidRPr="00F876CB">
                  <w:rPr>
                    <w:rFonts w:ascii="Calibri" w:eastAsia="Times New Roman" w:hAnsi="Calibri" w:cs="Calibri"/>
                    <w:b/>
                    <w:bCs/>
                    <w:color w:val="000000"/>
                    <w:lang w:val="en-GB" w:eastAsia="tr-TR" w:bidi="ar-SA"/>
                  </w:rPr>
                  <w:br/>
                  <w:t>(MW)</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633BA" w:rsidRPr="00F876CB" w:rsidRDefault="004B4076"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Share</w:t>
                </w:r>
                <w:r w:rsidR="001633BA" w:rsidRPr="00F876CB">
                  <w:rPr>
                    <w:rFonts w:ascii="Calibri" w:eastAsia="Times New Roman" w:hAnsi="Calibri" w:cs="Calibri"/>
                    <w:b/>
                    <w:bCs/>
                    <w:color w:val="000000"/>
                    <w:lang w:val="en-GB" w:eastAsia="tr-TR" w:bidi="ar-SA"/>
                  </w:rPr>
                  <w:br/>
                  <w:t>(%)</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rsidR="001633BA" w:rsidRPr="00F876CB" w:rsidRDefault="001633BA"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 xml:space="preserve">2019 </w:t>
                </w:r>
                <w:r w:rsidRPr="00F876CB">
                  <w:rPr>
                    <w:rFonts w:ascii="Calibri" w:eastAsia="Times New Roman" w:hAnsi="Calibri" w:cs="Calibri"/>
                    <w:b/>
                    <w:bCs/>
                    <w:color w:val="000000"/>
                    <w:lang w:val="en-GB" w:eastAsia="tr-TR" w:bidi="ar-SA"/>
                  </w:rPr>
                  <w:br/>
                  <w:t>(MW)</w:t>
                </w:r>
              </w:p>
            </w:tc>
            <w:tc>
              <w:tcPr>
                <w:tcW w:w="993" w:type="dxa"/>
                <w:tcBorders>
                  <w:top w:val="single" w:sz="8" w:space="0" w:color="auto"/>
                  <w:left w:val="nil"/>
                  <w:bottom w:val="single" w:sz="4" w:space="0" w:color="auto"/>
                  <w:right w:val="single" w:sz="4" w:space="0" w:color="auto"/>
                </w:tcBorders>
                <w:shd w:val="clear" w:color="auto" w:fill="auto"/>
                <w:vAlign w:val="center"/>
                <w:hideMark/>
              </w:tcPr>
              <w:p w:rsidR="001633BA" w:rsidRPr="00F876CB" w:rsidRDefault="004B4076"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Share</w:t>
                </w:r>
                <w:r w:rsidR="001633BA" w:rsidRPr="00F876CB">
                  <w:rPr>
                    <w:rFonts w:ascii="Calibri" w:eastAsia="Times New Roman" w:hAnsi="Calibri" w:cs="Calibri"/>
                    <w:b/>
                    <w:bCs/>
                    <w:color w:val="000000"/>
                    <w:lang w:val="en-GB" w:eastAsia="tr-TR" w:bidi="ar-SA"/>
                  </w:rPr>
                  <w:br/>
                  <w:t>(%)</w:t>
                </w:r>
              </w:p>
            </w:tc>
            <w:tc>
              <w:tcPr>
                <w:tcW w:w="1513" w:type="dxa"/>
                <w:tcBorders>
                  <w:top w:val="single" w:sz="8" w:space="0" w:color="auto"/>
                  <w:left w:val="nil"/>
                  <w:bottom w:val="single" w:sz="4" w:space="0" w:color="auto"/>
                  <w:right w:val="single" w:sz="8" w:space="0" w:color="auto"/>
                </w:tcBorders>
                <w:shd w:val="clear" w:color="auto" w:fill="auto"/>
                <w:vAlign w:val="center"/>
                <w:hideMark/>
              </w:tcPr>
              <w:p w:rsidR="001633BA" w:rsidRPr="00F876CB" w:rsidRDefault="004B4076"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 xml:space="preserve">Change    </w:t>
                </w:r>
                <w:r w:rsidR="001633BA" w:rsidRPr="00F876CB">
                  <w:rPr>
                    <w:rFonts w:ascii="Calibri" w:eastAsia="Times New Roman" w:hAnsi="Calibri" w:cs="Calibri"/>
                    <w:b/>
                    <w:bCs/>
                    <w:color w:val="000000"/>
                    <w:lang w:val="en-GB" w:eastAsia="tr-TR" w:bidi="ar-SA"/>
                  </w:rPr>
                  <w:t>2018-2019(%)</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NATURAL GAS</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25.731,93</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30,93</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42130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25.935,4</w:t>
                </w:r>
                <w:r w:rsidR="0042130B" w:rsidRPr="00F876CB">
                  <w:rPr>
                    <w:rFonts w:ascii="Calibri" w:eastAsia="Times New Roman" w:hAnsi="Calibri" w:cs="Calibri"/>
                    <w:color w:val="000000"/>
                    <w:lang w:val="en-GB" w:eastAsia="tr-TR" w:bidi="ar-SA"/>
                  </w:rPr>
                  <w:t>1</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30,53</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0,79</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HYDRO DAM</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20.534,80</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24,69</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20.642,51</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24,30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0,52</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L</w:t>
                </w:r>
                <w:r w:rsidR="004B4076" w:rsidRPr="00F876CB">
                  <w:rPr>
                    <w:rFonts w:ascii="Calibri" w:eastAsia="Times New Roman" w:hAnsi="Calibri" w:cs="Calibri"/>
                    <w:color w:val="000000"/>
                    <w:lang w:val="en-GB" w:eastAsia="tr-TR" w:bidi="ar-SA"/>
                  </w:rPr>
                  <w:t>IGNITE</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9.597,12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11,54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10.101,03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11,89</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5,25</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IMPORT</w:t>
                </w:r>
                <w:r w:rsidR="001633BA" w:rsidRPr="00F876CB">
                  <w:rPr>
                    <w:rFonts w:ascii="Calibri" w:eastAsia="Times New Roman" w:hAnsi="Calibri" w:cs="Calibri"/>
                    <w:color w:val="000000"/>
                    <w:lang w:val="en-GB" w:eastAsia="tr-TR" w:bidi="ar-SA"/>
                  </w:rPr>
                  <w:t xml:space="preserve"> </w:t>
                </w:r>
                <w:r w:rsidRPr="00F876CB">
                  <w:rPr>
                    <w:rFonts w:ascii="Calibri" w:eastAsia="Times New Roman" w:hAnsi="Calibri" w:cs="Calibri"/>
                    <w:color w:val="000000"/>
                    <w:lang w:val="en-GB" w:eastAsia="tr-TR" w:bidi="ar-SA"/>
                  </w:rPr>
                  <w:t>COAL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8.938,85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8.966,85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0,31</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RUN OF RIVER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7.748,90</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9,32</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7.851,85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9,24</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1,33</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WIND</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6.942,27</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7.520,33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8,33</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GEOTHERMAL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1.282,52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1.514,69</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18,10</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HARD COAL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616,15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0,74</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810,77</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31,59</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B</w:t>
                </w:r>
                <w:r w:rsidR="004B4076" w:rsidRPr="00F876CB">
                  <w:rPr>
                    <w:rFonts w:ascii="Calibri" w:eastAsia="Times New Roman" w:hAnsi="Calibri" w:cs="Calibri"/>
                    <w:color w:val="000000"/>
                    <w:lang w:val="en-GB" w:eastAsia="tr-TR" w:bidi="ar-SA"/>
                  </w:rPr>
                  <w:t>IOMASS</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590,92</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0,71</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725,92</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0,85</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22,85</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AS</w:t>
                </w:r>
                <w:r w:rsidR="004B4076" w:rsidRPr="00F876CB">
                  <w:rPr>
                    <w:rFonts w:ascii="Calibri" w:eastAsia="Times New Roman" w:hAnsi="Calibri" w:cs="Calibri"/>
                    <w:color w:val="000000"/>
                    <w:lang w:val="en-GB" w:eastAsia="tr-TR" w:bidi="ar-SA"/>
                  </w:rPr>
                  <w:t>PHALTITE</w:t>
                </w:r>
                <w:r w:rsidRPr="00F876CB">
                  <w:rPr>
                    <w:rFonts w:ascii="Calibri" w:eastAsia="Times New Roman" w:hAnsi="Calibri" w:cs="Calibri"/>
                    <w:color w:val="000000"/>
                    <w:lang w:val="en-GB" w:eastAsia="tr-TR" w:bidi="ar-SA"/>
                  </w:rPr>
                  <w:t xml:space="preserve"> </w:t>
                </w:r>
                <w:r w:rsidR="004B4076" w:rsidRPr="00F876CB">
                  <w:rPr>
                    <w:rFonts w:ascii="Calibri" w:eastAsia="Times New Roman" w:hAnsi="Calibri" w:cs="Calibri"/>
                    <w:color w:val="000000"/>
                    <w:lang w:val="en-GB" w:eastAsia="tr-TR" w:bidi="ar-SA"/>
                  </w:rPr>
                  <w:t>COAL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0,49</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405,00</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0,48</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FUEL OİL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709,21</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0,85</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305,93</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0,36</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-56,86</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SOLAR</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81,66</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169,70</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107,81</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NA</w:t>
                </w:r>
                <w:r w:rsidR="004B4076" w:rsidRPr="00F876CB">
                  <w:rPr>
                    <w:rFonts w:ascii="Calibri" w:eastAsia="Times New Roman" w:hAnsi="Calibri" w:cs="Calibri"/>
                    <w:color w:val="000000"/>
                    <w:lang w:val="en-GB" w:eastAsia="tr-TR" w:bidi="ar-SA"/>
                  </w:rPr>
                  <w:t>PHTA</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4,74</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4,74</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-0,08</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LNG</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1633BA" w:rsidRPr="00F876CB" w:rsidTr="001633BA">
            <w:trPr>
              <w:trHeight w:val="300"/>
              <w:jc w:val="center"/>
            </w:trPr>
            <w:tc>
              <w:tcPr>
                <w:tcW w:w="2040" w:type="dxa"/>
                <w:tcBorders>
                  <w:top w:val="nil"/>
                  <w:left w:val="single" w:sz="8" w:space="0" w:color="auto"/>
                  <w:bottom w:val="single" w:sz="4"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DIESEL</w:t>
                </w:r>
              </w:p>
            </w:tc>
            <w:tc>
              <w:tcPr>
                <w:tcW w:w="1420"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w:t>
                </w:r>
              </w:p>
            </w:tc>
            <w:tc>
              <w:tcPr>
                <w:tcW w:w="103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1417"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w:t>
                </w:r>
              </w:p>
            </w:tc>
            <w:tc>
              <w:tcPr>
                <w:tcW w:w="993" w:type="dxa"/>
                <w:tcBorders>
                  <w:top w:val="nil"/>
                  <w:left w:val="nil"/>
                  <w:bottom w:val="single" w:sz="4"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1513" w:type="dxa"/>
                <w:tcBorders>
                  <w:top w:val="nil"/>
                  <w:left w:val="nil"/>
                  <w:bottom w:val="single" w:sz="4"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1633BA" w:rsidRPr="00F876CB" w:rsidTr="001633BA">
            <w:trPr>
              <w:trHeight w:val="315"/>
              <w:jc w:val="center"/>
            </w:trPr>
            <w:tc>
              <w:tcPr>
                <w:tcW w:w="2040" w:type="dxa"/>
                <w:tcBorders>
                  <w:top w:val="nil"/>
                  <w:left w:val="single" w:sz="8" w:space="0" w:color="auto"/>
                  <w:bottom w:val="single" w:sz="8" w:space="0" w:color="auto"/>
                  <w:right w:val="single" w:sz="4" w:space="0" w:color="auto"/>
                </w:tcBorders>
                <w:shd w:val="clear" w:color="auto" w:fill="auto"/>
                <w:noWrap/>
                <w:vAlign w:val="center"/>
                <w:hideMark/>
              </w:tcPr>
              <w:p w:rsidR="001633BA" w:rsidRPr="00F876CB" w:rsidRDefault="004B4076" w:rsidP="001633BA">
                <w:pPr>
                  <w:spacing w:after="0" w:line="240" w:lineRule="auto"/>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Total</w:t>
                </w:r>
              </w:p>
            </w:tc>
            <w:tc>
              <w:tcPr>
                <w:tcW w:w="1420" w:type="dxa"/>
                <w:tcBorders>
                  <w:top w:val="nil"/>
                  <w:left w:val="nil"/>
                  <w:bottom w:val="single" w:sz="8"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83.187,05</w:t>
                </w:r>
              </w:p>
            </w:tc>
            <w:tc>
              <w:tcPr>
                <w:tcW w:w="1033" w:type="dxa"/>
                <w:tcBorders>
                  <w:top w:val="nil"/>
                  <w:left w:val="nil"/>
                  <w:bottom w:val="single" w:sz="8"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100,00</w:t>
                </w:r>
              </w:p>
            </w:tc>
            <w:tc>
              <w:tcPr>
                <w:tcW w:w="1417" w:type="dxa"/>
                <w:tcBorders>
                  <w:top w:val="nil"/>
                  <w:left w:val="nil"/>
                  <w:bottom w:val="single" w:sz="8" w:space="0" w:color="auto"/>
                  <w:right w:val="single" w:sz="4" w:space="0" w:color="auto"/>
                </w:tcBorders>
                <w:shd w:val="clear" w:color="auto" w:fill="auto"/>
                <w:noWrap/>
                <w:vAlign w:val="center"/>
                <w:hideMark/>
              </w:tcPr>
              <w:p w:rsidR="001633BA" w:rsidRPr="00F876CB" w:rsidRDefault="001633BA" w:rsidP="001633BA">
                <w:pPr>
                  <w:spacing w:after="0" w:line="240" w:lineRule="auto"/>
                  <w:jc w:val="right"/>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84.957,72</w:t>
                </w:r>
              </w:p>
            </w:tc>
            <w:tc>
              <w:tcPr>
                <w:tcW w:w="993" w:type="dxa"/>
                <w:tcBorders>
                  <w:top w:val="nil"/>
                  <w:left w:val="nil"/>
                  <w:bottom w:val="single" w:sz="8" w:space="0" w:color="auto"/>
                  <w:right w:val="single" w:sz="4"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100,00</w:t>
                </w:r>
              </w:p>
            </w:tc>
            <w:tc>
              <w:tcPr>
                <w:tcW w:w="1513" w:type="dxa"/>
                <w:tcBorders>
                  <w:top w:val="nil"/>
                  <w:left w:val="nil"/>
                  <w:bottom w:val="single" w:sz="8" w:space="0" w:color="auto"/>
                  <w:right w:val="single" w:sz="8" w:space="0" w:color="auto"/>
                </w:tcBorders>
                <w:shd w:val="clear" w:color="auto" w:fill="auto"/>
                <w:noWrap/>
                <w:vAlign w:val="center"/>
                <w:hideMark/>
              </w:tcPr>
              <w:p w:rsidR="001633BA" w:rsidRPr="00F876CB" w:rsidRDefault="001633BA" w:rsidP="001633BA">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2,13</w:t>
                </w:r>
              </w:p>
            </w:tc>
          </w:tr>
        </w:tbl>
        <w:p w:rsidR="007D49DA" w:rsidRPr="00F876CB" w:rsidRDefault="007D49DA" w:rsidP="007D49DA">
          <w:pPr>
            <w:pStyle w:val="ListeParagraf"/>
            <w:ind w:left="1440"/>
            <w:rPr>
              <w:rFonts w:asciiTheme="minorHAnsi" w:hAnsiTheme="minorHAnsi" w:cstheme="minorHAnsi"/>
              <w:bCs/>
              <w:sz w:val="24"/>
              <w:szCs w:val="24"/>
              <w:lang w:val="en-GB"/>
            </w:rPr>
          </w:pPr>
        </w:p>
        <w:p w:rsidR="007D49DA" w:rsidRDefault="007D49DA" w:rsidP="007D49DA">
          <w:pPr>
            <w:pStyle w:val="ListeParagraf"/>
            <w:rPr>
              <w:rFonts w:asciiTheme="minorHAnsi" w:hAnsiTheme="minorHAnsi" w:cstheme="minorHAnsi"/>
              <w:bCs/>
              <w:sz w:val="24"/>
              <w:szCs w:val="24"/>
              <w:lang w:val="en-GB"/>
            </w:rPr>
          </w:pPr>
        </w:p>
        <w:p w:rsidR="00302599" w:rsidRPr="00F876CB" w:rsidRDefault="00302599" w:rsidP="007D49DA">
          <w:pPr>
            <w:pStyle w:val="ListeParagraf"/>
            <w:rPr>
              <w:rFonts w:asciiTheme="minorHAnsi" w:hAnsiTheme="minorHAnsi" w:cstheme="minorHAnsi"/>
              <w:bCs/>
              <w:sz w:val="24"/>
              <w:szCs w:val="24"/>
              <w:lang w:val="en-GB"/>
            </w:rPr>
          </w:pPr>
        </w:p>
        <w:p w:rsidR="007D49DA" w:rsidRPr="00302599" w:rsidRDefault="008B7EDA"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 xml:space="preserve">While the share of renewable energy sources </w:t>
          </w:r>
          <w:r w:rsidR="007D49DA" w:rsidRP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including hydraulics</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in total installed power</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was</w:t>
          </w:r>
          <w:r w:rsidR="007D49DA" w:rsidRPr="00302599">
            <w:rPr>
              <w:rFonts w:ascii="Times New Roman" w:hAnsi="Times New Roman" w:cs="Times New Roman"/>
              <w:bCs/>
              <w:sz w:val="24"/>
              <w:szCs w:val="24"/>
              <w:lang w:val="en-GB"/>
            </w:rPr>
            <w:t xml:space="preserve"> </w:t>
          </w:r>
          <w:r w:rsidR="003A69A1" w:rsidRPr="00302599">
            <w:rPr>
              <w:rFonts w:ascii="Times New Roman" w:hAnsi="Times New Roman" w:cs="Times New Roman"/>
              <w:bCs/>
              <w:sz w:val="24"/>
              <w:szCs w:val="24"/>
              <w:lang w:val="en-GB"/>
            </w:rPr>
            <w:t>44</w:t>
          </w:r>
          <w:r w:rsidR="00DE51A2">
            <w:rPr>
              <w:rFonts w:ascii="Times New Roman" w:hAnsi="Times New Roman" w:cs="Times New Roman"/>
              <w:bCs/>
              <w:sz w:val="24"/>
              <w:szCs w:val="24"/>
              <w:lang w:val="en-GB"/>
            </w:rPr>
            <w:t>,</w:t>
          </w:r>
          <w:r w:rsidR="007345CF" w:rsidRPr="00302599">
            <w:rPr>
              <w:rFonts w:ascii="Times New Roman" w:hAnsi="Times New Roman" w:cs="Times New Roman"/>
              <w:bCs/>
              <w:sz w:val="24"/>
              <w:szCs w:val="24"/>
              <w:lang w:val="en-GB"/>
            </w:rPr>
            <w:t>70</w:t>
          </w:r>
          <w:r w:rsidRPr="00302599">
            <w:rPr>
              <w:rFonts w:ascii="Times New Roman" w:hAnsi="Times New Roman" w:cs="Times New Roman"/>
              <w:bCs/>
              <w:sz w:val="24"/>
              <w:szCs w:val="24"/>
              <w:lang w:val="en-GB"/>
            </w:rPr>
            <w:t>%</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 xml:space="preserve">by the end of 2018, it increased to </w:t>
          </w:r>
          <w:r w:rsidR="007345CF" w:rsidRPr="00302599">
            <w:rPr>
              <w:rFonts w:ascii="Times New Roman" w:hAnsi="Times New Roman" w:cs="Times New Roman"/>
              <w:bCs/>
              <w:sz w:val="24"/>
              <w:szCs w:val="24"/>
              <w:lang w:val="en-GB"/>
            </w:rPr>
            <w:t>45,23</w:t>
          </w:r>
          <w:r w:rsidRPr="00302599">
            <w:rPr>
              <w:rFonts w:ascii="Times New Roman" w:hAnsi="Times New Roman" w:cs="Times New Roman"/>
              <w:bCs/>
              <w:sz w:val="24"/>
              <w:szCs w:val="24"/>
              <w:lang w:val="en-GB"/>
            </w:rPr>
            <w:t>%</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in</w:t>
          </w:r>
          <w:r w:rsidR="00255BB7"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2019</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The ratio of total installed thermal power decreased from</w:t>
          </w:r>
          <w:r w:rsidR="007D49DA" w:rsidRPr="00302599">
            <w:rPr>
              <w:rFonts w:ascii="Times New Roman" w:hAnsi="Times New Roman" w:cs="Times New Roman"/>
              <w:bCs/>
              <w:sz w:val="24"/>
              <w:szCs w:val="24"/>
              <w:lang w:val="en-GB"/>
            </w:rPr>
            <w:t xml:space="preserve"> </w:t>
          </w:r>
          <w:r w:rsidR="003A69A1" w:rsidRPr="00302599">
            <w:rPr>
              <w:rFonts w:ascii="Times New Roman" w:hAnsi="Times New Roman" w:cs="Times New Roman"/>
              <w:bCs/>
              <w:sz w:val="24"/>
              <w:szCs w:val="24"/>
              <w:lang w:val="en-GB"/>
            </w:rPr>
            <w:t>55,</w:t>
          </w:r>
          <w:r w:rsidR="007345CF" w:rsidRPr="00302599">
            <w:rPr>
              <w:rFonts w:ascii="Times New Roman" w:hAnsi="Times New Roman" w:cs="Times New Roman"/>
              <w:bCs/>
              <w:sz w:val="24"/>
              <w:szCs w:val="24"/>
              <w:lang w:val="en-GB"/>
            </w:rPr>
            <w:t>30</w:t>
          </w:r>
          <w:r w:rsidRPr="00302599">
            <w:rPr>
              <w:rFonts w:ascii="Times New Roman" w:hAnsi="Times New Roman" w:cs="Times New Roman"/>
              <w:bCs/>
              <w:sz w:val="24"/>
              <w:szCs w:val="24"/>
              <w:lang w:val="en-GB"/>
            </w:rPr>
            <w:t>%</w:t>
          </w:r>
          <w:r w:rsidR="007D49DA" w:rsidRPr="00302599">
            <w:rPr>
              <w:rFonts w:ascii="Times New Roman" w:hAnsi="Times New Roman" w:cs="Times New Roman"/>
              <w:bCs/>
              <w:sz w:val="24"/>
              <w:szCs w:val="24"/>
              <w:lang w:val="en-GB"/>
            </w:rPr>
            <w:t xml:space="preserve"> i</w:t>
          </w:r>
          <w:r w:rsidRPr="00302599">
            <w:rPr>
              <w:rFonts w:ascii="Times New Roman" w:hAnsi="Times New Roman" w:cs="Times New Roman"/>
              <w:bCs/>
              <w:sz w:val="24"/>
              <w:szCs w:val="24"/>
              <w:lang w:val="en-GB"/>
            </w:rPr>
            <w:t>n</w:t>
          </w:r>
          <w:r w:rsidR="009F576F" w:rsidRPr="00302599">
            <w:rPr>
              <w:rFonts w:ascii="Times New Roman" w:hAnsi="Times New Roman" w:cs="Times New Roman"/>
              <w:bCs/>
              <w:sz w:val="24"/>
              <w:szCs w:val="24"/>
              <w:lang w:val="en-GB"/>
            </w:rPr>
            <w:t xml:space="preserve"> 20</w:t>
          </w:r>
          <w:r w:rsidR="007345CF" w:rsidRPr="00302599">
            <w:rPr>
              <w:rFonts w:ascii="Times New Roman" w:hAnsi="Times New Roman" w:cs="Times New Roman"/>
              <w:bCs/>
              <w:sz w:val="24"/>
              <w:szCs w:val="24"/>
              <w:lang w:val="en-GB"/>
            </w:rPr>
            <w:t>1</w:t>
          </w:r>
          <w:r w:rsidRPr="00302599">
            <w:rPr>
              <w:rFonts w:ascii="Times New Roman" w:hAnsi="Times New Roman" w:cs="Times New Roman"/>
              <w:bCs/>
              <w:sz w:val="24"/>
              <w:szCs w:val="24"/>
              <w:lang w:val="en-GB"/>
            </w:rPr>
            <w:t>8</w:t>
          </w:r>
          <w:r w:rsidR="009F576F"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 xml:space="preserve">to </w:t>
          </w:r>
          <w:r w:rsidR="007345CF" w:rsidRPr="00302599">
            <w:rPr>
              <w:rFonts w:ascii="Times New Roman" w:hAnsi="Times New Roman" w:cs="Times New Roman"/>
              <w:bCs/>
              <w:sz w:val="24"/>
              <w:szCs w:val="24"/>
              <w:lang w:val="en-GB"/>
            </w:rPr>
            <w:t>54,77</w:t>
          </w:r>
          <w:r w:rsidRPr="00302599">
            <w:rPr>
              <w:rFonts w:ascii="Times New Roman" w:hAnsi="Times New Roman" w:cs="Times New Roman"/>
              <w:bCs/>
              <w:sz w:val="24"/>
              <w:szCs w:val="24"/>
              <w:lang w:val="en-GB"/>
            </w:rPr>
            <w:t>%</w:t>
          </w:r>
          <w:r w:rsidR="007D49DA" w:rsidRPr="00302599">
            <w:rPr>
              <w:rFonts w:ascii="Times New Roman" w:hAnsi="Times New Roman" w:cs="Times New Roman"/>
              <w:bCs/>
              <w:sz w:val="24"/>
              <w:szCs w:val="24"/>
              <w:lang w:val="en-GB"/>
            </w:rPr>
            <w:t xml:space="preserve"> </w:t>
          </w:r>
          <w:r w:rsidRPr="00302599">
            <w:rPr>
              <w:rFonts w:ascii="Times New Roman" w:hAnsi="Times New Roman" w:cs="Times New Roman"/>
              <w:bCs/>
              <w:sz w:val="24"/>
              <w:szCs w:val="24"/>
              <w:lang w:val="en-GB"/>
            </w:rPr>
            <w:t>in 2019</w:t>
          </w:r>
          <w:r w:rsidR="00302599">
            <w:rPr>
              <w:rFonts w:ascii="Times New Roman" w:hAnsi="Times New Roman" w:cs="Times New Roman"/>
              <w:bCs/>
              <w:sz w:val="24"/>
              <w:szCs w:val="24"/>
              <w:lang w:val="en-GB"/>
            </w:rPr>
            <w:t>.</w:t>
          </w: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DE3306" w:rsidRPr="00F876CB" w:rsidRDefault="007D49DA" w:rsidP="00DE3306">
          <w:pPr>
            <w:pStyle w:val="ListeParagraf"/>
            <w:numPr>
              <w:ilvl w:val="0"/>
              <w:numId w:val="30"/>
            </w:numPr>
            <w:spacing w:line="360" w:lineRule="auto"/>
            <w:ind w:left="0"/>
            <w:jc w:val="both"/>
            <w:rPr>
              <w:rFonts w:ascii="Times New Roman" w:eastAsia="Microsoft JhengHei" w:hAnsi="Times New Roman" w:cs="Times New Roman"/>
              <w:sz w:val="24"/>
              <w:szCs w:val="24"/>
              <w:lang w:val="en-GB"/>
            </w:rPr>
          </w:pPr>
          <w:r w:rsidRPr="00F876CB">
            <w:rPr>
              <w:rFonts w:asciiTheme="minorHAnsi" w:hAnsiTheme="minorHAnsi" w:cstheme="minorHAnsi"/>
              <w:bCs/>
              <w:sz w:val="24"/>
              <w:szCs w:val="24"/>
              <w:lang w:val="en-GB"/>
            </w:rPr>
            <w:t xml:space="preserve"> </w:t>
          </w:r>
          <w:bookmarkStart w:id="17" w:name="_Hlk42074897"/>
          <w:r w:rsidR="004E54AD">
            <w:rPr>
              <w:rFonts w:ascii="Times New Roman" w:hAnsi="Times New Roman" w:cs="Times New Roman"/>
              <w:bCs/>
              <w:sz w:val="24"/>
              <w:szCs w:val="24"/>
              <w:lang w:val="en-GB"/>
            </w:rPr>
            <w:t>Peak demand reached to 45.</w:t>
          </w:r>
          <w:r w:rsidR="00DE3306" w:rsidRPr="00F876CB">
            <w:rPr>
              <w:rFonts w:ascii="Times New Roman" w:hAnsi="Times New Roman" w:cs="Times New Roman"/>
              <w:bCs/>
              <w:sz w:val="24"/>
              <w:szCs w:val="24"/>
              <w:lang w:val="en-GB"/>
            </w:rPr>
            <w:t>324,35 MW decrea</w:t>
          </w:r>
          <w:r w:rsidR="003A69A1">
            <w:rPr>
              <w:rFonts w:ascii="Times New Roman" w:hAnsi="Times New Roman" w:cs="Times New Roman"/>
              <w:bCs/>
              <w:sz w:val="24"/>
              <w:szCs w:val="24"/>
              <w:lang w:val="en-GB"/>
            </w:rPr>
            <w:t>sing by 1</w:t>
          </w:r>
          <w:r w:rsidR="00302599">
            <w:rPr>
              <w:rFonts w:ascii="Times New Roman" w:hAnsi="Times New Roman" w:cs="Times New Roman"/>
              <w:bCs/>
              <w:sz w:val="24"/>
              <w:szCs w:val="24"/>
              <w:lang w:val="en-GB"/>
            </w:rPr>
            <w:t>,</w:t>
          </w:r>
          <w:r w:rsidR="00DE3306" w:rsidRPr="00F876CB">
            <w:rPr>
              <w:rFonts w:ascii="Times New Roman" w:hAnsi="Times New Roman" w:cs="Times New Roman"/>
              <w:bCs/>
              <w:sz w:val="24"/>
              <w:szCs w:val="24"/>
              <w:lang w:val="en-GB"/>
            </w:rPr>
            <w:t>81%.</w:t>
          </w:r>
        </w:p>
        <w:bookmarkEnd w:id="17"/>
        <w:p w:rsidR="007D49DA" w:rsidRPr="00F876CB" w:rsidRDefault="007D49DA" w:rsidP="00DE3306">
          <w:pPr>
            <w:pStyle w:val="ListeParagraf"/>
            <w:spacing w:after="120" w:line="240" w:lineRule="auto"/>
            <w:ind w:left="1440"/>
            <w:jc w:val="both"/>
            <w:rPr>
              <w:rFonts w:asciiTheme="minorHAnsi" w:hAnsiTheme="minorHAnsi" w:cstheme="minorHAnsi"/>
              <w:bCs/>
              <w:sz w:val="24"/>
              <w:szCs w:val="24"/>
              <w:lang w:val="en-GB"/>
            </w:rPr>
          </w:pPr>
        </w:p>
        <w:p w:rsidR="007D49DA" w:rsidRPr="00F876CB" w:rsidRDefault="007D49DA" w:rsidP="007D49DA">
          <w:pPr>
            <w:jc w:val="center"/>
            <w:rPr>
              <w:rFonts w:asciiTheme="minorHAnsi" w:hAnsiTheme="minorHAnsi" w:cstheme="minorHAnsi"/>
              <w:b/>
              <w:bCs/>
              <w:caps/>
              <w:sz w:val="24"/>
              <w:szCs w:val="24"/>
              <w:lang w:val="en-GB"/>
            </w:rPr>
          </w:pPr>
        </w:p>
        <w:p w:rsidR="007D49DA" w:rsidRPr="00F876CB" w:rsidRDefault="007D49DA" w:rsidP="007D49DA">
          <w:pPr>
            <w:jc w:val="center"/>
            <w:rPr>
              <w:rFonts w:asciiTheme="minorHAnsi" w:hAnsiTheme="minorHAnsi" w:cstheme="minorHAnsi"/>
              <w:b/>
              <w:bCs/>
              <w:caps/>
              <w:sz w:val="24"/>
              <w:szCs w:val="24"/>
              <w:lang w:val="en-GB"/>
            </w:rPr>
          </w:pPr>
        </w:p>
        <w:p w:rsidR="007D49DA" w:rsidRPr="00F876CB" w:rsidRDefault="007D49DA" w:rsidP="007D49DA">
          <w:pPr>
            <w:jc w:val="center"/>
            <w:rPr>
              <w:rFonts w:asciiTheme="minorHAnsi" w:hAnsiTheme="minorHAnsi" w:cstheme="minorHAnsi"/>
              <w:b/>
              <w:bCs/>
              <w:caps/>
              <w:sz w:val="24"/>
              <w:szCs w:val="24"/>
              <w:lang w:val="en-GB"/>
            </w:rPr>
          </w:pPr>
        </w:p>
        <w:p w:rsidR="007D49DA" w:rsidRPr="00302599" w:rsidRDefault="007D49DA" w:rsidP="00302599">
          <w:pPr>
            <w:pStyle w:val="ListeParagraf"/>
            <w:numPr>
              <w:ilvl w:val="0"/>
              <w:numId w:val="20"/>
            </w:numPr>
            <w:spacing w:line="240" w:lineRule="auto"/>
            <w:ind w:left="0"/>
            <w:rPr>
              <w:rFonts w:ascii="Times New Roman" w:hAnsi="Times New Roman" w:cs="Times New Roman"/>
              <w:b/>
              <w:bCs/>
              <w:sz w:val="24"/>
              <w:szCs w:val="24"/>
              <w:lang w:val="en-GB"/>
            </w:rPr>
          </w:pPr>
          <w:r w:rsidRPr="00302599">
            <w:rPr>
              <w:rFonts w:ascii="Times New Roman" w:hAnsi="Times New Roman" w:cs="Times New Roman"/>
              <w:b/>
              <w:bCs/>
              <w:sz w:val="24"/>
              <w:szCs w:val="24"/>
              <w:lang w:val="en-GB"/>
            </w:rPr>
            <w:lastRenderedPageBreak/>
            <w:t>Li</w:t>
          </w:r>
          <w:r w:rsidR="007D0180" w:rsidRPr="00302599">
            <w:rPr>
              <w:rFonts w:ascii="Times New Roman" w:hAnsi="Times New Roman" w:cs="Times New Roman"/>
              <w:b/>
              <w:bCs/>
              <w:sz w:val="24"/>
              <w:szCs w:val="24"/>
              <w:lang w:val="en-GB"/>
            </w:rPr>
            <w:t>censed Electricity Generation and Consumption</w:t>
          </w:r>
        </w:p>
        <w:p w:rsidR="007D49DA" w:rsidRPr="00F876CB" w:rsidRDefault="007D49DA" w:rsidP="007D49DA">
          <w:pPr>
            <w:pStyle w:val="ListeParagraf"/>
            <w:spacing w:after="120"/>
            <w:jc w:val="both"/>
            <w:rPr>
              <w:rFonts w:asciiTheme="minorHAnsi" w:hAnsiTheme="minorHAnsi" w:cstheme="minorHAnsi"/>
              <w:b/>
              <w:bCs/>
              <w:sz w:val="24"/>
              <w:szCs w:val="24"/>
              <w:lang w:val="en-GB"/>
            </w:rPr>
          </w:pPr>
        </w:p>
        <w:p w:rsidR="00302599" w:rsidRDefault="007D0180"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The amount of licensed electricity ge</w:t>
          </w:r>
          <w:r w:rsidR="003A69A1" w:rsidRPr="00302599">
            <w:rPr>
              <w:rFonts w:ascii="Times New Roman" w:hAnsi="Times New Roman" w:cs="Times New Roman"/>
              <w:bCs/>
              <w:sz w:val="24"/>
              <w:szCs w:val="24"/>
              <w:lang w:val="en-GB"/>
            </w:rPr>
            <w:t>neration in 2019 decreased by 0</w:t>
          </w:r>
          <w:r w:rsidR="00302599" w:rsidRP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59% </w:t>
          </w:r>
          <w:r w:rsidR="004E54AD" w:rsidRPr="00302599">
            <w:rPr>
              <w:rFonts w:ascii="Times New Roman" w:hAnsi="Times New Roman" w:cs="Times New Roman"/>
              <w:bCs/>
              <w:sz w:val="24"/>
              <w:szCs w:val="24"/>
              <w:lang w:val="en-GB"/>
            </w:rPr>
            <w:t>compared to 2018 and became 294.251,</w:t>
          </w:r>
          <w:r w:rsidRPr="00302599">
            <w:rPr>
              <w:rFonts w:ascii="Times New Roman" w:hAnsi="Times New Roman" w:cs="Times New Roman"/>
              <w:bCs/>
              <w:sz w:val="24"/>
              <w:szCs w:val="24"/>
              <w:lang w:val="en-GB"/>
            </w:rPr>
            <w:t>32 GWh.</w:t>
          </w:r>
        </w:p>
        <w:p w:rsidR="007D49DA" w:rsidRPr="00302599" w:rsidRDefault="007D0180"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heme="minorHAnsi" w:hAnsiTheme="minorHAnsi" w:cstheme="minorHAnsi"/>
              <w:bCs/>
              <w:sz w:val="24"/>
              <w:szCs w:val="24"/>
              <w:lang w:val="en-GB"/>
            </w:rPr>
            <w:t xml:space="preserve">In </w:t>
          </w:r>
          <w:r w:rsidR="007D49DA" w:rsidRPr="00302599">
            <w:rPr>
              <w:rFonts w:asciiTheme="minorHAnsi" w:hAnsiTheme="minorHAnsi" w:cstheme="minorHAnsi"/>
              <w:bCs/>
              <w:sz w:val="24"/>
              <w:szCs w:val="24"/>
              <w:lang w:val="en-GB"/>
            </w:rPr>
            <w:t>20</w:t>
          </w:r>
          <w:r w:rsidR="002179D1" w:rsidRPr="00302599">
            <w:rPr>
              <w:rFonts w:asciiTheme="minorHAnsi" w:hAnsiTheme="minorHAnsi" w:cstheme="minorHAnsi"/>
              <w:bCs/>
              <w:sz w:val="24"/>
              <w:szCs w:val="24"/>
              <w:lang w:val="en-GB"/>
            </w:rPr>
            <w:t>18</w:t>
          </w:r>
          <w:r w:rsidR="007D49DA" w:rsidRPr="00302599">
            <w:rPr>
              <w:rFonts w:asciiTheme="minorHAnsi" w:hAnsiTheme="minorHAnsi" w:cstheme="minorHAnsi"/>
              <w:bCs/>
              <w:sz w:val="24"/>
              <w:szCs w:val="24"/>
              <w:lang w:val="en-GB"/>
            </w:rPr>
            <w:t>-</w:t>
          </w:r>
          <w:proofErr w:type="gramStart"/>
          <w:r w:rsidR="007D49DA" w:rsidRPr="00302599">
            <w:rPr>
              <w:rFonts w:asciiTheme="minorHAnsi" w:hAnsiTheme="minorHAnsi" w:cstheme="minorHAnsi"/>
              <w:bCs/>
              <w:sz w:val="24"/>
              <w:szCs w:val="24"/>
              <w:lang w:val="en-GB"/>
            </w:rPr>
            <w:t>20</w:t>
          </w:r>
          <w:r w:rsidR="002179D1" w:rsidRPr="00302599">
            <w:rPr>
              <w:rFonts w:asciiTheme="minorHAnsi" w:hAnsiTheme="minorHAnsi" w:cstheme="minorHAnsi"/>
              <w:bCs/>
              <w:sz w:val="24"/>
              <w:szCs w:val="24"/>
              <w:lang w:val="en-GB"/>
            </w:rPr>
            <w:t xml:space="preserve">19 </w:t>
          </w:r>
          <w:r w:rsidRPr="00302599">
            <w:rPr>
              <w:rFonts w:asciiTheme="minorHAnsi" w:hAnsiTheme="minorHAnsi" w:cstheme="minorHAnsi"/>
              <w:bCs/>
              <w:sz w:val="24"/>
              <w:szCs w:val="24"/>
              <w:lang w:val="en-GB"/>
            </w:rPr>
            <w:t>,</w:t>
          </w:r>
          <w:proofErr w:type="gramEnd"/>
          <w:r w:rsidRPr="00302599">
            <w:rPr>
              <w:rFonts w:asciiTheme="minorHAnsi" w:hAnsiTheme="minorHAnsi" w:cstheme="minorHAnsi"/>
              <w:bCs/>
              <w:sz w:val="24"/>
              <w:szCs w:val="24"/>
              <w:lang w:val="en-GB"/>
            </w:rPr>
            <w:t xml:space="preserve"> licensed electricity generation according to resource type is given below:</w:t>
          </w:r>
        </w:p>
        <w:p w:rsidR="007D49DA" w:rsidRPr="00F876CB" w:rsidRDefault="007D49DA" w:rsidP="007D49DA">
          <w:pPr>
            <w:pStyle w:val="ListeParagraf"/>
            <w:ind w:left="1440"/>
            <w:rPr>
              <w:rFonts w:asciiTheme="minorHAnsi" w:hAnsiTheme="minorHAnsi" w:cstheme="minorHAnsi"/>
              <w:bCs/>
              <w:sz w:val="24"/>
              <w:szCs w:val="24"/>
              <w:lang w:val="en-GB"/>
            </w:rPr>
          </w:pPr>
        </w:p>
        <w:tbl>
          <w:tblPr>
            <w:tblW w:w="8480" w:type="dxa"/>
            <w:jc w:val="center"/>
            <w:tblCellMar>
              <w:left w:w="70" w:type="dxa"/>
              <w:right w:w="70" w:type="dxa"/>
            </w:tblCellMar>
            <w:tblLook w:val="04A0" w:firstRow="1" w:lastRow="0" w:firstColumn="1" w:lastColumn="0" w:noHBand="0" w:noVBand="1"/>
          </w:tblPr>
          <w:tblGrid>
            <w:gridCol w:w="2080"/>
            <w:gridCol w:w="1660"/>
            <w:gridCol w:w="960"/>
            <w:gridCol w:w="1360"/>
            <w:gridCol w:w="960"/>
            <w:gridCol w:w="1460"/>
          </w:tblGrid>
          <w:tr w:rsidR="002179D1" w:rsidRPr="00F876CB" w:rsidTr="002179D1">
            <w:trPr>
              <w:trHeight w:val="570"/>
              <w:jc w:val="center"/>
            </w:trPr>
            <w:tc>
              <w:tcPr>
                <w:tcW w:w="20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jc w:val="center"/>
                  <w:rPr>
                    <w:rFonts w:ascii="Times New Roman" w:eastAsia="Times New Roman" w:hAnsi="Times New Roman" w:cs="Times New Roman"/>
                    <w:b/>
                    <w:bCs/>
                    <w:color w:val="000000"/>
                    <w:lang w:val="en-GB" w:eastAsia="tr-TR" w:bidi="ar-SA"/>
                  </w:rPr>
                </w:pPr>
                <w:bookmarkStart w:id="18" w:name="OLE_LINK2" w:colFirst="1" w:colLast="5"/>
                <w:r w:rsidRPr="00F876CB">
                  <w:rPr>
                    <w:rFonts w:ascii="Times New Roman" w:eastAsia="Times New Roman" w:hAnsi="Times New Roman" w:cs="Times New Roman"/>
                    <w:b/>
                    <w:bCs/>
                    <w:color w:val="000000"/>
                    <w:lang w:val="en-GB" w:eastAsia="tr-TR" w:bidi="ar-SA"/>
                  </w:rPr>
                  <w:t>Resource Type</w:t>
                </w:r>
              </w:p>
            </w:tc>
            <w:tc>
              <w:tcPr>
                <w:tcW w:w="1660" w:type="dxa"/>
                <w:tcBorders>
                  <w:top w:val="single" w:sz="8" w:space="0" w:color="auto"/>
                  <w:left w:val="nil"/>
                  <w:bottom w:val="single" w:sz="4" w:space="0" w:color="auto"/>
                  <w:right w:val="single" w:sz="4" w:space="0" w:color="auto"/>
                </w:tcBorders>
                <w:shd w:val="clear" w:color="auto" w:fill="auto"/>
                <w:vAlign w:val="center"/>
                <w:hideMark/>
              </w:tcPr>
              <w:p w:rsidR="002179D1" w:rsidRPr="00F876CB" w:rsidRDefault="002179D1" w:rsidP="002179D1">
                <w:pPr>
                  <w:spacing w:after="0" w:line="240" w:lineRule="auto"/>
                  <w:jc w:val="center"/>
                  <w:rPr>
                    <w:rFonts w:ascii="Times New Roman" w:eastAsia="Times New Roman" w:hAnsi="Times New Roman" w:cs="Times New Roman"/>
                    <w:b/>
                    <w:bCs/>
                    <w:color w:val="000000"/>
                    <w:lang w:val="en-GB" w:eastAsia="tr-TR" w:bidi="ar-SA"/>
                  </w:rPr>
                </w:pPr>
                <w:bookmarkStart w:id="19" w:name="RANGE!B1"/>
                <w:r w:rsidRPr="00F876CB">
                  <w:rPr>
                    <w:rFonts w:ascii="Times New Roman" w:eastAsia="Times New Roman" w:hAnsi="Times New Roman" w:cs="Times New Roman"/>
                    <w:b/>
                    <w:bCs/>
                    <w:color w:val="000000"/>
                    <w:lang w:val="en-GB" w:eastAsia="tr-TR" w:bidi="ar-SA"/>
                  </w:rPr>
                  <w:t xml:space="preserve">2018 </w:t>
                </w:r>
                <w:r w:rsidRPr="00F876CB">
                  <w:rPr>
                    <w:rFonts w:ascii="Times New Roman" w:eastAsia="Times New Roman" w:hAnsi="Times New Roman" w:cs="Times New Roman"/>
                    <w:b/>
                    <w:bCs/>
                    <w:color w:val="000000"/>
                    <w:lang w:val="en-GB" w:eastAsia="tr-TR" w:bidi="ar-SA"/>
                  </w:rPr>
                  <w:br/>
                  <w:t>(GWh)</w:t>
                </w:r>
                <w:bookmarkEnd w:id="19"/>
              </w:p>
            </w:tc>
            <w:tc>
              <w:tcPr>
                <w:tcW w:w="960" w:type="dxa"/>
                <w:tcBorders>
                  <w:top w:val="single" w:sz="8" w:space="0" w:color="auto"/>
                  <w:left w:val="nil"/>
                  <w:bottom w:val="single" w:sz="4" w:space="0" w:color="auto"/>
                  <w:right w:val="single" w:sz="4" w:space="0" w:color="auto"/>
                </w:tcBorders>
                <w:shd w:val="clear" w:color="auto" w:fill="auto"/>
                <w:vAlign w:val="center"/>
                <w:hideMark/>
              </w:tcPr>
              <w:p w:rsidR="002179D1" w:rsidRPr="00F876CB" w:rsidRDefault="007D0180" w:rsidP="002179D1">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Share</w:t>
                </w:r>
                <w:r w:rsidR="002179D1" w:rsidRPr="00F876CB">
                  <w:rPr>
                    <w:rFonts w:ascii="Times New Roman" w:eastAsia="Times New Roman" w:hAnsi="Times New Roman" w:cs="Times New Roman"/>
                    <w:b/>
                    <w:bCs/>
                    <w:color w:val="000000"/>
                    <w:lang w:val="en-GB" w:eastAsia="tr-TR" w:bidi="ar-SA"/>
                  </w:rPr>
                  <w:br/>
                  <w:t xml:space="preserve">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2179D1" w:rsidRPr="00F876CB" w:rsidRDefault="002179D1" w:rsidP="009C0EA0">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 xml:space="preserve">2019 </w:t>
                </w:r>
                <w:r w:rsidRPr="00F876CB">
                  <w:rPr>
                    <w:rFonts w:ascii="Times New Roman" w:eastAsia="Times New Roman" w:hAnsi="Times New Roman" w:cs="Times New Roman"/>
                    <w:b/>
                    <w:bCs/>
                    <w:color w:val="000000"/>
                    <w:lang w:val="en-GB" w:eastAsia="tr-TR" w:bidi="ar-SA"/>
                  </w:rPr>
                  <w:br/>
                  <w:t>(</w:t>
                </w:r>
                <w:r w:rsidR="009C0EA0" w:rsidRPr="00F876CB">
                  <w:rPr>
                    <w:rFonts w:ascii="Times New Roman" w:eastAsia="Times New Roman" w:hAnsi="Times New Roman" w:cs="Times New Roman"/>
                    <w:b/>
                    <w:bCs/>
                    <w:color w:val="000000"/>
                    <w:lang w:val="en-GB" w:eastAsia="tr-TR" w:bidi="ar-SA"/>
                  </w:rPr>
                  <w:t>G</w:t>
                </w:r>
                <w:r w:rsidRPr="00F876CB">
                  <w:rPr>
                    <w:rFonts w:ascii="Times New Roman" w:eastAsia="Times New Roman" w:hAnsi="Times New Roman" w:cs="Times New Roman"/>
                    <w:b/>
                    <w:bCs/>
                    <w:color w:val="000000"/>
                    <w:lang w:val="en-GB" w:eastAsia="tr-TR" w:bidi="ar-SA"/>
                  </w:rPr>
                  <w:t>Wh)</w:t>
                </w:r>
              </w:p>
            </w:tc>
            <w:tc>
              <w:tcPr>
                <w:tcW w:w="960" w:type="dxa"/>
                <w:tcBorders>
                  <w:top w:val="single" w:sz="8" w:space="0" w:color="auto"/>
                  <w:left w:val="nil"/>
                  <w:bottom w:val="single" w:sz="4" w:space="0" w:color="auto"/>
                  <w:right w:val="single" w:sz="4" w:space="0" w:color="auto"/>
                </w:tcBorders>
                <w:shd w:val="clear" w:color="auto" w:fill="auto"/>
                <w:vAlign w:val="center"/>
                <w:hideMark/>
              </w:tcPr>
              <w:p w:rsidR="002179D1" w:rsidRPr="00F876CB" w:rsidRDefault="007D0180" w:rsidP="002179D1">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Share</w:t>
                </w:r>
                <w:r w:rsidR="002179D1" w:rsidRPr="00F876CB">
                  <w:rPr>
                    <w:rFonts w:ascii="Times New Roman" w:eastAsia="Times New Roman" w:hAnsi="Times New Roman" w:cs="Times New Roman"/>
                    <w:b/>
                    <w:bCs/>
                    <w:color w:val="000000"/>
                    <w:lang w:val="en-GB" w:eastAsia="tr-TR" w:bidi="ar-SA"/>
                  </w:rPr>
                  <w:br/>
                  <w:t xml:space="preserve"> (%)</w:t>
                </w:r>
              </w:p>
            </w:tc>
            <w:tc>
              <w:tcPr>
                <w:tcW w:w="1460" w:type="dxa"/>
                <w:tcBorders>
                  <w:top w:val="single" w:sz="8" w:space="0" w:color="auto"/>
                  <w:left w:val="nil"/>
                  <w:bottom w:val="single" w:sz="4" w:space="0" w:color="auto"/>
                  <w:right w:val="single" w:sz="8" w:space="0" w:color="auto"/>
                </w:tcBorders>
                <w:shd w:val="clear" w:color="auto" w:fill="auto"/>
                <w:vAlign w:val="center"/>
                <w:hideMark/>
              </w:tcPr>
              <w:p w:rsidR="002179D1" w:rsidRPr="00F876CB" w:rsidRDefault="007D0180" w:rsidP="002179D1">
                <w:pPr>
                  <w:spacing w:after="0" w:line="240" w:lineRule="auto"/>
                  <w:jc w:val="center"/>
                  <w:rPr>
                    <w:rFonts w:ascii="Times New Roman" w:eastAsia="Times New Roman" w:hAnsi="Times New Roman" w:cs="Times New Roman"/>
                    <w:b/>
                    <w:bCs/>
                    <w:color w:val="000000"/>
                    <w:lang w:val="en-GB" w:eastAsia="tr-TR" w:bidi="ar-SA"/>
                  </w:rPr>
                </w:pPr>
                <w:proofErr w:type="gramStart"/>
                <w:r w:rsidRPr="00F876CB">
                  <w:rPr>
                    <w:rFonts w:ascii="Times New Roman" w:eastAsia="Times New Roman" w:hAnsi="Times New Roman" w:cs="Times New Roman"/>
                    <w:b/>
                    <w:bCs/>
                    <w:color w:val="000000"/>
                    <w:lang w:val="en-GB" w:eastAsia="tr-TR" w:bidi="ar-SA"/>
                  </w:rPr>
                  <w:t xml:space="preserve">Change  </w:t>
                </w:r>
                <w:r w:rsidR="002179D1" w:rsidRPr="00F876CB">
                  <w:rPr>
                    <w:rFonts w:ascii="Times New Roman" w:eastAsia="Times New Roman" w:hAnsi="Times New Roman" w:cs="Times New Roman"/>
                    <w:b/>
                    <w:bCs/>
                    <w:color w:val="000000"/>
                    <w:lang w:val="en-GB" w:eastAsia="tr-TR" w:bidi="ar-SA"/>
                  </w:rPr>
                  <w:t>2018</w:t>
                </w:r>
                <w:proofErr w:type="gramEnd"/>
                <w:r w:rsidR="002179D1" w:rsidRPr="00F876CB">
                  <w:rPr>
                    <w:rFonts w:ascii="Times New Roman" w:eastAsia="Times New Roman" w:hAnsi="Times New Roman" w:cs="Times New Roman"/>
                    <w:b/>
                    <w:bCs/>
                    <w:color w:val="000000"/>
                    <w:lang w:val="en-GB" w:eastAsia="tr-TR" w:bidi="ar-SA"/>
                  </w:rPr>
                  <w:t>-2019(%)</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H</w:t>
                </w:r>
                <w:r w:rsidR="007D0180" w:rsidRPr="00F876CB">
                  <w:rPr>
                    <w:rFonts w:ascii="Times New Roman" w:eastAsia="Times New Roman" w:hAnsi="Times New Roman" w:cs="Times New Roman"/>
                    <w:color w:val="000000"/>
                    <w:lang w:val="en-GB" w:eastAsia="tr-TR" w:bidi="ar-SA"/>
                  </w:rPr>
                  <w:t>YDRO GAM</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59.902,04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20,24</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88.850,17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30,20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48,33</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IMPORT COAL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62.988,54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21,28</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60.381,27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20,52</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2179D1"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w:t>
                </w:r>
                <w:r w:rsidR="004F32DA" w:rsidRPr="00F876CB">
                  <w:rPr>
                    <w:rFonts w:ascii="Times New Roman" w:eastAsia="Times New Roman" w:hAnsi="Times New Roman" w:cs="Times New Roman"/>
                    <w:color w:val="000000"/>
                    <w:lang w:val="en-GB" w:eastAsia="tr-TR" w:bidi="ar-SA"/>
                  </w:rPr>
                  <w:t>14</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NATURAL GAS</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91.639,14</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30,96</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56.522,71</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19,21</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2179D1"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r w:rsidR="004F32DA" w:rsidRPr="00F876CB">
                  <w:rPr>
                    <w:rFonts w:ascii="Times New Roman" w:eastAsia="Times New Roman" w:hAnsi="Times New Roman" w:cs="Times New Roman"/>
                    <w:color w:val="000000"/>
                    <w:lang w:val="en-GB" w:eastAsia="tr-TR" w:bidi="ar-SA"/>
                  </w:rPr>
                  <w:t>38,32</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L</w:t>
                </w:r>
                <w:r w:rsidR="007D0180" w:rsidRPr="00F876CB">
                  <w:rPr>
                    <w:rFonts w:ascii="Times New Roman" w:eastAsia="Times New Roman" w:hAnsi="Times New Roman" w:cs="Times New Roman"/>
                    <w:color w:val="000000"/>
                    <w:lang w:val="en-GB" w:eastAsia="tr-TR" w:bidi="ar-SA"/>
                  </w:rPr>
                  <w:t>IGNITE</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45.087,00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15,23</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46.893,73</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15,94</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4,01</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WIND</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19.827,00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6,70</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21.636,28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7,35</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9,13</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GEOTHERMAL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7.430,98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2,51</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8.929,73</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3,03</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20,17</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B</w:t>
                </w:r>
                <w:r w:rsidR="007D0180" w:rsidRPr="00F876CB">
                  <w:rPr>
                    <w:rFonts w:ascii="Times New Roman" w:eastAsia="Times New Roman" w:hAnsi="Times New Roman" w:cs="Times New Roman"/>
                    <w:color w:val="000000"/>
                    <w:lang w:val="en-GB" w:eastAsia="tr-TR" w:bidi="ar-SA"/>
                  </w:rPr>
                  <w:t>IOMASS</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3.240,96</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1,09</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4.266,32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1,45</w:t>
                </w:r>
              </w:p>
            </w:tc>
            <w:tc>
              <w:tcPr>
                <w:tcW w:w="1460" w:type="dxa"/>
                <w:tcBorders>
                  <w:top w:val="nil"/>
                  <w:left w:val="nil"/>
                  <w:bottom w:val="single" w:sz="4" w:space="0" w:color="auto"/>
                  <w:right w:val="single" w:sz="8" w:space="0" w:color="auto"/>
                </w:tcBorders>
                <w:shd w:val="clear" w:color="auto" w:fill="auto"/>
                <w:noWrap/>
                <w:vAlign w:val="center"/>
                <w:hideMark/>
              </w:tcPr>
              <w:p w:rsidR="004F32DA" w:rsidRPr="00F876CB" w:rsidRDefault="004F32DA"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31,64</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7D0180"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HARD COAL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2.844,58</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0,96</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3.518,87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23,70</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AS</w:t>
                </w:r>
                <w:r w:rsidR="007D0180" w:rsidRPr="00F876CB">
                  <w:rPr>
                    <w:rFonts w:ascii="Times New Roman" w:eastAsia="Times New Roman" w:hAnsi="Times New Roman" w:cs="Times New Roman"/>
                    <w:color w:val="000000"/>
                    <w:lang w:val="en-GB" w:eastAsia="tr-TR" w:bidi="ar-SA"/>
                  </w:rPr>
                  <w:t>PHALITE</w:t>
                </w:r>
                <w:r w:rsidRPr="00F876CB">
                  <w:rPr>
                    <w:rFonts w:ascii="Times New Roman" w:eastAsia="Times New Roman" w:hAnsi="Times New Roman" w:cs="Times New Roman"/>
                    <w:color w:val="000000"/>
                    <w:lang w:val="en-GB" w:eastAsia="tr-TR" w:bidi="ar-SA"/>
                  </w:rPr>
                  <w:t xml:space="preserve"> </w:t>
                </w:r>
                <w:r w:rsidR="007D0180" w:rsidRPr="00F876CB">
                  <w:rPr>
                    <w:rFonts w:ascii="Times New Roman" w:eastAsia="Times New Roman" w:hAnsi="Times New Roman" w:cs="Times New Roman"/>
                    <w:color w:val="000000"/>
                    <w:lang w:val="en-GB" w:eastAsia="tr-TR" w:bidi="ar-SA"/>
                  </w:rPr>
                  <w:t>COAL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2.328,50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0,79</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2.323,95</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0,79</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2179D1"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w:t>
                </w:r>
                <w:r w:rsidR="004F32DA" w:rsidRPr="00F876CB">
                  <w:rPr>
                    <w:rFonts w:ascii="Times New Roman" w:eastAsia="Times New Roman" w:hAnsi="Times New Roman" w:cs="Times New Roman"/>
                    <w:color w:val="000000"/>
                    <w:lang w:val="en-GB" w:eastAsia="tr-TR" w:bidi="ar-SA"/>
                  </w:rPr>
                  <w:t>20</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FUEL OİL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328,89</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0,11</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732,92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0,25</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122,84</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DC07CE"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SOLAR</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385,86</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0,13</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194,37</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0,07</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4F32D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-49,63</w:t>
                </w:r>
              </w:p>
            </w:tc>
          </w:tr>
          <w:tr w:rsidR="002179D1" w:rsidRPr="00F876CB" w:rsidTr="002179D1">
            <w:trPr>
              <w:trHeight w:val="300"/>
              <w:jc w:val="center"/>
            </w:trPr>
            <w:tc>
              <w:tcPr>
                <w:tcW w:w="2080" w:type="dxa"/>
                <w:tcBorders>
                  <w:top w:val="nil"/>
                  <w:left w:val="single" w:sz="8" w:space="0" w:color="auto"/>
                  <w:bottom w:val="single" w:sz="4" w:space="0" w:color="auto"/>
                  <w:right w:val="single" w:sz="4" w:space="0" w:color="auto"/>
                </w:tcBorders>
                <w:shd w:val="clear" w:color="auto" w:fill="auto"/>
                <w:noWrap/>
                <w:vAlign w:val="center"/>
                <w:hideMark/>
              </w:tcPr>
              <w:p w:rsidR="002179D1" w:rsidRPr="00F876CB" w:rsidRDefault="00DC07CE" w:rsidP="002179D1">
                <w:pPr>
                  <w:spacing w:after="0" w:line="240" w:lineRule="auto"/>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DIESEL</w:t>
                </w:r>
              </w:p>
            </w:tc>
            <w:tc>
              <w:tcPr>
                <w:tcW w:w="16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0,22</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0,00</w:t>
                </w:r>
              </w:p>
            </w:tc>
            <w:tc>
              <w:tcPr>
                <w:tcW w:w="13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1,00</w:t>
                </w:r>
              </w:p>
            </w:tc>
            <w:tc>
              <w:tcPr>
                <w:tcW w:w="960" w:type="dxa"/>
                <w:tcBorders>
                  <w:top w:val="nil"/>
                  <w:left w:val="nil"/>
                  <w:bottom w:val="single" w:sz="4"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0,00</w:t>
                </w:r>
              </w:p>
            </w:tc>
            <w:tc>
              <w:tcPr>
                <w:tcW w:w="1460" w:type="dxa"/>
                <w:tcBorders>
                  <w:top w:val="nil"/>
                  <w:left w:val="nil"/>
                  <w:bottom w:val="single" w:sz="4" w:space="0" w:color="auto"/>
                  <w:right w:val="single" w:sz="8" w:space="0" w:color="auto"/>
                </w:tcBorders>
                <w:shd w:val="clear" w:color="auto" w:fill="auto"/>
                <w:noWrap/>
                <w:vAlign w:val="center"/>
                <w:hideMark/>
              </w:tcPr>
              <w:p w:rsidR="002179D1" w:rsidRPr="00F876CB" w:rsidRDefault="004F32DA" w:rsidP="002179D1">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349,30</w:t>
                </w:r>
              </w:p>
            </w:tc>
          </w:tr>
          <w:tr w:rsidR="002179D1" w:rsidRPr="00F876CB" w:rsidTr="002179D1">
            <w:trPr>
              <w:trHeight w:val="315"/>
              <w:jc w:val="center"/>
            </w:trPr>
            <w:tc>
              <w:tcPr>
                <w:tcW w:w="2080" w:type="dxa"/>
                <w:tcBorders>
                  <w:top w:val="nil"/>
                  <w:left w:val="single" w:sz="8" w:space="0" w:color="auto"/>
                  <w:bottom w:val="single" w:sz="8" w:space="0" w:color="auto"/>
                  <w:right w:val="single" w:sz="4" w:space="0" w:color="auto"/>
                </w:tcBorders>
                <w:shd w:val="clear" w:color="auto" w:fill="auto"/>
                <w:noWrap/>
                <w:vAlign w:val="center"/>
                <w:hideMark/>
              </w:tcPr>
              <w:p w:rsidR="002179D1" w:rsidRPr="00F876CB" w:rsidRDefault="00DC07CE" w:rsidP="002179D1">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Total</w:t>
                </w:r>
              </w:p>
            </w:tc>
            <w:tc>
              <w:tcPr>
                <w:tcW w:w="1660" w:type="dxa"/>
                <w:tcBorders>
                  <w:top w:val="nil"/>
                  <w:left w:val="nil"/>
                  <w:bottom w:val="single" w:sz="8"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296.003,71</w:t>
                </w:r>
              </w:p>
            </w:tc>
            <w:tc>
              <w:tcPr>
                <w:tcW w:w="960" w:type="dxa"/>
                <w:tcBorders>
                  <w:top w:val="nil"/>
                  <w:left w:val="nil"/>
                  <w:bottom w:val="single" w:sz="8"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100,00</w:t>
                </w:r>
              </w:p>
            </w:tc>
            <w:tc>
              <w:tcPr>
                <w:tcW w:w="1360" w:type="dxa"/>
                <w:tcBorders>
                  <w:top w:val="nil"/>
                  <w:left w:val="nil"/>
                  <w:bottom w:val="single" w:sz="8" w:space="0" w:color="auto"/>
                  <w:right w:val="single" w:sz="4" w:space="0" w:color="auto"/>
                </w:tcBorders>
                <w:shd w:val="clear" w:color="auto" w:fill="auto"/>
                <w:noWrap/>
                <w:vAlign w:val="center"/>
                <w:hideMark/>
              </w:tcPr>
              <w:p w:rsidR="002179D1" w:rsidRPr="00F876CB" w:rsidRDefault="002179D1" w:rsidP="002179D1">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294.251,32</w:t>
                </w:r>
              </w:p>
            </w:tc>
            <w:tc>
              <w:tcPr>
                <w:tcW w:w="960" w:type="dxa"/>
                <w:tcBorders>
                  <w:top w:val="nil"/>
                  <w:left w:val="nil"/>
                  <w:bottom w:val="single" w:sz="8" w:space="0" w:color="auto"/>
                  <w:right w:val="single" w:sz="4" w:space="0" w:color="auto"/>
                </w:tcBorders>
                <w:shd w:val="clear" w:color="auto" w:fill="auto"/>
                <w:noWrap/>
                <w:vAlign w:val="center"/>
                <w:hideMark/>
              </w:tcPr>
              <w:p w:rsidR="002179D1" w:rsidRPr="00F876CB" w:rsidRDefault="002179D1" w:rsidP="002179D1">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100,00</w:t>
                </w:r>
              </w:p>
            </w:tc>
            <w:tc>
              <w:tcPr>
                <w:tcW w:w="1460" w:type="dxa"/>
                <w:tcBorders>
                  <w:top w:val="nil"/>
                  <w:left w:val="nil"/>
                  <w:bottom w:val="single" w:sz="8" w:space="0" w:color="auto"/>
                  <w:right w:val="single" w:sz="8" w:space="0" w:color="auto"/>
                </w:tcBorders>
                <w:shd w:val="clear" w:color="auto" w:fill="auto"/>
                <w:noWrap/>
                <w:vAlign w:val="center"/>
                <w:hideMark/>
              </w:tcPr>
              <w:p w:rsidR="002179D1" w:rsidRPr="00F876CB" w:rsidRDefault="004F32DA" w:rsidP="004F32DA">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-0,59</w:t>
                </w:r>
              </w:p>
            </w:tc>
          </w:tr>
          <w:bookmarkEnd w:id="18"/>
        </w:tbl>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822668" w:rsidRDefault="00AD4C35" w:rsidP="00822668">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The share of renewable energy sources (including hydraulics) in total licensed electricity gener</w:t>
          </w:r>
          <w:r w:rsidR="003A69A1" w:rsidRPr="00302599">
            <w:rPr>
              <w:rFonts w:ascii="Times New Roman" w:hAnsi="Times New Roman" w:cs="Times New Roman"/>
              <w:bCs/>
              <w:sz w:val="24"/>
              <w:szCs w:val="24"/>
              <w:lang w:val="en-GB"/>
            </w:rPr>
            <w:t>ation was 30</w:t>
          </w:r>
          <w:r w:rsidR="00302599">
            <w:rPr>
              <w:rFonts w:ascii="Times New Roman" w:hAnsi="Times New Roman" w:cs="Times New Roman"/>
              <w:bCs/>
              <w:sz w:val="24"/>
              <w:szCs w:val="24"/>
              <w:lang w:val="en-GB"/>
            </w:rPr>
            <w:t>,</w:t>
          </w:r>
          <w:r w:rsidR="003A69A1" w:rsidRPr="00302599">
            <w:rPr>
              <w:rFonts w:ascii="Times New Roman" w:hAnsi="Times New Roman" w:cs="Times New Roman"/>
              <w:bCs/>
              <w:sz w:val="24"/>
              <w:szCs w:val="24"/>
              <w:lang w:val="en-GB"/>
            </w:rPr>
            <w:t>67% in 2018 and 42,</w:t>
          </w:r>
          <w:r w:rsidRPr="00302599">
            <w:rPr>
              <w:rFonts w:ascii="Times New Roman" w:hAnsi="Times New Roman" w:cs="Times New Roman"/>
              <w:bCs/>
              <w:sz w:val="24"/>
              <w:szCs w:val="24"/>
              <w:lang w:val="en-GB"/>
            </w:rPr>
            <w:t>10% in 2019. The ratio of the total</w:t>
          </w:r>
          <w:r w:rsidR="003A69A1" w:rsidRPr="00302599">
            <w:rPr>
              <w:rFonts w:ascii="Times New Roman" w:hAnsi="Times New Roman" w:cs="Times New Roman"/>
              <w:bCs/>
              <w:sz w:val="24"/>
              <w:szCs w:val="24"/>
              <w:lang w:val="en-GB"/>
            </w:rPr>
            <w:t xml:space="preserve"> installed thermal power was 69</w:t>
          </w:r>
          <w:r w:rsidR="00302599">
            <w:rPr>
              <w:rFonts w:ascii="Times New Roman" w:hAnsi="Times New Roman" w:cs="Times New Roman"/>
              <w:bCs/>
              <w:sz w:val="24"/>
              <w:szCs w:val="24"/>
              <w:lang w:val="en-GB"/>
            </w:rPr>
            <w:t>,</w:t>
          </w:r>
          <w:r w:rsidR="003A69A1" w:rsidRPr="00302599">
            <w:rPr>
              <w:rFonts w:ascii="Times New Roman" w:hAnsi="Times New Roman" w:cs="Times New Roman"/>
              <w:bCs/>
              <w:sz w:val="24"/>
              <w:szCs w:val="24"/>
              <w:lang w:val="en-GB"/>
            </w:rPr>
            <w:t>33% in 2018 and 57,</w:t>
          </w:r>
          <w:r w:rsidRPr="00302599">
            <w:rPr>
              <w:rFonts w:ascii="Times New Roman" w:hAnsi="Times New Roman" w:cs="Times New Roman"/>
              <w:bCs/>
              <w:sz w:val="24"/>
              <w:szCs w:val="24"/>
              <w:lang w:val="en-GB"/>
            </w:rPr>
            <w:t>90% in 2019.</w:t>
          </w:r>
        </w:p>
        <w:p w:rsidR="007D49DA" w:rsidRPr="00822668" w:rsidRDefault="003A69A1" w:rsidP="00822668">
          <w:pPr>
            <w:pStyle w:val="ListeParagraf"/>
            <w:numPr>
              <w:ilvl w:val="0"/>
              <w:numId w:val="30"/>
            </w:numPr>
            <w:spacing w:line="360" w:lineRule="auto"/>
            <w:ind w:left="0"/>
            <w:jc w:val="both"/>
            <w:rPr>
              <w:rFonts w:ascii="Times New Roman" w:hAnsi="Times New Roman" w:cs="Times New Roman"/>
              <w:bCs/>
              <w:sz w:val="24"/>
              <w:szCs w:val="24"/>
              <w:lang w:val="en-GB"/>
            </w:rPr>
          </w:pPr>
          <w:r w:rsidRPr="00822668">
            <w:rPr>
              <w:rFonts w:ascii="Times New Roman" w:hAnsi="Times New Roman" w:cs="Times New Roman"/>
              <w:bCs/>
              <w:sz w:val="24"/>
              <w:szCs w:val="24"/>
              <w:lang w:val="en-GB"/>
            </w:rPr>
            <w:t>Consumption decreased by 0</w:t>
          </w:r>
          <w:r w:rsidR="00302599" w:rsidRPr="00822668">
            <w:rPr>
              <w:rFonts w:ascii="Times New Roman" w:hAnsi="Times New Roman" w:cs="Times New Roman"/>
              <w:bCs/>
              <w:sz w:val="24"/>
              <w:szCs w:val="24"/>
              <w:lang w:val="en-GB"/>
            </w:rPr>
            <w:t>,</w:t>
          </w:r>
          <w:r w:rsidR="00AD4C35" w:rsidRPr="00822668">
            <w:rPr>
              <w:rFonts w:ascii="Times New Roman" w:hAnsi="Times New Roman" w:cs="Times New Roman"/>
              <w:bCs/>
              <w:sz w:val="24"/>
              <w:szCs w:val="24"/>
              <w:lang w:val="en-GB"/>
            </w:rPr>
            <w:t>26% compared to 2018 and reached 301</w:t>
          </w:r>
          <w:r w:rsidR="00302599" w:rsidRPr="00822668">
            <w:rPr>
              <w:rFonts w:ascii="Times New Roman" w:hAnsi="Times New Roman" w:cs="Times New Roman"/>
              <w:bCs/>
              <w:sz w:val="24"/>
              <w:szCs w:val="24"/>
              <w:lang w:val="en-GB"/>
            </w:rPr>
            <w:t>.</w:t>
          </w:r>
          <w:r w:rsidR="00AD4C35" w:rsidRPr="00822668">
            <w:rPr>
              <w:rFonts w:ascii="Times New Roman" w:hAnsi="Times New Roman" w:cs="Times New Roman"/>
              <w:bCs/>
              <w:sz w:val="24"/>
              <w:szCs w:val="24"/>
              <w:lang w:val="en-GB"/>
            </w:rPr>
            <w:t>982</w:t>
          </w:r>
          <w:r w:rsidR="00302599" w:rsidRPr="00822668">
            <w:rPr>
              <w:rFonts w:ascii="Times New Roman" w:hAnsi="Times New Roman" w:cs="Times New Roman"/>
              <w:bCs/>
              <w:sz w:val="24"/>
              <w:szCs w:val="24"/>
              <w:lang w:val="en-GB"/>
            </w:rPr>
            <w:t>,</w:t>
          </w:r>
          <w:r w:rsidR="00AD4C35" w:rsidRPr="00822668">
            <w:rPr>
              <w:rFonts w:ascii="Times New Roman" w:hAnsi="Times New Roman" w:cs="Times New Roman"/>
              <w:bCs/>
              <w:sz w:val="24"/>
              <w:szCs w:val="24"/>
              <w:lang w:val="en-GB"/>
            </w:rPr>
            <w:t>70 GWh.</w:t>
          </w:r>
        </w:p>
        <w:p w:rsidR="007D49DA" w:rsidRPr="00822668" w:rsidRDefault="007D49DA" w:rsidP="00822668">
          <w:pPr>
            <w:pStyle w:val="ListeParagraf"/>
            <w:spacing w:line="360" w:lineRule="auto"/>
            <w:ind w:left="0"/>
            <w:jc w:val="both"/>
            <w:rPr>
              <w:rFonts w:ascii="Times New Roman" w:hAnsi="Times New Roman" w:cs="Times New Roman"/>
              <w:bCs/>
              <w:sz w:val="24"/>
              <w:szCs w:val="24"/>
              <w:lang w:val="en-GB"/>
            </w:rPr>
          </w:pPr>
        </w:p>
        <w:p w:rsidR="007D49DA" w:rsidRPr="00F876CB" w:rsidRDefault="007D49DA" w:rsidP="007D49DA">
          <w:pPr>
            <w:pStyle w:val="ListeParagraf"/>
            <w:rPr>
              <w:rFonts w:asciiTheme="minorHAnsi" w:hAnsiTheme="minorHAnsi" w:cstheme="minorHAnsi"/>
              <w:bCs/>
              <w:sz w:val="24"/>
              <w:szCs w:val="24"/>
              <w:lang w:val="en-GB"/>
            </w:rPr>
          </w:pPr>
        </w:p>
        <w:p w:rsidR="007D49DA" w:rsidRPr="00302599" w:rsidRDefault="00D2739C" w:rsidP="00302599">
          <w:pPr>
            <w:pStyle w:val="ListeParagraf"/>
            <w:numPr>
              <w:ilvl w:val="0"/>
              <w:numId w:val="20"/>
            </w:numPr>
            <w:spacing w:line="240" w:lineRule="auto"/>
            <w:ind w:left="0"/>
            <w:rPr>
              <w:rFonts w:ascii="Times New Roman" w:hAnsi="Times New Roman" w:cs="Times New Roman"/>
              <w:b/>
              <w:bCs/>
              <w:sz w:val="24"/>
              <w:szCs w:val="24"/>
              <w:lang w:val="en-GB"/>
            </w:rPr>
          </w:pPr>
          <w:r w:rsidRPr="00302599">
            <w:rPr>
              <w:rFonts w:ascii="Times New Roman" w:hAnsi="Times New Roman" w:cs="Times New Roman"/>
              <w:b/>
              <w:bCs/>
              <w:sz w:val="24"/>
              <w:szCs w:val="24"/>
              <w:lang w:val="en-GB"/>
            </w:rPr>
            <w:t>Unlicensed Generation</w:t>
          </w:r>
        </w:p>
        <w:p w:rsidR="007D49DA" w:rsidRPr="00F876CB" w:rsidRDefault="007D49DA" w:rsidP="007D49DA">
          <w:pPr>
            <w:pStyle w:val="ListeParagraf"/>
            <w:spacing w:after="120" w:line="240" w:lineRule="auto"/>
            <w:jc w:val="both"/>
            <w:rPr>
              <w:rFonts w:asciiTheme="minorHAnsi" w:hAnsiTheme="minorHAnsi" w:cstheme="minorHAnsi"/>
              <w:b/>
              <w:bCs/>
              <w:sz w:val="24"/>
              <w:szCs w:val="24"/>
              <w:lang w:val="en-GB"/>
            </w:rPr>
          </w:pPr>
        </w:p>
        <w:p w:rsidR="007D49DA" w:rsidRPr="00302599" w:rsidRDefault="00921134"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 xml:space="preserve">The unlicensed </w:t>
          </w:r>
          <w:r w:rsidR="003A69A1" w:rsidRPr="00302599">
            <w:rPr>
              <w:rFonts w:ascii="Times New Roman" w:hAnsi="Times New Roman" w:cs="Times New Roman"/>
              <w:bCs/>
              <w:sz w:val="24"/>
              <w:szCs w:val="24"/>
              <w:lang w:val="en-GB"/>
            </w:rPr>
            <w:t>installed power increased by 18,</w:t>
          </w:r>
          <w:r w:rsidRPr="00302599">
            <w:rPr>
              <w:rFonts w:ascii="Times New Roman" w:hAnsi="Times New Roman" w:cs="Times New Roman"/>
              <w:bCs/>
              <w:sz w:val="24"/>
              <w:szCs w:val="24"/>
              <w:lang w:val="en-GB"/>
            </w:rPr>
            <w:t xml:space="preserve">81% in 2019 compared to the previous </w:t>
          </w:r>
          <w:r w:rsidR="003A69A1" w:rsidRPr="00302599">
            <w:rPr>
              <w:rFonts w:ascii="Times New Roman" w:hAnsi="Times New Roman" w:cs="Times New Roman"/>
              <w:bCs/>
              <w:sz w:val="24"/>
              <w:szCs w:val="24"/>
              <w:lang w:val="en-GB"/>
            </w:rPr>
            <w:t>year and became 6.309.27 MW. 92,</w:t>
          </w:r>
          <w:r w:rsidRPr="00302599">
            <w:rPr>
              <w:rFonts w:ascii="Times New Roman" w:hAnsi="Times New Roman" w:cs="Times New Roman"/>
              <w:bCs/>
              <w:sz w:val="24"/>
              <w:szCs w:val="24"/>
              <w:lang w:val="en-GB"/>
            </w:rPr>
            <w:t>33% of this amount consists of power plants based on solar energy.</w:t>
          </w: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7D49DA" w:rsidRPr="00302599" w:rsidRDefault="00AE7E3A"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 xml:space="preserve">In </w:t>
          </w:r>
          <w:r w:rsidR="006B1794" w:rsidRPr="00302599">
            <w:rPr>
              <w:rFonts w:ascii="Times New Roman" w:hAnsi="Times New Roman" w:cs="Times New Roman"/>
              <w:bCs/>
              <w:sz w:val="24"/>
              <w:szCs w:val="24"/>
              <w:lang w:val="en-GB"/>
            </w:rPr>
            <w:t>2018-2019</w:t>
          </w:r>
          <w:r w:rsidRPr="00302599">
            <w:rPr>
              <w:rFonts w:ascii="Times New Roman" w:hAnsi="Times New Roman" w:cs="Times New Roman"/>
              <w:bCs/>
              <w:sz w:val="24"/>
              <w:szCs w:val="24"/>
              <w:lang w:val="en-GB"/>
            </w:rPr>
            <w:t>, unlicensed installed capacity according to resource type is given below:</w:t>
          </w:r>
          <w:r w:rsidR="007D49DA" w:rsidRPr="00302599">
            <w:rPr>
              <w:rFonts w:ascii="Times New Roman" w:hAnsi="Times New Roman" w:cs="Times New Roman"/>
              <w:bCs/>
              <w:sz w:val="24"/>
              <w:szCs w:val="24"/>
              <w:lang w:val="en-GB"/>
            </w:rPr>
            <w:t xml:space="preserve"> </w:t>
          </w: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highlight w:val="yellow"/>
              <w:lang w:val="en-GB"/>
            </w:rPr>
          </w:pPr>
        </w:p>
        <w:p w:rsidR="00AE7E3A" w:rsidRPr="00F876CB" w:rsidRDefault="00AE7E3A" w:rsidP="007D49DA">
          <w:pPr>
            <w:pStyle w:val="ListeParagraf"/>
            <w:spacing w:after="120" w:line="240" w:lineRule="auto"/>
            <w:ind w:left="1440"/>
            <w:jc w:val="both"/>
            <w:rPr>
              <w:rFonts w:asciiTheme="minorHAnsi" w:hAnsiTheme="minorHAnsi" w:cstheme="minorHAnsi"/>
              <w:bCs/>
              <w:sz w:val="24"/>
              <w:szCs w:val="24"/>
              <w:highlight w:val="yellow"/>
              <w:lang w:val="en-GB"/>
            </w:rPr>
          </w:pPr>
        </w:p>
        <w:p w:rsidR="00AE7E3A" w:rsidRPr="00F876CB" w:rsidRDefault="00AE7E3A" w:rsidP="007D49DA">
          <w:pPr>
            <w:pStyle w:val="ListeParagraf"/>
            <w:spacing w:after="120" w:line="240" w:lineRule="auto"/>
            <w:ind w:left="1440"/>
            <w:jc w:val="both"/>
            <w:rPr>
              <w:rFonts w:asciiTheme="minorHAnsi" w:hAnsiTheme="minorHAnsi" w:cstheme="minorHAnsi"/>
              <w:bCs/>
              <w:sz w:val="24"/>
              <w:szCs w:val="24"/>
              <w:highlight w:val="yellow"/>
              <w:lang w:val="en-GB"/>
            </w:rPr>
          </w:pPr>
        </w:p>
        <w:p w:rsidR="00AE7E3A" w:rsidRDefault="00AE7E3A" w:rsidP="007D49DA">
          <w:pPr>
            <w:pStyle w:val="ListeParagraf"/>
            <w:spacing w:after="120" w:line="240" w:lineRule="auto"/>
            <w:ind w:left="1440"/>
            <w:jc w:val="both"/>
            <w:rPr>
              <w:rFonts w:asciiTheme="minorHAnsi" w:hAnsiTheme="minorHAnsi" w:cstheme="minorHAnsi"/>
              <w:bCs/>
              <w:sz w:val="24"/>
              <w:szCs w:val="24"/>
              <w:highlight w:val="yellow"/>
              <w:lang w:val="en-GB"/>
            </w:rPr>
          </w:pPr>
        </w:p>
        <w:p w:rsidR="00822668" w:rsidRPr="00F876CB" w:rsidRDefault="00822668" w:rsidP="007D49DA">
          <w:pPr>
            <w:pStyle w:val="ListeParagraf"/>
            <w:spacing w:after="120" w:line="240" w:lineRule="auto"/>
            <w:ind w:left="1440"/>
            <w:jc w:val="both"/>
            <w:rPr>
              <w:rFonts w:asciiTheme="minorHAnsi" w:hAnsiTheme="minorHAnsi" w:cstheme="minorHAnsi"/>
              <w:bCs/>
              <w:sz w:val="24"/>
              <w:szCs w:val="24"/>
              <w:highlight w:val="yellow"/>
              <w:lang w:val="en-GB"/>
            </w:rPr>
          </w:pPr>
        </w:p>
        <w:tbl>
          <w:tblPr>
            <w:tblW w:w="8003" w:type="dxa"/>
            <w:jc w:val="center"/>
            <w:tblCellMar>
              <w:left w:w="70" w:type="dxa"/>
              <w:right w:w="70" w:type="dxa"/>
            </w:tblCellMar>
            <w:tblLook w:val="04A0" w:firstRow="1" w:lastRow="0" w:firstColumn="1" w:lastColumn="0" w:noHBand="0" w:noVBand="1"/>
          </w:tblPr>
          <w:tblGrid>
            <w:gridCol w:w="2837"/>
            <w:gridCol w:w="1592"/>
            <w:gridCol w:w="1134"/>
            <w:gridCol w:w="1559"/>
            <w:gridCol w:w="881"/>
          </w:tblGrid>
          <w:tr w:rsidR="00151A3B" w:rsidRPr="00F876CB" w:rsidTr="00151A3B">
            <w:trPr>
              <w:trHeight w:val="315"/>
              <w:jc w:val="center"/>
            </w:trPr>
            <w:tc>
              <w:tcPr>
                <w:tcW w:w="2837"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151A3B" w:rsidRPr="00F876CB" w:rsidRDefault="0069219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lastRenderedPageBreak/>
                  <w:t>Resource Type</w:t>
                </w:r>
              </w:p>
            </w:tc>
            <w:tc>
              <w:tcPr>
                <w:tcW w:w="2726" w:type="dxa"/>
                <w:gridSpan w:val="2"/>
                <w:tcBorders>
                  <w:top w:val="single" w:sz="8" w:space="0" w:color="auto"/>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2018</w:t>
                </w:r>
              </w:p>
            </w:tc>
            <w:tc>
              <w:tcPr>
                <w:tcW w:w="2440" w:type="dxa"/>
                <w:gridSpan w:val="2"/>
                <w:tcBorders>
                  <w:top w:val="single" w:sz="8" w:space="0" w:color="auto"/>
                  <w:left w:val="nil"/>
                  <w:bottom w:val="single" w:sz="4" w:space="0" w:color="auto"/>
                  <w:right w:val="single" w:sz="8" w:space="0" w:color="000000"/>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2019</w:t>
                </w:r>
              </w:p>
            </w:tc>
          </w:tr>
          <w:tr w:rsidR="00151A3B" w:rsidRPr="00F876CB" w:rsidTr="00151A3B">
            <w:trPr>
              <w:trHeight w:val="630"/>
              <w:jc w:val="center"/>
            </w:trPr>
            <w:tc>
              <w:tcPr>
                <w:tcW w:w="2837" w:type="dxa"/>
                <w:vMerge/>
                <w:tcBorders>
                  <w:top w:val="single" w:sz="8" w:space="0" w:color="auto"/>
                  <w:left w:val="single" w:sz="8" w:space="0" w:color="auto"/>
                  <w:bottom w:val="single" w:sz="4" w:space="0" w:color="auto"/>
                  <w:right w:val="single" w:sz="4" w:space="0" w:color="auto"/>
                </w:tcBorders>
                <w:vAlign w:val="center"/>
                <w:hideMark/>
              </w:tcPr>
              <w:p w:rsidR="00151A3B" w:rsidRPr="00F876CB" w:rsidRDefault="00151A3B" w:rsidP="00151A3B">
                <w:pPr>
                  <w:spacing w:after="0" w:line="240" w:lineRule="auto"/>
                  <w:rPr>
                    <w:rFonts w:ascii="Times New Roman" w:eastAsia="Times New Roman" w:hAnsi="Times New Roman" w:cs="Times New Roman"/>
                    <w:b/>
                    <w:bCs/>
                    <w:sz w:val="24"/>
                    <w:szCs w:val="24"/>
                    <w:lang w:val="en-GB" w:eastAsia="tr-TR" w:bidi="ar-SA"/>
                  </w:rPr>
                </w:pPr>
              </w:p>
            </w:tc>
            <w:tc>
              <w:tcPr>
                <w:tcW w:w="1592" w:type="dxa"/>
                <w:tcBorders>
                  <w:top w:val="nil"/>
                  <w:left w:val="nil"/>
                  <w:bottom w:val="single" w:sz="4" w:space="0" w:color="auto"/>
                  <w:right w:val="single" w:sz="4" w:space="0" w:color="auto"/>
                </w:tcBorders>
                <w:shd w:val="clear" w:color="000000" w:fill="FFFFFF"/>
                <w:vAlign w:val="center"/>
                <w:hideMark/>
              </w:tcPr>
              <w:p w:rsidR="00151A3B" w:rsidRPr="00F876CB" w:rsidRDefault="0069219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Installed Capacity</w:t>
                </w:r>
                <w:r w:rsidR="00151A3B" w:rsidRPr="00F876CB">
                  <w:rPr>
                    <w:rFonts w:ascii="Times New Roman" w:eastAsia="Times New Roman" w:hAnsi="Times New Roman" w:cs="Times New Roman"/>
                    <w:b/>
                    <w:bCs/>
                    <w:sz w:val="24"/>
                    <w:szCs w:val="24"/>
                    <w:lang w:val="en-GB" w:eastAsia="tr-TR" w:bidi="ar-SA"/>
                  </w:rPr>
                  <w:br/>
                  <w:t xml:space="preserve"> (</w:t>
                </w:r>
                <w:proofErr w:type="spellStart"/>
                <w:r w:rsidR="00151A3B" w:rsidRPr="00F876CB">
                  <w:rPr>
                    <w:rFonts w:ascii="Times New Roman" w:eastAsia="Times New Roman" w:hAnsi="Times New Roman" w:cs="Times New Roman"/>
                    <w:b/>
                    <w:bCs/>
                    <w:sz w:val="24"/>
                    <w:szCs w:val="24"/>
                    <w:lang w:val="en-GB" w:eastAsia="tr-TR" w:bidi="ar-SA"/>
                  </w:rPr>
                  <w:t>MWe</w:t>
                </w:r>
                <w:proofErr w:type="spellEnd"/>
                <w:r w:rsidR="00151A3B" w:rsidRPr="00F876CB">
                  <w:rPr>
                    <w:rFonts w:ascii="Times New Roman" w:eastAsia="Times New Roman" w:hAnsi="Times New Roman" w:cs="Times New Roman"/>
                    <w:b/>
                    <w:bCs/>
                    <w:sz w:val="24"/>
                    <w:szCs w:val="24"/>
                    <w:lang w:val="en-GB" w:eastAsia="tr-TR" w:bidi="ar-SA"/>
                  </w:rPr>
                  <w:t>)</w:t>
                </w:r>
              </w:p>
            </w:tc>
            <w:tc>
              <w:tcPr>
                <w:tcW w:w="1134" w:type="dxa"/>
                <w:tcBorders>
                  <w:top w:val="nil"/>
                  <w:left w:val="nil"/>
                  <w:bottom w:val="single" w:sz="4" w:space="0" w:color="auto"/>
                  <w:right w:val="single" w:sz="4" w:space="0" w:color="auto"/>
                </w:tcBorders>
                <w:shd w:val="clear" w:color="000000" w:fill="FFFFFF"/>
                <w:vAlign w:val="center"/>
                <w:hideMark/>
              </w:tcPr>
              <w:p w:rsidR="00151A3B" w:rsidRPr="00F876CB" w:rsidRDefault="0069219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Share</w:t>
                </w:r>
                <w:r w:rsidR="00151A3B" w:rsidRPr="00F876CB">
                  <w:rPr>
                    <w:rFonts w:ascii="Times New Roman" w:eastAsia="Times New Roman" w:hAnsi="Times New Roman" w:cs="Times New Roman"/>
                    <w:b/>
                    <w:bCs/>
                    <w:sz w:val="24"/>
                    <w:szCs w:val="24"/>
                    <w:lang w:val="en-GB" w:eastAsia="tr-TR" w:bidi="ar-SA"/>
                  </w:rPr>
                  <w:br/>
                  <w:t>(%)</w:t>
                </w:r>
              </w:p>
            </w:tc>
            <w:tc>
              <w:tcPr>
                <w:tcW w:w="1559" w:type="dxa"/>
                <w:tcBorders>
                  <w:top w:val="nil"/>
                  <w:left w:val="nil"/>
                  <w:bottom w:val="single" w:sz="4" w:space="0" w:color="auto"/>
                  <w:right w:val="single" w:sz="4" w:space="0" w:color="auto"/>
                </w:tcBorders>
                <w:shd w:val="clear" w:color="000000" w:fill="FFFFFF"/>
                <w:vAlign w:val="center"/>
                <w:hideMark/>
              </w:tcPr>
              <w:p w:rsidR="00151A3B" w:rsidRPr="00F876CB" w:rsidRDefault="0069219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Installed Capacity</w:t>
                </w:r>
                <w:r w:rsidR="00151A3B" w:rsidRPr="00F876CB">
                  <w:rPr>
                    <w:rFonts w:ascii="Times New Roman" w:eastAsia="Times New Roman" w:hAnsi="Times New Roman" w:cs="Times New Roman"/>
                    <w:b/>
                    <w:bCs/>
                    <w:sz w:val="24"/>
                    <w:szCs w:val="24"/>
                    <w:lang w:val="en-GB" w:eastAsia="tr-TR" w:bidi="ar-SA"/>
                  </w:rPr>
                  <w:br/>
                  <w:t xml:space="preserve"> (</w:t>
                </w:r>
                <w:proofErr w:type="spellStart"/>
                <w:r w:rsidR="00151A3B" w:rsidRPr="00F876CB">
                  <w:rPr>
                    <w:rFonts w:ascii="Times New Roman" w:eastAsia="Times New Roman" w:hAnsi="Times New Roman" w:cs="Times New Roman"/>
                    <w:b/>
                    <w:bCs/>
                    <w:sz w:val="24"/>
                    <w:szCs w:val="24"/>
                    <w:lang w:val="en-GB" w:eastAsia="tr-TR" w:bidi="ar-SA"/>
                  </w:rPr>
                  <w:t>MWe</w:t>
                </w:r>
                <w:proofErr w:type="spellEnd"/>
                <w:r w:rsidR="00151A3B" w:rsidRPr="00F876CB">
                  <w:rPr>
                    <w:rFonts w:ascii="Times New Roman" w:eastAsia="Times New Roman" w:hAnsi="Times New Roman" w:cs="Times New Roman"/>
                    <w:b/>
                    <w:bCs/>
                    <w:sz w:val="24"/>
                    <w:szCs w:val="24"/>
                    <w:lang w:val="en-GB" w:eastAsia="tr-TR" w:bidi="ar-SA"/>
                  </w:rPr>
                  <w:t>)</w:t>
                </w:r>
              </w:p>
            </w:tc>
            <w:tc>
              <w:tcPr>
                <w:tcW w:w="881" w:type="dxa"/>
                <w:tcBorders>
                  <w:top w:val="nil"/>
                  <w:left w:val="nil"/>
                  <w:bottom w:val="single" w:sz="4" w:space="0" w:color="auto"/>
                  <w:right w:val="single" w:sz="8" w:space="0" w:color="auto"/>
                </w:tcBorders>
                <w:shd w:val="clear" w:color="000000" w:fill="FFFFFF"/>
                <w:vAlign w:val="center"/>
                <w:hideMark/>
              </w:tcPr>
              <w:p w:rsidR="00151A3B" w:rsidRPr="00F876CB" w:rsidRDefault="0069219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Share</w:t>
                </w:r>
                <w:r w:rsidR="00151A3B" w:rsidRPr="00F876CB">
                  <w:rPr>
                    <w:rFonts w:ascii="Times New Roman" w:eastAsia="Times New Roman" w:hAnsi="Times New Roman" w:cs="Times New Roman"/>
                    <w:b/>
                    <w:bCs/>
                    <w:sz w:val="24"/>
                    <w:szCs w:val="24"/>
                    <w:lang w:val="en-GB" w:eastAsia="tr-TR" w:bidi="ar-SA"/>
                  </w:rPr>
                  <w:br/>
                  <w:t>(%)</w:t>
                </w:r>
              </w:p>
            </w:tc>
          </w:tr>
          <w:tr w:rsidR="00151A3B" w:rsidRPr="00F876C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F876CB" w:rsidRDefault="00224B67" w:rsidP="00F0483F">
                <w:pPr>
                  <w:spacing w:after="0" w:line="240" w:lineRule="auto"/>
                  <w:ind w:firstLineChars="100" w:firstLine="240"/>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Solar</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5.016,99</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94,47</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F0483F">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5.</w:t>
                </w:r>
                <w:r w:rsidR="00F0483F" w:rsidRPr="00F876CB">
                  <w:rPr>
                    <w:rFonts w:ascii="Times New Roman" w:eastAsia="Times New Roman" w:hAnsi="Times New Roman" w:cs="Times New Roman"/>
                    <w:sz w:val="24"/>
                    <w:szCs w:val="24"/>
                    <w:lang w:val="en-GB" w:eastAsia="tr-TR" w:bidi="ar-SA"/>
                  </w:rPr>
                  <w:t>825,46</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F876CB" w:rsidRDefault="00151A3B" w:rsidP="00F0483F">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92,</w:t>
                </w:r>
                <w:r w:rsidR="00F0483F" w:rsidRPr="00F876CB">
                  <w:rPr>
                    <w:rFonts w:ascii="Times New Roman" w:eastAsia="Times New Roman" w:hAnsi="Times New Roman" w:cs="Times New Roman"/>
                    <w:sz w:val="24"/>
                    <w:szCs w:val="24"/>
                    <w:lang w:val="en-GB" w:eastAsia="tr-TR" w:bidi="ar-SA"/>
                  </w:rPr>
                  <w:t>33</w:t>
                </w:r>
              </w:p>
            </w:tc>
          </w:tr>
          <w:tr w:rsidR="00151A3B" w:rsidRPr="00F876C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F876CB" w:rsidRDefault="00224B67" w:rsidP="00151A3B">
                <w:pPr>
                  <w:spacing w:after="0" w:line="240" w:lineRule="auto"/>
                  <w:ind w:firstLineChars="100" w:firstLine="240"/>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Natural Gas</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153,04</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2,88</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F876CB" w:rsidRDefault="00F0483F"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328,66</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F876CB" w:rsidRDefault="00F0483F"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5,21</w:t>
                </w:r>
              </w:p>
            </w:tc>
          </w:tr>
          <w:tr w:rsidR="00151A3B" w:rsidRPr="00F876C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ind w:firstLineChars="100" w:firstLine="240"/>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Bi</w:t>
                </w:r>
                <w:r w:rsidR="00224B67" w:rsidRPr="00F876CB">
                  <w:rPr>
                    <w:rFonts w:ascii="Times New Roman" w:eastAsia="Times New Roman" w:hAnsi="Times New Roman" w:cs="Times New Roman"/>
                    <w:sz w:val="24"/>
                    <w:szCs w:val="24"/>
                    <w:lang w:val="en-GB" w:eastAsia="tr-TR" w:bidi="ar-SA"/>
                  </w:rPr>
                  <w:t>omass</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79,18</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1,49</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F876CB" w:rsidRDefault="00F0483F"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75,67</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F876CB" w:rsidRDefault="00151A3B" w:rsidP="00F0483F">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1,</w:t>
                </w:r>
                <w:r w:rsidR="00F0483F" w:rsidRPr="00F876CB">
                  <w:rPr>
                    <w:rFonts w:ascii="Times New Roman" w:eastAsia="Times New Roman" w:hAnsi="Times New Roman" w:cs="Times New Roman"/>
                    <w:sz w:val="24"/>
                    <w:szCs w:val="24"/>
                    <w:lang w:val="en-GB" w:eastAsia="tr-TR" w:bidi="ar-SA"/>
                  </w:rPr>
                  <w:t>20</w:t>
                </w:r>
              </w:p>
            </w:tc>
          </w:tr>
          <w:tr w:rsidR="00151A3B" w:rsidRPr="00F876C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F876CB" w:rsidRDefault="00224B67" w:rsidP="00151A3B">
                <w:pPr>
                  <w:spacing w:after="0" w:line="240" w:lineRule="auto"/>
                  <w:ind w:firstLineChars="100" w:firstLine="240"/>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Wind</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51,95</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0,98</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F876CB" w:rsidRDefault="00F0483F"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70,83</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F876CB" w:rsidRDefault="00F0483F"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1,12</w:t>
                </w:r>
              </w:p>
            </w:tc>
          </w:tr>
          <w:tr w:rsidR="00151A3B" w:rsidRPr="00F876CB" w:rsidTr="00151A3B">
            <w:trPr>
              <w:trHeight w:val="315"/>
              <w:jc w:val="center"/>
            </w:trPr>
            <w:tc>
              <w:tcPr>
                <w:tcW w:w="2837" w:type="dxa"/>
                <w:tcBorders>
                  <w:top w:val="nil"/>
                  <w:left w:val="single" w:sz="8" w:space="0" w:color="auto"/>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ind w:firstLineChars="100" w:firstLine="240"/>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H</w:t>
                </w:r>
                <w:r w:rsidR="00224B67" w:rsidRPr="00F876CB">
                  <w:rPr>
                    <w:rFonts w:ascii="Times New Roman" w:eastAsia="Times New Roman" w:hAnsi="Times New Roman" w:cs="Times New Roman"/>
                    <w:sz w:val="24"/>
                    <w:szCs w:val="24"/>
                    <w:lang w:val="en-GB" w:eastAsia="tr-TR" w:bidi="ar-SA"/>
                  </w:rPr>
                  <w:t>ydraulic</w:t>
                </w:r>
              </w:p>
            </w:tc>
            <w:tc>
              <w:tcPr>
                <w:tcW w:w="1592"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8,91</w:t>
                </w:r>
              </w:p>
            </w:tc>
            <w:tc>
              <w:tcPr>
                <w:tcW w:w="1134" w:type="dxa"/>
                <w:tcBorders>
                  <w:top w:val="nil"/>
                  <w:left w:val="nil"/>
                  <w:bottom w:val="single" w:sz="4"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0,17</w:t>
                </w:r>
              </w:p>
            </w:tc>
            <w:tc>
              <w:tcPr>
                <w:tcW w:w="1559" w:type="dxa"/>
                <w:tcBorders>
                  <w:top w:val="nil"/>
                  <w:left w:val="nil"/>
                  <w:bottom w:val="single" w:sz="4" w:space="0" w:color="auto"/>
                  <w:right w:val="single" w:sz="4" w:space="0" w:color="auto"/>
                </w:tcBorders>
                <w:shd w:val="clear" w:color="000000" w:fill="FFFFFF"/>
                <w:noWrap/>
                <w:vAlign w:val="center"/>
                <w:hideMark/>
              </w:tcPr>
              <w:p w:rsidR="00151A3B" w:rsidRPr="00F876CB" w:rsidRDefault="00F0483F" w:rsidP="00151A3B">
                <w:pPr>
                  <w:spacing w:after="0" w:line="240" w:lineRule="auto"/>
                  <w:jc w:val="right"/>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8,65</w:t>
                </w:r>
              </w:p>
            </w:tc>
            <w:tc>
              <w:tcPr>
                <w:tcW w:w="881" w:type="dxa"/>
                <w:tcBorders>
                  <w:top w:val="nil"/>
                  <w:left w:val="nil"/>
                  <w:bottom w:val="single" w:sz="4" w:space="0" w:color="auto"/>
                  <w:right w:val="single" w:sz="8" w:space="0" w:color="auto"/>
                </w:tcBorders>
                <w:shd w:val="clear" w:color="000000" w:fill="FFFFFF"/>
                <w:noWrap/>
                <w:vAlign w:val="center"/>
                <w:hideMark/>
              </w:tcPr>
              <w:p w:rsidR="00151A3B" w:rsidRPr="00F876CB" w:rsidRDefault="00151A3B" w:rsidP="00F0483F">
                <w:pPr>
                  <w:spacing w:after="0" w:line="240" w:lineRule="auto"/>
                  <w:jc w:val="center"/>
                  <w:rPr>
                    <w:rFonts w:ascii="Times New Roman" w:eastAsia="Times New Roman" w:hAnsi="Times New Roman" w:cs="Times New Roman"/>
                    <w:sz w:val="24"/>
                    <w:szCs w:val="24"/>
                    <w:lang w:val="en-GB" w:eastAsia="tr-TR" w:bidi="ar-SA"/>
                  </w:rPr>
                </w:pPr>
                <w:r w:rsidRPr="00F876CB">
                  <w:rPr>
                    <w:rFonts w:ascii="Times New Roman" w:eastAsia="Times New Roman" w:hAnsi="Times New Roman" w:cs="Times New Roman"/>
                    <w:sz w:val="24"/>
                    <w:szCs w:val="24"/>
                    <w:lang w:val="en-GB" w:eastAsia="tr-TR" w:bidi="ar-SA"/>
                  </w:rPr>
                  <w:t>0,</w:t>
                </w:r>
                <w:r w:rsidR="00F0483F" w:rsidRPr="00F876CB">
                  <w:rPr>
                    <w:rFonts w:ascii="Times New Roman" w:eastAsia="Times New Roman" w:hAnsi="Times New Roman" w:cs="Times New Roman"/>
                    <w:sz w:val="24"/>
                    <w:szCs w:val="24"/>
                    <w:lang w:val="en-GB" w:eastAsia="tr-TR" w:bidi="ar-SA"/>
                  </w:rPr>
                  <w:t>14</w:t>
                </w:r>
              </w:p>
            </w:tc>
          </w:tr>
          <w:tr w:rsidR="00151A3B" w:rsidRPr="00F876CB" w:rsidTr="00151A3B">
            <w:trPr>
              <w:trHeight w:val="330"/>
              <w:jc w:val="center"/>
            </w:trPr>
            <w:tc>
              <w:tcPr>
                <w:tcW w:w="2837" w:type="dxa"/>
                <w:tcBorders>
                  <w:top w:val="nil"/>
                  <w:left w:val="single" w:sz="8" w:space="0" w:color="auto"/>
                  <w:bottom w:val="single" w:sz="8" w:space="0" w:color="auto"/>
                  <w:right w:val="single" w:sz="4" w:space="0" w:color="auto"/>
                </w:tcBorders>
                <w:shd w:val="clear" w:color="000000" w:fill="FFFFFF"/>
                <w:noWrap/>
                <w:vAlign w:val="center"/>
                <w:hideMark/>
              </w:tcPr>
              <w:p w:rsidR="00151A3B" w:rsidRPr="00F876CB" w:rsidRDefault="00224B67"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Total</w:t>
                </w:r>
              </w:p>
            </w:tc>
            <w:tc>
              <w:tcPr>
                <w:tcW w:w="1592" w:type="dxa"/>
                <w:tcBorders>
                  <w:top w:val="nil"/>
                  <w:left w:val="nil"/>
                  <w:bottom w:val="single" w:sz="8"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right"/>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5.310,57</w:t>
                </w:r>
              </w:p>
            </w:tc>
            <w:tc>
              <w:tcPr>
                <w:tcW w:w="1134" w:type="dxa"/>
                <w:tcBorders>
                  <w:top w:val="nil"/>
                  <w:left w:val="nil"/>
                  <w:bottom w:val="single" w:sz="8" w:space="0" w:color="auto"/>
                  <w:right w:val="single" w:sz="4"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100,00</w:t>
                </w:r>
              </w:p>
            </w:tc>
            <w:tc>
              <w:tcPr>
                <w:tcW w:w="1559" w:type="dxa"/>
                <w:tcBorders>
                  <w:top w:val="nil"/>
                  <w:left w:val="nil"/>
                  <w:bottom w:val="single" w:sz="8" w:space="0" w:color="auto"/>
                  <w:right w:val="single" w:sz="4" w:space="0" w:color="auto"/>
                </w:tcBorders>
                <w:shd w:val="clear" w:color="000000" w:fill="FFFFFF"/>
                <w:noWrap/>
                <w:vAlign w:val="center"/>
                <w:hideMark/>
              </w:tcPr>
              <w:p w:rsidR="00151A3B" w:rsidRPr="00F876CB" w:rsidRDefault="00F0483F" w:rsidP="00151A3B">
                <w:pPr>
                  <w:spacing w:after="0" w:line="240" w:lineRule="auto"/>
                  <w:jc w:val="right"/>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6.309,27</w:t>
                </w:r>
              </w:p>
            </w:tc>
            <w:tc>
              <w:tcPr>
                <w:tcW w:w="881" w:type="dxa"/>
                <w:tcBorders>
                  <w:top w:val="nil"/>
                  <w:left w:val="nil"/>
                  <w:bottom w:val="single" w:sz="8" w:space="0" w:color="auto"/>
                  <w:right w:val="single" w:sz="8" w:space="0" w:color="auto"/>
                </w:tcBorders>
                <w:shd w:val="clear" w:color="000000" w:fill="FFFFFF"/>
                <w:noWrap/>
                <w:vAlign w:val="center"/>
                <w:hideMark/>
              </w:tcPr>
              <w:p w:rsidR="00151A3B" w:rsidRPr="00F876CB" w:rsidRDefault="00151A3B" w:rsidP="00151A3B">
                <w:pPr>
                  <w:spacing w:after="0" w:line="240" w:lineRule="auto"/>
                  <w:jc w:val="center"/>
                  <w:rPr>
                    <w:rFonts w:ascii="Times New Roman" w:eastAsia="Times New Roman" w:hAnsi="Times New Roman" w:cs="Times New Roman"/>
                    <w:b/>
                    <w:bCs/>
                    <w:sz w:val="24"/>
                    <w:szCs w:val="24"/>
                    <w:lang w:val="en-GB" w:eastAsia="tr-TR" w:bidi="ar-SA"/>
                  </w:rPr>
                </w:pPr>
                <w:r w:rsidRPr="00F876CB">
                  <w:rPr>
                    <w:rFonts w:ascii="Times New Roman" w:eastAsia="Times New Roman" w:hAnsi="Times New Roman" w:cs="Times New Roman"/>
                    <w:b/>
                    <w:bCs/>
                    <w:sz w:val="24"/>
                    <w:szCs w:val="24"/>
                    <w:lang w:val="en-GB" w:eastAsia="tr-TR" w:bidi="ar-SA"/>
                  </w:rPr>
                  <w:t>100,00</w:t>
                </w:r>
              </w:p>
            </w:tc>
          </w:tr>
        </w:tbl>
        <w:p w:rsidR="007D49DA" w:rsidRPr="00F876CB" w:rsidRDefault="007D49DA" w:rsidP="00151A3B">
          <w:pPr>
            <w:pStyle w:val="ListeParagraf"/>
            <w:spacing w:after="120" w:line="240" w:lineRule="auto"/>
            <w:ind w:left="1440"/>
            <w:jc w:val="center"/>
            <w:rPr>
              <w:rFonts w:asciiTheme="minorHAnsi" w:hAnsiTheme="minorHAnsi" w:cstheme="minorHAnsi"/>
              <w:bCs/>
              <w:sz w:val="24"/>
              <w:szCs w:val="24"/>
              <w:lang w:val="en-GB"/>
            </w:rPr>
          </w:pP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302599" w:rsidRDefault="00DE539A"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The unlicensed pr</w:t>
          </w:r>
          <w:r w:rsidR="003A69A1" w:rsidRPr="00302599">
            <w:rPr>
              <w:rFonts w:ascii="Times New Roman" w:hAnsi="Times New Roman" w:cs="Times New Roman"/>
              <w:bCs/>
              <w:sz w:val="24"/>
              <w:szCs w:val="24"/>
              <w:lang w:val="en-GB"/>
            </w:rPr>
            <w:t>oduction amount increased by 19,</w:t>
          </w:r>
          <w:r w:rsidRPr="00302599">
            <w:rPr>
              <w:rFonts w:ascii="Times New Roman" w:hAnsi="Times New Roman" w:cs="Times New Roman"/>
              <w:bCs/>
              <w:sz w:val="24"/>
              <w:szCs w:val="24"/>
              <w:lang w:val="en-GB"/>
            </w:rPr>
            <w:t>68% in 2019</w:t>
          </w:r>
          <w:r w:rsidR="003A69A1" w:rsidRPr="00302599">
            <w:rPr>
              <w:rFonts w:ascii="Times New Roman" w:hAnsi="Times New Roman" w:cs="Times New Roman"/>
              <w:bCs/>
              <w:sz w:val="24"/>
              <w:szCs w:val="24"/>
              <w:lang w:val="en-GB"/>
            </w:rPr>
            <w:t xml:space="preserve"> compared to 2018 and reached 9.829,</w:t>
          </w:r>
          <w:r w:rsidRPr="00302599">
            <w:rPr>
              <w:rFonts w:ascii="Times New Roman" w:hAnsi="Times New Roman" w:cs="Times New Roman"/>
              <w:bCs/>
              <w:sz w:val="24"/>
              <w:szCs w:val="24"/>
              <w:lang w:val="en-GB"/>
            </w:rPr>
            <w:t xml:space="preserve">45 GWh. </w:t>
          </w:r>
          <w:r w:rsidR="003A69A1" w:rsidRPr="00302599">
            <w:rPr>
              <w:rFonts w:ascii="Times New Roman" w:hAnsi="Times New Roman" w:cs="Times New Roman"/>
              <w:bCs/>
              <w:sz w:val="24"/>
              <w:szCs w:val="24"/>
              <w:lang w:val="en-GB"/>
            </w:rPr>
            <w:t>95,</w:t>
          </w:r>
          <w:r w:rsidRPr="00302599">
            <w:rPr>
              <w:rFonts w:ascii="Times New Roman" w:hAnsi="Times New Roman" w:cs="Times New Roman"/>
              <w:bCs/>
              <w:sz w:val="24"/>
              <w:szCs w:val="24"/>
              <w:lang w:val="en-GB"/>
            </w:rPr>
            <w:t>90% of this amount was obtained from solar energy.</w:t>
          </w:r>
        </w:p>
        <w:p w:rsidR="00302599" w:rsidRDefault="00302599" w:rsidP="00302599">
          <w:pPr>
            <w:pStyle w:val="ListeParagraf"/>
            <w:spacing w:line="360" w:lineRule="auto"/>
            <w:ind w:left="0"/>
            <w:jc w:val="both"/>
            <w:rPr>
              <w:rFonts w:ascii="Times New Roman" w:hAnsi="Times New Roman" w:cs="Times New Roman"/>
              <w:bCs/>
              <w:sz w:val="24"/>
              <w:szCs w:val="24"/>
              <w:lang w:val="en-GB"/>
            </w:rPr>
          </w:pPr>
        </w:p>
        <w:p w:rsidR="007D49DA" w:rsidRPr="00302599" w:rsidRDefault="00DE539A"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heme="minorHAnsi" w:hAnsiTheme="minorHAnsi" w:cstheme="minorHAnsi"/>
              <w:bCs/>
              <w:sz w:val="24"/>
              <w:szCs w:val="24"/>
              <w:lang w:val="en-GB"/>
            </w:rPr>
            <w:t xml:space="preserve">In </w:t>
          </w:r>
          <w:r w:rsidR="007D49DA" w:rsidRPr="00302599">
            <w:rPr>
              <w:rFonts w:asciiTheme="minorHAnsi" w:hAnsiTheme="minorHAnsi" w:cstheme="minorHAnsi"/>
              <w:bCs/>
              <w:sz w:val="24"/>
              <w:szCs w:val="24"/>
              <w:lang w:val="en-GB"/>
            </w:rPr>
            <w:t>20</w:t>
          </w:r>
          <w:r w:rsidR="00401EB4" w:rsidRPr="00302599">
            <w:rPr>
              <w:rFonts w:asciiTheme="minorHAnsi" w:hAnsiTheme="minorHAnsi" w:cstheme="minorHAnsi"/>
              <w:bCs/>
              <w:sz w:val="24"/>
              <w:szCs w:val="24"/>
              <w:lang w:val="en-GB"/>
            </w:rPr>
            <w:t>18</w:t>
          </w:r>
          <w:r w:rsidR="007D49DA" w:rsidRPr="00302599">
            <w:rPr>
              <w:rFonts w:asciiTheme="minorHAnsi" w:hAnsiTheme="minorHAnsi" w:cstheme="minorHAnsi"/>
              <w:bCs/>
              <w:sz w:val="24"/>
              <w:szCs w:val="24"/>
              <w:lang w:val="en-GB"/>
            </w:rPr>
            <w:t>-20</w:t>
          </w:r>
          <w:r w:rsidR="00401EB4" w:rsidRPr="00302599">
            <w:rPr>
              <w:rFonts w:asciiTheme="minorHAnsi" w:hAnsiTheme="minorHAnsi" w:cstheme="minorHAnsi"/>
              <w:bCs/>
              <w:sz w:val="24"/>
              <w:szCs w:val="24"/>
              <w:lang w:val="en-GB"/>
            </w:rPr>
            <w:t>19</w:t>
          </w:r>
          <w:r w:rsidRPr="00302599">
            <w:rPr>
              <w:rFonts w:asciiTheme="minorHAnsi" w:hAnsiTheme="minorHAnsi" w:cstheme="minorHAnsi"/>
              <w:bCs/>
              <w:sz w:val="24"/>
              <w:szCs w:val="24"/>
              <w:lang w:val="en-GB"/>
            </w:rPr>
            <w:t>, unlicensed generation according to resource type is given below</w:t>
          </w:r>
          <w:r w:rsidR="007D49DA" w:rsidRPr="00302599">
            <w:rPr>
              <w:rFonts w:asciiTheme="minorHAnsi" w:hAnsiTheme="minorHAnsi" w:cstheme="minorHAnsi"/>
              <w:bCs/>
              <w:sz w:val="24"/>
              <w:szCs w:val="24"/>
              <w:lang w:val="en-GB"/>
            </w:rPr>
            <w:t>:</w:t>
          </w:r>
        </w:p>
        <w:p w:rsidR="007D49DA" w:rsidRPr="00F876CB" w:rsidRDefault="007D49DA" w:rsidP="007D49DA">
          <w:pPr>
            <w:pStyle w:val="ListeParagraf"/>
            <w:ind w:left="1440"/>
            <w:jc w:val="both"/>
            <w:rPr>
              <w:rFonts w:asciiTheme="minorHAnsi" w:hAnsiTheme="minorHAnsi" w:cstheme="minorHAnsi"/>
              <w:bCs/>
              <w:sz w:val="24"/>
              <w:szCs w:val="24"/>
              <w:lang w:val="en-GB"/>
            </w:rPr>
          </w:pPr>
        </w:p>
        <w:tbl>
          <w:tblPr>
            <w:tblW w:w="9072" w:type="dxa"/>
            <w:tblInd w:w="70" w:type="dxa"/>
            <w:tblCellMar>
              <w:left w:w="70" w:type="dxa"/>
              <w:right w:w="70" w:type="dxa"/>
            </w:tblCellMar>
            <w:tblLook w:val="04A0" w:firstRow="1" w:lastRow="0" w:firstColumn="1" w:lastColumn="0" w:noHBand="0" w:noVBand="1"/>
          </w:tblPr>
          <w:tblGrid>
            <w:gridCol w:w="1701"/>
            <w:gridCol w:w="2552"/>
            <w:gridCol w:w="1276"/>
            <w:gridCol w:w="2551"/>
            <w:gridCol w:w="992"/>
          </w:tblGrid>
          <w:tr w:rsidR="009B2FC7" w:rsidRPr="00F876CB" w:rsidTr="009B2FC7">
            <w:trPr>
              <w:trHeight w:val="202"/>
            </w:trPr>
            <w:tc>
              <w:tcPr>
                <w:tcW w:w="1701"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9B2FC7" w:rsidRPr="00F876CB" w:rsidRDefault="00087C38"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Resource Type</w:t>
                </w:r>
                <w:r w:rsidR="009B2FC7" w:rsidRPr="00F876CB">
                  <w:rPr>
                    <w:rFonts w:ascii="Times New Roman" w:eastAsia="Times New Roman" w:hAnsi="Times New Roman" w:cs="Times New Roman"/>
                    <w:b/>
                    <w:bCs/>
                    <w:color w:val="000000"/>
                    <w:sz w:val="24"/>
                    <w:szCs w:val="24"/>
                    <w:lang w:val="en-GB" w:eastAsia="tr-TR" w:bidi="ar-SA"/>
                  </w:rPr>
                  <w:t xml:space="preserve"> </w:t>
                </w:r>
              </w:p>
            </w:tc>
            <w:tc>
              <w:tcPr>
                <w:tcW w:w="3828" w:type="dxa"/>
                <w:gridSpan w:val="2"/>
                <w:tcBorders>
                  <w:top w:val="single" w:sz="8" w:space="0" w:color="auto"/>
                  <w:left w:val="nil"/>
                  <w:bottom w:val="single" w:sz="8" w:space="0" w:color="auto"/>
                  <w:right w:val="single" w:sz="8" w:space="0" w:color="000000"/>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2018</w:t>
                </w:r>
              </w:p>
            </w:tc>
            <w:tc>
              <w:tcPr>
                <w:tcW w:w="3543" w:type="dxa"/>
                <w:gridSpan w:val="2"/>
                <w:tcBorders>
                  <w:top w:val="single" w:sz="8" w:space="0" w:color="auto"/>
                  <w:left w:val="nil"/>
                  <w:bottom w:val="single" w:sz="8" w:space="0" w:color="auto"/>
                  <w:right w:val="single" w:sz="8" w:space="0" w:color="000000"/>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2019</w:t>
                </w:r>
              </w:p>
            </w:tc>
          </w:tr>
          <w:tr w:rsidR="009B2FC7" w:rsidRPr="00F876CB" w:rsidTr="009B2FC7">
            <w:trPr>
              <w:trHeight w:val="780"/>
            </w:trPr>
            <w:tc>
              <w:tcPr>
                <w:tcW w:w="1701" w:type="dxa"/>
                <w:vMerge/>
                <w:tcBorders>
                  <w:top w:val="single" w:sz="8" w:space="0" w:color="auto"/>
                  <w:left w:val="single" w:sz="8" w:space="0" w:color="auto"/>
                  <w:bottom w:val="nil"/>
                  <w:right w:val="single" w:sz="8" w:space="0" w:color="auto"/>
                </w:tcBorders>
                <w:vAlign w:val="center"/>
                <w:hideMark/>
              </w:tcPr>
              <w:p w:rsidR="009B2FC7" w:rsidRPr="00F876CB" w:rsidRDefault="009B2FC7" w:rsidP="009B2FC7">
                <w:pPr>
                  <w:spacing w:after="0" w:line="240" w:lineRule="auto"/>
                  <w:rPr>
                    <w:rFonts w:ascii="Times New Roman" w:eastAsia="Times New Roman" w:hAnsi="Times New Roman" w:cs="Times New Roman"/>
                    <w:b/>
                    <w:bCs/>
                    <w:color w:val="000000"/>
                    <w:sz w:val="24"/>
                    <w:szCs w:val="24"/>
                    <w:lang w:val="en-GB" w:eastAsia="tr-TR" w:bidi="ar-SA"/>
                  </w:rPr>
                </w:pPr>
              </w:p>
            </w:tc>
            <w:tc>
              <w:tcPr>
                <w:tcW w:w="2552" w:type="dxa"/>
                <w:tcBorders>
                  <w:top w:val="nil"/>
                  <w:left w:val="nil"/>
                  <w:bottom w:val="nil"/>
                  <w:right w:val="single" w:sz="8" w:space="0" w:color="auto"/>
                </w:tcBorders>
                <w:shd w:val="clear" w:color="auto" w:fill="auto"/>
                <w:vAlign w:val="center"/>
                <w:hideMark/>
              </w:tcPr>
              <w:p w:rsidR="009B2FC7" w:rsidRPr="00F876CB" w:rsidRDefault="00087C38"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The amount of energy given to the system as surplus</w:t>
                </w:r>
                <w:r w:rsidR="009B2FC7" w:rsidRPr="00F876CB">
                  <w:rPr>
                    <w:rFonts w:ascii="Times New Roman" w:eastAsia="Times New Roman" w:hAnsi="Times New Roman" w:cs="Times New Roman"/>
                    <w:b/>
                    <w:bCs/>
                    <w:color w:val="000000"/>
                    <w:sz w:val="24"/>
                    <w:szCs w:val="24"/>
                    <w:lang w:val="en-GB" w:eastAsia="tr-TR" w:bidi="ar-SA"/>
                  </w:rPr>
                  <w:t xml:space="preserve"> (MWh)</w:t>
                </w:r>
              </w:p>
            </w:tc>
            <w:tc>
              <w:tcPr>
                <w:tcW w:w="1276" w:type="dxa"/>
                <w:tcBorders>
                  <w:top w:val="nil"/>
                  <w:left w:val="nil"/>
                  <w:bottom w:val="nil"/>
                  <w:right w:val="single" w:sz="8" w:space="0" w:color="auto"/>
                </w:tcBorders>
                <w:shd w:val="clear" w:color="auto" w:fill="auto"/>
                <w:vAlign w:val="center"/>
                <w:hideMark/>
              </w:tcPr>
              <w:p w:rsidR="009B2FC7" w:rsidRPr="00F876CB" w:rsidRDefault="00087C38"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Share</w:t>
                </w:r>
                <w:r w:rsidR="009B2FC7" w:rsidRPr="00F876CB">
                  <w:rPr>
                    <w:rFonts w:ascii="Times New Roman" w:eastAsia="Times New Roman" w:hAnsi="Times New Roman" w:cs="Times New Roman"/>
                    <w:b/>
                    <w:bCs/>
                    <w:color w:val="000000"/>
                    <w:sz w:val="24"/>
                    <w:szCs w:val="24"/>
                    <w:lang w:val="en-GB" w:eastAsia="tr-TR" w:bidi="ar-SA"/>
                  </w:rPr>
                  <w:br/>
                  <w:t>(%)</w:t>
                </w:r>
              </w:p>
            </w:tc>
            <w:tc>
              <w:tcPr>
                <w:tcW w:w="2551" w:type="dxa"/>
                <w:tcBorders>
                  <w:top w:val="nil"/>
                  <w:left w:val="nil"/>
                  <w:bottom w:val="nil"/>
                  <w:right w:val="single" w:sz="8" w:space="0" w:color="auto"/>
                </w:tcBorders>
                <w:shd w:val="clear" w:color="auto" w:fill="auto"/>
                <w:vAlign w:val="center"/>
                <w:hideMark/>
              </w:tcPr>
              <w:p w:rsidR="009B2FC7" w:rsidRPr="00F876CB" w:rsidRDefault="00087C38"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The amount of energy given to the system as surplus</w:t>
                </w:r>
                <w:r w:rsidR="009B2FC7" w:rsidRPr="00F876CB">
                  <w:rPr>
                    <w:rFonts w:ascii="Times New Roman" w:eastAsia="Times New Roman" w:hAnsi="Times New Roman" w:cs="Times New Roman"/>
                    <w:b/>
                    <w:bCs/>
                    <w:color w:val="000000"/>
                    <w:sz w:val="24"/>
                    <w:szCs w:val="24"/>
                    <w:lang w:val="en-GB" w:eastAsia="tr-TR" w:bidi="ar-SA"/>
                  </w:rPr>
                  <w:t xml:space="preserve"> (MWh)</w:t>
                </w:r>
              </w:p>
            </w:tc>
            <w:tc>
              <w:tcPr>
                <w:tcW w:w="992" w:type="dxa"/>
                <w:tcBorders>
                  <w:top w:val="nil"/>
                  <w:left w:val="nil"/>
                  <w:bottom w:val="nil"/>
                  <w:right w:val="single" w:sz="8" w:space="0" w:color="auto"/>
                </w:tcBorders>
                <w:shd w:val="clear" w:color="auto" w:fill="auto"/>
                <w:vAlign w:val="center"/>
                <w:hideMark/>
              </w:tcPr>
              <w:p w:rsidR="009B2FC7" w:rsidRPr="00F876CB" w:rsidRDefault="00087C38"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Share</w:t>
                </w:r>
                <w:r w:rsidR="009B2FC7" w:rsidRPr="00F876CB">
                  <w:rPr>
                    <w:rFonts w:ascii="Times New Roman" w:eastAsia="Times New Roman" w:hAnsi="Times New Roman" w:cs="Times New Roman"/>
                    <w:b/>
                    <w:bCs/>
                    <w:color w:val="000000"/>
                    <w:sz w:val="24"/>
                    <w:szCs w:val="24"/>
                    <w:lang w:val="en-GB" w:eastAsia="tr-TR" w:bidi="ar-SA"/>
                  </w:rPr>
                  <w:br/>
                  <w:t>(%)</w:t>
                </w:r>
              </w:p>
            </w:tc>
          </w:tr>
          <w:tr w:rsidR="009B2FC7" w:rsidRPr="00F876CB" w:rsidTr="009B2FC7">
            <w:trPr>
              <w:trHeight w:val="202"/>
            </w:trPr>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B2FC7" w:rsidRPr="00F876CB" w:rsidRDefault="00087C38" w:rsidP="009B2FC7">
                <w:pPr>
                  <w:spacing w:after="0" w:line="240" w:lineRule="auto"/>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Solar</w:t>
                </w:r>
              </w:p>
            </w:tc>
            <w:tc>
              <w:tcPr>
                <w:tcW w:w="2552" w:type="dxa"/>
                <w:tcBorders>
                  <w:top w:val="single" w:sz="8" w:space="0" w:color="auto"/>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7.860.576,89</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95,71</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9.425.965,29</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95,90</w:t>
                </w:r>
              </w:p>
            </w:tc>
          </w:tr>
          <w:tr w:rsidR="009B2FC7" w:rsidRPr="00F876CB"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Bi</w:t>
                </w:r>
                <w:r w:rsidR="00087C38" w:rsidRPr="00F876CB">
                  <w:rPr>
                    <w:rFonts w:ascii="Times New Roman" w:eastAsia="Times New Roman" w:hAnsi="Times New Roman" w:cs="Times New Roman"/>
                    <w:color w:val="000000"/>
                    <w:sz w:val="24"/>
                    <w:szCs w:val="24"/>
                    <w:lang w:val="en-GB" w:eastAsia="tr-TR" w:bidi="ar-SA"/>
                  </w:rPr>
                  <w:t>omass</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205.901,95</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2,51</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255.486,79</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2,60</w:t>
                </w:r>
              </w:p>
            </w:tc>
          </w:tr>
          <w:tr w:rsidR="009B2FC7" w:rsidRPr="00F876CB"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F876CB" w:rsidRDefault="00087C38" w:rsidP="009B2FC7">
                <w:pPr>
                  <w:spacing w:after="0" w:line="240" w:lineRule="auto"/>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Wind</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111.542,03</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1,36</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113.558,01</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1,16</w:t>
                </w:r>
              </w:p>
            </w:tc>
          </w:tr>
          <w:tr w:rsidR="009B2FC7" w:rsidRPr="00F876CB"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H</w:t>
                </w:r>
                <w:r w:rsidR="00087C38" w:rsidRPr="00F876CB">
                  <w:rPr>
                    <w:rFonts w:ascii="Times New Roman" w:eastAsia="Times New Roman" w:hAnsi="Times New Roman" w:cs="Times New Roman"/>
                    <w:color w:val="000000"/>
                    <w:sz w:val="24"/>
                    <w:szCs w:val="24"/>
                    <w:lang w:val="en-GB" w:eastAsia="tr-TR" w:bidi="ar-SA"/>
                  </w:rPr>
                  <w:t>ydraulic</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34.750,58</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0,42</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34.437,65</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0,34</w:t>
                </w:r>
              </w:p>
            </w:tc>
          </w:tr>
          <w:tr w:rsidR="009B2FC7" w:rsidRPr="00F876CB" w:rsidTr="009B2FC7">
            <w:trPr>
              <w:trHeight w:val="202"/>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9B2FC7" w:rsidRPr="00F876CB" w:rsidRDefault="00087C38" w:rsidP="009B2FC7">
                <w:pPr>
                  <w:spacing w:after="0" w:line="240" w:lineRule="auto"/>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Total</w:t>
                </w:r>
              </w:p>
            </w:tc>
            <w:tc>
              <w:tcPr>
                <w:tcW w:w="255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8.212.771,44</w:t>
                </w:r>
              </w:p>
            </w:tc>
            <w:tc>
              <w:tcPr>
                <w:tcW w:w="1276"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100,00</w:t>
                </w:r>
              </w:p>
            </w:tc>
            <w:tc>
              <w:tcPr>
                <w:tcW w:w="2551"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right"/>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9.829.447,73</w:t>
                </w:r>
              </w:p>
            </w:tc>
            <w:tc>
              <w:tcPr>
                <w:tcW w:w="992" w:type="dxa"/>
                <w:tcBorders>
                  <w:top w:val="nil"/>
                  <w:left w:val="nil"/>
                  <w:bottom w:val="single" w:sz="8" w:space="0" w:color="auto"/>
                  <w:right w:val="single" w:sz="8"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000000"/>
                    <w:sz w:val="24"/>
                    <w:szCs w:val="24"/>
                    <w:lang w:val="en-GB" w:eastAsia="tr-TR" w:bidi="ar-SA"/>
                  </w:rPr>
                </w:pPr>
                <w:r w:rsidRPr="00F876CB">
                  <w:rPr>
                    <w:rFonts w:ascii="Times New Roman" w:eastAsia="Times New Roman" w:hAnsi="Times New Roman" w:cs="Times New Roman"/>
                    <w:b/>
                    <w:bCs/>
                    <w:color w:val="000000"/>
                    <w:sz w:val="24"/>
                    <w:szCs w:val="24"/>
                    <w:lang w:val="en-GB" w:eastAsia="tr-TR" w:bidi="ar-SA"/>
                  </w:rPr>
                  <w:t>100,00</w:t>
                </w:r>
              </w:p>
            </w:tc>
          </w:tr>
        </w:tbl>
        <w:p w:rsidR="007D49DA" w:rsidRPr="00F876CB" w:rsidRDefault="007D49DA" w:rsidP="007D49DA">
          <w:pPr>
            <w:pStyle w:val="ListeParagraf"/>
            <w:spacing w:after="120"/>
            <w:ind w:left="1440"/>
            <w:jc w:val="both"/>
            <w:rPr>
              <w:rFonts w:asciiTheme="minorHAnsi" w:hAnsiTheme="minorHAnsi" w:cstheme="minorHAnsi"/>
              <w:b/>
              <w:bCs/>
              <w:color w:val="FF0000"/>
              <w:sz w:val="24"/>
              <w:szCs w:val="24"/>
              <w:lang w:val="en-GB"/>
            </w:rPr>
          </w:pPr>
        </w:p>
        <w:p w:rsidR="007D49DA" w:rsidRPr="00F876CB" w:rsidRDefault="007D49DA" w:rsidP="007D49DA">
          <w:pPr>
            <w:pStyle w:val="ListeParagraf"/>
            <w:spacing w:after="120"/>
            <w:ind w:left="1440"/>
            <w:jc w:val="both"/>
            <w:rPr>
              <w:rFonts w:asciiTheme="minorHAnsi" w:hAnsiTheme="minorHAnsi" w:cstheme="minorHAnsi"/>
              <w:b/>
              <w:bCs/>
              <w:color w:val="FF0000"/>
              <w:sz w:val="24"/>
              <w:szCs w:val="24"/>
              <w:highlight w:val="yellow"/>
              <w:lang w:val="en-GB"/>
            </w:rPr>
          </w:pPr>
        </w:p>
        <w:p w:rsidR="007D49DA" w:rsidRPr="00F876CB" w:rsidRDefault="007D49DA" w:rsidP="007D49DA">
          <w:pPr>
            <w:pStyle w:val="ListeParagraf"/>
            <w:spacing w:after="120"/>
            <w:ind w:left="1440"/>
            <w:jc w:val="both"/>
            <w:rPr>
              <w:rFonts w:asciiTheme="minorHAnsi" w:hAnsiTheme="minorHAnsi" w:cstheme="minorHAnsi"/>
              <w:b/>
              <w:bCs/>
              <w:color w:val="FF0000"/>
              <w:sz w:val="24"/>
              <w:szCs w:val="24"/>
              <w:highlight w:val="yellow"/>
              <w:lang w:val="en-GB"/>
            </w:rPr>
          </w:pPr>
        </w:p>
        <w:p w:rsidR="007D49DA" w:rsidRPr="00302599" w:rsidRDefault="00087C38" w:rsidP="00302599">
          <w:pPr>
            <w:pStyle w:val="ListeParagraf"/>
            <w:numPr>
              <w:ilvl w:val="0"/>
              <w:numId w:val="20"/>
            </w:numPr>
            <w:spacing w:line="240" w:lineRule="auto"/>
            <w:ind w:left="0"/>
            <w:rPr>
              <w:rFonts w:ascii="Times New Roman" w:hAnsi="Times New Roman" w:cs="Times New Roman"/>
              <w:b/>
              <w:bCs/>
              <w:sz w:val="24"/>
              <w:szCs w:val="24"/>
              <w:lang w:val="en-GB"/>
            </w:rPr>
          </w:pPr>
          <w:r w:rsidRPr="00302599">
            <w:rPr>
              <w:rFonts w:ascii="Times New Roman" w:hAnsi="Times New Roman" w:cs="Times New Roman"/>
              <w:b/>
              <w:bCs/>
              <w:sz w:val="24"/>
              <w:szCs w:val="24"/>
              <w:lang w:val="en-GB"/>
            </w:rPr>
            <w:t>Invoiced Consumption</w:t>
          </w:r>
        </w:p>
        <w:p w:rsidR="007D49DA" w:rsidRPr="00F876CB" w:rsidRDefault="007D49DA" w:rsidP="007D49DA">
          <w:pPr>
            <w:pStyle w:val="ListeParagraf"/>
            <w:spacing w:after="120"/>
            <w:jc w:val="both"/>
            <w:rPr>
              <w:rFonts w:asciiTheme="minorHAnsi" w:hAnsiTheme="minorHAnsi" w:cstheme="minorHAnsi"/>
              <w:b/>
              <w:bCs/>
              <w:sz w:val="24"/>
              <w:szCs w:val="24"/>
              <w:lang w:val="en-GB"/>
            </w:rPr>
          </w:pPr>
        </w:p>
        <w:tbl>
          <w:tblPr>
            <w:tblW w:w="9959" w:type="dxa"/>
            <w:tblInd w:w="70" w:type="dxa"/>
            <w:tblCellMar>
              <w:left w:w="70" w:type="dxa"/>
              <w:right w:w="70" w:type="dxa"/>
            </w:tblCellMar>
            <w:tblLook w:val="04A0" w:firstRow="1" w:lastRow="0" w:firstColumn="1" w:lastColumn="0" w:noHBand="0" w:noVBand="1"/>
          </w:tblPr>
          <w:tblGrid>
            <w:gridCol w:w="1560"/>
            <w:gridCol w:w="1417"/>
            <w:gridCol w:w="1414"/>
            <w:gridCol w:w="1313"/>
            <w:gridCol w:w="1313"/>
            <w:gridCol w:w="1414"/>
            <w:gridCol w:w="1528"/>
          </w:tblGrid>
          <w:tr w:rsidR="000F6CB6" w:rsidRPr="00F876CB" w:rsidTr="000F6CB6">
            <w:trPr>
              <w:trHeight w:val="686"/>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F6CB6" w:rsidRPr="00F876CB" w:rsidRDefault="00087C38" w:rsidP="000F6CB6">
                <w:pPr>
                  <w:spacing w:after="0" w:line="240" w:lineRule="auto"/>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Consumer Type</w:t>
                </w:r>
              </w:p>
            </w:tc>
            <w:tc>
              <w:tcPr>
                <w:tcW w:w="2831" w:type="dxa"/>
                <w:gridSpan w:val="2"/>
                <w:tcBorders>
                  <w:top w:val="single" w:sz="8" w:space="0" w:color="auto"/>
                  <w:left w:val="nil"/>
                  <w:bottom w:val="single" w:sz="8" w:space="0" w:color="auto"/>
                  <w:right w:val="single" w:sz="8" w:space="0" w:color="000000"/>
                </w:tcBorders>
                <w:shd w:val="clear" w:color="auto" w:fill="auto"/>
                <w:vAlign w:val="center"/>
                <w:hideMark/>
              </w:tcPr>
              <w:p w:rsidR="000F6CB6" w:rsidRPr="00F876CB" w:rsidRDefault="00087C38" w:rsidP="000F6CB6">
                <w:pPr>
                  <w:spacing w:after="0" w:line="240" w:lineRule="auto"/>
                  <w:jc w:val="center"/>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 xml:space="preserve">Consumption </w:t>
                </w:r>
                <w:proofErr w:type="gramStart"/>
                <w:r w:rsidRPr="00F876CB">
                  <w:rPr>
                    <w:rFonts w:ascii="Calibri" w:eastAsia="Times New Roman" w:hAnsi="Calibri" w:cs="Calibri"/>
                    <w:b/>
                    <w:bCs/>
                    <w:color w:val="000000"/>
                    <w:sz w:val="20"/>
                    <w:szCs w:val="20"/>
                    <w:lang w:val="en-GB" w:eastAsia="tr-TR" w:bidi="ar-SA"/>
                  </w:rPr>
                  <w:t>Amount</w:t>
                </w:r>
                <w:proofErr w:type="gramEnd"/>
                <w:r w:rsidRPr="00F876CB">
                  <w:rPr>
                    <w:rFonts w:ascii="Calibri" w:eastAsia="Times New Roman" w:hAnsi="Calibri" w:cs="Calibri"/>
                    <w:b/>
                    <w:bCs/>
                    <w:color w:val="000000"/>
                    <w:sz w:val="20"/>
                    <w:szCs w:val="20"/>
                    <w:lang w:val="en-GB" w:eastAsia="tr-TR" w:bidi="ar-SA"/>
                  </w:rPr>
                  <w:t xml:space="preserve"> of Consumers Connected to the Distribution Voltage level</w:t>
                </w:r>
                <w:r w:rsidR="000F6CB6" w:rsidRPr="00F876CB">
                  <w:rPr>
                    <w:rFonts w:ascii="Calibri" w:eastAsia="Times New Roman" w:hAnsi="Calibri" w:cs="Calibri"/>
                    <w:b/>
                    <w:bCs/>
                    <w:color w:val="000000"/>
                    <w:sz w:val="20"/>
                    <w:szCs w:val="20"/>
                    <w:lang w:val="en-GB" w:eastAsia="tr-TR" w:bidi="ar-SA"/>
                  </w:rPr>
                  <w:t xml:space="preserve"> (MWh)</w:t>
                </w:r>
              </w:p>
            </w:tc>
            <w:tc>
              <w:tcPr>
                <w:tcW w:w="2626" w:type="dxa"/>
                <w:gridSpan w:val="2"/>
                <w:tcBorders>
                  <w:top w:val="single" w:sz="8" w:space="0" w:color="auto"/>
                  <w:left w:val="nil"/>
                  <w:bottom w:val="single" w:sz="8" w:space="0" w:color="auto"/>
                  <w:right w:val="single" w:sz="8" w:space="0" w:color="000000"/>
                </w:tcBorders>
                <w:shd w:val="clear" w:color="auto" w:fill="auto"/>
                <w:vAlign w:val="center"/>
                <w:hideMark/>
              </w:tcPr>
              <w:p w:rsidR="000F6CB6" w:rsidRPr="00F876CB" w:rsidRDefault="00087C38" w:rsidP="000F6CB6">
                <w:pPr>
                  <w:spacing w:after="0" w:line="240" w:lineRule="auto"/>
                  <w:jc w:val="center"/>
                  <w:rPr>
                    <w:rFonts w:ascii="Calibri" w:eastAsia="Times New Roman" w:hAnsi="Calibri" w:cs="Calibri"/>
                    <w:b/>
                    <w:bCs/>
                    <w:color w:val="000000"/>
                    <w:sz w:val="20"/>
                    <w:szCs w:val="20"/>
                    <w:lang w:val="en-GB" w:eastAsia="tr-TR" w:bidi="ar-SA"/>
                  </w:rPr>
                </w:pPr>
                <w:r w:rsidRPr="00F876CB">
                  <w:rPr>
                    <w:rFonts w:ascii="Times New Roman" w:eastAsia="Times New Roman" w:hAnsi="Times New Roman" w:cs="Times New Roman"/>
                    <w:b/>
                    <w:bCs/>
                    <w:color w:val="000000"/>
                    <w:sz w:val="20"/>
                    <w:szCs w:val="20"/>
                    <w:lang w:val="en-GB" w:eastAsia="tr-TR"/>
                  </w:rPr>
                  <w:t xml:space="preserve">Consumption </w:t>
                </w:r>
                <w:proofErr w:type="gramStart"/>
                <w:r w:rsidRPr="00F876CB">
                  <w:rPr>
                    <w:rFonts w:ascii="Times New Roman" w:eastAsia="Times New Roman" w:hAnsi="Times New Roman" w:cs="Times New Roman"/>
                    <w:b/>
                    <w:bCs/>
                    <w:color w:val="000000"/>
                    <w:sz w:val="20"/>
                    <w:szCs w:val="20"/>
                    <w:lang w:val="en-GB" w:eastAsia="tr-TR"/>
                  </w:rPr>
                  <w:t>Amount</w:t>
                </w:r>
                <w:proofErr w:type="gramEnd"/>
                <w:r w:rsidRPr="00F876CB">
                  <w:rPr>
                    <w:rFonts w:ascii="Times New Roman" w:eastAsia="Times New Roman" w:hAnsi="Times New Roman" w:cs="Times New Roman"/>
                    <w:b/>
                    <w:bCs/>
                    <w:color w:val="000000"/>
                    <w:sz w:val="20"/>
                    <w:szCs w:val="20"/>
                    <w:lang w:val="en-GB" w:eastAsia="tr-TR"/>
                  </w:rPr>
                  <w:t xml:space="preserve"> of Consumers Connected to Transmission Voltage Level </w:t>
                </w:r>
                <w:r w:rsidR="000F6CB6" w:rsidRPr="00F876CB">
                  <w:rPr>
                    <w:rFonts w:ascii="Calibri" w:eastAsia="Times New Roman" w:hAnsi="Calibri" w:cs="Calibri"/>
                    <w:b/>
                    <w:bCs/>
                    <w:color w:val="000000"/>
                    <w:sz w:val="20"/>
                    <w:szCs w:val="20"/>
                    <w:lang w:val="en-GB" w:eastAsia="tr-TR" w:bidi="ar-SA"/>
                  </w:rPr>
                  <w:t>(MWh)</w:t>
                </w:r>
              </w:p>
            </w:tc>
            <w:tc>
              <w:tcPr>
                <w:tcW w:w="2942" w:type="dxa"/>
                <w:gridSpan w:val="2"/>
                <w:tcBorders>
                  <w:top w:val="single" w:sz="8" w:space="0" w:color="auto"/>
                  <w:left w:val="nil"/>
                  <w:bottom w:val="single" w:sz="8" w:space="0" w:color="auto"/>
                  <w:right w:val="single" w:sz="8" w:space="0" w:color="000000"/>
                </w:tcBorders>
                <w:shd w:val="clear" w:color="auto" w:fill="auto"/>
                <w:noWrap/>
                <w:vAlign w:val="center"/>
                <w:hideMark/>
              </w:tcPr>
              <w:p w:rsidR="000F6CB6" w:rsidRPr="00F876CB" w:rsidRDefault="000F6CB6" w:rsidP="000F6CB6">
                <w:pPr>
                  <w:spacing w:after="0" w:line="240" w:lineRule="auto"/>
                  <w:jc w:val="center"/>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To</w:t>
                </w:r>
                <w:r w:rsidR="00087C38" w:rsidRPr="00F876CB">
                  <w:rPr>
                    <w:rFonts w:ascii="Calibri" w:eastAsia="Times New Roman" w:hAnsi="Calibri" w:cs="Calibri"/>
                    <w:b/>
                    <w:bCs/>
                    <w:color w:val="000000"/>
                    <w:sz w:val="20"/>
                    <w:szCs w:val="20"/>
                    <w:lang w:val="en-GB" w:eastAsia="tr-TR" w:bidi="ar-SA"/>
                  </w:rPr>
                  <w:t>tal</w:t>
                </w:r>
                <w:r w:rsidRPr="00F876CB">
                  <w:rPr>
                    <w:rFonts w:ascii="Calibri" w:eastAsia="Times New Roman" w:hAnsi="Calibri" w:cs="Calibri"/>
                    <w:b/>
                    <w:bCs/>
                    <w:color w:val="000000"/>
                    <w:sz w:val="20"/>
                    <w:szCs w:val="20"/>
                    <w:lang w:val="en-GB" w:eastAsia="tr-TR" w:bidi="ar-SA"/>
                  </w:rPr>
                  <w:t xml:space="preserve"> (MWh)</w:t>
                </w:r>
              </w:p>
            </w:tc>
          </w:tr>
          <w:tr w:rsidR="000F6CB6" w:rsidRPr="00F876CB"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 </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2018</w:t>
                </w:r>
              </w:p>
            </w:tc>
            <w:tc>
              <w:tcPr>
                <w:tcW w:w="1414" w:type="dxa"/>
                <w:tcBorders>
                  <w:top w:val="nil"/>
                  <w:left w:val="nil"/>
                  <w:bottom w:val="single" w:sz="8" w:space="0" w:color="auto"/>
                  <w:right w:val="single" w:sz="8" w:space="0" w:color="auto"/>
                </w:tcBorders>
                <w:shd w:val="clear" w:color="auto" w:fill="auto"/>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2019</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2018</w:t>
                </w:r>
              </w:p>
            </w:tc>
            <w:tc>
              <w:tcPr>
                <w:tcW w:w="1313" w:type="dxa"/>
                <w:tcBorders>
                  <w:top w:val="nil"/>
                  <w:left w:val="nil"/>
                  <w:bottom w:val="single" w:sz="8" w:space="0" w:color="auto"/>
                  <w:right w:val="single" w:sz="8" w:space="0" w:color="auto"/>
                </w:tcBorders>
                <w:shd w:val="clear" w:color="auto" w:fill="auto"/>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2018</w:t>
                </w:r>
              </w:p>
            </w:tc>
            <w:tc>
              <w:tcPr>
                <w:tcW w:w="1528" w:type="dxa"/>
                <w:tcBorders>
                  <w:top w:val="nil"/>
                  <w:left w:val="nil"/>
                  <w:bottom w:val="single" w:sz="8" w:space="0" w:color="auto"/>
                  <w:right w:val="single" w:sz="8" w:space="0" w:color="auto"/>
                </w:tcBorders>
                <w:shd w:val="clear" w:color="auto" w:fill="auto"/>
                <w:vAlign w:val="center"/>
                <w:hideMark/>
              </w:tcPr>
              <w:p w:rsidR="000F6CB6" w:rsidRPr="00F876CB" w:rsidRDefault="000F6CB6" w:rsidP="000F6CB6">
                <w:pPr>
                  <w:spacing w:after="0" w:line="240" w:lineRule="auto"/>
                  <w:jc w:val="center"/>
                  <w:rPr>
                    <w:rFonts w:ascii="Calibri" w:eastAsia="Times New Roman" w:hAnsi="Calibri" w:cs="Calibri"/>
                    <w:b/>
                    <w:bCs/>
                    <w:color w:val="000000"/>
                    <w:lang w:val="en-GB" w:eastAsia="tr-TR" w:bidi="ar-SA"/>
                  </w:rPr>
                </w:pPr>
                <w:r w:rsidRPr="00F876CB">
                  <w:rPr>
                    <w:rFonts w:ascii="Calibri" w:eastAsia="Times New Roman" w:hAnsi="Calibri" w:cs="Calibri"/>
                    <w:b/>
                    <w:bCs/>
                    <w:color w:val="000000"/>
                    <w:lang w:val="en-GB" w:eastAsia="tr-TR" w:bidi="ar-SA"/>
                  </w:rPr>
                  <w:t>2019</w:t>
                </w:r>
              </w:p>
            </w:tc>
          </w:tr>
          <w:tr w:rsidR="000F6CB6" w:rsidRPr="00F876CB"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87C38" w:rsidP="000F6CB6">
                <w:pPr>
                  <w:spacing w:after="0" w:line="240" w:lineRule="auto"/>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Non-Eligible Consumer</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147.685.452,79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134.409.689,21</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16.747.847,16</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1.278.906,46</w:t>
                </w:r>
              </w:p>
            </w:tc>
            <w:tc>
              <w:tcPr>
                <w:tcW w:w="1414" w:type="dxa"/>
                <w:tcBorders>
                  <w:top w:val="nil"/>
                  <w:left w:val="nil"/>
                  <w:bottom w:val="single" w:sz="8" w:space="0" w:color="auto"/>
                  <w:right w:val="nil"/>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164.433.299,95</w:t>
                </w:r>
              </w:p>
            </w:tc>
            <w:tc>
              <w:tcPr>
                <w:tcW w:w="1528"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135.688.595,67</w:t>
                </w:r>
              </w:p>
            </w:tc>
          </w:tr>
          <w:tr w:rsidR="000F6CB6" w:rsidRPr="00F876CB"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87C38" w:rsidP="000F6CB6">
                <w:pPr>
                  <w:spacing w:after="0" w:line="240" w:lineRule="auto"/>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Eligible Consumer</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30.225.373,40</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41.494.792,25</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38.951.356,19</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52.414.525,73</w:t>
                </w:r>
              </w:p>
            </w:tc>
            <w:tc>
              <w:tcPr>
                <w:tcW w:w="1414" w:type="dxa"/>
                <w:tcBorders>
                  <w:top w:val="nil"/>
                  <w:left w:val="nil"/>
                  <w:bottom w:val="single" w:sz="8" w:space="0" w:color="auto"/>
                  <w:right w:val="nil"/>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69.176.729,59</w:t>
                </w:r>
              </w:p>
            </w:tc>
            <w:tc>
              <w:tcPr>
                <w:tcW w:w="1528"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color w:val="000000"/>
                    <w:sz w:val="20"/>
                    <w:szCs w:val="20"/>
                    <w:lang w:val="en-GB" w:eastAsia="tr-TR" w:bidi="ar-SA"/>
                  </w:rPr>
                </w:pPr>
                <w:r w:rsidRPr="00F876CB">
                  <w:rPr>
                    <w:rFonts w:ascii="Calibri" w:eastAsia="Times New Roman" w:hAnsi="Calibri" w:cs="Calibri"/>
                    <w:color w:val="000000"/>
                    <w:sz w:val="20"/>
                    <w:szCs w:val="20"/>
                    <w:lang w:val="en-GB" w:eastAsia="tr-TR" w:bidi="ar-SA"/>
                  </w:rPr>
                  <w:t>93.909.317,98</w:t>
                </w:r>
              </w:p>
            </w:tc>
          </w:tr>
          <w:tr w:rsidR="000F6CB6" w:rsidRPr="00F876CB" w:rsidTr="000F6CB6">
            <w:trPr>
              <w:trHeight w:val="211"/>
            </w:trPr>
            <w:tc>
              <w:tcPr>
                <w:tcW w:w="1560" w:type="dxa"/>
                <w:tcBorders>
                  <w:top w:val="nil"/>
                  <w:left w:val="single" w:sz="8" w:space="0" w:color="auto"/>
                  <w:bottom w:val="single" w:sz="8" w:space="0" w:color="auto"/>
                  <w:right w:val="single" w:sz="8" w:space="0" w:color="auto"/>
                </w:tcBorders>
                <w:shd w:val="clear" w:color="auto" w:fill="auto"/>
                <w:noWrap/>
                <w:vAlign w:val="center"/>
                <w:hideMark/>
              </w:tcPr>
              <w:p w:rsidR="000F6CB6" w:rsidRPr="00F876CB" w:rsidRDefault="00087C38" w:rsidP="000F6CB6">
                <w:pPr>
                  <w:spacing w:after="0" w:line="240" w:lineRule="auto"/>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Total</w:t>
                </w:r>
              </w:p>
            </w:tc>
            <w:tc>
              <w:tcPr>
                <w:tcW w:w="1417"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177.910.826,19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175.904.481,46</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55.699.203,35</w:t>
                </w:r>
              </w:p>
            </w:tc>
            <w:tc>
              <w:tcPr>
                <w:tcW w:w="1313"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53.693.432,19</w:t>
                </w:r>
              </w:p>
            </w:tc>
            <w:tc>
              <w:tcPr>
                <w:tcW w:w="1414"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233.610.029,54</w:t>
                </w:r>
              </w:p>
            </w:tc>
            <w:tc>
              <w:tcPr>
                <w:tcW w:w="1528" w:type="dxa"/>
                <w:tcBorders>
                  <w:top w:val="nil"/>
                  <w:left w:val="nil"/>
                  <w:bottom w:val="single" w:sz="8" w:space="0" w:color="auto"/>
                  <w:right w:val="single" w:sz="8" w:space="0" w:color="auto"/>
                </w:tcBorders>
                <w:shd w:val="clear" w:color="auto" w:fill="auto"/>
                <w:noWrap/>
                <w:vAlign w:val="center"/>
                <w:hideMark/>
              </w:tcPr>
              <w:p w:rsidR="000F6CB6" w:rsidRPr="00F876CB" w:rsidRDefault="000F6CB6" w:rsidP="000F6CB6">
                <w:pPr>
                  <w:spacing w:after="0" w:line="240" w:lineRule="auto"/>
                  <w:jc w:val="right"/>
                  <w:rPr>
                    <w:rFonts w:ascii="Calibri" w:eastAsia="Times New Roman" w:hAnsi="Calibri" w:cs="Calibri"/>
                    <w:b/>
                    <w:bCs/>
                    <w:color w:val="000000"/>
                    <w:sz w:val="20"/>
                    <w:szCs w:val="20"/>
                    <w:lang w:val="en-GB" w:eastAsia="tr-TR" w:bidi="ar-SA"/>
                  </w:rPr>
                </w:pPr>
                <w:r w:rsidRPr="00F876CB">
                  <w:rPr>
                    <w:rFonts w:ascii="Calibri" w:eastAsia="Times New Roman" w:hAnsi="Calibri" w:cs="Calibri"/>
                    <w:b/>
                    <w:bCs/>
                    <w:color w:val="000000"/>
                    <w:sz w:val="20"/>
                    <w:szCs w:val="20"/>
                    <w:lang w:val="en-GB" w:eastAsia="tr-TR" w:bidi="ar-SA"/>
                  </w:rPr>
                  <w:t>229.597.913,65</w:t>
                </w:r>
              </w:p>
            </w:tc>
          </w:tr>
        </w:tbl>
        <w:p w:rsidR="007D49DA" w:rsidRDefault="007D49DA" w:rsidP="007D49DA">
          <w:pPr>
            <w:spacing w:after="120" w:line="240" w:lineRule="auto"/>
            <w:jc w:val="both"/>
            <w:rPr>
              <w:rFonts w:asciiTheme="minorHAnsi" w:hAnsiTheme="minorHAnsi" w:cstheme="minorHAnsi"/>
              <w:bCs/>
              <w:sz w:val="24"/>
              <w:szCs w:val="24"/>
              <w:lang w:val="en-GB"/>
            </w:rPr>
          </w:pPr>
        </w:p>
        <w:p w:rsidR="00302599" w:rsidRPr="00F876CB" w:rsidRDefault="00302599" w:rsidP="007D49DA">
          <w:pPr>
            <w:spacing w:after="120" w:line="240" w:lineRule="auto"/>
            <w:jc w:val="both"/>
            <w:rPr>
              <w:rFonts w:asciiTheme="minorHAnsi" w:hAnsiTheme="minorHAnsi" w:cstheme="minorHAnsi"/>
              <w:bCs/>
              <w:sz w:val="24"/>
              <w:szCs w:val="24"/>
              <w:lang w:val="en-GB"/>
            </w:rPr>
          </w:pPr>
        </w:p>
        <w:p w:rsidR="007D49DA" w:rsidRPr="00302599" w:rsidRDefault="00F33403"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lastRenderedPageBreak/>
            <w:t>Electricity consumption, which was invoiced in</w:t>
          </w:r>
          <w:r w:rsidR="003A69A1" w:rsidRPr="00302599">
            <w:rPr>
              <w:rFonts w:ascii="Times New Roman" w:hAnsi="Times New Roman" w:cs="Times New Roman"/>
              <w:bCs/>
              <w:sz w:val="24"/>
              <w:szCs w:val="24"/>
              <w:lang w:val="en-GB"/>
            </w:rPr>
            <w:t xml:space="preserve"> 2019, decreased by 1,</w:t>
          </w:r>
          <w:r w:rsidRPr="00302599">
            <w:rPr>
              <w:rFonts w:ascii="Times New Roman" w:hAnsi="Times New Roman" w:cs="Times New Roman"/>
              <w:bCs/>
              <w:sz w:val="24"/>
              <w:szCs w:val="24"/>
              <w:lang w:val="en-GB"/>
            </w:rPr>
            <w:t>72% compared to the previous year and reached 229</w:t>
          </w:r>
          <w:r w:rsid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6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53</w:t>
          </w:r>
          <w:r w:rsid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7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xml:space="preserve"> of this amount was sold to consumers at the transmission voltage level, while the remaining 175</w:t>
          </w:r>
          <w:r w:rsid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9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xml:space="preserve"> was sold to consumers at the distribution voltage level.</w:t>
          </w:r>
        </w:p>
        <w:p w:rsidR="007D49DA" w:rsidRPr="00302599" w:rsidRDefault="007D49DA" w:rsidP="00302599">
          <w:pPr>
            <w:pStyle w:val="ListeParagraf"/>
            <w:spacing w:line="360" w:lineRule="auto"/>
            <w:ind w:left="0"/>
            <w:jc w:val="both"/>
            <w:rPr>
              <w:rFonts w:ascii="Times New Roman" w:hAnsi="Times New Roman" w:cs="Times New Roman"/>
              <w:bCs/>
              <w:sz w:val="24"/>
              <w:szCs w:val="24"/>
              <w:lang w:val="en-GB"/>
            </w:rPr>
          </w:pPr>
        </w:p>
        <w:p w:rsidR="007D49DA" w:rsidRPr="00302599" w:rsidRDefault="00D66522" w:rsidP="00302599">
          <w:pPr>
            <w:pStyle w:val="ListeParagraf"/>
            <w:numPr>
              <w:ilvl w:val="0"/>
              <w:numId w:val="30"/>
            </w:numPr>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In addit</w:t>
          </w:r>
          <w:r w:rsidR="003A69A1" w:rsidRPr="00302599">
            <w:rPr>
              <w:rFonts w:ascii="Times New Roman" w:hAnsi="Times New Roman" w:cs="Times New Roman"/>
              <w:bCs/>
              <w:sz w:val="24"/>
              <w:szCs w:val="24"/>
              <w:lang w:val="en-GB"/>
            </w:rPr>
            <w:t>ion, 93</w:t>
          </w:r>
          <w:r w:rsidR="00822668">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9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xml:space="preserve"> of 229</w:t>
          </w:r>
          <w:r w:rsid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6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xml:space="preserve"> consumption was consumed by free consumers and 135</w:t>
          </w:r>
          <w:r w:rsidR="00302599">
            <w:rPr>
              <w:rFonts w:ascii="Times New Roman" w:hAnsi="Times New Roman" w:cs="Times New Roman"/>
              <w:bCs/>
              <w:sz w:val="24"/>
              <w:szCs w:val="24"/>
              <w:lang w:val="en-GB"/>
            </w:rPr>
            <w:t>,</w:t>
          </w:r>
          <w:r w:rsidRPr="00302599">
            <w:rPr>
              <w:rFonts w:ascii="Times New Roman" w:hAnsi="Times New Roman" w:cs="Times New Roman"/>
              <w:bCs/>
              <w:sz w:val="24"/>
              <w:szCs w:val="24"/>
              <w:lang w:val="en-GB"/>
            </w:rPr>
            <w:t xml:space="preserve">7 </w:t>
          </w:r>
          <w:proofErr w:type="spellStart"/>
          <w:r w:rsidRPr="00302599">
            <w:rPr>
              <w:rFonts w:ascii="Times New Roman" w:hAnsi="Times New Roman" w:cs="Times New Roman"/>
              <w:bCs/>
              <w:sz w:val="24"/>
              <w:szCs w:val="24"/>
              <w:lang w:val="en-GB"/>
            </w:rPr>
            <w:t>TWh</w:t>
          </w:r>
          <w:proofErr w:type="spellEnd"/>
          <w:r w:rsidRPr="00302599">
            <w:rPr>
              <w:rFonts w:ascii="Times New Roman" w:hAnsi="Times New Roman" w:cs="Times New Roman"/>
              <w:bCs/>
              <w:sz w:val="24"/>
              <w:szCs w:val="24"/>
              <w:lang w:val="en-GB"/>
            </w:rPr>
            <w:t xml:space="preserve"> by non-eligible consumers.</w:t>
          </w:r>
        </w:p>
        <w:p w:rsidR="007D49DA" w:rsidRPr="00F876CB" w:rsidRDefault="007D49DA" w:rsidP="007D49DA">
          <w:pPr>
            <w:pStyle w:val="ListeParagraf"/>
            <w:rPr>
              <w:rFonts w:asciiTheme="minorHAnsi" w:hAnsiTheme="minorHAnsi" w:cstheme="minorHAnsi"/>
              <w:bCs/>
              <w:sz w:val="24"/>
              <w:szCs w:val="24"/>
              <w:lang w:val="en-GB"/>
            </w:rPr>
          </w:pP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7D49DA" w:rsidRPr="00F876CB" w:rsidRDefault="007D49DA" w:rsidP="007D49DA">
          <w:pPr>
            <w:pStyle w:val="ListeParagraf"/>
            <w:spacing w:after="120"/>
            <w:ind w:left="1440"/>
            <w:jc w:val="both"/>
            <w:rPr>
              <w:rFonts w:asciiTheme="minorHAnsi" w:hAnsiTheme="minorHAnsi" w:cstheme="minorHAnsi"/>
              <w:b/>
              <w:bCs/>
              <w:color w:val="FF0000"/>
              <w:sz w:val="24"/>
              <w:szCs w:val="24"/>
              <w:highlight w:val="yellow"/>
              <w:lang w:val="en-GB"/>
            </w:rPr>
          </w:pPr>
        </w:p>
        <w:p w:rsidR="007D49DA" w:rsidRPr="00302599" w:rsidRDefault="00B55D03" w:rsidP="00302599">
          <w:pPr>
            <w:pStyle w:val="ListeParagraf"/>
            <w:numPr>
              <w:ilvl w:val="0"/>
              <w:numId w:val="20"/>
            </w:numPr>
            <w:spacing w:line="240" w:lineRule="auto"/>
            <w:ind w:left="0"/>
            <w:rPr>
              <w:rFonts w:ascii="Times New Roman" w:hAnsi="Times New Roman" w:cs="Times New Roman"/>
              <w:b/>
              <w:bCs/>
              <w:sz w:val="24"/>
              <w:szCs w:val="24"/>
              <w:lang w:val="en-GB"/>
            </w:rPr>
          </w:pPr>
          <w:r w:rsidRPr="00302599">
            <w:rPr>
              <w:rFonts w:ascii="Times New Roman" w:hAnsi="Times New Roman" w:cs="Times New Roman"/>
              <w:b/>
              <w:bCs/>
              <w:sz w:val="24"/>
              <w:szCs w:val="24"/>
              <w:lang w:val="en-GB"/>
            </w:rPr>
            <w:t>Import and Export</w:t>
          </w:r>
        </w:p>
        <w:p w:rsidR="007D49DA" w:rsidRPr="00F876CB" w:rsidRDefault="007D49DA" w:rsidP="007D49DA">
          <w:pPr>
            <w:pStyle w:val="ListeParagraf"/>
            <w:spacing w:after="120"/>
            <w:jc w:val="both"/>
            <w:rPr>
              <w:rFonts w:asciiTheme="minorHAnsi" w:hAnsiTheme="minorHAnsi" w:cstheme="minorHAnsi"/>
              <w:b/>
              <w:bCs/>
              <w:sz w:val="24"/>
              <w:szCs w:val="24"/>
              <w:lang w:val="en-GB"/>
            </w:rPr>
          </w:pPr>
        </w:p>
        <w:p w:rsidR="007D49DA" w:rsidRPr="00080384" w:rsidRDefault="00B55D03"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080384">
            <w:rPr>
              <w:rFonts w:ascii="Times New Roman" w:hAnsi="Times New Roman" w:cs="Times New Roman"/>
              <w:bCs/>
              <w:sz w:val="24"/>
              <w:szCs w:val="24"/>
              <w:lang w:val="en-GB"/>
            </w:rPr>
            <w:t>In 2019, elec</w:t>
          </w:r>
          <w:r w:rsidR="003A69A1" w:rsidRPr="00080384">
            <w:rPr>
              <w:rFonts w:ascii="Times New Roman" w:hAnsi="Times New Roman" w:cs="Times New Roman"/>
              <w:bCs/>
              <w:sz w:val="24"/>
              <w:szCs w:val="24"/>
              <w:lang w:val="en-GB"/>
            </w:rPr>
            <w:t>tricity imports decreased by 10</w:t>
          </w:r>
          <w:r w:rsidR="0018168E">
            <w:rPr>
              <w:rFonts w:ascii="Times New Roman" w:hAnsi="Times New Roman" w:cs="Times New Roman"/>
              <w:bCs/>
              <w:sz w:val="24"/>
              <w:szCs w:val="24"/>
              <w:lang w:val="en-GB"/>
            </w:rPr>
            <w:t>,</w:t>
          </w:r>
          <w:r w:rsidRPr="00080384">
            <w:rPr>
              <w:rFonts w:ascii="Times New Roman" w:hAnsi="Times New Roman" w:cs="Times New Roman"/>
              <w:bCs/>
              <w:sz w:val="24"/>
              <w:szCs w:val="24"/>
              <w:lang w:val="en-GB"/>
            </w:rPr>
            <w:t xml:space="preserve">32% compared to </w:t>
          </w:r>
          <w:r w:rsidR="0018168E">
            <w:rPr>
              <w:rFonts w:ascii="Times New Roman" w:hAnsi="Times New Roman" w:cs="Times New Roman"/>
              <w:bCs/>
              <w:sz w:val="24"/>
              <w:szCs w:val="24"/>
              <w:lang w:val="en-GB"/>
            </w:rPr>
            <w:t>the previous year and reached 2,</w:t>
          </w:r>
          <w:r w:rsidRPr="00080384">
            <w:rPr>
              <w:rFonts w:ascii="Times New Roman" w:hAnsi="Times New Roman" w:cs="Times New Roman"/>
              <w:bCs/>
              <w:sz w:val="24"/>
              <w:szCs w:val="24"/>
              <w:lang w:val="en-GB"/>
            </w:rPr>
            <w:t xml:space="preserve">21 </w:t>
          </w:r>
          <w:proofErr w:type="spellStart"/>
          <w:r w:rsidRPr="00080384">
            <w:rPr>
              <w:rFonts w:ascii="Times New Roman" w:hAnsi="Times New Roman" w:cs="Times New Roman"/>
              <w:bCs/>
              <w:sz w:val="24"/>
              <w:szCs w:val="24"/>
              <w:lang w:val="en-GB"/>
            </w:rPr>
            <w:t>TWh</w:t>
          </w:r>
          <w:proofErr w:type="spellEnd"/>
          <w:r w:rsidRPr="00080384">
            <w:rPr>
              <w:rFonts w:ascii="Times New Roman" w:hAnsi="Times New Roman" w:cs="Times New Roman"/>
              <w:bCs/>
              <w:sz w:val="24"/>
              <w:szCs w:val="24"/>
              <w:lang w:val="en-GB"/>
            </w:rPr>
            <w:t>.</w:t>
          </w:r>
        </w:p>
        <w:p w:rsidR="00B55D03" w:rsidRPr="0018168E" w:rsidRDefault="00B55D03" w:rsidP="0018168E">
          <w:pPr>
            <w:pStyle w:val="ListeParagraf"/>
            <w:spacing w:line="240" w:lineRule="auto"/>
            <w:ind w:left="0"/>
            <w:jc w:val="both"/>
            <w:rPr>
              <w:rFonts w:ascii="Times New Roman" w:hAnsi="Times New Roman" w:cs="Times New Roman"/>
              <w:bCs/>
              <w:sz w:val="24"/>
              <w:szCs w:val="24"/>
              <w:lang w:val="en-GB"/>
            </w:rPr>
          </w:pPr>
        </w:p>
        <w:p w:rsidR="007D49DA" w:rsidRPr="00080384" w:rsidRDefault="00B55D03"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080384">
            <w:rPr>
              <w:rFonts w:ascii="Times New Roman" w:hAnsi="Times New Roman" w:cs="Times New Roman"/>
              <w:bCs/>
              <w:sz w:val="24"/>
              <w:szCs w:val="24"/>
              <w:lang w:val="en-GB"/>
            </w:rPr>
            <w:t>Electricity exports d</w:t>
          </w:r>
          <w:r w:rsidR="003A69A1" w:rsidRPr="00080384">
            <w:rPr>
              <w:rFonts w:ascii="Times New Roman" w:hAnsi="Times New Roman" w:cs="Times New Roman"/>
              <w:bCs/>
              <w:sz w:val="24"/>
              <w:szCs w:val="24"/>
              <w:lang w:val="en-GB"/>
            </w:rPr>
            <w:t>ecreased by 9</w:t>
          </w:r>
          <w:r w:rsidR="0018168E">
            <w:rPr>
              <w:rFonts w:ascii="Times New Roman" w:hAnsi="Times New Roman" w:cs="Times New Roman"/>
              <w:bCs/>
              <w:sz w:val="24"/>
              <w:szCs w:val="24"/>
              <w:lang w:val="en-GB"/>
            </w:rPr>
            <w:t>,</w:t>
          </w:r>
          <w:r w:rsidRPr="00080384">
            <w:rPr>
              <w:rFonts w:ascii="Times New Roman" w:hAnsi="Times New Roman" w:cs="Times New Roman"/>
              <w:bCs/>
              <w:sz w:val="24"/>
              <w:szCs w:val="24"/>
              <w:lang w:val="en-GB"/>
            </w:rPr>
            <w:t>27% compared to the previous year and reached 2</w:t>
          </w:r>
          <w:r w:rsidR="0018168E">
            <w:rPr>
              <w:rFonts w:ascii="Times New Roman" w:hAnsi="Times New Roman" w:cs="Times New Roman"/>
              <w:bCs/>
              <w:sz w:val="24"/>
              <w:szCs w:val="24"/>
              <w:lang w:val="en-GB"/>
            </w:rPr>
            <w:t>,</w:t>
          </w:r>
          <w:r w:rsidRPr="00080384">
            <w:rPr>
              <w:rFonts w:ascii="Times New Roman" w:hAnsi="Times New Roman" w:cs="Times New Roman"/>
              <w:bCs/>
              <w:sz w:val="24"/>
              <w:szCs w:val="24"/>
              <w:lang w:val="en-GB"/>
            </w:rPr>
            <w:t xml:space="preserve">79 </w:t>
          </w:r>
          <w:proofErr w:type="spellStart"/>
          <w:r w:rsidRPr="00080384">
            <w:rPr>
              <w:rFonts w:ascii="Times New Roman" w:hAnsi="Times New Roman" w:cs="Times New Roman"/>
              <w:bCs/>
              <w:sz w:val="24"/>
              <w:szCs w:val="24"/>
              <w:lang w:val="en-GB"/>
            </w:rPr>
            <w:t>TWh</w:t>
          </w:r>
          <w:proofErr w:type="spellEnd"/>
          <w:r w:rsidRPr="00080384">
            <w:rPr>
              <w:rFonts w:ascii="Times New Roman" w:hAnsi="Times New Roman" w:cs="Times New Roman"/>
              <w:bCs/>
              <w:sz w:val="24"/>
              <w:szCs w:val="24"/>
              <w:lang w:val="en-GB"/>
            </w:rPr>
            <w:t>.</w:t>
          </w:r>
        </w:p>
        <w:p w:rsidR="007D49DA" w:rsidRPr="00F876CB" w:rsidRDefault="007D49DA" w:rsidP="007D49DA">
          <w:pPr>
            <w:pStyle w:val="ListeParagraf"/>
            <w:rPr>
              <w:rFonts w:asciiTheme="minorHAnsi" w:hAnsiTheme="minorHAnsi" w:cstheme="minorHAnsi"/>
              <w:bCs/>
              <w:sz w:val="24"/>
              <w:szCs w:val="24"/>
              <w:lang w:val="en-GB"/>
            </w:rPr>
          </w:pP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lang w:val="en-GB"/>
            </w:rPr>
          </w:pPr>
        </w:p>
        <w:p w:rsidR="007D49DA" w:rsidRPr="00302599" w:rsidRDefault="00240FD7" w:rsidP="00302599">
          <w:pPr>
            <w:pStyle w:val="ListeParagraf"/>
            <w:numPr>
              <w:ilvl w:val="0"/>
              <w:numId w:val="20"/>
            </w:numPr>
            <w:spacing w:line="240" w:lineRule="auto"/>
            <w:ind w:left="0"/>
            <w:rPr>
              <w:rFonts w:ascii="Times New Roman" w:hAnsi="Times New Roman" w:cs="Times New Roman"/>
              <w:b/>
              <w:bCs/>
              <w:sz w:val="24"/>
              <w:szCs w:val="24"/>
              <w:lang w:val="en-GB"/>
            </w:rPr>
          </w:pPr>
          <w:r w:rsidRPr="00302599">
            <w:rPr>
              <w:rFonts w:ascii="Times New Roman" w:hAnsi="Times New Roman" w:cs="Times New Roman"/>
              <w:b/>
              <w:bCs/>
              <w:sz w:val="24"/>
              <w:szCs w:val="24"/>
              <w:lang w:val="en-GB"/>
            </w:rPr>
            <w:t>Day-Ahead Market and Balancing Market</w:t>
          </w:r>
        </w:p>
        <w:p w:rsidR="007D49DA" w:rsidRPr="00F876CB" w:rsidRDefault="007D49DA" w:rsidP="007D49DA">
          <w:pPr>
            <w:pStyle w:val="ListeParagraf"/>
            <w:spacing w:after="120" w:line="240" w:lineRule="auto"/>
            <w:jc w:val="both"/>
            <w:rPr>
              <w:rFonts w:asciiTheme="minorHAnsi" w:hAnsiTheme="minorHAnsi" w:cstheme="minorHAnsi"/>
              <w:bCs/>
              <w:sz w:val="24"/>
              <w:szCs w:val="24"/>
              <w:highlight w:val="red"/>
              <w:lang w:val="en-GB"/>
            </w:rPr>
          </w:pPr>
        </w:p>
        <w:p w:rsidR="00827880" w:rsidRPr="0018168E" w:rsidRDefault="00240FD7"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In 2019, the weighted average Market Clear</w:t>
          </w:r>
          <w:r w:rsidR="003A69A1" w:rsidRPr="0018168E">
            <w:rPr>
              <w:rFonts w:ascii="Times New Roman" w:hAnsi="Times New Roman" w:cs="Times New Roman"/>
              <w:bCs/>
              <w:sz w:val="24"/>
              <w:szCs w:val="24"/>
              <w:lang w:val="en-GB"/>
            </w:rPr>
            <w:t>ing Price (PTF) increased by 15</w:t>
          </w:r>
          <w:r w:rsidR="0018168E">
            <w:rPr>
              <w:rFonts w:ascii="Times New Roman" w:hAnsi="Times New Roman" w:cs="Times New Roman"/>
              <w:bCs/>
              <w:sz w:val="24"/>
              <w:szCs w:val="24"/>
              <w:lang w:val="en-GB"/>
            </w:rPr>
            <w:t>,</w:t>
          </w:r>
          <w:r w:rsidRPr="0018168E">
            <w:rPr>
              <w:rFonts w:ascii="Times New Roman" w:hAnsi="Times New Roman" w:cs="Times New Roman"/>
              <w:bCs/>
              <w:sz w:val="24"/>
              <w:szCs w:val="24"/>
              <w:lang w:val="en-GB"/>
            </w:rPr>
            <w:t xml:space="preserve">18% </w:t>
          </w:r>
          <w:r w:rsidR="003A69A1" w:rsidRPr="0018168E">
            <w:rPr>
              <w:rFonts w:ascii="Times New Roman" w:hAnsi="Times New Roman" w:cs="Times New Roman"/>
              <w:bCs/>
              <w:sz w:val="24"/>
              <w:szCs w:val="24"/>
              <w:lang w:val="en-GB"/>
            </w:rPr>
            <w:t>compared to 2018 and became 268,</w:t>
          </w:r>
          <w:r w:rsidRPr="0018168E">
            <w:rPr>
              <w:rFonts w:ascii="Times New Roman" w:hAnsi="Times New Roman" w:cs="Times New Roman"/>
              <w:bCs/>
              <w:sz w:val="24"/>
              <w:szCs w:val="24"/>
              <w:lang w:val="en-GB"/>
            </w:rPr>
            <w:t>48 TL / MWh.</w:t>
          </w:r>
        </w:p>
        <w:p w:rsidR="00827880" w:rsidRPr="0018168E" w:rsidRDefault="00827880" w:rsidP="0018168E">
          <w:pPr>
            <w:pStyle w:val="ListeParagraf"/>
            <w:spacing w:line="240" w:lineRule="auto"/>
            <w:ind w:left="0"/>
            <w:jc w:val="both"/>
            <w:rPr>
              <w:rFonts w:ascii="Times New Roman" w:hAnsi="Times New Roman" w:cs="Times New Roman"/>
              <w:bCs/>
              <w:sz w:val="24"/>
              <w:szCs w:val="24"/>
              <w:lang w:val="en-GB"/>
            </w:rPr>
          </w:pPr>
        </w:p>
        <w:p w:rsidR="0018168E" w:rsidRDefault="002D516E"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 xml:space="preserve">The highest PTF value was realized on </w:t>
          </w:r>
          <w:r w:rsidR="003A69A1" w:rsidRPr="0018168E">
            <w:rPr>
              <w:rFonts w:ascii="Times New Roman" w:hAnsi="Times New Roman" w:cs="Times New Roman"/>
              <w:bCs/>
              <w:sz w:val="24"/>
              <w:szCs w:val="24"/>
              <w:lang w:val="en-GB"/>
            </w:rPr>
            <w:t>June 27, 2019 at 15:00 with 500,</w:t>
          </w:r>
          <w:r w:rsidRPr="0018168E">
            <w:rPr>
              <w:rFonts w:ascii="Times New Roman" w:hAnsi="Times New Roman" w:cs="Times New Roman"/>
              <w:bCs/>
              <w:sz w:val="24"/>
              <w:szCs w:val="24"/>
              <w:lang w:val="en-GB"/>
            </w:rPr>
            <w:t>00 TL / MWh. In 2019, PTF was realized as 0 TL / MWh for a total of 52 hours.</w:t>
          </w:r>
        </w:p>
        <w:p w:rsidR="0018168E" w:rsidRPr="0018168E" w:rsidRDefault="0018168E" w:rsidP="0018168E">
          <w:pPr>
            <w:pStyle w:val="ListeParagraf"/>
            <w:rPr>
              <w:rFonts w:ascii="Times New Roman" w:hAnsi="Times New Roman" w:cs="Times New Roman"/>
              <w:bCs/>
              <w:sz w:val="24"/>
              <w:szCs w:val="24"/>
              <w:lang w:val="en-GB"/>
            </w:rPr>
          </w:pPr>
        </w:p>
        <w:p w:rsidR="00827880" w:rsidRPr="0018168E" w:rsidRDefault="002D516E"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In 2019, the average System Marg</w:t>
          </w:r>
          <w:r w:rsidR="003A69A1" w:rsidRPr="0018168E">
            <w:rPr>
              <w:rFonts w:ascii="Times New Roman" w:hAnsi="Times New Roman" w:cs="Times New Roman"/>
              <w:bCs/>
              <w:sz w:val="24"/>
              <w:szCs w:val="24"/>
              <w:lang w:val="en-GB"/>
            </w:rPr>
            <w:t>inal Price (SMF) increased by 7,</w:t>
          </w:r>
          <w:r w:rsidRPr="0018168E">
            <w:rPr>
              <w:rFonts w:ascii="Times New Roman" w:hAnsi="Times New Roman" w:cs="Times New Roman"/>
              <w:bCs/>
              <w:sz w:val="24"/>
              <w:szCs w:val="24"/>
              <w:lang w:val="en-GB"/>
            </w:rPr>
            <w:t>28% c</w:t>
          </w:r>
          <w:r w:rsidR="003A69A1" w:rsidRPr="0018168E">
            <w:rPr>
              <w:rFonts w:ascii="Times New Roman" w:hAnsi="Times New Roman" w:cs="Times New Roman"/>
              <w:bCs/>
              <w:sz w:val="24"/>
              <w:szCs w:val="24"/>
              <w:lang w:val="en-GB"/>
            </w:rPr>
            <w:t>ompared to 2018 and reached 250,</w:t>
          </w:r>
          <w:r w:rsidRPr="0018168E">
            <w:rPr>
              <w:rFonts w:ascii="Times New Roman" w:hAnsi="Times New Roman" w:cs="Times New Roman"/>
              <w:bCs/>
              <w:sz w:val="24"/>
              <w:szCs w:val="24"/>
              <w:lang w:val="en-GB"/>
            </w:rPr>
            <w:t>25 TL / MWh.</w:t>
          </w:r>
        </w:p>
        <w:p w:rsidR="00827880" w:rsidRPr="0018168E" w:rsidRDefault="00827880" w:rsidP="0018168E">
          <w:pPr>
            <w:pStyle w:val="ListeParagraf"/>
            <w:spacing w:line="240" w:lineRule="auto"/>
            <w:ind w:left="0"/>
            <w:jc w:val="both"/>
            <w:rPr>
              <w:rFonts w:ascii="Times New Roman" w:hAnsi="Times New Roman" w:cs="Times New Roman"/>
              <w:bCs/>
              <w:sz w:val="24"/>
              <w:szCs w:val="24"/>
              <w:lang w:val="en-GB"/>
            </w:rPr>
          </w:pPr>
        </w:p>
        <w:p w:rsidR="00827880" w:rsidRPr="0018168E" w:rsidRDefault="002D516E"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The highest S</w:t>
          </w:r>
          <w:r w:rsidR="003A69A1" w:rsidRPr="0018168E">
            <w:rPr>
              <w:rFonts w:ascii="Times New Roman" w:hAnsi="Times New Roman" w:cs="Times New Roman"/>
              <w:bCs/>
              <w:sz w:val="24"/>
              <w:szCs w:val="24"/>
              <w:lang w:val="en-GB"/>
            </w:rPr>
            <w:t>MF value was 487,</w:t>
          </w:r>
          <w:r w:rsidRPr="0018168E">
            <w:rPr>
              <w:rFonts w:ascii="Times New Roman" w:hAnsi="Times New Roman" w:cs="Times New Roman"/>
              <w:bCs/>
              <w:sz w:val="24"/>
              <w:szCs w:val="24"/>
              <w:lang w:val="en-GB"/>
            </w:rPr>
            <w:t>15 TL / MWh at 18:00 on November 11, 2019 and the lowest SMF value was 0 TL / MWh for 365 hours in total.</w:t>
          </w:r>
        </w:p>
        <w:p w:rsidR="00827880" w:rsidRPr="0018168E" w:rsidRDefault="00827880" w:rsidP="0018168E">
          <w:pPr>
            <w:pStyle w:val="ListeParagraf"/>
            <w:spacing w:line="240" w:lineRule="auto"/>
            <w:ind w:left="0"/>
            <w:jc w:val="both"/>
            <w:rPr>
              <w:rFonts w:ascii="Times New Roman" w:hAnsi="Times New Roman" w:cs="Times New Roman"/>
              <w:bCs/>
              <w:sz w:val="24"/>
              <w:szCs w:val="24"/>
              <w:lang w:val="en-GB"/>
            </w:rPr>
          </w:pPr>
        </w:p>
        <w:p w:rsidR="00827880" w:rsidRPr="0018168E" w:rsidRDefault="002D516E"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The additional cost caused by the instructions given in Day-Ahead Market in 2019 increased by 423% compared to 2018 and reached 625</w:t>
          </w:r>
          <w:r w:rsidR="0018168E">
            <w:rPr>
              <w:rFonts w:ascii="Times New Roman" w:hAnsi="Times New Roman" w:cs="Times New Roman"/>
              <w:bCs/>
              <w:sz w:val="24"/>
              <w:szCs w:val="24"/>
              <w:lang w:val="en-GB"/>
            </w:rPr>
            <w:t>,</w:t>
          </w:r>
          <w:r w:rsidRPr="0018168E">
            <w:rPr>
              <w:rFonts w:ascii="Times New Roman" w:hAnsi="Times New Roman" w:cs="Times New Roman"/>
              <w:bCs/>
              <w:sz w:val="24"/>
              <w:szCs w:val="24"/>
              <w:lang w:val="en-GB"/>
            </w:rPr>
            <w:t>8 million TL.</w:t>
          </w:r>
        </w:p>
        <w:p w:rsidR="007D49DA" w:rsidRPr="0018168E" w:rsidRDefault="007D49DA" w:rsidP="0018168E">
          <w:pPr>
            <w:pStyle w:val="ListeParagraf"/>
            <w:spacing w:line="360" w:lineRule="auto"/>
            <w:ind w:left="0"/>
            <w:jc w:val="both"/>
            <w:rPr>
              <w:rFonts w:ascii="Times New Roman" w:hAnsi="Times New Roman" w:cs="Times New Roman"/>
              <w:bCs/>
              <w:sz w:val="24"/>
              <w:szCs w:val="24"/>
              <w:lang w:val="en-GB"/>
            </w:rPr>
          </w:pPr>
        </w:p>
        <w:p w:rsidR="007D49DA" w:rsidRPr="0018168E" w:rsidRDefault="00864F5C" w:rsidP="0018168E">
          <w:pPr>
            <w:pStyle w:val="ListeParagraf"/>
            <w:numPr>
              <w:ilvl w:val="0"/>
              <w:numId w:val="20"/>
            </w:numPr>
            <w:spacing w:line="240" w:lineRule="auto"/>
            <w:ind w:left="0"/>
            <w:rPr>
              <w:rFonts w:ascii="Times New Roman" w:hAnsi="Times New Roman" w:cs="Times New Roman"/>
              <w:b/>
              <w:bCs/>
              <w:sz w:val="24"/>
              <w:szCs w:val="24"/>
              <w:lang w:val="en-GB"/>
            </w:rPr>
          </w:pPr>
          <w:r w:rsidRPr="0018168E">
            <w:rPr>
              <w:rFonts w:ascii="Times New Roman" w:hAnsi="Times New Roman" w:cs="Times New Roman"/>
              <w:b/>
              <w:bCs/>
              <w:sz w:val="24"/>
              <w:szCs w:val="24"/>
              <w:lang w:val="en-GB"/>
            </w:rPr>
            <w:t>RESSUM</w:t>
          </w:r>
        </w:p>
        <w:p w:rsidR="007D49DA" w:rsidRPr="0018168E" w:rsidRDefault="007D49DA" w:rsidP="0018168E">
          <w:pPr>
            <w:pStyle w:val="ListeParagraf"/>
            <w:spacing w:line="240" w:lineRule="auto"/>
            <w:ind w:left="0"/>
            <w:rPr>
              <w:rFonts w:ascii="Times New Roman" w:hAnsi="Times New Roman" w:cs="Times New Roman"/>
              <w:b/>
              <w:bCs/>
              <w:sz w:val="24"/>
              <w:szCs w:val="24"/>
              <w:lang w:val="en-GB"/>
            </w:rPr>
          </w:pPr>
        </w:p>
        <w:p w:rsidR="0018168E" w:rsidRDefault="00057AF5"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In 2019, the number of licensed participants benefiting from the Renewable Energy Resources Support Mechanism reached to 777.</w:t>
          </w:r>
          <w:r w:rsidR="0018168E">
            <w:rPr>
              <w:rFonts w:ascii="Times New Roman" w:hAnsi="Times New Roman" w:cs="Times New Roman"/>
              <w:bCs/>
              <w:sz w:val="24"/>
              <w:szCs w:val="24"/>
              <w:lang w:val="en-GB"/>
            </w:rPr>
            <w:t xml:space="preserve"> </w:t>
          </w:r>
          <w:r w:rsidRPr="0018168E">
            <w:rPr>
              <w:rFonts w:ascii="Times New Roman" w:hAnsi="Times New Roman" w:cs="Times New Roman"/>
              <w:bCs/>
              <w:sz w:val="24"/>
              <w:szCs w:val="24"/>
              <w:lang w:val="en-GB"/>
            </w:rPr>
            <w:t>The installed capacity of these participants was 20.921,5 MW</w:t>
          </w:r>
          <w:r w:rsidR="0018168E">
            <w:rPr>
              <w:rFonts w:ascii="Times New Roman" w:hAnsi="Times New Roman" w:cs="Times New Roman"/>
              <w:bCs/>
              <w:sz w:val="24"/>
              <w:szCs w:val="24"/>
              <w:lang w:val="en-GB"/>
            </w:rPr>
            <w:t>.</w:t>
          </w:r>
        </w:p>
        <w:p w:rsidR="0018168E" w:rsidRDefault="0018168E" w:rsidP="0018168E">
          <w:pPr>
            <w:pStyle w:val="ListeParagraf"/>
            <w:spacing w:line="240" w:lineRule="auto"/>
            <w:ind w:left="0"/>
            <w:jc w:val="both"/>
            <w:rPr>
              <w:rFonts w:ascii="Times New Roman" w:hAnsi="Times New Roman" w:cs="Times New Roman"/>
              <w:bCs/>
              <w:sz w:val="24"/>
              <w:szCs w:val="24"/>
              <w:lang w:val="en-GB"/>
            </w:rPr>
          </w:pPr>
        </w:p>
        <w:p w:rsidR="0018168E" w:rsidRPr="0018168E" w:rsidRDefault="00057AF5"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heme="minorHAnsi" w:hAnsiTheme="minorHAnsi" w:cstheme="minorHAnsi"/>
              <w:bCs/>
              <w:sz w:val="24"/>
              <w:szCs w:val="24"/>
              <w:lang w:val="en-GB"/>
            </w:rPr>
            <w:t>In 2019,</w:t>
          </w:r>
          <w:r w:rsidR="00314069" w:rsidRPr="0018168E">
            <w:rPr>
              <w:rFonts w:asciiTheme="minorHAnsi" w:hAnsiTheme="minorHAnsi" w:cstheme="minorHAnsi"/>
              <w:bCs/>
              <w:sz w:val="24"/>
              <w:szCs w:val="24"/>
              <w:lang w:val="en-GB"/>
            </w:rPr>
            <w:t xml:space="preserve"> </w:t>
          </w:r>
          <w:r w:rsidRPr="0018168E">
            <w:rPr>
              <w:rFonts w:asciiTheme="minorHAnsi" w:hAnsiTheme="minorHAnsi" w:cstheme="minorHAnsi"/>
              <w:bCs/>
              <w:sz w:val="24"/>
              <w:szCs w:val="24"/>
              <w:lang w:val="en-GB"/>
            </w:rPr>
            <w:t>the electricity generation of RESSUM participants increasing by</w:t>
          </w:r>
          <w:r w:rsidR="003A69A1" w:rsidRPr="0018168E">
            <w:rPr>
              <w:rFonts w:asciiTheme="minorHAnsi" w:hAnsiTheme="minorHAnsi" w:cstheme="minorHAnsi"/>
              <w:bCs/>
              <w:sz w:val="24"/>
              <w:szCs w:val="24"/>
              <w:lang w:val="en-GB"/>
            </w:rPr>
            <w:t xml:space="preserve"> 22</w:t>
          </w:r>
          <w:r w:rsidR="0018168E">
            <w:rPr>
              <w:rFonts w:asciiTheme="minorHAnsi" w:hAnsiTheme="minorHAnsi" w:cstheme="minorHAnsi"/>
              <w:bCs/>
              <w:sz w:val="24"/>
              <w:szCs w:val="24"/>
              <w:lang w:val="en-GB"/>
            </w:rPr>
            <w:t>,</w:t>
          </w:r>
          <w:r w:rsidR="00827880" w:rsidRPr="0018168E">
            <w:rPr>
              <w:rFonts w:asciiTheme="minorHAnsi" w:hAnsiTheme="minorHAnsi" w:cstheme="minorHAnsi"/>
              <w:bCs/>
              <w:sz w:val="24"/>
              <w:szCs w:val="24"/>
              <w:lang w:val="en-GB"/>
            </w:rPr>
            <w:t>5</w:t>
          </w:r>
          <w:r w:rsidRPr="0018168E">
            <w:rPr>
              <w:rFonts w:asciiTheme="minorHAnsi" w:hAnsiTheme="minorHAnsi" w:cstheme="minorHAnsi"/>
              <w:bCs/>
              <w:sz w:val="24"/>
              <w:szCs w:val="24"/>
              <w:lang w:val="en-GB"/>
            </w:rPr>
            <w:t>%</w:t>
          </w:r>
          <w:r w:rsidR="00827880" w:rsidRPr="0018168E">
            <w:rPr>
              <w:rFonts w:asciiTheme="minorHAnsi" w:hAnsiTheme="minorHAnsi" w:cstheme="minorHAnsi"/>
              <w:bCs/>
              <w:sz w:val="24"/>
              <w:szCs w:val="24"/>
              <w:lang w:val="en-GB"/>
            </w:rPr>
            <w:t xml:space="preserve"> </w:t>
          </w:r>
          <w:r w:rsidRPr="0018168E">
            <w:rPr>
              <w:rFonts w:asciiTheme="minorHAnsi" w:hAnsiTheme="minorHAnsi" w:cstheme="minorHAnsi"/>
              <w:bCs/>
              <w:sz w:val="24"/>
              <w:szCs w:val="24"/>
              <w:lang w:val="en-GB"/>
            </w:rPr>
            <w:t>to</w:t>
          </w:r>
          <w:r w:rsidR="003A69A1" w:rsidRPr="0018168E">
            <w:rPr>
              <w:rFonts w:asciiTheme="minorHAnsi" w:hAnsiTheme="minorHAnsi" w:cstheme="minorHAnsi"/>
              <w:bCs/>
              <w:sz w:val="24"/>
              <w:szCs w:val="24"/>
              <w:lang w:val="en-GB"/>
            </w:rPr>
            <w:t xml:space="preserve"> 76,</w:t>
          </w:r>
          <w:r w:rsidR="00827880" w:rsidRPr="0018168E">
            <w:rPr>
              <w:rFonts w:asciiTheme="minorHAnsi" w:hAnsiTheme="minorHAnsi" w:cstheme="minorHAnsi"/>
              <w:bCs/>
              <w:sz w:val="24"/>
              <w:szCs w:val="24"/>
              <w:lang w:val="en-GB"/>
            </w:rPr>
            <w:t xml:space="preserve">69 </w:t>
          </w:r>
          <w:proofErr w:type="spellStart"/>
          <w:r w:rsidR="00827880" w:rsidRPr="0018168E">
            <w:rPr>
              <w:rFonts w:asciiTheme="minorHAnsi" w:hAnsiTheme="minorHAnsi" w:cstheme="minorHAnsi"/>
              <w:bCs/>
              <w:sz w:val="24"/>
              <w:szCs w:val="24"/>
              <w:lang w:val="en-GB"/>
            </w:rPr>
            <w:t>TWh</w:t>
          </w:r>
          <w:proofErr w:type="spellEnd"/>
          <w:r w:rsidR="00827880" w:rsidRPr="0018168E">
            <w:rPr>
              <w:rFonts w:asciiTheme="minorHAnsi" w:hAnsiTheme="minorHAnsi" w:cstheme="minorHAnsi"/>
              <w:bCs/>
              <w:sz w:val="24"/>
              <w:szCs w:val="24"/>
              <w:lang w:val="en-GB"/>
            </w:rPr>
            <w:t xml:space="preserve"> </w:t>
          </w:r>
          <w:r w:rsidRPr="0018168E">
            <w:rPr>
              <w:rFonts w:asciiTheme="minorHAnsi" w:hAnsiTheme="minorHAnsi" w:cstheme="minorHAnsi"/>
              <w:bCs/>
              <w:sz w:val="24"/>
              <w:szCs w:val="24"/>
              <w:lang w:val="en-GB"/>
            </w:rPr>
            <w:t>compared to 2018</w:t>
          </w:r>
          <w:r w:rsidR="00827880" w:rsidRPr="0018168E">
            <w:rPr>
              <w:rFonts w:asciiTheme="minorHAnsi" w:hAnsiTheme="minorHAnsi" w:cstheme="minorHAnsi"/>
              <w:bCs/>
              <w:sz w:val="24"/>
              <w:szCs w:val="24"/>
              <w:lang w:val="en-GB"/>
            </w:rPr>
            <w:t>.</w:t>
          </w:r>
          <w:r w:rsidRPr="0018168E">
            <w:rPr>
              <w:rFonts w:asciiTheme="minorHAnsi" w:hAnsiTheme="minorHAnsi" w:cstheme="minorHAnsi"/>
              <w:bCs/>
              <w:sz w:val="24"/>
              <w:szCs w:val="24"/>
              <w:lang w:val="en-GB"/>
            </w:rPr>
            <w:t xml:space="preserve"> </w:t>
          </w:r>
          <w:r w:rsidR="00822668">
            <w:rPr>
              <w:rFonts w:asciiTheme="minorHAnsi" w:hAnsiTheme="minorHAnsi" w:cstheme="minorHAnsi"/>
              <w:bCs/>
              <w:sz w:val="24"/>
              <w:szCs w:val="24"/>
              <w:lang w:val="en-GB"/>
            </w:rPr>
            <w:t xml:space="preserve"> </w:t>
          </w:r>
          <w:r w:rsidR="003A69A1" w:rsidRPr="0018168E">
            <w:rPr>
              <w:rFonts w:asciiTheme="minorHAnsi" w:hAnsiTheme="minorHAnsi" w:cstheme="minorHAnsi"/>
              <w:bCs/>
              <w:sz w:val="24"/>
              <w:szCs w:val="24"/>
              <w:lang w:val="en-GB"/>
            </w:rPr>
            <w:t>48</w:t>
          </w:r>
          <w:r w:rsidR="00822668">
            <w:rPr>
              <w:rFonts w:asciiTheme="minorHAnsi" w:hAnsiTheme="minorHAnsi" w:cstheme="minorHAnsi"/>
              <w:bCs/>
              <w:sz w:val="24"/>
              <w:szCs w:val="24"/>
              <w:lang w:val="en-GB"/>
            </w:rPr>
            <w:t>,</w:t>
          </w:r>
          <w:r w:rsidR="00827880" w:rsidRPr="0018168E">
            <w:rPr>
              <w:rFonts w:asciiTheme="minorHAnsi" w:hAnsiTheme="minorHAnsi" w:cstheme="minorHAnsi"/>
              <w:bCs/>
              <w:sz w:val="24"/>
              <w:szCs w:val="24"/>
              <w:lang w:val="en-GB"/>
            </w:rPr>
            <w:t>2</w:t>
          </w:r>
          <w:r w:rsidRPr="0018168E">
            <w:rPr>
              <w:rFonts w:asciiTheme="minorHAnsi" w:hAnsiTheme="minorHAnsi" w:cstheme="minorHAnsi"/>
              <w:bCs/>
              <w:sz w:val="24"/>
              <w:szCs w:val="24"/>
              <w:lang w:val="en-GB"/>
            </w:rPr>
            <w:t>% of this amount was obtained from hydraulic</w:t>
          </w:r>
          <w:r w:rsidR="00827880" w:rsidRPr="0018168E">
            <w:rPr>
              <w:rFonts w:asciiTheme="minorHAnsi" w:hAnsiTheme="minorHAnsi" w:cstheme="minorHAnsi"/>
              <w:bCs/>
              <w:sz w:val="24"/>
              <w:szCs w:val="24"/>
              <w:lang w:val="en-GB"/>
            </w:rPr>
            <w:t>, 26</w:t>
          </w:r>
          <w:r w:rsidRPr="0018168E">
            <w:rPr>
              <w:rFonts w:asciiTheme="minorHAnsi" w:hAnsiTheme="minorHAnsi" w:cstheme="minorHAnsi"/>
              <w:bCs/>
              <w:sz w:val="24"/>
              <w:szCs w:val="24"/>
              <w:lang w:val="en-GB"/>
            </w:rPr>
            <w:t>% from wind</w:t>
          </w:r>
          <w:r w:rsidR="00827880" w:rsidRPr="0018168E">
            <w:rPr>
              <w:rFonts w:asciiTheme="minorHAnsi" w:hAnsiTheme="minorHAnsi" w:cstheme="minorHAnsi"/>
              <w:bCs/>
              <w:sz w:val="24"/>
              <w:szCs w:val="24"/>
              <w:lang w:val="en-GB"/>
            </w:rPr>
            <w:t>.</w:t>
          </w:r>
        </w:p>
        <w:p w:rsidR="0018168E" w:rsidRPr="0018168E" w:rsidRDefault="0018168E" w:rsidP="0018168E">
          <w:pPr>
            <w:pStyle w:val="ListeParagraf"/>
            <w:rPr>
              <w:rFonts w:asciiTheme="minorHAnsi" w:hAnsiTheme="minorHAnsi" w:cstheme="minorHAnsi"/>
              <w:bCs/>
              <w:sz w:val="24"/>
              <w:szCs w:val="24"/>
              <w:lang w:val="en-GB"/>
            </w:rPr>
          </w:pPr>
        </w:p>
        <w:p w:rsidR="0018168E" w:rsidRPr="0018168E" w:rsidRDefault="00314069"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heme="minorHAnsi" w:hAnsiTheme="minorHAnsi" w:cstheme="minorHAnsi"/>
              <w:bCs/>
              <w:sz w:val="24"/>
              <w:szCs w:val="24"/>
              <w:lang w:val="en-GB"/>
            </w:rPr>
            <w:t xml:space="preserve">The average </w:t>
          </w:r>
          <w:r w:rsidR="003A69A1" w:rsidRPr="0018168E">
            <w:rPr>
              <w:rFonts w:asciiTheme="minorHAnsi" w:hAnsiTheme="minorHAnsi" w:cstheme="minorHAnsi"/>
              <w:bCs/>
              <w:sz w:val="24"/>
              <w:szCs w:val="24"/>
              <w:lang w:val="en-GB"/>
            </w:rPr>
            <w:t>price of YEKDEM in 2019 was 495</w:t>
          </w:r>
          <w:r w:rsidR="00822668">
            <w:rPr>
              <w:rFonts w:asciiTheme="minorHAnsi" w:hAnsiTheme="minorHAnsi" w:cstheme="minorHAnsi"/>
              <w:bCs/>
              <w:sz w:val="24"/>
              <w:szCs w:val="24"/>
              <w:lang w:val="en-GB"/>
            </w:rPr>
            <w:t>,</w:t>
          </w:r>
          <w:r w:rsidRPr="0018168E">
            <w:rPr>
              <w:rFonts w:asciiTheme="minorHAnsi" w:hAnsiTheme="minorHAnsi" w:cstheme="minorHAnsi"/>
              <w:bCs/>
              <w:sz w:val="24"/>
              <w:szCs w:val="24"/>
              <w:lang w:val="en-GB"/>
            </w:rPr>
            <w:t xml:space="preserve">6 </w:t>
          </w:r>
          <w:r w:rsidR="003A69A1" w:rsidRPr="0018168E">
            <w:rPr>
              <w:rFonts w:asciiTheme="minorHAnsi" w:hAnsiTheme="minorHAnsi" w:cstheme="minorHAnsi"/>
              <w:bCs/>
              <w:sz w:val="24"/>
              <w:szCs w:val="24"/>
              <w:lang w:val="en-GB"/>
            </w:rPr>
            <w:t>TL / MWh with an increase of 41,</w:t>
          </w:r>
          <w:r w:rsidRPr="0018168E">
            <w:rPr>
              <w:rFonts w:asciiTheme="minorHAnsi" w:hAnsiTheme="minorHAnsi" w:cstheme="minorHAnsi"/>
              <w:bCs/>
              <w:sz w:val="24"/>
              <w:szCs w:val="24"/>
              <w:lang w:val="en-GB"/>
            </w:rPr>
            <w:t>16% compared to 2018.</w:t>
          </w:r>
        </w:p>
        <w:p w:rsidR="0018168E" w:rsidRPr="0018168E" w:rsidRDefault="0018168E" w:rsidP="0018168E">
          <w:pPr>
            <w:pStyle w:val="ListeParagraf"/>
            <w:rPr>
              <w:rFonts w:asciiTheme="minorHAnsi" w:hAnsiTheme="minorHAnsi" w:cstheme="minorHAnsi"/>
              <w:sz w:val="24"/>
              <w:szCs w:val="24"/>
              <w:lang w:val="en-GB"/>
            </w:rPr>
          </w:pPr>
        </w:p>
        <w:p w:rsidR="00827880" w:rsidRPr="0018168E" w:rsidRDefault="00314069"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heme="minorHAnsi" w:hAnsiTheme="minorHAnsi" w:cstheme="minorHAnsi"/>
              <w:sz w:val="24"/>
              <w:szCs w:val="24"/>
              <w:lang w:val="en-GB"/>
            </w:rPr>
            <w:t xml:space="preserve">In </w:t>
          </w:r>
          <w:r w:rsidR="00827880" w:rsidRPr="0018168E">
            <w:rPr>
              <w:rFonts w:asciiTheme="minorHAnsi" w:hAnsiTheme="minorHAnsi" w:cstheme="minorHAnsi"/>
              <w:sz w:val="24"/>
              <w:szCs w:val="24"/>
              <w:lang w:val="en-GB"/>
            </w:rPr>
            <w:t>2019</w:t>
          </w:r>
          <w:r w:rsidRPr="0018168E">
            <w:rPr>
              <w:rFonts w:asciiTheme="minorHAnsi" w:hAnsiTheme="minorHAnsi" w:cstheme="minorHAnsi"/>
              <w:sz w:val="24"/>
              <w:szCs w:val="24"/>
              <w:lang w:val="en-GB"/>
            </w:rPr>
            <w:t xml:space="preserve">, </w:t>
          </w:r>
          <w:r w:rsidRPr="0018168E">
            <w:rPr>
              <w:rFonts w:ascii="Times New Roman" w:hAnsi="Times New Roman" w:cs="Times New Roman"/>
              <w:sz w:val="24"/>
              <w:szCs w:val="24"/>
              <w:lang w:val="en-GB"/>
            </w:rPr>
            <w:t>an additional cost of RESSUM which means additional cost to the weighted average MCP for RESSUM per invoiced unit</w:t>
          </w:r>
          <w:r w:rsidR="003A69A1" w:rsidRPr="0018168E">
            <w:rPr>
              <w:rFonts w:ascii="Times New Roman" w:hAnsi="Times New Roman" w:cs="Times New Roman"/>
              <w:sz w:val="24"/>
              <w:szCs w:val="24"/>
              <w:lang w:val="en-GB"/>
            </w:rPr>
            <w:t xml:space="preserve"> energy amount, increased by 13</w:t>
          </w:r>
          <w:r w:rsidRPr="0018168E">
            <w:rPr>
              <w:rFonts w:ascii="Times New Roman" w:hAnsi="Times New Roman" w:cs="Times New Roman"/>
              <w:sz w:val="24"/>
              <w:szCs w:val="24"/>
              <w:lang w:val="en-GB"/>
            </w:rPr>
            <w:t>9% to 75</w:t>
          </w:r>
          <w:r w:rsidR="00822668">
            <w:rPr>
              <w:rFonts w:ascii="Times New Roman" w:hAnsi="Times New Roman" w:cs="Times New Roman"/>
              <w:sz w:val="24"/>
              <w:szCs w:val="24"/>
              <w:lang w:val="en-GB"/>
            </w:rPr>
            <w:t>,</w:t>
          </w:r>
          <w:r w:rsidRPr="0018168E">
            <w:rPr>
              <w:rFonts w:ascii="Times New Roman" w:hAnsi="Times New Roman" w:cs="Times New Roman"/>
              <w:sz w:val="24"/>
              <w:szCs w:val="24"/>
              <w:lang w:val="en-GB"/>
            </w:rPr>
            <w:t>89 TL/ MWh compared to previous year.</w:t>
          </w:r>
        </w:p>
        <w:p w:rsidR="007D49DA" w:rsidRPr="00F876CB" w:rsidRDefault="007D49DA" w:rsidP="007D49DA">
          <w:pPr>
            <w:pStyle w:val="ListeParagraf"/>
            <w:spacing w:after="120" w:line="240" w:lineRule="auto"/>
            <w:ind w:left="1440"/>
            <w:jc w:val="both"/>
            <w:rPr>
              <w:rFonts w:asciiTheme="minorHAnsi" w:hAnsiTheme="minorHAnsi" w:cstheme="minorHAnsi"/>
              <w:bCs/>
              <w:sz w:val="24"/>
              <w:szCs w:val="24"/>
              <w:highlight w:val="red"/>
              <w:lang w:val="en-GB"/>
            </w:rPr>
          </w:pPr>
        </w:p>
        <w:p w:rsidR="007D49DA" w:rsidRPr="00F876CB" w:rsidRDefault="007D49DA" w:rsidP="007D49DA">
          <w:pPr>
            <w:pStyle w:val="ListeParagraf"/>
            <w:rPr>
              <w:rFonts w:asciiTheme="minorHAnsi" w:hAnsiTheme="minorHAnsi" w:cstheme="minorHAnsi"/>
              <w:bCs/>
              <w:sz w:val="24"/>
              <w:szCs w:val="24"/>
              <w:highlight w:val="red"/>
              <w:lang w:val="en-GB"/>
            </w:rPr>
          </w:pPr>
        </w:p>
        <w:p w:rsidR="007D49DA" w:rsidRPr="00F876CB" w:rsidRDefault="007D49DA" w:rsidP="007D49DA">
          <w:pPr>
            <w:pStyle w:val="ListeParagraf"/>
            <w:rPr>
              <w:rFonts w:asciiTheme="minorHAnsi" w:hAnsiTheme="minorHAnsi" w:cstheme="minorHAnsi"/>
              <w:bCs/>
              <w:sz w:val="24"/>
              <w:szCs w:val="24"/>
              <w:highlight w:val="red"/>
              <w:lang w:val="en-GB"/>
            </w:rPr>
          </w:pPr>
        </w:p>
        <w:p w:rsidR="007D49DA" w:rsidRPr="0018168E" w:rsidRDefault="00474DD8" w:rsidP="0018168E">
          <w:pPr>
            <w:pStyle w:val="ListeParagraf"/>
            <w:numPr>
              <w:ilvl w:val="0"/>
              <w:numId w:val="20"/>
            </w:numPr>
            <w:spacing w:line="240" w:lineRule="auto"/>
            <w:ind w:left="0"/>
            <w:rPr>
              <w:rFonts w:ascii="Times New Roman" w:hAnsi="Times New Roman" w:cs="Times New Roman"/>
              <w:b/>
              <w:bCs/>
              <w:sz w:val="24"/>
              <w:szCs w:val="24"/>
              <w:lang w:val="en-GB"/>
            </w:rPr>
          </w:pPr>
          <w:r w:rsidRPr="0018168E">
            <w:rPr>
              <w:rFonts w:ascii="Times New Roman" w:hAnsi="Times New Roman" w:cs="Times New Roman"/>
              <w:b/>
              <w:bCs/>
              <w:sz w:val="24"/>
              <w:szCs w:val="24"/>
              <w:lang w:val="en-GB"/>
            </w:rPr>
            <w:t xml:space="preserve">Market Openness </w:t>
          </w:r>
        </w:p>
        <w:p w:rsidR="007D49DA" w:rsidRPr="00F876CB" w:rsidRDefault="007D49DA" w:rsidP="007D49DA">
          <w:pPr>
            <w:pStyle w:val="ListeParagraf"/>
            <w:spacing w:after="120" w:line="240" w:lineRule="auto"/>
            <w:jc w:val="both"/>
            <w:rPr>
              <w:rFonts w:asciiTheme="minorHAnsi" w:hAnsiTheme="minorHAnsi" w:cstheme="minorHAnsi"/>
              <w:b/>
              <w:bCs/>
              <w:sz w:val="24"/>
              <w:szCs w:val="24"/>
              <w:highlight w:val="red"/>
              <w:lang w:val="en-GB"/>
            </w:rPr>
          </w:pPr>
        </w:p>
        <w:p w:rsidR="00827880" w:rsidRPr="0018168E" w:rsidRDefault="00474DD8"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 xml:space="preserve">The eligible consumer limit for 2019 was set at 1.600 kWh, and the theoretical market openness rate on the demand side corresponding to </w:t>
          </w:r>
          <w:r w:rsidR="003A69A1" w:rsidRPr="0018168E">
            <w:rPr>
              <w:rFonts w:ascii="Times New Roman" w:hAnsi="Times New Roman" w:cs="Times New Roman"/>
              <w:bCs/>
              <w:sz w:val="24"/>
              <w:szCs w:val="24"/>
              <w:lang w:val="en-GB"/>
            </w:rPr>
            <w:t>this limit was calculated as 95</w:t>
          </w:r>
          <w:r w:rsidR="00A13249">
            <w:rPr>
              <w:rFonts w:ascii="Times New Roman" w:hAnsi="Times New Roman" w:cs="Times New Roman"/>
              <w:bCs/>
              <w:sz w:val="24"/>
              <w:szCs w:val="24"/>
              <w:lang w:val="en-GB"/>
            </w:rPr>
            <w:t>,</w:t>
          </w:r>
          <w:r w:rsidRPr="0018168E">
            <w:rPr>
              <w:rFonts w:ascii="Times New Roman" w:hAnsi="Times New Roman" w:cs="Times New Roman"/>
              <w:bCs/>
              <w:sz w:val="24"/>
              <w:szCs w:val="24"/>
              <w:lang w:val="en-GB"/>
            </w:rPr>
            <w:t>4%.</w:t>
          </w:r>
        </w:p>
        <w:p w:rsidR="00827880" w:rsidRPr="0018168E" w:rsidRDefault="00827880" w:rsidP="0018168E">
          <w:pPr>
            <w:pStyle w:val="ListeParagraf"/>
            <w:spacing w:line="240" w:lineRule="auto"/>
            <w:ind w:left="0"/>
            <w:jc w:val="both"/>
            <w:rPr>
              <w:rFonts w:ascii="Times New Roman" w:hAnsi="Times New Roman" w:cs="Times New Roman"/>
              <w:bCs/>
              <w:sz w:val="24"/>
              <w:szCs w:val="24"/>
              <w:lang w:val="en-GB"/>
            </w:rPr>
          </w:pPr>
        </w:p>
        <w:p w:rsidR="00827880" w:rsidRPr="0018168E" w:rsidRDefault="00474DD8"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Eligible consum</w:t>
          </w:r>
          <w:r w:rsidR="003A69A1" w:rsidRPr="0018168E">
            <w:rPr>
              <w:rFonts w:ascii="Times New Roman" w:hAnsi="Times New Roman" w:cs="Times New Roman"/>
              <w:bCs/>
              <w:sz w:val="24"/>
              <w:szCs w:val="24"/>
              <w:lang w:val="en-GB"/>
            </w:rPr>
            <w:t>ers' consumption in 2019 was 93,</w:t>
          </w:r>
          <w:r w:rsidRPr="0018168E">
            <w:rPr>
              <w:rFonts w:ascii="Times New Roman" w:hAnsi="Times New Roman" w:cs="Times New Roman"/>
              <w:bCs/>
              <w:sz w:val="24"/>
              <w:szCs w:val="24"/>
              <w:lang w:val="en-GB"/>
            </w:rPr>
            <w:t xml:space="preserve">9 </w:t>
          </w:r>
          <w:proofErr w:type="spellStart"/>
          <w:r w:rsidRPr="0018168E">
            <w:rPr>
              <w:rFonts w:ascii="Times New Roman" w:hAnsi="Times New Roman" w:cs="Times New Roman"/>
              <w:bCs/>
              <w:sz w:val="24"/>
              <w:szCs w:val="24"/>
              <w:lang w:val="en-GB"/>
            </w:rPr>
            <w:t>TWh</w:t>
          </w:r>
          <w:proofErr w:type="spellEnd"/>
          <w:r w:rsidRPr="0018168E">
            <w:rPr>
              <w:rFonts w:ascii="Times New Roman" w:hAnsi="Times New Roman" w:cs="Times New Roman"/>
              <w:bCs/>
              <w:sz w:val="24"/>
              <w:szCs w:val="24"/>
              <w:lang w:val="en-GB"/>
            </w:rPr>
            <w:t>. While t</w:t>
          </w:r>
          <w:r w:rsidR="003A69A1" w:rsidRPr="0018168E">
            <w:rPr>
              <w:rFonts w:ascii="Times New Roman" w:hAnsi="Times New Roman" w:cs="Times New Roman"/>
              <w:bCs/>
              <w:sz w:val="24"/>
              <w:szCs w:val="24"/>
              <w:lang w:val="en-GB"/>
            </w:rPr>
            <w:t>he actual market opening was 29,</w:t>
          </w:r>
          <w:r w:rsidRPr="0018168E">
            <w:rPr>
              <w:rFonts w:ascii="Times New Roman" w:hAnsi="Times New Roman" w:cs="Times New Roman"/>
              <w:bCs/>
              <w:sz w:val="24"/>
              <w:szCs w:val="24"/>
              <w:lang w:val="en-GB"/>
            </w:rPr>
            <w:t xml:space="preserve">6% in </w:t>
          </w:r>
          <w:r w:rsidR="003A69A1" w:rsidRPr="0018168E">
            <w:rPr>
              <w:rFonts w:ascii="Times New Roman" w:hAnsi="Times New Roman" w:cs="Times New Roman"/>
              <w:bCs/>
              <w:sz w:val="24"/>
              <w:szCs w:val="24"/>
              <w:lang w:val="en-GB"/>
            </w:rPr>
            <w:t>2018, this rate increased to 40,</w:t>
          </w:r>
          <w:r w:rsidRPr="0018168E">
            <w:rPr>
              <w:rFonts w:ascii="Times New Roman" w:hAnsi="Times New Roman" w:cs="Times New Roman"/>
              <w:bCs/>
              <w:sz w:val="24"/>
              <w:szCs w:val="24"/>
              <w:lang w:val="en-GB"/>
            </w:rPr>
            <w:t>9% in 2019.</w:t>
          </w:r>
        </w:p>
        <w:p w:rsidR="00474DD8" w:rsidRPr="0018168E" w:rsidRDefault="00474DD8" w:rsidP="0018168E">
          <w:pPr>
            <w:pStyle w:val="ListeParagraf"/>
            <w:spacing w:line="240" w:lineRule="auto"/>
            <w:ind w:left="0"/>
            <w:jc w:val="both"/>
            <w:rPr>
              <w:rFonts w:ascii="Times New Roman" w:hAnsi="Times New Roman" w:cs="Times New Roman"/>
              <w:bCs/>
              <w:sz w:val="24"/>
              <w:szCs w:val="24"/>
              <w:lang w:val="en-GB"/>
            </w:rPr>
          </w:pPr>
        </w:p>
        <w:p w:rsidR="00827880" w:rsidRPr="0018168E" w:rsidRDefault="00474DD8" w:rsidP="0018168E">
          <w:pPr>
            <w:pStyle w:val="ListeParagraf"/>
            <w:numPr>
              <w:ilvl w:val="1"/>
              <w:numId w:val="20"/>
            </w:numPr>
            <w:spacing w:line="240" w:lineRule="auto"/>
            <w:ind w:left="0"/>
            <w:jc w:val="both"/>
            <w:rPr>
              <w:rFonts w:ascii="Times New Roman" w:hAnsi="Times New Roman" w:cs="Times New Roman"/>
              <w:bCs/>
              <w:sz w:val="24"/>
              <w:szCs w:val="24"/>
              <w:lang w:val="en-GB"/>
            </w:rPr>
          </w:pPr>
          <w:r w:rsidRPr="0018168E">
            <w:rPr>
              <w:rFonts w:ascii="Times New Roman" w:hAnsi="Times New Roman" w:cs="Times New Roman"/>
              <w:bCs/>
              <w:sz w:val="24"/>
              <w:szCs w:val="24"/>
              <w:lang w:val="en-GB"/>
            </w:rPr>
            <w:t xml:space="preserve">At the end of 2019, the number of eligible consumers increased by 132% compared to the end </w:t>
          </w:r>
          <w:r w:rsidR="004E54AD" w:rsidRPr="0018168E">
            <w:rPr>
              <w:rFonts w:ascii="Times New Roman" w:hAnsi="Times New Roman" w:cs="Times New Roman"/>
              <w:bCs/>
              <w:sz w:val="24"/>
              <w:szCs w:val="24"/>
              <w:lang w:val="en-GB"/>
            </w:rPr>
            <w:t xml:space="preserve">of 2018 and reached </w:t>
          </w:r>
          <w:proofErr w:type="gramStart"/>
          <w:r w:rsidR="004E54AD" w:rsidRPr="0018168E">
            <w:rPr>
              <w:rFonts w:ascii="Times New Roman" w:hAnsi="Times New Roman" w:cs="Times New Roman"/>
              <w:bCs/>
              <w:sz w:val="24"/>
              <w:szCs w:val="24"/>
              <w:lang w:val="en-GB"/>
            </w:rPr>
            <w:t>3</w:t>
          </w:r>
          <w:r w:rsidR="003A69A1" w:rsidRPr="0018168E">
            <w:rPr>
              <w:rFonts w:ascii="Times New Roman" w:hAnsi="Times New Roman" w:cs="Times New Roman"/>
              <w:bCs/>
              <w:sz w:val="24"/>
              <w:szCs w:val="24"/>
              <w:lang w:val="en-GB"/>
            </w:rPr>
            <w:t>39</w:t>
          </w:r>
          <w:r w:rsidR="00822668">
            <w:rPr>
              <w:rFonts w:ascii="Times New Roman" w:hAnsi="Times New Roman" w:cs="Times New Roman"/>
              <w:bCs/>
              <w:sz w:val="24"/>
              <w:szCs w:val="24"/>
              <w:lang w:val="en-GB"/>
            </w:rPr>
            <w:t>.</w:t>
          </w:r>
          <w:r w:rsidR="004E54AD" w:rsidRPr="0018168E">
            <w:rPr>
              <w:rFonts w:ascii="Times New Roman" w:hAnsi="Times New Roman" w:cs="Times New Roman"/>
              <w:bCs/>
              <w:sz w:val="24"/>
              <w:szCs w:val="24"/>
              <w:lang w:val="en-GB"/>
            </w:rPr>
            <w:t xml:space="preserve">000 </w:t>
          </w:r>
          <w:r w:rsidR="003A69A1" w:rsidRPr="0018168E">
            <w:rPr>
              <w:rFonts w:ascii="Times New Roman" w:hAnsi="Times New Roman" w:cs="Times New Roman"/>
              <w:bCs/>
              <w:sz w:val="24"/>
              <w:szCs w:val="24"/>
              <w:lang w:val="en-GB"/>
            </w:rPr>
            <w:t>.</w:t>
          </w:r>
          <w:proofErr w:type="gramEnd"/>
          <w:r w:rsidR="003A69A1" w:rsidRPr="0018168E">
            <w:rPr>
              <w:rFonts w:ascii="Times New Roman" w:hAnsi="Times New Roman" w:cs="Times New Roman"/>
              <w:bCs/>
              <w:sz w:val="24"/>
              <w:szCs w:val="24"/>
              <w:lang w:val="en-GB"/>
            </w:rPr>
            <w:t xml:space="preserve"> This number corresponds to 0,</w:t>
          </w:r>
          <w:r w:rsidRPr="0018168E">
            <w:rPr>
              <w:rFonts w:ascii="Times New Roman" w:hAnsi="Times New Roman" w:cs="Times New Roman"/>
              <w:bCs/>
              <w:sz w:val="24"/>
              <w:szCs w:val="24"/>
              <w:lang w:val="en-GB"/>
            </w:rPr>
            <w:t>76% of the total number of consumers.</w:t>
          </w:r>
        </w:p>
        <w:p w:rsidR="00827880" w:rsidRPr="00F876CB" w:rsidRDefault="00827880" w:rsidP="00827880">
          <w:pPr>
            <w:pStyle w:val="ListeParagraf"/>
            <w:rPr>
              <w:rFonts w:asciiTheme="minorHAnsi" w:hAnsiTheme="minorHAnsi" w:cstheme="minorHAnsi"/>
              <w:bCs/>
              <w:sz w:val="24"/>
              <w:szCs w:val="24"/>
              <w:lang w:val="en-GB"/>
            </w:rPr>
          </w:pPr>
        </w:p>
        <w:p w:rsidR="007D49DA" w:rsidRPr="00F876CB" w:rsidRDefault="007D49DA" w:rsidP="007D49DA">
          <w:pPr>
            <w:pStyle w:val="ListeParagraf"/>
            <w:rPr>
              <w:rFonts w:asciiTheme="minorHAnsi" w:hAnsiTheme="minorHAnsi" w:cstheme="minorHAnsi"/>
              <w:bCs/>
              <w:sz w:val="24"/>
              <w:szCs w:val="24"/>
              <w:lang w:val="en-GB"/>
            </w:rPr>
          </w:pPr>
        </w:p>
        <w:p w:rsidR="007D49DA" w:rsidRPr="00F876CB" w:rsidRDefault="007D49DA" w:rsidP="007D49DA">
          <w:pPr>
            <w:pStyle w:val="ListeParagraf"/>
            <w:rPr>
              <w:rFonts w:asciiTheme="minorHAnsi" w:hAnsiTheme="minorHAnsi" w:cstheme="minorHAnsi"/>
              <w:bCs/>
              <w:sz w:val="24"/>
              <w:szCs w:val="24"/>
              <w:lang w:val="en-GB"/>
            </w:rPr>
          </w:pPr>
        </w:p>
        <w:p w:rsidR="007D49DA" w:rsidRPr="00F876CB" w:rsidRDefault="007D49DA" w:rsidP="007D49DA">
          <w:pPr>
            <w:pStyle w:val="ListeParagraf"/>
            <w:rPr>
              <w:rFonts w:asciiTheme="minorHAnsi" w:hAnsiTheme="minorHAnsi" w:cstheme="minorHAnsi"/>
              <w:bCs/>
              <w:sz w:val="24"/>
              <w:szCs w:val="24"/>
              <w:lang w:val="en-GB"/>
            </w:rPr>
          </w:pPr>
        </w:p>
        <w:p w:rsidR="007D49DA" w:rsidRPr="00A13249" w:rsidRDefault="000B6810" w:rsidP="00A13249">
          <w:pPr>
            <w:pStyle w:val="ListeParagraf"/>
            <w:numPr>
              <w:ilvl w:val="0"/>
              <w:numId w:val="20"/>
            </w:numPr>
            <w:spacing w:line="240" w:lineRule="auto"/>
            <w:ind w:left="0"/>
            <w:rPr>
              <w:rFonts w:ascii="Times New Roman" w:hAnsi="Times New Roman" w:cs="Times New Roman"/>
              <w:b/>
              <w:bCs/>
              <w:sz w:val="24"/>
              <w:szCs w:val="24"/>
              <w:lang w:val="en-GB"/>
            </w:rPr>
          </w:pPr>
          <w:r w:rsidRPr="00A13249">
            <w:rPr>
              <w:rFonts w:ascii="Times New Roman" w:hAnsi="Times New Roman" w:cs="Times New Roman"/>
              <w:b/>
              <w:bCs/>
              <w:sz w:val="24"/>
              <w:szCs w:val="24"/>
              <w:lang w:val="en-GB"/>
            </w:rPr>
            <w:t>Transmission</w:t>
          </w:r>
        </w:p>
        <w:p w:rsidR="007D49DA" w:rsidRPr="00F876CB" w:rsidRDefault="007D49DA" w:rsidP="007D49DA">
          <w:pPr>
            <w:pStyle w:val="ListeParagraf"/>
            <w:spacing w:after="120" w:line="240" w:lineRule="auto"/>
            <w:jc w:val="both"/>
            <w:rPr>
              <w:rFonts w:asciiTheme="minorHAnsi" w:hAnsiTheme="minorHAnsi" w:cstheme="minorHAnsi"/>
              <w:b/>
              <w:sz w:val="24"/>
              <w:szCs w:val="24"/>
              <w:lang w:val="en-GB"/>
            </w:rPr>
          </w:pPr>
        </w:p>
        <w:p w:rsidR="007D49DA" w:rsidRPr="00A13249" w:rsidRDefault="00822668" w:rsidP="00A13249">
          <w:pPr>
            <w:pStyle w:val="ListeParagraf"/>
            <w:numPr>
              <w:ilvl w:val="1"/>
              <w:numId w:val="20"/>
            </w:numPr>
            <w:spacing w:line="240" w:lineRule="auto"/>
            <w:ind w:left="0"/>
            <w:jc w:val="both"/>
            <w:rPr>
              <w:rFonts w:ascii="Times New Roman" w:hAnsi="Times New Roman" w:cs="Times New Roman"/>
              <w:bCs/>
              <w:sz w:val="24"/>
              <w:szCs w:val="24"/>
              <w:lang w:val="en-GB"/>
            </w:rPr>
          </w:pPr>
          <w:r>
            <w:rPr>
              <w:rFonts w:ascii="Times New Roman" w:hAnsi="Times New Roman" w:cs="Times New Roman"/>
              <w:bCs/>
              <w:sz w:val="24"/>
              <w:szCs w:val="24"/>
              <w:lang w:val="en-GB"/>
            </w:rPr>
            <w:t>By the end</w:t>
          </w:r>
          <w:r w:rsidR="000B6810" w:rsidRPr="00A13249">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of</w:t>
          </w:r>
          <w:r w:rsidR="00A13249">
            <w:rPr>
              <w:rFonts w:ascii="Times New Roman" w:hAnsi="Times New Roman" w:cs="Times New Roman"/>
              <w:bCs/>
              <w:sz w:val="24"/>
              <w:szCs w:val="24"/>
              <w:lang w:val="en-GB"/>
            </w:rPr>
            <w:t xml:space="preserve"> 2019, there were</w:t>
          </w:r>
          <w:r w:rsidR="00B417FA" w:rsidRPr="00A13249">
            <w:rPr>
              <w:rFonts w:ascii="Times New Roman" w:hAnsi="Times New Roman" w:cs="Times New Roman"/>
              <w:bCs/>
              <w:sz w:val="24"/>
              <w:szCs w:val="24"/>
              <w:lang w:val="en-GB"/>
            </w:rPr>
            <w:t xml:space="preserve"> 1.</w:t>
          </w:r>
          <w:r w:rsidR="000B6810" w:rsidRPr="00A13249">
            <w:rPr>
              <w:rFonts w:ascii="Times New Roman" w:hAnsi="Times New Roman" w:cs="Times New Roman"/>
              <w:bCs/>
              <w:sz w:val="24"/>
              <w:szCs w:val="24"/>
              <w:lang w:val="en-GB"/>
            </w:rPr>
            <w:t xml:space="preserve">212 </w:t>
          </w:r>
          <w:r w:rsidR="00A13249" w:rsidRPr="00A13249">
            <w:rPr>
              <w:rFonts w:ascii="Times New Roman" w:hAnsi="Times New Roman" w:cs="Times New Roman"/>
              <w:bCs/>
              <w:sz w:val="24"/>
              <w:szCs w:val="24"/>
              <w:lang w:val="en-GB"/>
            </w:rPr>
            <w:t xml:space="preserve">transformer </w:t>
          </w:r>
          <w:proofErr w:type="spellStart"/>
          <w:r w:rsidR="00A13249" w:rsidRPr="00A13249">
            <w:rPr>
              <w:rFonts w:ascii="Times New Roman" w:hAnsi="Times New Roman" w:cs="Times New Roman"/>
              <w:bCs/>
              <w:sz w:val="24"/>
              <w:szCs w:val="24"/>
              <w:lang w:val="en-GB"/>
            </w:rPr>
            <w:t>centers</w:t>
          </w:r>
          <w:proofErr w:type="spellEnd"/>
          <w:r w:rsidR="000B6810" w:rsidRPr="00A13249">
            <w:rPr>
              <w:rFonts w:ascii="Times New Roman" w:hAnsi="Times New Roman" w:cs="Times New Roman"/>
              <w:bCs/>
              <w:sz w:val="24"/>
              <w:szCs w:val="24"/>
              <w:lang w:val="en-GB"/>
            </w:rPr>
            <w:t xml:space="preserve"> i</w:t>
          </w:r>
          <w:r w:rsidR="00B417FA" w:rsidRPr="00A13249">
            <w:rPr>
              <w:rFonts w:ascii="Times New Roman" w:hAnsi="Times New Roman" w:cs="Times New Roman"/>
              <w:bCs/>
              <w:sz w:val="24"/>
              <w:szCs w:val="24"/>
              <w:lang w:val="en-GB"/>
            </w:rPr>
            <w:t>n the transmission system and 2.376 transformers with 216.</w:t>
          </w:r>
          <w:r w:rsidR="000B6810" w:rsidRPr="00A13249">
            <w:rPr>
              <w:rFonts w:ascii="Times New Roman" w:hAnsi="Times New Roman" w:cs="Times New Roman"/>
              <w:bCs/>
              <w:sz w:val="24"/>
              <w:szCs w:val="24"/>
              <w:lang w:val="en-GB"/>
            </w:rPr>
            <w:t>066 MVA capacity.</w:t>
          </w:r>
        </w:p>
        <w:p w:rsidR="000B6810" w:rsidRPr="00A13249" w:rsidRDefault="000B6810" w:rsidP="00A13249">
          <w:pPr>
            <w:pStyle w:val="ListeParagraf"/>
            <w:spacing w:line="240" w:lineRule="auto"/>
            <w:ind w:left="0"/>
            <w:jc w:val="both"/>
            <w:rPr>
              <w:rFonts w:ascii="Times New Roman" w:hAnsi="Times New Roman" w:cs="Times New Roman"/>
              <w:bCs/>
              <w:sz w:val="24"/>
              <w:szCs w:val="24"/>
              <w:lang w:val="en-GB"/>
            </w:rPr>
          </w:pPr>
        </w:p>
        <w:p w:rsidR="007D49DA" w:rsidRPr="00A13249" w:rsidRDefault="000B6810"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 xml:space="preserve">As of the end of 2019, the length of the transmission lines </w:t>
          </w:r>
          <w:r w:rsidR="00A13249">
            <w:rPr>
              <w:rFonts w:ascii="Times New Roman" w:hAnsi="Times New Roman" w:cs="Times New Roman"/>
              <w:bCs/>
              <w:sz w:val="24"/>
              <w:szCs w:val="24"/>
              <w:lang w:val="en-GB"/>
            </w:rPr>
            <w:t>was</w:t>
          </w:r>
          <w:r w:rsidRPr="00A13249">
            <w:rPr>
              <w:rFonts w:ascii="Times New Roman" w:hAnsi="Times New Roman" w:cs="Times New Roman"/>
              <w:bCs/>
              <w:sz w:val="24"/>
              <w:szCs w:val="24"/>
              <w:lang w:val="en-GB"/>
            </w:rPr>
            <w:t xml:space="preserve"> 70.024 km.</w:t>
          </w:r>
        </w:p>
        <w:p w:rsidR="007D49DA" w:rsidRPr="00A13249" w:rsidRDefault="007D49DA" w:rsidP="00A13249">
          <w:pPr>
            <w:pStyle w:val="ListeParagraf"/>
            <w:spacing w:line="240" w:lineRule="auto"/>
            <w:ind w:left="0"/>
            <w:jc w:val="both"/>
            <w:rPr>
              <w:rFonts w:ascii="Times New Roman" w:hAnsi="Times New Roman" w:cs="Times New Roman"/>
              <w:bCs/>
              <w:sz w:val="24"/>
              <w:szCs w:val="24"/>
              <w:lang w:val="en-GB"/>
            </w:rPr>
          </w:pPr>
        </w:p>
        <w:p w:rsidR="007D49DA" w:rsidRPr="00A13249" w:rsidRDefault="00B417FA"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In 2019, TL 2,</w:t>
          </w:r>
          <w:r w:rsidR="000022DC" w:rsidRPr="00A13249">
            <w:rPr>
              <w:rFonts w:ascii="Times New Roman" w:hAnsi="Times New Roman" w:cs="Times New Roman"/>
              <w:bCs/>
              <w:sz w:val="24"/>
              <w:szCs w:val="24"/>
              <w:lang w:val="en-GB"/>
            </w:rPr>
            <w:t>72 billion was invested by the transmission company.</w:t>
          </w:r>
        </w:p>
        <w:p w:rsidR="000022DC" w:rsidRPr="00A13249" w:rsidRDefault="000022DC" w:rsidP="00A13249">
          <w:pPr>
            <w:pStyle w:val="ListeParagraf"/>
            <w:spacing w:line="240" w:lineRule="auto"/>
            <w:ind w:left="0"/>
            <w:jc w:val="both"/>
            <w:rPr>
              <w:rFonts w:ascii="Times New Roman" w:hAnsi="Times New Roman" w:cs="Times New Roman"/>
              <w:bCs/>
              <w:sz w:val="24"/>
              <w:szCs w:val="24"/>
              <w:lang w:val="en-GB"/>
            </w:rPr>
          </w:pPr>
        </w:p>
        <w:p w:rsidR="007D49DA" w:rsidRDefault="000022DC"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 xml:space="preserve">In 2019, The transmission </w:t>
          </w:r>
          <w:r w:rsidR="00B417FA" w:rsidRPr="00A13249">
            <w:rPr>
              <w:rFonts w:ascii="Times New Roman" w:hAnsi="Times New Roman" w:cs="Times New Roman"/>
              <w:bCs/>
              <w:sz w:val="24"/>
              <w:szCs w:val="24"/>
              <w:lang w:val="en-GB"/>
            </w:rPr>
            <w:t>syste</w:t>
          </w:r>
          <w:r w:rsidR="00A13249">
            <w:rPr>
              <w:rFonts w:ascii="Times New Roman" w:hAnsi="Times New Roman" w:cs="Times New Roman"/>
              <w:bCs/>
              <w:sz w:val="24"/>
              <w:szCs w:val="24"/>
              <w:lang w:val="en-GB"/>
            </w:rPr>
            <w:t>m loss rate was 2</w:t>
          </w:r>
          <w:r w:rsidR="00822668">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15%.</w:t>
          </w:r>
        </w:p>
        <w:p w:rsidR="00A13249" w:rsidRPr="00A13249" w:rsidRDefault="00A13249" w:rsidP="00A13249">
          <w:pPr>
            <w:pStyle w:val="ListeParagraf"/>
            <w:rPr>
              <w:rFonts w:ascii="Times New Roman" w:hAnsi="Times New Roman" w:cs="Times New Roman"/>
              <w:bCs/>
              <w:sz w:val="24"/>
              <w:szCs w:val="24"/>
              <w:lang w:val="en-GB"/>
            </w:rPr>
          </w:pPr>
        </w:p>
        <w:p w:rsidR="00A13249" w:rsidRPr="00A13249" w:rsidRDefault="00A13249" w:rsidP="00A13249">
          <w:pPr>
            <w:pStyle w:val="ListeParagraf"/>
            <w:spacing w:line="240" w:lineRule="auto"/>
            <w:ind w:left="0"/>
            <w:jc w:val="both"/>
            <w:rPr>
              <w:rFonts w:ascii="Times New Roman" w:hAnsi="Times New Roman" w:cs="Times New Roman"/>
              <w:bCs/>
              <w:sz w:val="24"/>
              <w:szCs w:val="24"/>
              <w:lang w:val="en-GB"/>
            </w:rPr>
          </w:pPr>
        </w:p>
        <w:p w:rsidR="007D49DA" w:rsidRPr="00A13249" w:rsidRDefault="007D49DA" w:rsidP="00A13249">
          <w:pPr>
            <w:pStyle w:val="ListeParagraf"/>
            <w:spacing w:line="240" w:lineRule="auto"/>
            <w:ind w:left="0"/>
            <w:jc w:val="both"/>
            <w:rPr>
              <w:rFonts w:ascii="Times New Roman" w:hAnsi="Times New Roman" w:cs="Times New Roman"/>
              <w:bCs/>
              <w:sz w:val="24"/>
              <w:szCs w:val="24"/>
              <w:lang w:val="en-GB"/>
            </w:rPr>
          </w:pPr>
        </w:p>
        <w:p w:rsidR="007D49DA" w:rsidRPr="00A13249" w:rsidRDefault="007D49DA" w:rsidP="00A13249">
          <w:pPr>
            <w:pStyle w:val="ListeParagraf"/>
            <w:numPr>
              <w:ilvl w:val="0"/>
              <w:numId w:val="20"/>
            </w:numPr>
            <w:spacing w:line="240" w:lineRule="auto"/>
            <w:ind w:left="0"/>
            <w:rPr>
              <w:rFonts w:ascii="Times New Roman" w:hAnsi="Times New Roman" w:cs="Times New Roman"/>
              <w:b/>
              <w:bCs/>
              <w:sz w:val="24"/>
              <w:szCs w:val="24"/>
              <w:lang w:val="en-GB"/>
            </w:rPr>
          </w:pPr>
          <w:r w:rsidRPr="00A13249">
            <w:rPr>
              <w:rFonts w:ascii="Times New Roman" w:hAnsi="Times New Roman" w:cs="Times New Roman"/>
              <w:b/>
              <w:bCs/>
              <w:sz w:val="24"/>
              <w:szCs w:val="24"/>
              <w:lang w:val="en-GB"/>
            </w:rPr>
            <w:t>D</w:t>
          </w:r>
          <w:r w:rsidR="000022DC" w:rsidRPr="00A13249">
            <w:rPr>
              <w:rFonts w:ascii="Times New Roman" w:hAnsi="Times New Roman" w:cs="Times New Roman"/>
              <w:b/>
              <w:bCs/>
              <w:sz w:val="24"/>
              <w:szCs w:val="24"/>
              <w:lang w:val="en-GB"/>
            </w:rPr>
            <w:t>istribution</w:t>
          </w:r>
        </w:p>
        <w:p w:rsidR="007D49DA" w:rsidRPr="00F876CB" w:rsidRDefault="007D49DA" w:rsidP="007D49DA">
          <w:pPr>
            <w:pStyle w:val="ListeParagraf"/>
            <w:spacing w:after="120" w:line="240" w:lineRule="auto"/>
            <w:jc w:val="both"/>
            <w:rPr>
              <w:rFonts w:asciiTheme="minorHAnsi" w:hAnsiTheme="minorHAnsi" w:cstheme="minorHAnsi"/>
              <w:sz w:val="24"/>
              <w:szCs w:val="24"/>
              <w:lang w:val="en-GB"/>
            </w:rPr>
          </w:pPr>
        </w:p>
        <w:p w:rsidR="0003677A" w:rsidRPr="00A13249" w:rsidRDefault="000022DC"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By the end of 2019, the number of consumers using</w:t>
          </w:r>
          <w:r w:rsidR="00B417FA" w:rsidRPr="00A13249">
            <w:rPr>
              <w:rFonts w:ascii="Times New Roman" w:hAnsi="Times New Roman" w:cs="Times New Roman"/>
              <w:bCs/>
              <w:sz w:val="24"/>
              <w:szCs w:val="24"/>
              <w:lang w:val="en-GB"/>
            </w:rPr>
            <w:t xml:space="preserve"> the distribution system was 44</w:t>
          </w:r>
          <w:r w:rsidR="00E052C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96 million. The regions with the highest number of consumers were the </w:t>
          </w:r>
          <w:proofErr w:type="spellStart"/>
          <w:r w:rsidRPr="00A13249">
            <w:rPr>
              <w:rFonts w:ascii="Times New Roman" w:hAnsi="Times New Roman" w:cs="Times New Roman"/>
              <w:bCs/>
              <w:sz w:val="24"/>
              <w:szCs w:val="24"/>
              <w:lang w:val="en-GB"/>
            </w:rPr>
            <w:t>Boğaziçi</w:t>
          </w:r>
          <w:proofErr w:type="spellEnd"/>
          <w:r w:rsidRPr="00A13249">
            <w:rPr>
              <w:rFonts w:ascii="Times New Roman" w:hAnsi="Times New Roman" w:cs="Times New Roman"/>
              <w:bCs/>
              <w:sz w:val="24"/>
              <w:szCs w:val="24"/>
              <w:lang w:val="en-GB"/>
            </w:rPr>
            <w:t xml:space="preserve"> with 5</w:t>
          </w:r>
          <w:r w:rsidR="00E052C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13 million and the </w:t>
          </w:r>
          <w:proofErr w:type="spellStart"/>
          <w:r w:rsidRPr="00A13249">
            <w:rPr>
              <w:rFonts w:ascii="Times New Roman" w:hAnsi="Times New Roman" w:cs="Times New Roman"/>
              <w:bCs/>
              <w:sz w:val="24"/>
              <w:szCs w:val="24"/>
              <w:lang w:val="en-GB"/>
            </w:rPr>
            <w:t>Başkent</w:t>
          </w:r>
          <w:proofErr w:type="spellEnd"/>
          <w:r w:rsidRPr="00A13249">
            <w:rPr>
              <w:rFonts w:ascii="Times New Roman" w:hAnsi="Times New Roman" w:cs="Times New Roman"/>
              <w:bCs/>
              <w:sz w:val="24"/>
              <w:szCs w:val="24"/>
              <w:lang w:val="en-GB"/>
            </w:rPr>
            <w:t xml:space="preserve"> with 4</w:t>
          </w:r>
          <w:r w:rsidR="00E052C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28 million.</w:t>
          </w:r>
        </w:p>
        <w:p w:rsidR="000022DC" w:rsidRPr="00A13249" w:rsidRDefault="000022DC" w:rsidP="00A13249">
          <w:pPr>
            <w:pStyle w:val="ListeParagraf"/>
            <w:spacing w:line="240" w:lineRule="auto"/>
            <w:ind w:left="0"/>
            <w:jc w:val="both"/>
            <w:rPr>
              <w:rFonts w:ascii="Times New Roman" w:hAnsi="Times New Roman" w:cs="Times New Roman"/>
              <w:bCs/>
              <w:sz w:val="24"/>
              <w:szCs w:val="24"/>
              <w:lang w:val="en-GB"/>
            </w:rPr>
          </w:pPr>
        </w:p>
        <w:p w:rsidR="00A13249" w:rsidRDefault="000022DC"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By the end of 2018, the total invoiced consumption in the distribut</w:t>
          </w:r>
          <w:r w:rsidR="00B417FA" w:rsidRPr="00A13249">
            <w:rPr>
              <w:rFonts w:ascii="Times New Roman" w:hAnsi="Times New Roman" w:cs="Times New Roman"/>
              <w:bCs/>
              <w:sz w:val="24"/>
              <w:szCs w:val="24"/>
              <w:lang w:val="en-GB"/>
            </w:rPr>
            <w:t>ion regions was realized as 175</w:t>
          </w:r>
          <w:r w:rsidR="00A1324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90 </w:t>
          </w:r>
          <w:proofErr w:type="spellStart"/>
          <w:r w:rsidRPr="00A13249">
            <w:rPr>
              <w:rFonts w:ascii="Times New Roman" w:hAnsi="Times New Roman" w:cs="Times New Roman"/>
              <w:bCs/>
              <w:sz w:val="24"/>
              <w:szCs w:val="24"/>
              <w:lang w:val="en-GB"/>
            </w:rPr>
            <w:t>TWh</w:t>
          </w:r>
          <w:proofErr w:type="spellEnd"/>
          <w:r w:rsidRPr="00A13249">
            <w:rPr>
              <w:rFonts w:ascii="Times New Roman" w:hAnsi="Times New Roman" w:cs="Times New Roman"/>
              <w:bCs/>
              <w:sz w:val="24"/>
              <w:szCs w:val="24"/>
              <w:lang w:val="en-GB"/>
            </w:rPr>
            <w:t>. The regions with the highest consumption am</w:t>
          </w:r>
          <w:r w:rsidR="00B417FA" w:rsidRPr="00A13249">
            <w:rPr>
              <w:rFonts w:ascii="Times New Roman" w:hAnsi="Times New Roman" w:cs="Times New Roman"/>
              <w:bCs/>
              <w:sz w:val="24"/>
              <w:szCs w:val="24"/>
              <w:lang w:val="en-GB"/>
            </w:rPr>
            <w:t xml:space="preserve">ounts were the </w:t>
          </w:r>
          <w:proofErr w:type="spellStart"/>
          <w:r w:rsidR="00B417FA" w:rsidRPr="00A13249">
            <w:rPr>
              <w:rFonts w:ascii="Times New Roman" w:hAnsi="Times New Roman" w:cs="Times New Roman"/>
              <w:bCs/>
              <w:sz w:val="24"/>
              <w:szCs w:val="24"/>
              <w:lang w:val="en-GB"/>
            </w:rPr>
            <w:t>Boğaziçi</w:t>
          </w:r>
          <w:proofErr w:type="spellEnd"/>
          <w:r w:rsidR="00B417FA" w:rsidRPr="00A13249">
            <w:rPr>
              <w:rFonts w:ascii="Times New Roman" w:hAnsi="Times New Roman" w:cs="Times New Roman"/>
              <w:bCs/>
              <w:sz w:val="24"/>
              <w:szCs w:val="24"/>
              <w:lang w:val="en-GB"/>
            </w:rPr>
            <w:t xml:space="preserve"> with 24</w:t>
          </w:r>
          <w:r w:rsidR="00A1324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78 </w:t>
          </w:r>
          <w:proofErr w:type="spellStart"/>
          <w:r w:rsidRPr="00A13249">
            <w:rPr>
              <w:rFonts w:ascii="Times New Roman" w:hAnsi="Times New Roman" w:cs="Times New Roman"/>
              <w:bCs/>
              <w:sz w:val="24"/>
              <w:szCs w:val="24"/>
              <w:lang w:val="en-GB"/>
            </w:rPr>
            <w:t>TWh</w:t>
          </w:r>
          <w:proofErr w:type="spellEnd"/>
          <w:r w:rsidRPr="00A13249">
            <w:rPr>
              <w:rFonts w:ascii="Times New Roman" w:hAnsi="Times New Roman" w:cs="Times New Roman"/>
              <w:bCs/>
              <w:sz w:val="24"/>
              <w:szCs w:val="24"/>
              <w:lang w:val="en-GB"/>
            </w:rPr>
            <w:t xml:space="preserve"> and the </w:t>
          </w:r>
          <w:proofErr w:type="spellStart"/>
          <w:r w:rsidRPr="00A13249">
            <w:rPr>
              <w:rFonts w:ascii="Times New Roman" w:hAnsi="Times New Roman" w:cs="Times New Roman"/>
              <w:bCs/>
              <w:sz w:val="24"/>
              <w:szCs w:val="24"/>
              <w:lang w:val="en-GB"/>
            </w:rPr>
            <w:t>Toroslar</w:t>
          </w:r>
          <w:proofErr w:type="spellEnd"/>
          <w:r w:rsidRPr="00A13249">
            <w:rPr>
              <w:rFonts w:ascii="Times New Roman" w:hAnsi="Times New Roman" w:cs="Times New Roman"/>
              <w:bCs/>
              <w:sz w:val="24"/>
              <w:szCs w:val="24"/>
              <w:lang w:val="en-GB"/>
            </w:rPr>
            <w:t xml:space="preserve"> with 15</w:t>
          </w:r>
          <w:r w:rsidR="00A1324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49 </w:t>
          </w:r>
          <w:proofErr w:type="spellStart"/>
          <w:r w:rsidRPr="00A13249">
            <w:rPr>
              <w:rFonts w:ascii="Times New Roman" w:hAnsi="Times New Roman" w:cs="Times New Roman"/>
              <w:bCs/>
              <w:sz w:val="24"/>
              <w:szCs w:val="24"/>
              <w:lang w:val="en-GB"/>
            </w:rPr>
            <w:t>TWh</w:t>
          </w:r>
          <w:proofErr w:type="spellEnd"/>
          <w:r w:rsidRPr="00A13249">
            <w:rPr>
              <w:rFonts w:ascii="Times New Roman" w:hAnsi="Times New Roman" w:cs="Times New Roman"/>
              <w:bCs/>
              <w:sz w:val="24"/>
              <w:szCs w:val="24"/>
              <w:lang w:val="en-GB"/>
            </w:rPr>
            <w:t>.</w:t>
          </w:r>
        </w:p>
        <w:p w:rsidR="00A13249" w:rsidRPr="00A13249" w:rsidRDefault="00A13249" w:rsidP="00A13249">
          <w:pPr>
            <w:pStyle w:val="ListeParagraf"/>
            <w:rPr>
              <w:rFonts w:ascii="Times New Roman" w:hAnsi="Times New Roman" w:cs="Times New Roman"/>
              <w:bCs/>
              <w:sz w:val="24"/>
              <w:szCs w:val="24"/>
              <w:lang w:val="en-GB"/>
            </w:rPr>
          </w:pPr>
        </w:p>
        <w:p w:rsidR="0003677A" w:rsidRPr="00A13249" w:rsidRDefault="000022DC"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The highest loss r</w:t>
          </w:r>
          <w:r w:rsidR="00B417FA" w:rsidRPr="00A13249">
            <w:rPr>
              <w:rFonts w:ascii="Times New Roman" w:hAnsi="Times New Roman" w:cs="Times New Roman"/>
              <w:bCs/>
              <w:sz w:val="24"/>
              <w:szCs w:val="24"/>
              <w:lang w:val="en-GB"/>
            </w:rPr>
            <w:t xml:space="preserve">ates were seen in </w:t>
          </w:r>
          <w:proofErr w:type="spellStart"/>
          <w:r w:rsidR="00B417FA" w:rsidRPr="00A13249">
            <w:rPr>
              <w:rFonts w:ascii="Times New Roman" w:hAnsi="Times New Roman" w:cs="Times New Roman"/>
              <w:bCs/>
              <w:sz w:val="24"/>
              <w:szCs w:val="24"/>
              <w:lang w:val="en-GB"/>
            </w:rPr>
            <w:t>Dicle</w:t>
          </w:r>
          <w:proofErr w:type="spellEnd"/>
          <w:r w:rsidR="00B417FA" w:rsidRPr="00A13249">
            <w:rPr>
              <w:rFonts w:ascii="Times New Roman" w:hAnsi="Times New Roman" w:cs="Times New Roman"/>
              <w:bCs/>
              <w:sz w:val="24"/>
              <w:szCs w:val="24"/>
              <w:lang w:val="en-GB"/>
            </w:rPr>
            <w:t xml:space="preserve"> with 51</w:t>
          </w:r>
          <w:r w:rsidR="00A13249" w:rsidRPr="00A13249">
            <w:rPr>
              <w:rFonts w:ascii="Times New Roman" w:hAnsi="Times New Roman" w:cs="Times New Roman"/>
              <w:bCs/>
              <w:sz w:val="24"/>
              <w:szCs w:val="24"/>
              <w:lang w:val="en-GB"/>
            </w:rPr>
            <w:t>,</w:t>
          </w:r>
          <w:r w:rsidR="00B417FA" w:rsidRPr="00A13249">
            <w:rPr>
              <w:rFonts w:ascii="Times New Roman" w:hAnsi="Times New Roman" w:cs="Times New Roman"/>
              <w:bCs/>
              <w:sz w:val="24"/>
              <w:szCs w:val="24"/>
              <w:lang w:val="en-GB"/>
            </w:rPr>
            <w:t xml:space="preserve">32%, </w:t>
          </w:r>
          <w:proofErr w:type="spellStart"/>
          <w:r w:rsidR="00B417FA" w:rsidRPr="00A13249">
            <w:rPr>
              <w:rFonts w:ascii="Times New Roman" w:hAnsi="Times New Roman" w:cs="Times New Roman"/>
              <w:bCs/>
              <w:sz w:val="24"/>
              <w:szCs w:val="24"/>
              <w:lang w:val="en-GB"/>
            </w:rPr>
            <w:t>Vangölü</w:t>
          </w:r>
          <w:proofErr w:type="spellEnd"/>
          <w:r w:rsidR="00B417FA" w:rsidRPr="00A13249">
            <w:rPr>
              <w:rFonts w:ascii="Times New Roman" w:hAnsi="Times New Roman" w:cs="Times New Roman"/>
              <w:bCs/>
              <w:sz w:val="24"/>
              <w:szCs w:val="24"/>
              <w:lang w:val="en-GB"/>
            </w:rPr>
            <w:t xml:space="preserve"> with 47,56% and Aras with 21,</w:t>
          </w:r>
          <w:r w:rsidRPr="00A13249">
            <w:rPr>
              <w:rFonts w:ascii="Times New Roman" w:hAnsi="Times New Roman" w:cs="Times New Roman"/>
              <w:bCs/>
              <w:sz w:val="24"/>
              <w:szCs w:val="24"/>
              <w:lang w:val="en-GB"/>
            </w:rPr>
            <w:t>64%.</w:t>
          </w:r>
        </w:p>
        <w:p w:rsidR="000022DC" w:rsidRPr="00A13249" w:rsidRDefault="000022DC" w:rsidP="00A13249">
          <w:pPr>
            <w:pStyle w:val="ListeParagraf"/>
            <w:spacing w:line="240" w:lineRule="auto"/>
            <w:ind w:left="0"/>
            <w:jc w:val="both"/>
            <w:rPr>
              <w:rFonts w:ascii="Times New Roman" w:hAnsi="Times New Roman" w:cs="Times New Roman"/>
              <w:bCs/>
              <w:sz w:val="24"/>
              <w:szCs w:val="24"/>
              <w:lang w:val="en-GB"/>
            </w:rPr>
          </w:pPr>
        </w:p>
        <w:p w:rsidR="0003677A" w:rsidRPr="00A13249" w:rsidRDefault="003B4C20"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The lowest loss rates were seen in the distri</w:t>
          </w:r>
          <w:r w:rsidR="00B417FA" w:rsidRPr="00A13249">
            <w:rPr>
              <w:rFonts w:ascii="Times New Roman" w:hAnsi="Times New Roman" w:cs="Times New Roman"/>
              <w:bCs/>
              <w:sz w:val="24"/>
              <w:szCs w:val="24"/>
              <w:lang w:val="en-GB"/>
            </w:rPr>
            <w:t>bution regions</w:t>
          </w:r>
          <w:r w:rsidR="00A13249" w:rsidRPr="00A13249">
            <w:rPr>
              <w:rFonts w:ascii="Times New Roman" w:hAnsi="Times New Roman" w:cs="Times New Roman"/>
              <w:bCs/>
              <w:sz w:val="24"/>
              <w:szCs w:val="24"/>
              <w:lang w:val="en-GB"/>
            </w:rPr>
            <w:t xml:space="preserve"> of </w:t>
          </w:r>
          <w:proofErr w:type="spellStart"/>
          <w:r w:rsidR="00A13249" w:rsidRPr="00A13249">
            <w:rPr>
              <w:rFonts w:ascii="Times New Roman" w:hAnsi="Times New Roman" w:cs="Times New Roman"/>
              <w:bCs/>
              <w:sz w:val="24"/>
              <w:szCs w:val="24"/>
              <w:lang w:val="en-GB"/>
            </w:rPr>
            <w:t>Uludağ</w:t>
          </w:r>
          <w:proofErr w:type="spellEnd"/>
          <w:r w:rsidR="00A13249" w:rsidRPr="00A13249">
            <w:rPr>
              <w:rFonts w:ascii="Times New Roman" w:hAnsi="Times New Roman" w:cs="Times New Roman"/>
              <w:bCs/>
              <w:sz w:val="24"/>
              <w:szCs w:val="24"/>
              <w:lang w:val="en-GB"/>
            </w:rPr>
            <w:t xml:space="preserve"> with 4,</w:t>
          </w:r>
          <w:r w:rsidRPr="00A13249">
            <w:rPr>
              <w:rFonts w:ascii="Times New Roman" w:hAnsi="Times New Roman" w:cs="Times New Roman"/>
              <w:bCs/>
              <w:sz w:val="24"/>
              <w:szCs w:val="24"/>
              <w:lang w:val="en-GB"/>
            </w:rPr>
            <w:t>82%</w:t>
          </w:r>
          <w:r w:rsidR="00B417FA" w:rsidRPr="00A13249">
            <w:rPr>
              <w:rFonts w:ascii="Times New Roman" w:hAnsi="Times New Roman" w:cs="Times New Roman"/>
              <w:bCs/>
              <w:sz w:val="24"/>
              <w:szCs w:val="24"/>
              <w:lang w:val="en-GB"/>
            </w:rPr>
            <w:t xml:space="preserve">, Trakya with 4,49% and </w:t>
          </w:r>
          <w:proofErr w:type="spellStart"/>
          <w:r w:rsidR="00B417FA" w:rsidRPr="00A13249">
            <w:rPr>
              <w:rFonts w:ascii="Times New Roman" w:hAnsi="Times New Roman" w:cs="Times New Roman"/>
              <w:bCs/>
              <w:sz w:val="24"/>
              <w:szCs w:val="24"/>
              <w:lang w:val="en-GB"/>
            </w:rPr>
            <w:t>Çamlıbel</w:t>
          </w:r>
          <w:proofErr w:type="spellEnd"/>
          <w:r w:rsidR="00B417FA" w:rsidRPr="00A13249">
            <w:rPr>
              <w:rFonts w:ascii="Times New Roman" w:hAnsi="Times New Roman" w:cs="Times New Roman"/>
              <w:bCs/>
              <w:sz w:val="24"/>
              <w:szCs w:val="24"/>
              <w:lang w:val="en-GB"/>
            </w:rPr>
            <w:t xml:space="preserve"> with 4,</w:t>
          </w:r>
          <w:r w:rsidRPr="00A13249">
            <w:rPr>
              <w:rFonts w:ascii="Times New Roman" w:hAnsi="Times New Roman" w:cs="Times New Roman"/>
              <w:bCs/>
              <w:sz w:val="24"/>
              <w:szCs w:val="24"/>
              <w:lang w:val="en-GB"/>
            </w:rPr>
            <w:t>75%.</w:t>
          </w:r>
        </w:p>
        <w:p w:rsidR="0003677A" w:rsidRPr="00A13249" w:rsidRDefault="0003677A" w:rsidP="00A13249">
          <w:pPr>
            <w:pStyle w:val="ListeParagraf"/>
            <w:spacing w:line="240" w:lineRule="auto"/>
            <w:ind w:left="0"/>
            <w:jc w:val="both"/>
            <w:rPr>
              <w:rFonts w:ascii="Times New Roman" w:hAnsi="Times New Roman" w:cs="Times New Roman"/>
              <w:bCs/>
              <w:sz w:val="24"/>
              <w:szCs w:val="24"/>
              <w:lang w:val="en-GB"/>
            </w:rPr>
          </w:pPr>
        </w:p>
        <w:p w:rsidR="0003677A" w:rsidRDefault="00B417FA"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By the end of 2019, 56.</w:t>
          </w:r>
          <w:r w:rsidR="00934490" w:rsidRPr="00A13249">
            <w:rPr>
              <w:rFonts w:ascii="Times New Roman" w:hAnsi="Times New Roman" w:cs="Times New Roman"/>
              <w:bCs/>
              <w:sz w:val="24"/>
              <w:szCs w:val="24"/>
              <w:lang w:val="en-GB"/>
            </w:rPr>
            <w:t>903 people were employed in the electricity di</w:t>
          </w:r>
          <w:r w:rsidRPr="00A13249">
            <w:rPr>
              <w:rFonts w:ascii="Times New Roman" w:hAnsi="Times New Roman" w:cs="Times New Roman"/>
              <w:bCs/>
              <w:sz w:val="24"/>
              <w:szCs w:val="24"/>
              <w:lang w:val="en-GB"/>
            </w:rPr>
            <w:t>stribution sector. Of those, 24.</w:t>
          </w:r>
          <w:r w:rsidR="00934490" w:rsidRPr="00A13249">
            <w:rPr>
              <w:rFonts w:ascii="Times New Roman" w:hAnsi="Times New Roman" w:cs="Times New Roman"/>
              <w:bCs/>
              <w:sz w:val="24"/>
              <w:szCs w:val="24"/>
              <w:lang w:val="en-GB"/>
            </w:rPr>
            <w:t>211 were employed as permanent staff i</w:t>
          </w:r>
          <w:r w:rsidRPr="00A13249">
            <w:rPr>
              <w:rFonts w:ascii="Times New Roman" w:hAnsi="Times New Roman" w:cs="Times New Roman"/>
              <w:bCs/>
              <w:sz w:val="24"/>
              <w:szCs w:val="24"/>
              <w:lang w:val="en-GB"/>
            </w:rPr>
            <w:t>n distribution companies and 32.</w:t>
          </w:r>
          <w:r w:rsidR="00934490" w:rsidRPr="00A13249">
            <w:rPr>
              <w:rFonts w:ascii="Times New Roman" w:hAnsi="Times New Roman" w:cs="Times New Roman"/>
              <w:bCs/>
              <w:sz w:val="24"/>
              <w:szCs w:val="24"/>
              <w:lang w:val="en-GB"/>
            </w:rPr>
            <w:t>692 were employed as subcontractor company personnel.</w:t>
          </w:r>
        </w:p>
        <w:p w:rsidR="00A13249" w:rsidRPr="00A13249" w:rsidRDefault="00A13249" w:rsidP="00A13249">
          <w:pPr>
            <w:pStyle w:val="ListeParagraf"/>
            <w:spacing w:line="240" w:lineRule="auto"/>
            <w:ind w:left="0"/>
            <w:jc w:val="both"/>
            <w:rPr>
              <w:rFonts w:ascii="Times New Roman" w:hAnsi="Times New Roman" w:cs="Times New Roman"/>
              <w:bCs/>
              <w:sz w:val="24"/>
              <w:szCs w:val="24"/>
              <w:lang w:val="en-GB"/>
            </w:rPr>
          </w:pPr>
        </w:p>
        <w:p w:rsidR="0003677A" w:rsidRPr="00A13249" w:rsidRDefault="00110D24"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 xml:space="preserve">By </w:t>
          </w:r>
          <w:r w:rsidR="00B417FA" w:rsidRPr="00A13249">
            <w:rPr>
              <w:rFonts w:ascii="Times New Roman" w:hAnsi="Times New Roman" w:cs="Times New Roman"/>
              <w:bCs/>
              <w:sz w:val="24"/>
              <w:szCs w:val="24"/>
              <w:lang w:val="en-GB"/>
            </w:rPr>
            <w:t>the end of 2019, there were 485.</w:t>
          </w:r>
          <w:r w:rsidRPr="00A13249">
            <w:rPr>
              <w:rFonts w:ascii="Times New Roman" w:hAnsi="Times New Roman" w:cs="Times New Roman"/>
              <w:bCs/>
              <w:sz w:val="24"/>
              <w:szCs w:val="24"/>
              <w:lang w:val="en-GB"/>
            </w:rPr>
            <w:t>933 transformers in t</w:t>
          </w:r>
          <w:r w:rsidR="00B417FA" w:rsidRPr="00A13249">
            <w:rPr>
              <w:rFonts w:ascii="Times New Roman" w:hAnsi="Times New Roman" w:cs="Times New Roman"/>
              <w:bCs/>
              <w:sz w:val="24"/>
              <w:szCs w:val="24"/>
              <w:lang w:val="en-GB"/>
            </w:rPr>
            <w:t>he distribution system with 169.</w:t>
          </w:r>
          <w:r w:rsidRPr="00A13249">
            <w:rPr>
              <w:rFonts w:ascii="Times New Roman" w:hAnsi="Times New Roman" w:cs="Times New Roman"/>
              <w:bCs/>
              <w:sz w:val="24"/>
              <w:szCs w:val="24"/>
              <w:lang w:val="en-GB"/>
            </w:rPr>
            <w:t>060 MVA power.</w:t>
          </w:r>
        </w:p>
        <w:p w:rsidR="00110D24" w:rsidRPr="00A13249" w:rsidRDefault="00110D24" w:rsidP="00A13249">
          <w:pPr>
            <w:pStyle w:val="ListeParagraf"/>
            <w:spacing w:line="240" w:lineRule="auto"/>
            <w:ind w:left="0"/>
            <w:jc w:val="both"/>
            <w:rPr>
              <w:rFonts w:ascii="Times New Roman" w:hAnsi="Times New Roman" w:cs="Times New Roman"/>
              <w:bCs/>
              <w:sz w:val="24"/>
              <w:szCs w:val="24"/>
              <w:lang w:val="en-GB"/>
            </w:rPr>
          </w:pPr>
        </w:p>
        <w:p w:rsidR="0003677A" w:rsidRPr="00A13249" w:rsidRDefault="00110D24"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By the end of 2019, the len</w:t>
          </w:r>
          <w:r w:rsidR="00B417FA" w:rsidRPr="00A13249">
            <w:rPr>
              <w:rFonts w:ascii="Times New Roman" w:hAnsi="Times New Roman" w:cs="Times New Roman"/>
              <w:bCs/>
              <w:sz w:val="24"/>
              <w:szCs w:val="24"/>
              <w:lang w:val="en-GB"/>
            </w:rPr>
            <w:t>gth of distribution lines was 1.190.</w:t>
          </w:r>
          <w:r w:rsidRPr="00A13249">
            <w:rPr>
              <w:rFonts w:ascii="Times New Roman" w:hAnsi="Times New Roman" w:cs="Times New Roman"/>
              <w:bCs/>
              <w:sz w:val="24"/>
              <w:szCs w:val="24"/>
              <w:lang w:val="en-GB"/>
            </w:rPr>
            <w:t>169 km. 966.979 km of this figure is overhead lines and 223.190 km is underground lines.</w:t>
          </w:r>
        </w:p>
        <w:p w:rsidR="00110D24" w:rsidRPr="00A13249" w:rsidRDefault="00110D24" w:rsidP="00A13249">
          <w:pPr>
            <w:pStyle w:val="ListeParagraf"/>
            <w:spacing w:line="240" w:lineRule="auto"/>
            <w:ind w:left="0"/>
            <w:jc w:val="both"/>
            <w:rPr>
              <w:rFonts w:ascii="Times New Roman" w:hAnsi="Times New Roman" w:cs="Times New Roman"/>
              <w:bCs/>
              <w:sz w:val="24"/>
              <w:szCs w:val="24"/>
              <w:lang w:val="en-GB"/>
            </w:rPr>
          </w:pPr>
        </w:p>
        <w:p w:rsidR="0003677A" w:rsidRPr="00A13249" w:rsidRDefault="00894A29" w:rsidP="00A13249">
          <w:pPr>
            <w:pStyle w:val="ListeParagraf"/>
            <w:numPr>
              <w:ilvl w:val="1"/>
              <w:numId w:val="20"/>
            </w:numPr>
            <w:spacing w:line="240" w:lineRule="auto"/>
            <w:ind w:left="0"/>
            <w:jc w:val="both"/>
            <w:rPr>
              <w:rFonts w:ascii="Times New Roman" w:hAnsi="Times New Roman" w:cs="Times New Roman"/>
              <w:bCs/>
              <w:sz w:val="24"/>
              <w:szCs w:val="24"/>
              <w:lang w:val="en-GB"/>
            </w:rPr>
          </w:pPr>
          <w:r w:rsidRPr="00A13249">
            <w:rPr>
              <w:rFonts w:ascii="Times New Roman" w:hAnsi="Times New Roman" w:cs="Times New Roman"/>
              <w:bCs/>
              <w:sz w:val="24"/>
              <w:szCs w:val="24"/>
              <w:lang w:val="en-GB"/>
            </w:rPr>
            <w:t>In 2019, the di</w:t>
          </w:r>
          <w:r w:rsidR="00B417FA" w:rsidRPr="00A13249">
            <w:rPr>
              <w:rFonts w:ascii="Times New Roman" w:hAnsi="Times New Roman" w:cs="Times New Roman"/>
              <w:bCs/>
              <w:sz w:val="24"/>
              <w:szCs w:val="24"/>
              <w:lang w:val="en-GB"/>
            </w:rPr>
            <w:t>stribution companies invested 7</w:t>
          </w:r>
          <w:r w:rsidR="00A13249" w:rsidRPr="00A1324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 xml:space="preserve">24 billion TL in current prices. The highest investment expenditure was realized in </w:t>
          </w:r>
          <w:r w:rsidR="00B417FA" w:rsidRPr="00A13249">
            <w:rPr>
              <w:rFonts w:ascii="Times New Roman" w:hAnsi="Times New Roman" w:cs="Times New Roman"/>
              <w:bCs/>
              <w:sz w:val="24"/>
              <w:szCs w:val="24"/>
              <w:lang w:val="en-GB"/>
            </w:rPr>
            <w:t xml:space="preserve">the regions of </w:t>
          </w:r>
          <w:proofErr w:type="spellStart"/>
          <w:r w:rsidR="00B417FA" w:rsidRPr="00A13249">
            <w:rPr>
              <w:rFonts w:ascii="Times New Roman" w:hAnsi="Times New Roman" w:cs="Times New Roman"/>
              <w:bCs/>
              <w:sz w:val="24"/>
              <w:szCs w:val="24"/>
              <w:lang w:val="en-GB"/>
            </w:rPr>
            <w:t>Osmangazi</w:t>
          </w:r>
          <w:proofErr w:type="spellEnd"/>
          <w:r w:rsidR="00B417FA" w:rsidRPr="00A13249">
            <w:rPr>
              <w:rFonts w:ascii="Times New Roman" w:hAnsi="Times New Roman" w:cs="Times New Roman"/>
              <w:bCs/>
              <w:sz w:val="24"/>
              <w:szCs w:val="24"/>
              <w:lang w:val="en-GB"/>
            </w:rPr>
            <w:t xml:space="preserve"> with 1</w:t>
          </w:r>
          <w:r w:rsidR="00A13249" w:rsidRPr="00A13249">
            <w:rPr>
              <w:rFonts w:ascii="Times New Roman" w:hAnsi="Times New Roman" w:cs="Times New Roman"/>
              <w:bCs/>
              <w:sz w:val="24"/>
              <w:szCs w:val="24"/>
              <w:lang w:val="en-GB"/>
            </w:rPr>
            <w:t>,</w:t>
          </w:r>
          <w:r w:rsidRPr="00A13249">
            <w:rPr>
              <w:rFonts w:ascii="Times New Roman" w:hAnsi="Times New Roman" w:cs="Times New Roman"/>
              <w:bCs/>
              <w:sz w:val="24"/>
              <w:szCs w:val="24"/>
              <w:lang w:val="en-GB"/>
            </w:rPr>
            <w:t>26 billi</w:t>
          </w:r>
          <w:r w:rsidR="00B417FA" w:rsidRPr="00A13249">
            <w:rPr>
              <w:rFonts w:ascii="Times New Roman" w:hAnsi="Times New Roman" w:cs="Times New Roman"/>
              <w:bCs/>
              <w:sz w:val="24"/>
              <w:szCs w:val="24"/>
              <w:lang w:val="en-GB"/>
            </w:rPr>
            <w:t xml:space="preserve">on TL and the </w:t>
          </w:r>
          <w:proofErr w:type="spellStart"/>
          <w:r w:rsidR="00B417FA" w:rsidRPr="00A13249">
            <w:rPr>
              <w:rFonts w:ascii="Times New Roman" w:hAnsi="Times New Roman" w:cs="Times New Roman"/>
              <w:bCs/>
              <w:sz w:val="24"/>
              <w:szCs w:val="24"/>
              <w:lang w:val="en-GB"/>
            </w:rPr>
            <w:t>Boğaziçi</w:t>
          </w:r>
          <w:proofErr w:type="spellEnd"/>
          <w:r w:rsidR="00B417FA" w:rsidRPr="00A13249">
            <w:rPr>
              <w:rFonts w:ascii="Times New Roman" w:hAnsi="Times New Roman" w:cs="Times New Roman"/>
              <w:bCs/>
              <w:sz w:val="24"/>
              <w:szCs w:val="24"/>
              <w:lang w:val="en-GB"/>
            </w:rPr>
            <w:t xml:space="preserve"> with 720,</w:t>
          </w:r>
          <w:r w:rsidRPr="00A13249">
            <w:rPr>
              <w:rFonts w:ascii="Times New Roman" w:hAnsi="Times New Roman" w:cs="Times New Roman"/>
              <w:bCs/>
              <w:sz w:val="24"/>
              <w:szCs w:val="24"/>
              <w:lang w:val="en-GB"/>
            </w:rPr>
            <w:t>4 million TL.</w:t>
          </w:r>
        </w:p>
        <w:p w:rsidR="001C1731" w:rsidRPr="00A13249" w:rsidRDefault="001C1731" w:rsidP="00A13249">
          <w:pPr>
            <w:pStyle w:val="ListeParagraf"/>
            <w:spacing w:line="240" w:lineRule="auto"/>
            <w:ind w:left="0"/>
            <w:jc w:val="both"/>
            <w:rPr>
              <w:rFonts w:ascii="Times New Roman" w:hAnsi="Times New Roman" w:cs="Times New Roman"/>
              <w:bCs/>
              <w:sz w:val="24"/>
              <w:szCs w:val="24"/>
              <w:lang w:val="en-GB"/>
            </w:rPr>
          </w:pPr>
        </w:p>
        <w:p w:rsidR="001C1731" w:rsidRPr="00F876CB" w:rsidRDefault="001C1731" w:rsidP="001C1731">
          <w:pPr>
            <w:jc w:val="center"/>
            <w:rPr>
              <w:rFonts w:asciiTheme="minorHAnsi" w:hAnsiTheme="minorHAnsi" w:cstheme="minorHAnsi"/>
              <w:b/>
              <w:bCs/>
              <w:color w:val="000000" w:themeColor="text1"/>
              <w:sz w:val="24"/>
              <w:szCs w:val="24"/>
              <w:lang w:val="en-GB"/>
            </w:rPr>
          </w:pPr>
        </w:p>
        <w:p w:rsidR="00C3537A" w:rsidRPr="00F876CB" w:rsidRDefault="00C3537A" w:rsidP="00836161">
          <w:pPr>
            <w:jc w:val="center"/>
            <w:rPr>
              <w:rFonts w:asciiTheme="minorHAnsi" w:hAnsiTheme="minorHAnsi" w:cstheme="minorHAnsi"/>
              <w:b/>
              <w:bCs/>
              <w:color w:val="000000" w:themeColor="text1"/>
              <w:sz w:val="24"/>
              <w:szCs w:val="24"/>
              <w:lang w:val="en-GB"/>
            </w:rPr>
          </w:pPr>
        </w:p>
        <w:p w:rsidR="00C3537A" w:rsidRPr="00F876CB" w:rsidRDefault="00C3537A" w:rsidP="00836161">
          <w:pPr>
            <w:jc w:val="center"/>
            <w:rPr>
              <w:rFonts w:asciiTheme="minorHAnsi" w:hAnsiTheme="minorHAnsi" w:cstheme="minorHAnsi"/>
              <w:b/>
              <w:bCs/>
              <w:color w:val="000000" w:themeColor="text1"/>
              <w:sz w:val="24"/>
              <w:szCs w:val="24"/>
              <w:lang w:val="en-GB"/>
            </w:rPr>
          </w:pPr>
        </w:p>
        <w:p w:rsidR="001C1731" w:rsidRPr="00F876CB" w:rsidRDefault="001C1731" w:rsidP="00836161">
          <w:pPr>
            <w:jc w:val="center"/>
            <w:rPr>
              <w:rFonts w:asciiTheme="minorHAnsi" w:hAnsiTheme="minorHAnsi" w:cstheme="minorHAnsi"/>
              <w:b/>
              <w:bCs/>
              <w:color w:val="000000" w:themeColor="text1"/>
              <w:sz w:val="24"/>
              <w:szCs w:val="24"/>
              <w:lang w:val="en-GB"/>
            </w:rPr>
          </w:pPr>
        </w:p>
        <w:p w:rsidR="001C1731" w:rsidRPr="00F876CB" w:rsidRDefault="001C1731" w:rsidP="00836161">
          <w:pPr>
            <w:jc w:val="center"/>
            <w:rPr>
              <w:rFonts w:asciiTheme="minorHAnsi" w:hAnsiTheme="minorHAnsi" w:cstheme="minorHAnsi"/>
              <w:b/>
              <w:bCs/>
              <w:color w:val="000000" w:themeColor="text1"/>
              <w:sz w:val="24"/>
              <w:szCs w:val="24"/>
              <w:lang w:val="en-GB"/>
            </w:rPr>
          </w:pPr>
        </w:p>
        <w:p w:rsidR="001C1731" w:rsidRPr="00F876CB" w:rsidRDefault="001C1731"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7D49DA" w:rsidRPr="00F876CB" w:rsidRDefault="007D49DA" w:rsidP="00836161">
          <w:pPr>
            <w:jc w:val="center"/>
            <w:rPr>
              <w:rFonts w:asciiTheme="minorHAnsi" w:hAnsiTheme="minorHAnsi" w:cstheme="minorHAnsi"/>
              <w:b/>
              <w:bCs/>
              <w:color w:val="000000" w:themeColor="text1"/>
              <w:sz w:val="24"/>
              <w:szCs w:val="24"/>
              <w:lang w:val="en-GB"/>
            </w:rPr>
          </w:pPr>
        </w:p>
        <w:p w:rsidR="001C1731" w:rsidRPr="00F876CB" w:rsidRDefault="001C1731" w:rsidP="00836161">
          <w:pPr>
            <w:jc w:val="center"/>
            <w:rPr>
              <w:rFonts w:asciiTheme="minorHAnsi" w:hAnsiTheme="minorHAnsi" w:cstheme="minorHAnsi"/>
              <w:b/>
              <w:bCs/>
              <w:color w:val="000000" w:themeColor="text1"/>
              <w:sz w:val="24"/>
              <w:szCs w:val="24"/>
              <w:lang w:val="en-GB"/>
            </w:rPr>
          </w:pPr>
        </w:p>
        <w:p w:rsidR="001C1731" w:rsidRPr="00F876CB" w:rsidRDefault="001C1731" w:rsidP="00836161">
          <w:pPr>
            <w:jc w:val="center"/>
            <w:rPr>
              <w:rFonts w:asciiTheme="minorHAnsi" w:hAnsiTheme="minorHAnsi" w:cstheme="minorHAnsi"/>
              <w:b/>
              <w:bCs/>
              <w:color w:val="000000" w:themeColor="text1"/>
              <w:sz w:val="24"/>
              <w:szCs w:val="24"/>
              <w:lang w:val="en-GB"/>
            </w:rPr>
          </w:pPr>
        </w:p>
        <w:p w:rsidR="008C052D" w:rsidRPr="00F876CB" w:rsidRDefault="008C052D" w:rsidP="00836161">
          <w:pPr>
            <w:jc w:val="center"/>
            <w:rPr>
              <w:rFonts w:asciiTheme="minorHAnsi" w:hAnsiTheme="minorHAnsi" w:cstheme="minorHAnsi"/>
              <w:b/>
              <w:bCs/>
              <w:color w:val="000000" w:themeColor="text1"/>
              <w:sz w:val="24"/>
              <w:szCs w:val="24"/>
              <w:lang w:val="en-GB"/>
            </w:rPr>
          </w:pPr>
        </w:p>
        <w:p w:rsidR="002E71AC" w:rsidRPr="00F876CB" w:rsidRDefault="002E71AC" w:rsidP="00836161">
          <w:pPr>
            <w:jc w:val="center"/>
            <w:rPr>
              <w:rFonts w:asciiTheme="minorHAnsi" w:hAnsiTheme="minorHAnsi" w:cstheme="minorHAnsi"/>
              <w:b/>
              <w:bCs/>
              <w:color w:val="000000" w:themeColor="text1"/>
              <w:sz w:val="24"/>
              <w:szCs w:val="24"/>
              <w:lang w:val="en-GB"/>
            </w:rPr>
          </w:pPr>
        </w:p>
        <w:p w:rsidR="002E71AC" w:rsidRPr="00F876CB" w:rsidRDefault="002E71AC" w:rsidP="00836161">
          <w:pPr>
            <w:jc w:val="center"/>
            <w:rPr>
              <w:rFonts w:asciiTheme="minorHAnsi" w:hAnsiTheme="minorHAnsi" w:cstheme="minorHAnsi"/>
              <w:b/>
              <w:bCs/>
              <w:color w:val="000000" w:themeColor="text1"/>
              <w:sz w:val="24"/>
              <w:szCs w:val="24"/>
              <w:lang w:val="en-GB"/>
            </w:rPr>
          </w:pPr>
        </w:p>
        <w:p w:rsidR="002E71AC" w:rsidRPr="00F876CB" w:rsidRDefault="002E71AC" w:rsidP="00836161">
          <w:pPr>
            <w:jc w:val="center"/>
            <w:rPr>
              <w:rFonts w:asciiTheme="minorHAnsi" w:hAnsiTheme="minorHAnsi" w:cstheme="minorHAnsi"/>
              <w:b/>
              <w:bCs/>
              <w:color w:val="000000" w:themeColor="text1"/>
              <w:sz w:val="24"/>
              <w:szCs w:val="24"/>
              <w:lang w:val="en-GB"/>
            </w:rPr>
          </w:pPr>
        </w:p>
        <w:p w:rsidR="00530392" w:rsidRPr="00F876CB" w:rsidRDefault="002E71AC" w:rsidP="00530392">
          <w:pPr>
            <w:jc w:val="center"/>
            <w:rPr>
              <w:rFonts w:asciiTheme="minorHAnsi" w:hAnsiTheme="minorHAnsi" w:cstheme="minorHAnsi"/>
              <w:b/>
              <w:bCs/>
              <w:color w:val="000000" w:themeColor="text1"/>
              <w:sz w:val="24"/>
              <w:szCs w:val="24"/>
              <w:lang w:val="en-GB"/>
            </w:rPr>
          </w:pPr>
          <w:r w:rsidRPr="00F876CB">
            <w:rPr>
              <w:rFonts w:asciiTheme="minorHAnsi" w:hAnsiTheme="minorHAnsi" w:cstheme="minorHAnsi"/>
              <w:b/>
              <w:bCs/>
              <w:color w:val="000000" w:themeColor="text1"/>
              <w:sz w:val="24"/>
              <w:szCs w:val="24"/>
              <w:lang w:val="en-GB"/>
            </w:rPr>
            <w:lastRenderedPageBreak/>
            <w:t>Electricity Market Overview in 2019</w:t>
          </w:r>
        </w:p>
        <w:tbl>
          <w:tblPr>
            <w:tblStyle w:val="TabloKlavuzu2"/>
            <w:tblW w:w="9464" w:type="dxa"/>
            <w:tblLayout w:type="fixed"/>
            <w:tblLook w:val="04A0" w:firstRow="1" w:lastRow="0" w:firstColumn="1" w:lastColumn="0" w:noHBand="0" w:noVBand="1"/>
          </w:tblPr>
          <w:tblGrid>
            <w:gridCol w:w="2943"/>
            <w:gridCol w:w="1134"/>
            <w:gridCol w:w="1985"/>
            <w:gridCol w:w="2126"/>
            <w:gridCol w:w="1276"/>
          </w:tblGrid>
          <w:tr w:rsidR="00CB2DB1" w:rsidRPr="00F876CB" w:rsidTr="00A13249">
            <w:trPr>
              <w:trHeight w:val="502"/>
            </w:trPr>
            <w:tc>
              <w:tcPr>
                <w:tcW w:w="2943" w:type="dxa"/>
                <w:shd w:val="clear" w:color="auto" w:fill="FF0000"/>
              </w:tcPr>
              <w:p w:rsidR="00CB2DB1" w:rsidRPr="00F876CB" w:rsidRDefault="002E71AC" w:rsidP="00A60960">
                <w:pPr>
                  <w:spacing w:after="160" w:line="259" w:lineRule="auto"/>
                  <w:jc w:val="center"/>
                  <w:rPr>
                    <w:rFonts w:asciiTheme="minorHAnsi" w:hAnsiTheme="minorHAnsi" w:cstheme="minorHAnsi"/>
                    <w:b/>
                    <w:color w:val="FFFFFF" w:themeColor="background1"/>
                    <w:lang w:val="en-GB"/>
                  </w:rPr>
                </w:pPr>
                <w:r w:rsidRPr="00F876CB">
                  <w:rPr>
                    <w:rFonts w:asciiTheme="minorHAnsi" w:hAnsiTheme="minorHAnsi" w:cstheme="minorHAnsi"/>
                    <w:b/>
                    <w:color w:val="FFFFFF" w:themeColor="background1"/>
                    <w:lang w:val="en-GB"/>
                  </w:rPr>
                  <w:t>Parameters</w:t>
                </w:r>
              </w:p>
            </w:tc>
            <w:tc>
              <w:tcPr>
                <w:tcW w:w="1134" w:type="dxa"/>
                <w:shd w:val="clear" w:color="auto" w:fill="FF0000"/>
              </w:tcPr>
              <w:p w:rsidR="00CB2DB1" w:rsidRPr="00F876CB" w:rsidRDefault="002E71AC" w:rsidP="00A60960">
                <w:pPr>
                  <w:spacing w:after="160" w:line="259" w:lineRule="auto"/>
                  <w:jc w:val="center"/>
                  <w:rPr>
                    <w:rFonts w:asciiTheme="minorHAnsi" w:hAnsiTheme="minorHAnsi" w:cstheme="minorHAnsi"/>
                    <w:b/>
                    <w:color w:val="FFFFFF" w:themeColor="background1"/>
                    <w:lang w:val="en-GB"/>
                  </w:rPr>
                </w:pPr>
                <w:r w:rsidRPr="00F876CB">
                  <w:rPr>
                    <w:rFonts w:asciiTheme="minorHAnsi" w:hAnsiTheme="minorHAnsi" w:cstheme="minorHAnsi"/>
                    <w:b/>
                    <w:color w:val="FFFFFF" w:themeColor="background1"/>
                    <w:lang w:val="en-GB"/>
                  </w:rPr>
                  <w:t>Unit</w:t>
                </w:r>
              </w:p>
            </w:tc>
            <w:tc>
              <w:tcPr>
                <w:tcW w:w="1985" w:type="dxa"/>
                <w:shd w:val="clear" w:color="auto" w:fill="FF0000"/>
              </w:tcPr>
              <w:p w:rsidR="00CB2DB1" w:rsidRPr="00F876CB" w:rsidRDefault="00CB2DB1" w:rsidP="002E71AC">
                <w:pPr>
                  <w:spacing w:after="160" w:line="259" w:lineRule="auto"/>
                  <w:jc w:val="center"/>
                  <w:rPr>
                    <w:rFonts w:asciiTheme="minorHAnsi" w:hAnsiTheme="minorHAnsi" w:cstheme="minorHAnsi"/>
                    <w:b/>
                    <w:color w:val="FFFFFF" w:themeColor="background1"/>
                    <w:lang w:val="en-GB"/>
                  </w:rPr>
                </w:pPr>
                <w:r w:rsidRPr="00F876CB">
                  <w:rPr>
                    <w:rFonts w:asciiTheme="minorHAnsi" w:hAnsiTheme="minorHAnsi" w:cstheme="minorHAnsi"/>
                    <w:b/>
                    <w:color w:val="FFFFFF" w:themeColor="background1"/>
                    <w:lang w:val="en-GB"/>
                  </w:rPr>
                  <w:t>20</w:t>
                </w:r>
                <w:r w:rsidR="002343AE" w:rsidRPr="00F876CB">
                  <w:rPr>
                    <w:rFonts w:asciiTheme="minorHAnsi" w:hAnsiTheme="minorHAnsi" w:cstheme="minorHAnsi"/>
                    <w:b/>
                    <w:color w:val="FFFFFF" w:themeColor="background1"/>
                    <w:lang w:val="en-GB"/>
                  </w:rPr>
                  <w:t>18</w:t>
                </w:r>
              </w:p>
            </w:tc>
            <w:tc>
              <w:tcPr>
                <w:tcW w:w="2126" w:type="dxa"/>
                <w:shd w:val="clear" w:color="auto" w:fill="FF0000"/>
              </w:tcPr>
              <w:p w:rsidR="00CB2DB1" w:rsidRPr="00F876CB" w:rsidRDefault="00CB2DB1" w:rsidP="002E71AC">
                <w:pPr>
                  <w:spacing w:after="160" w:line="259" w:lineRule="auto"/>
                  <w:jc w:val="center"/>
                  <w:rPr>
                    <w:rFonts w:asciiTheme="minorHAnsi" w:hAnsiTheme="minorHAnsi" w:cstheme="minorHAnsi"/>
                    <w:b/>
                    <w:color w:val="FFFFFF" w:themeColor="background1"/>
                    <w:lang w:val="en-GB"/>
                  </w:rPr>
                </w:pPr>
                <w:r w:rsidRPr="00F876CB">
                  <w:rPr>
                    <w:rFonts w:asciiTheme="minorHAnsi" w:hAnsiTheme="minorHAnsi" w:cstheme="minorHAnsi"/>
                    <w:b/>
                    <w:color w:val="FFFFFF" w:themeColor="background1"/>
                    <w:lang w:val="en-GB"/>
                  </w:rPr>
                  <w:t>20</w:t>
                </w:r>
                <w:r w:rsidR="00673E9B" w:rsidRPr="00F876CB">
                  <w:rPr>
                    <w:rFonts w:asciiTheme="minorHAnsi" w:hAnsiTheme="minorHAnsi" w:cstheme="minorHAnsi"/>
                    <w:b/>
                    <w:color w:val="FFFFFF" w:themeColor="background1"/>
                    <w:lang w:val="en-GB"/>
                  </w:rPr>
                  <w:t>19</w:t>
                </w:r>
              </w:p>
            </w:tc>
            <w:tc>
              <w:tcPr>
                <w:tcW w:w="1276" w:type="dxa"/>
                <w:shd w:val="clear" w:color="auto" w:fill="FF0000"/>
              </w:tcPr>
              <w:p w:rsidR="00CB2DB1" w:rsidRPr="00F876CB" w:rsidRDefault="002E71AC" w:rsidP="00A13249">
                <w:pPr>
                  <w:spacing w:after="160" w:line="259" w:lineRule="auto"/>
                  <w:jc w:val="center"/>
                  <w:rPr>
                    <w:rFonts w:asciiTheme="minorHAnsi" w:hAnsiTheme="minorHAnsi" w:cstheme="minorHAnsi"/>
                    <w:b/>
                    <w:color w:val="FFFFFF" w:themeColor="background1"/>
                    <w:lang w:val="en-GB"/>
                  </w:rPr>
                </w:pPr>
                <w:r w:rsidRPr="00F876CB">
                  <w:rPr>
                    <w:rFonts w:asciiTheme="minorHAnsi" w:hAnsiTheme="minorHAnsi" w:cstheme="minorHAnsi"/>
                    <w:b/>
                    <w:color w:val="FFFFFF" w:themeColor="background1"/>
                    <w:lang w:val="en-GB"/>
                  </w:rPr>
                  <w:t>Change</w:t>
                </w:r>
                <w:r w:rsidR="00CB2DB1" w:rsidRPr="00F876CB">
                  <w:rPr>
                    <w:rFonts w:asciiTheme="minorHAnsi" w:hAnsiTheme="minorHAnsi" w:cstheme="minorHAnsi"/>
                    <w:b/>
                    <w:color w:val="FFFFFF" w:themeColor="background1"/>
                    <w:lang w:val="en-GB"/>
                  </w:rPr>
                  <w:t xml:space="preserve"> (%)</w:t>
                </w:r>
              </w:p>
            </w:tc>
          </w:tr>
          <w:tr w:rsidR="00523F79" w:rsidRPr="00F876CB" w:rsidTr="00A60960">
            <w:trPr>
              <w:trHeight w:val="395"/>
            </w:trPr>
            <w:tc>
              <w:tcPr>
                <w:tcW w:w="2943" w:type="dxa"/>
                <w:shd w:val="clear" w:color="auto" w:fill="FF5050"/>
                <w:vAlign w:val="center"/>
              </w:tcPr>
              <w:p w:rsidR="00523F79" w:rsidRPr="00F876CB" w:rsidRDefault="00523F79"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Li</w:t>
                </w:r>
                <w:r w:rsidR="002E71AC" w:rsidRPr="00F876CB">
                  <w:rPr>
                    <w:rFonts w:asciiTheme="minorHAnsi" w:eastAsia="Times New Roman" w:hAnsiTheme="minorHAnsi" w:cstheme="minorHAnsi"/>
                    <w:b/>
                    <w:color w:val="FFFFFF" w:themeColor="background1"/>
                    <w:lang w:val="en-GB" w:eastAsia="tr-TR"/>
                  </w:rPr>
                  <w:t>censed Installed Capacity</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proofErr w:type="spellStart"/>
                <w:r w:rsidRPr="00F876CB">
                  <w:rPr>
                    <w:rFonts w:asciiTheme="minorHAnsi" w:eastAsia="Times New Roman" w:hAnsiTheme="minorHAnsi" w:cstheme="minorHAnsi"/>
                    <w:color w:val="000000"/>
                    <w:lang w:val="en-GB" w:eastAsia="tr-TR"/>
                  </w:rPr>
                  <w:t>MWe</w:t>
                </w:r>
                <w:proofErr w:type="spellEnd"/>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83.187,05</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84.957,72</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2,13</w:t>
                </w:r>
              </w:p>
            </w:tc>
          </w:tr>
          <w:tr w:rsidR="00523F79" w:rsidRPr="00F876CB" w:rsidTr="00A60960">
            <w:trPr>
              <w:trHeight w:val="395"/>
            </w:trPr>
            <w:tc>
              <w:tcPr>
                <w:tcW w:w="2943" w:type="dxa"/>
                <w:shd w:val="clear" w:color="auto" w:fill="FF5050"/>
                <w:vAlign w:val="center"/>
              </w:tcPr>
              <w:p w:rsidR="00523F79" w:rsidRPr="00F876CB" w:rsidRDefault="00523F79" w:rsidP="00523F79">
                <w:pPr>
                  <w:jc w:val="both"/>
                  <w:rPr>
                    <w:rFonts w:asciiTheme="minorHAnsi" w:eastAsia="Times New Roman" w:hAnsiTheme="minorHAnsi" w:cstheme="minorHAnsi"/>
                    <w:b/>
                    <w:color w:val="FFFFFF" w:themeColor="background1"/>
                    <w:lang w:val="en-GB" w:eastAsia="tr-TR"/>
                  </w:rPr>
                </w:pPr>
                <w:proofErr w:type="spellStart"/>
                <w:r w:rsidRPr="00F876CB">
                  <w:rPr>
                    <w:rFonts w:asciiTheme="minorHAnsi" w:eastAsia="Times New Roman" w:hAnsiTheme="minorHAnsi" w:cstheme="minorHAnsi"/>
                    <w:b/>
                    <w:color w:val="FFFFFF" w:themeColor="background1"/>
                    <w:lang w:val="en-GB" w:eastAsia="tr-TR"/>
                  </w:rPr>
                  <w:t>Lis</w:t>
                </w:r>
                <w:r w:rsidR="002E71AC" w:rsidRPr="00F876CB">
                  <w:rPr>
                    <w:rFonts w:asciiTheme="minorHAnsi" w:eastAsia="Times New Roman" w:hAnsiTheme="minorHAnsi" w:cstheme="minorHAnsi"/>
                    <w:b/>
                    <w:color w:val="FFFFFF" w:themeColor="background1"/>
                    <w:lang w:val="en-GB" w:eastAsia="tr-TR"/>
                  </w:rPr>
                  <w:t>censed</w:t>
                </w:r>
                <w:proofErr w:type="spellEnd"/>
                <w:r w:rsidRPr="00F876CB">
                  <w:rPr>
                    <w:rFonts w:asciiTheme="minorHAnsi" w:eastAsia="Times New Roman" w:hAnsiTheme="minorHAnsi" w:cstheme="minorHAnsi"/>
                    <w:b/>
                    <w:color w:val="FFFFFF" w:themeColor="background1"/>
                    <w:lang w:val="en-GB" w:eastAsia="tr-TR"/>
                  </w:rPr>
                  <w:t xml:space="preserve"> </w:t>
                </w:r>
                <w:r w:rsidR="0067175A" w:rsidRPr="00F876CB">
                  <w:rPr>
                    <w:rFonts w:asciiTheme="minorHAnsi" w:eastAsia="Times New Roman" w:hAnsiTheme="minorHAnsi" w:cstheme="minorHAnsi"/>
                    <w:b/>
                    <w:color w:val="FFFFFF" w:themeColor="background1"/>
                    <w:lang w:val="en-GB" w:eastAsia="tr-TR"/>
                  </w:rPr>
                  <w:t>Generation</w:t>
                </w:r>
                <w:r w:rsidRPr="00F876CB">
                  <w:rPr>
                    <w:rFonts w:asciiTheme="minorHAnsi" w:eastAsia="Times New Roman" w:hAnsiTheme="minorHAnsi" w:cstheme="minorHAnsi"/>
                    <w:b/>
                    <w:color w:val="FFFFFF" w:themeColor="background1"/>
                    <w:lang w:val="en-GB" w:eastAsia="tr-TR"/>
                  </w:rPr>
                  <w:t>*</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GWh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296.003,71</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294.251,32</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-0,59</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Highest Peak Demand</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MW</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46.160</w:t>
                </w:r>
              </w:p>
            </w:tc>
            <w:tc>
              <w:tcPr>
                <w:tcW w:w="2126" w:type="dxa"/>
                <w:vAlign w:val="bottom"/>
              </w:tcPr>
              <w:p w:rsidR="00523F79" w:rsidRPr="00F876CB" w:rsidRDefault="00F72C37"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45.324</w:t>
                </w:r>
              </w:p>
            </w:tc>
            <w:tc>
              <w:tcPr>
                <w:tcW w:w="1276" w:type="dxa"/>
                <w:vAlign w:val="bottom"/>
              </w:tcPr>
              <w:p w:rsidR="00523F79" w:rsidRPr="00F876CB" w:rsidRDefault="00F72C37"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-1,81</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Lowest Peak Demand</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MW</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18.212</w:t>
                </w:r>
              </w:p>
            </w:tc>
            <w:tc>
              <w:tcPr>
                <w:tcW w:w="2126" w:type="dxa"/>
                <w:vAlign w:val="bottom"/>
              </w:tcPr>
              <w:p w:rsidR="00523F79" w:rsidRPr="00F876CB" w:rsidRDefault="00F72C37"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18.300</w:t>
                </w:r>
              </w:p>
            </w:tc>
            <w:tc>
              <w:tcPr>
                <w:tcW w:w="1276" w:type="dxa"/>
                <w:vAlign w:val="bottom"/>
              </w:tcPr>
              <w:p w:rsidR="00523F79" w:rsidRPr="00F876CB" w:rsidRDefault="00F72C37"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0,48</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Unlicensed Generation</w:t>
                </w:r>
                <w:r w:rsidR="00523F79" w:rsidRPr="00F876CB">
                  <w:rPr>
                    <w:rFonts w:asciiTheme="minorHAnsi" w:eastAsia="Times New Roman" w:hAnsiTheme="minorHAnsi" w:cstheme="minorHAnsi"/>
                    <w:b/>
                    <w:color w:val="FFFFFF" w:themeColor="background1"/>
                    <w:lang w:val="en-GB" w:eastAsia="tr-TR"/>
                  </w:rPr>
                  <w:t>**</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GWh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8.212,77</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9.829,45</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19,68</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proofErr w:type="spellStart"/>
                <w:r w:rsidRPr="00F876CB">
                  <w:rPr>
                    <w:rFonts w:asciiTheme="minorHAnsi" w:eastAsia="Times New Roman" w:hAnsiTheme="minorHAnsi" w:cstheme="minorHAnsi"/>
                    <w:b/>
                    <w:color w:val="FFFFFF" w:themeColor="background1"/>
                    <w:lang w:val="en-GB" w:eastAsia="tr-TR"/>
                  </w:rPr>
                  <w:t>Unlicense</w:t>
                </w:r>
                <w:proofErr w:type="spellEnd"/>
                <w:r w:rsidRPr="00F876CB">
                  <w:rPr>
                    <w:rFonts w:asciiTheme="minorHAnsi" w:eastAsia="Times New Roman" w:hAnsiTheme="minorHAnsi" w:cstheme="minorHAnsi"/>
                    <w:b/>
                    <w:color w:val="FFFFFF" w:themeColor="background1"/>
                    <w:lang w:val="en-GB" w:eastAsia="tr-TR"/>
                  </w:rPr>
                  <w:t xml:space="preserve"> Installed Capacity</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proofErr w:type="spellStart"/>
                <w:r w:rsidRPr="00F876CB">
                  <w:rPr>
                    <w:rFonts w:asciiTheme="minorHAnsi" w:eastAsia="Times New Roman" w:hAnsiTheme="minorHAnsi" w:cstheme="minorHAnsi"/>
                    <w:color w:val="000000"/>
                    <w:lang w:val="en-GB" w:eastAsia="tr-TR"/>
                  </w:rPr>
                  <w:t>MWe</w:t>
                </w:r>
                <w:proofErr w:type="spellEnd"/>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5.310,57</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6.309,27</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18,81</w:t>
                </w:r>
              </w:p>
            </w:tc>
          </w:tr>
          <w:tr w:rsidR="00827880" w:rsidRPr="00F876CB" w:rsidTr="004F2F63">
            <w:trPr>
              <w:trHeight w:val="411"/>
            </w:trPr>
            <w:tc>
              <w:tcPr>
                <w:tcW w:w="2943" w:type="dxa"/>
                <w:shd w:val="clear" w:color="auto" w:fill="FF5050"/>
                <w:vAlign w:val="center"/>
              </w:tcPr>
              <w:p w:rsidR="00827880" w:rsidRPr="00F876CB" w:rsidRDefault="0067175A" w:rsidP="00827880">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RESSUM</w:t>
                </w:r>
                <w:r w:rsidR="00827880" w:rsidRPr="00F876CB">
                  <w:rPr>
                    <w:rFonts w:asciiTheme="minorHAnsi" w:eastAsia="Times New Roman" w:hAnsiTheme="minorHAnsi" w:cstheme="minorHAnsi"/>
                    <w:b/>
                    <w:color w:val="FFFFFF" w:themeColor="background1"/>
                    <w:lang w:val="en-GB" w:eastAsia="tr-TR"/>
                  </w:rPr>
                  <w:t xml:space="preserve"> </w:t>
                </w:r>
                <w:r w:rsidRPr="00F876CB">
                  <w:rPr>
                    <w:rFonts w:asciiTheme="minorHAnsi" w:eastAsia="Times New Roman" w:hAnsiTheme="minorHAnsi" w:cstheme="minorHAnsi"/>
                    <w:b/>
                    <w:color w:val="FFFFFF" w:themeColor="background1"/>
                    <w:lang w:val="en-GB" w:eastAsia="tr-TR"/>
                  </w:rPr>
                  <w:t>Generation</w:t>
                </w:r>
                <w:r w:rsidR="00827880" w:rsidRPr="00F876CB">
                  <w:rPr>
                    <w:rFonts w:asciiTheme="minorHAnsi" w:eastAsia="Times New Roman" w:hAnsiTheme="minorHAnsi" w:cstheme="minorHAnsi"/>
                    <w:b/>
                    <w:color w:val="FFFFFF" w:themeColor="background1"/>
                    <w:lang w:val="en-GB" w:eastAsia="tr-TR"/>
                  </w:rPr>
                  <w:t>***</w:t>
                </w:r>
              </w:p>
            </w:tc>
            <w:tc>
              <w:tcPr>
                <w:tcW w:w="1134" w:type="dxa"/>
                <w:vAlign w:val="center"/>
              </w:tcPr>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MWh</w:t>
                </w:r>
              </w:p>
            </w:tc>
            <w:tc>
              <w:tcPr>
                <w:tcW w:w="1985"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62.608.517</w:t>
                </w:r>
              </w:p>
            </w:tc>
            <w:tc>
              <w:tcPr>
                <w:tcW w:w="2126"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 xml:space="preserve"> 76.687.980</w:t>
                </w:r>
              </w:p>
            </w:tc>
            <w:tc>
              <w:tcPr>
                <w:tcW w:w="1276" w:type="dxa"/>
              </w:tcPr>
              <w:p w:rsidR="006758CF" w:rsidRPr="00F876CB" w:rsidRDefault="006758CF" w:rsidP="00827880">
                <w:pPr>
                  <w:jc w:val="center"/>
                  <w:rPr>
                    <w:rFonts w:asciiTheme="minorHAnsi" w:eastAsia="Times New Roman" w:hAnsiTheme="minorHAnsi" w:cstheme="minorHAnsi"/>
                    <w:color w:val="000000"/>
                    <w:lang w:val="en-GB" w:eastAsia="tr-TR"/>
                  </w:rPr>
                </w:pPr>
              </w:p>
              <w:p w:rsidR="00827880" w:rsidRPr="00F876CB" w:rsidRDefault="00827880" w:rsidP="006758CF">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22,</w:t>
                </w:r>
                <w:r w:rsidR="006758CF" w:rsidRPr="00F876CB">
                  <w:rPr>
                    <w:rFonts w:asciiTheme="minorHAnsi" w:eastAsia="Times New Roman" w:hAnsiTheme="minorHAnsi" w:cstheme="minorHAnsi"/>
                    <w:color w:val="000000"/>
                    <w:lang w:val="en-GB" w:eastAsia="tr-TR"/>
                  </w:rPr>
                  <w:t>49</w:t>
                </w:r>
              </w:p>
            </w:tc>
          </w:tr>
          <w:tr w:rsidR="00827880" w:rsidRPr="00F876CB" w:rsidTr="004F2F63">
            <w:trPr>
              <w:trHeight w:val="411"/>
            </w:trPr>
            <w:tc>
              <w:tcPr>
                <w:tcW w:w="2943" w:type="dxa"/>
                <w:shd w:val="clear" w:color="auto" w:fill="FF5050"/>
                <w:vAlign w:val="center"/>
              </w:tcPr>
              <w:p w:rsidR="00827880" w:rsidRPr="00F876CB" w:rsidRDefault="0067175A" w:rsidP="00827880">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RESSUM Amount of Payment</w:t>
                </w:r>
              </w:p>
            </w:tc>
            <w:tc>
              <w:tcPr>
                <w:tcW w:w="1134" w:type="dxa"/>
                <w:vAlign w:val="center"/>
              </w:tcPr>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TL</w:t>
                </w:r>
              </w:p>
            </w:tc>
            <w:tc>
              <w:tcPr>
                <w:tcW w:w="1985"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21.979.237.357</w:t>
                </w:r>
              </w:p>
            </w:tc>
            <w:tc>
              <w:tcPr>
                <w:tcW w:w="2126"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38.012.077.764</w:t>
                </w:r>
              </w:p>
            </w:tc>
            <w:tc>
              <w:tcPr>
                <w:tcW w:w="1276" w:type="dxa"/>
              </w:tcPr>
              <w:p w:rsidR="006758CF" w:rsidRPr="00F876CB" w:rsidRDefault="006758CF" w:rsidP="00827880">
                <w:pPr>
                  <w:jc w:val="center"/>
                  <w:rPr>
                    <w:rFonts w:asciiTheme="minorHAnsi" w:eastAsia="Times New Roman" w:hAnsiTheme="minorHAnsi" w:cstheme="minorHAnsi"/>
                    <w:color w:val="000000"/>
                    <w:lang w:val="en-GB" w:eastAsia="tr-TR"/>
                  </w:rPr>
                </w:pPr>
              </w:p>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7</w:t>
                </w:r>
                <w:r w:rsidR="006758CF" w:rsidRPr="00F876CB">
                  <w:rPr>
                    <w:rFonts w:asciiTheme="minorHAnsi" w:eastAsia="Times New Roman" w:hAnsiTheme="minorHAnsi" w:cstheme="minorHAnsi"/>
                    <w:color w:val="000000"/>
                    <w:lang w:val="en-GB" w:eastAsia="tr-TR"/>
                  </w:rPr>
                  <w:t>2,95</w:t>
                </w:r>
              </w:p>
            </w:tc>
          </w:tr>
          <w:tr w:rsidR="00827880" w:rsidRPr="00F876CB" w:rsidTr="004F2F63">
            <w:trPr>
              <w:trHeight w:val="411"/>
            </w:trPr>
            <w:tc>
              <w:tcPr>
                <w:tcW w:w="2943" w:type="dxa"/>
                <w:shd w:val="clear" w:color="auto" w:fill="FF5050"/>
                <w:vAlign w:val="center"/>
              </w:tcPr>
              <w:p w:rsidR="00827880" w:rsidRPr="00F876CB" w:rsidRDefault="0067175A" w:rsidP="00827880">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Average</w:t>
                </w:r>
                <w:r w:rsidR="00827880" w:rsidRPr="00F876CB">
                  <w:rPr>
                    <w:rFonts w:asciiTheme="minorHAnsi" w:eastAsia="Times New Roman" w:hAnsiTheme="minorHAnsi" w:cstheme="minorHAnsi"/>
                    <w:b/>
                    <w:color w:val="FFFFFF" w:themeColor="background1"/>
                    <w:lang w:val="en-GB" w:eastAsia="tr-TR"/>
                  </w:rPr>
                  <w:t xml:space="preserve"> </w:t>
                </w:r>
                <w:r w:rsidRPr="00F876CB">
                  <w:rPr>
                    <w:rFonts w:asciiTheme="minorHAnsi" w:eastAsia="Times New Roman" w:hAnsiTheme="minorHAnsi" w:cstheme="minorHAnsi"/>
                    <w:b/>
                    <w:color w:val="FFFFFF" w:themeColor="background1"/>
                    <w:lang w:val="en-GB" w:eastAsia="tr-TR"/>
                  </w:rPr>
                  <w:t>RESSUM Price</w:t>
                </w:r>
              </w:p>
            </w:tc>
            <w:tc>
              <w:tcPr>
                <w:tcW w:w="1134" w:type="dxa"/>
                <w:vAlign w:val="center"/>
              </w:tcPr>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TL/MWh</w:t>
                </w:r>
              </w:p>
            </w:tc>
            <w:tc>
              <w:tcPr>
                <w:tcW w:w="1985"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351,1</w:t>
                </w:r>
              </w:p>
            </w:tc>
            <w:tc>
              <w:tcPr>
                <w:tcW w:w="2126"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495,6</w:t>
                </w:r>
              </w:p>
            </w:tc>
            <w:tc>
              <w:tcPr>
                <w:tcW w:w="1276" w:type="dxa"/>
              </w:tcPr>
              <w:p w:rsidR="006758CF" w:rsidRPr="00F876CB" w:rsidRDefault="006758CF" w:rsidP="00827880">
                <w:pPr>
                  <w:jc w:val="center"/>
                  <w:rPr>
                    <w:rFonts w:asciiTheme="minorHAnsi" w:eastAsia="Times New Roman" w:hAnsiTheme="minorHAnsi" w:cstheme="minorHAnsi"/>
                    <w:color w:val="000000"/>
                    <w:lang w:val="en-GB" w:eastAsia="tr-TR"/>
                  </w:rPr>
                </w:pPr>
              </w:p>
              <w:p w:rsidR="00827880" w:rsidRPr="00F876CB" w:rsidRDefault="00827880" w:rsidP="006758CF">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41,</w:t>
                </w:r>
                <w:r w:rsidR="006758CF" w:rsidRPr="00F876CB">
                  <w:rPr>
                    <w:rFonts w:asciiTheme="minorHAnsi" w:eastAsia="Times New Roman" w:hAnsiTheme="minorHAnsi" w:cstheme="minorHAnsi"/>
                    <w:color w:val="000000"/>
                    <w:lang w:val="en-GB" w:eastAsia="tr-TR"/>
                  </w:rPr>
                  <w:t>16</w:t>
                </w:r>
              </w:p>
            </w:tc>
          </w:tr>
          <w:tr w:rsidR="00827880" w:rsidRPr="00F876CB" w:rsidTr="004F2F63">
            <w:trPr>
              <w:trHeight w:val="411"/>
            </w:trPr>
            <w:tc>
              <w:tcPr>
                <w:tcW w:w="2943" w:type="dxa"/>
                <w:shd w:val="clear" w:color="auto" w:fill="FF5050"/>
                <w:vAlign w:val="center"/>
              </w:tcPr>
              <w:p w:rsidR="00827880" w:rsidRPr="00F876CB" w:rsidRDefault="0067175A" w:rsidP="00827880">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RESSUM</w:t>
                </w:r>
                <w:r w:rsidR="00827880" w:rsidRPr="00F876CB">
                  <w:rPr>
                    <w:rFonts w:asciiTheme="minorHAnsi" w:eastAsia="Times New Roman" w:hAnsiTheme="minorHAnsi" w:cstheme="minorHAnsi"/>
                    <w:b/>
                    <w:color w:val="FFFFFF" w:themeColor="background1"/>
                    <w:lang w:val="en-GB" w:eastAsia="tr-TR"/>
                  </w:rPr>
                  <w:t xml:space="preserve"> </w:t>
                </w:r>
                <w:r w:rsidRPr="00F876CB">
                  <w:rPr>
                    <w:rFonts w:asciiTheme="minorHAnsi" w:eastAsia="Times New Roman" w:hAnsiTheme="minorHAnsi" w:cstheme="minorHAnsi"/>
                    <w:b/>
                    <w:color w:val="FFFFFF" w:themeColor="background1"/>
                    <w:lang w:val="en-GB" w:eastAsia="tr-TR"/>
                  </w:rPr>
                  <w:t>Additional</w:t>
                </w:r>
                <w:r w:rsidR="00827880" w:rsidRPr="00F876CB">
                  <w:rPr>
                    <w:rFonts w:asciiTheme="minorHAnsi" w:eastAsia="Times New Roman" w:hAnsiTheme="minorHAnsi" w:cstheme="minorHAnsi"/>
                    <w:b/>
                    <w:color w:val="FFFFFF" w:themeColor="background1"/>
                    <w:lang w:val="en-GB" w:eastAsia="tr-TR"/>
                  </w:rPr>
                  <w:t xml:space="preserve"> </w:t>
                </w:r>
                <w:r w:rsidRPr="00F876CB">
                  <w:rPr>
                    <w:rFonts w:asciiTheme="minorHAnsi" w:eastAsia="Times New Roman" w:hAnsiTheme="minorHAnsi" w:cstheme="minorHAnsi"/>
                    <w:b/>
                    <w:color w:val="FFFFFF" w:themeColor="background1"/>
                    <w:lang w:val="en-GB" w:eastAsia="tr-TR"/>
                  </w:rPr>
                  <w:t>Cost</w:t>
                </w:r>
                <w:r w:rsidR="00827880" w:rsidRPr="00F876CB">
                  <w:rPr>
                    <w:rFonts w:asciiTheme="minorHAnsi" w:eastAsia="Times New Roman" w:hAnsiTheme="minorHAnsi" w:cstheme="minorHAnsi"/>
                    <w:b/>
                    <w:color w:val="FFFFFF" w:themeColor="background1"/>
                    <w:lang w:val="en-GB" w:eastAsia="tr-TR"/>
                  </w:rPr>
                  <w:t>****</w:t>
                </w:r>
              </w:p>
            </w:tc>
            <w:tc>
              <w:tcPr>
                <w:tcW w:w="1134" w:type="dxa"/>
                <w:vAlign w:val="center"/>
              </w:tcPr>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TL/MWh</w:t>
                </w:r>
              </w:p>
            </w:tc>
            <w:tc>
              <w:tcPr>
                <w:tcW w:w="1985"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31,75</w:t>
                </w:r>
              </w:p>
            </w:tc>
            <w:tc>
              <w:tcPr>
                <w:tcW w:w="2126" w:type="dxa"/>
                <w:vAlign w:val="bottom"/>
              </w:tcPr>
              <w:p w:rsidR="00827880" w:rsidRPr="00F876CB" w:rsidRDefault="00827880" w:rsidP="00827880">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75,89</w:t>
                </w:r>
              </w:p>
            </w:tc>
            <w:tc>
              <w:tcPr>
                <w:tcW w:w="1276" w:type="dxa"/>
              </w:tcPr>
              <w:p w:rsidR="006758CF" w:rsidRPr="00F876CB" w:rsidRDefault="006758CF" w:rsidP="00827880">
                <w:pPr>
                  <w:jc w:val="center"/>
                  <w:rPr>
                    <w:rFonts w:asciiTheme="minorHAnsi" w:eastAsia="Times New Roman" w:hAnsiTheme="minorHAnsi" w:cstheme="minorHAnsi"/>
                    <w:color w:val="000000"/>
                    <w:lang w:val="en-GB" w:eastAsia="tr-TR"/>
                  </w:rPr>
                </w:pPr>
              </w:p>
              <w:p w:rsidR="00827880" w:rsidRPr="00F876CB" w:rsidRDefault="00827880" w:rsidP="00827880">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139</w:t>
                </w:r>
                <w:r w:rsidR="006758CF" w:rsidRPr="00F876CB">
                  <w:rPr>
                    <w:rFonts w:asciiTheme="minorHAnsi" w:eastAsia="Times New Roman" w:hAnsiTheme="minorHAnsi" w:cstheme="minorHAnsi"/>
                    <w:color w:val="000000"/>
                    <w:lang w:val="en-GB" w:eastAsia="tr-TR"/>
                  </w:rPr>
                  <w:t>,02</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Actual Consumption</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GWh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302.772,30</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301.982,70</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-0,26</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Invoice-Based Consumption</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MWh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233.610.029,54</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229.597.913,65</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-1,72</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Number of Consumer</w:t>
                </w:r>
              </w:p>
            </w:tc>
            <w:tc>
              <w:tcPr>
                <w:tcW w:w="1134" w:type="dxa"/>
                <w:vAlign w:val="center"/>
              </w:tcPr>
              <w:p w:rsidR="00523F79" w:rsidRPr="00F876CB" w:rsidRDefault="003A69A1" w:rsidP="00523F79">
                <w:pPr>
                  <w:jc w:val="center"/>
                  <w:rPr>
                    <w:rFonts w:asciiTheme="minorHAnsi" w:eastAsia="Times New Roman" w:hAnsiTheme="minorHAnsi" w:cstheme="minorHAnsi"/>
                    <w:color w:val="000000"/>
                    <w:lang w:val="en-GB" w:eastAsia="tr-TR"/>
                  </w:rPr>
                </w:pPr>
                <w:r w:rsidRPr="00A13249">
                  <w:rPr>
                    <w:rFonts w:asciiTheme="minorHAnsi" w:eastAsia="Times New Roman" w:hAnsiTheme="minorHAnsi" w:cstheme="minorHAnsi"/>
                    <w:color w:val="000000"/>
                    <w:lang w:val="en-GB" w:eastAsia="tr-TR"/>
                  </w:rPr>
                  <w:t>Number</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43.653.910</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44.958.924</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2,99</w:t>
                </w:r>
              </w:p>
            </w:tc>
          </w:tr>
          <w:tr w:rsidR="00523F79" w:rsidRPr="00F876CB" w:rsidTr="00A60960">
            <w:trPr>
              <w:trHeight w:val="411"/>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Import</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GWh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2.466,01</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2.211,51</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-10,32</w:t>
                </w:r>
              </w:p>
            </w:tc>
          </w:tr>
          <w:tr w:rsidR="00523F79" w:rsidRPr="00F876CB" w:rsidTr="00A60960">
            <w:trPr>
              <w:trHeight w:val="395"/>
            </w:trPr>
            <w:tc>
              <w:tcPr>
                <w:tcW w:w="2943" w:type="dxa"/>
                <w:shd w:val="clear" w:color="auto" w:fill="FF5050"/>
                <w:vAlign w:val="center"/>
              </w:tcPr>
              <w:p w:rsidR="00523F79" w:rsidRPr="00F876CB" w:rsidRDefault="0067175A" w:rsidP="00523F79">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Export</w:t>
                </w:r>
              </w:p>
            </w:tc>
            <w:tc>
              <w:tcPr>
                <w:tcW w:w="1134" w:type="dxa"/>
                <w:vAlign w:val="center"/>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GWh</w:t>
                </w:r>
              </w:p>
            </w:tc>
            <w:tc>
              <w:tcPr>
                <w:tcW w:w="1985"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3.073,60</w:t>
                </w:r>
              </w:p>
            </w:tc>
            <w:tc>
              <w:tcPr>
                <w:tcW w:w="2126" w:type="dxa"/>
                <w:vAlign w:val="bottom"/>
              </w:tcPr>
              <w:p w:rsidR="00523F79" w:rsidRPr="00F876CB" w:rsidRDefault="00523F79" w:rsidP="00523F79">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2.788,67</w:t>
                </w:r>
              </w:p>
            </w:tc>
            <w:tc>
              <w:tcPr>
                <w:tcW w:w="1276" w:type="dxa"/>
                <w:vAlign w:val="bottom"/>
              </w:tcPr>
              <w:p w:rsidR="00523F79" w:rsidRPr="00F876CB" w:rsidRDefault="00523F79" w:rsidP="00523F79">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-9,27</w:t>
                </w:r>
              </w:p>
            </w:tc>
          </w:tr>
          <w:tr w:rsidR="006758CF" w:rsidRPr="00F876CB" w:rsidTr="004F2F63">
            <w:trPr>
              <w:trHeight w:val="497"/>
            </w:trPr>
            <w:tc>
              <w:tcPr>
                <w:tcW w:w="2943" w:type="dxa"/>
                <w:shd w:val="clear" w:color="auto" w:fill="FF5050"/>
                <w:vAlign w:val="center"/>
              </w:tcPr>
              <w:p w:rsidR="006758CF" w:rsidRPr="00F876CB" w:rsidRDefault="00A25FCA" w:rsidP="006758CF">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Weighted Average MCP</w:t>
                </w:r>
              </w:p>
            </w:tc>
            <w:tc>
              <w:tcPr>
                <w:tcW w:w="1134" w:type="dxa"/>
                <w:vAlign w:val="center"/>
              </w:tcPr>
              <w:p w:rsidR="006758CF" w:rsidRPr="00F876CB" w:rsidRDefault="006758CF" w:rsidP="006758CF">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TL/MWh</w:t>
                </w:r>
              </w:p>
            </w:tc>
            <w:tc>
              <w:tcPr>
                <w:tcW w:w="1985" w:type="dxa"/>
                <w:vAlign w:val="bottom"/>
              </w:tcPr>
              <w:p w:rsidR="006758CF" w:rsidRPr="00F876CB" w:rsidRDefault="006758CF" w:rsidP="006758CF">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233,101</w:t>
                </w:r>
              </w:p>
            </w:tc>
            <w:tc>
              <w:tcPr>
                <w:tcW w:w="2126" w:type="dxa"/>
                <w:vAlign w:val="bottom"/>
              </w:tcPr>
              <w:p w:rsidR="006758CF" w:rsidRPr="00F876CB" w:rsidRDefault="006758CF" w:rsidP="0001240A">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268,4</w:t>
                </w:r>
                <w:r w:rsidR="0001240A" w:rsidRPr="00F876CB">
                  <w:rPr>
                    <w:rFonts w:asciiTheme="minorHAnsi" w:eastAsia="Times New Roman" w:hAnsiTheme="minorHAnsi" w:cstheme="minorHAnsi"/>
                    <w:color w:val="000000"/>
                    <w:lang w:val="en-GB" w:eastAsia="tr-TR"/>
                  </w:rPr>
                  <w:t>8</w:t>
                </w:r>
              </w:p>
            </w:tc>
            <w:tc>
              <w:tcPr>
                <w:tcW w:w="1276" w:type="dxa"/>
              </w:tcPr>
              <w:p w:rsidR="006758CF" w:rsidRPr="00F876CB" w:rsidRDefault="006758CF" w:rsidP="006758CF">
                <w:pPr>
                  <w:jc w:val="center"/>
                  <w:rPr>
                    <w:rFonts w:asciiTheme="minorHAnsi" w:eastAsia="Times New Roman" w:hAnsiTheme="minorHAnsi" w:cstheme="minorHAnsi"/>
                    <w:color w:val="000000"/>
                    <w:lang w:val="en-GB" w:eastAsia="tr-TR"/>
                  </w:rPr>
                </w:pPr>
              </w:p>
              <w:p w:rsidR="006758CF" w:rsidRPr="00F876CB" w:rsidRDefault="006758CF" w:rsidP="0001240A">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15,1</w:t>
                </w:r>
                <w:r w:rsidR="0001240A" w:rsidRPr="00F876CB">
                  <w:rPr>
                    <w:rFonts w:asciiTheme="minorHAnsi" w:eastAsia="Times New Roman" w:hAnsiTheme="minorHAnsi" w:cstheme="minorHAnsi"/>
                    <w:color w:val="000000"/>
                    <w:lang w:val="en-GB" w:eastAsia="tr-TR"/>
                  </w:rPr>
                  <w:t>8</w:t>
                </w:r>
              </w:p>
            </w:tc>
          </w:tr>
          <w:tr w:rsidR="006758CF" w:rsidRPr="00F876CB" w:rsidTr="004F2F63">
            <w:trPr>
              <w:trHeight w:val="548"/>
            </w:trPr>
            <w:tc>
              <w:tcPr>
                <w:tcW w:w="2943" w:type="dxa"/>
                <w:shd w:val="clear" w:color="auto" w:fill="FF5050"/>
                <w:vAlign w:val="center"/>
              </w:tcPr>
              <w:p w:rsidR="006758CF" w:rsidRPr="00F876CB" w:rsidRDefault="00A25FCA" w:rsidP="006758CF">
                <w:pPr>
                  <w:jc w:val="both"/>
                  <w:rPr>
                    <w:rFonts w:asciiTheme="minorHAnsi" w:eastAsia="Times New Roman" w:hAnsiTheme="minorHAnsi" w:cstheme="minorHAnsi"/>
                    <w:b/>
                    <w:color w:val="FFFFFF" w:themeColor="background1"/>
                    <w:lang w:val="en-GB" w:eastAsia="tr-TR"/>
                  </w:rPr>
                </w:pPr>
                <w:r w:rsidRPr="00F876CB">
                  <w:rPr>
                    <w:rFonts w:asciiTheme="minorHAnsi" w:eastAsia="Times New Roman" w:hAnsiTheme="minorHAnsi" w:cstheme="minorHAnsi"/>
                    <w:b/>
                    <w:color w:val="FFFFFF" w:themeColor="background1"/>
                    <w:lang w:val="en-GB" w:eastAsia="tr-TR"/>
                  </w:rPr>
                  <w:t>Weighted</w:t>
                </w:r>
                <w:r w:rsidR="006758CF" w:rsidRPr="00F876CB">
                  <w:rPr>
                    <w:rFonts w:asciiTheme="minorHAnsi" w:eastAsia="Times New Roman" w:hAnsiTheme="minorHAnsi" w:cstheme="minorHAnsi"/>
                    <w:b/>
                    <w:color w:val="FFFFFF" w:themeColor="background1"/>
                    <w:lang w:val="en-GB" w:eastAsia="tr-TR"/>
                  </w:rPr>
                  <w:t xml:space="preserve"> </w:t>
                </w:r>
                <w:r w:rsidRPr="00F876CB">
                  <w:rPr>
                    <w:rFonts w:asciiTheme="minorHAnsi" w:eastAsia="Times New Roman" w:hAnsiTheme="minorHAnsi" w:cstheme="minorHAnsi"/>
                    <w:b/>
                    <w:color w:val="FFFFFF" w:themeColor="background1"/>
                    <w:lang w:val="en-GB" w:eastAsia="tr-TR"/>
                  </w:rPr>
                  <w:t>Average</w:t>
                </w:r>
                <w:r w:rsidR="006758CF" w:rsidRPr="00F876CB">
                  <w:rPr>
                    <w:rFonts w:asciiTheme="minorHAnsi" w:eastAsia="Times New Roman" w:hAnsiTheme="minorHAnsi" w:cstheme="minorHAnsi"/>
                    <w:b/>
                    <w:color w:val="FFFFFF" w:themeColor="background1"/>
                    <w:lang w:val="en-GB" w:eastAsia="tr-TR"/>
                  </w:rPr>
                  <w:t xml:space="preserve"> SM</w:t>
                </w:r>
                <w:r w:rsidRPr="00F876CB">
                  <w:rPr>
                    <w:rFonts w:asciiTheme="minorHAnsi" w:eastAsia="Times New Roman" w:hAnsiTheme="minorHAnsi" w:cstheme="minorHAnsi"/>
                    <w:b/>
                    <w:color w:val="FFFFFF" w:themeColor="background1"/>
                    <w:lang w:val="en-GB" w:eastAsia="tr-TR"/>
                  </w:rPr>
                  <w:t>P</w:t>
                </w:r>
              </w:p>
            </w:tc>
            <w:tc>
              <w:tcPr>
                <w:tcW w:w="1134" w:type="dxa"/>
                <w:vAlign w:val="center"/>
              </w:tcPr>
              <w:p w:rsidR="006758CF" w:rsidRPr="00F876CB" w:rsidRDefault="006758CF" w:rsidP="006758CF">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TL/MWh</w:t>
                </w:r>
              </w:p>
            </w:tc>
            <w:tc>
              <w:tcPr>
                <w:tcW w:w="1985" w:type="dxa"/>
                <w:vAlign w:val="bottom"/>
              </w:tcPr>
              <w:p w:rsidR="006758CF" w:rsidRPr="00F876CB" w:rsidRDefault="006758CF" w:rsidP="006758CF">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233,26</w:t>
                </w:r>
              </w:p>
            </w:tc>
            <w:tc>
              <w:tcPr>
                <w:tcW w:w="2126" w:type="dxa"/>
                <w:vAlign w:val="bottom"/>
              </w:tcPr>
              <w:p w:rsidR="006758CF" w:rsidRPr="00F876CB" w:rsidRDefault="006758CF" w:rsidP="006758CF">
                <w:pPr>
                  <w:jc w:val="right"/>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250,25</w:t>
                </w:r>
              </w:p>
            </w:tc>
            <w:tc>
              <w:tcPr>
                <w:tcW w:w="1276" w:type="dxa"/>
              </w:tcPr>
              <w:p w:rsidR="006758CF" w:rsidRPr="00F876CB" w:rsidRDefault="006758CF" w:rsidP="006758CF">
                <w:pPr>
                  <w:jc w:val="center"/>
                  <w:rPr>
                    <w:rFonts w:asciiTheme="minorHAnsi" w:eastAsia="Times New Roman" w:hAnsiTheme="minorHAnsi" w:cstheme="minorHAnsi"/>
                    <w:color w:val="000000"/>
                    <w:lang w:val="en-GB" w:eastAsia="tr-TR"/>
                  </w:rPr>
                </w:pPr>
              </w:p>
              <w:p w:rsidR="006758CF" w:rsidRPr="00F876CB" w:rsidRDefault="006758CF" w:rsidP="006758CF">
                <w:pPr>
                  <w:jc w:val="center"/>
                  <w:rPr>
                    <w:rFonts w:asciiTheme="minorHAnsi" w:eastAsia="Times New Roman" w:hAnsiTheme="minorHAnsi" w:cstheme="minorHAnsi"/>
                    <w:color w:val="000000"/>
                    <w:lang w:val="en-GB" w:eastAsia="tr-TR"/>
                  </w:rPr>
                </w:pPr>
                <w:r w:rsidRPr="00F876CB">
                  <w:rPr>
                    <w:rFonts w:asciiTheme="minorHAnsi" w:eastAsia="Times New Roman" w:hAnsiTheme="minorHAnsi" w:cstheme="minorHAnsi"/>
                    <w:color w:val="000000"/>
                    <w:lang w:val="en-GB" w:eastAsia="tr-TR"/>
                  </w:rPr>
                  <w:t>7,28</w:t>
                </w:r>
              </w:p>
            </w:tc>
          </w:tr>
        </w:tbl>
        <w:p w:rsidR="00836161" w:rsidRPr="00F876CB" w:rsidRDefault="00836161" w:rsidP="00836161">
          <w:pPr>
            <w:spacing w:after="0" w:line="240" w:lineRule="auto"/>
            <w:rPr>
              <w:rFonts w:asciiTheme="minorHAnsi" w:eastAsia="Times New Roman" w:hAnsiTheme="minorHAnsi" w:cstheme="minorHAnsi"/>
              <w:color w:val="000000"/>
              <w:sz w:val="24"/>
              <w:szCs w:val="24"/>
              <w:lang w:val="en-GB" w:eastAsia="tr-TR" w:bidi="ar-SA"/>
            </w:rPr>
          </w:pPr>
        </w:p>
        <w:p w:rsidR="00530392" w:rsidRPr="00F876CB" w:rsidRDefault="00530392" w:rsidP="00836161">
          <w:pPr>
            <w:spacing w:after="0" w:line="240" w:lineRule="auto"/>
            <w:rPr>
              <w:rFonts w:asciiTheme="minorHAnsi" w:eastAsia="Times New Roman" w:hAnsiTheme="minorHAnsi" w:cstheme="minorHAnsi"/>
              <w:color w:val="000000"/>
              <w:sz w:val="24"/>
              <w:szCs w:val="24"/>
              <w:lang w:val="en-GB" w:eastAsia="tr-TR" w:bidi="ar-SA"/>
            </w:rPr>
          </w:pPr>
        </w:p>
        <w:p w:rsidR="00836161" w:rsidRPr="00F876CB" w:rsidRDefault="00836161" w:rsidP="00275DDB">
          <w:pPr>
            <w:spacing w:line="240" w:lineRule="auto"/>
            <w:jc w:val="both"/>
            <w:rPr>
              <w:rFonts w:ascii="Times New Roman" w:eastAsia="Times New Roman" w:hAnsi="Times New Roman" w:cs="Times New Roman"/>
              <w:color w:val="000000"/>
              <w:lang w:val="en-GB" w:eastAsia="tr-TR"/>
            </w:rPr>
          </w:pPr>
          <w:r w:rsidRPr="00F876CB">
            <w:rPr>
              <w:rFonts w:asciiTheme="minorHAnsi" w:eastAsia="Times New Roman" w:hAnsiTheme="minorHAnsi" w:cstheme="minorHAnsi"/>
              <w:color w:val="000000"/>
              <w:lang w:val="en-GB" w:eastAsia="tr-TR" w:bidi="ar-SA"/>
            </w:rPr>
            <w:t>*</w:t>
          </w:r>
          <w:r w:rsidR="00275DDB" w:rsidRPr="00F876CB">
            <w:rPr>
              <w:rFonts w:ascii="Times New Roman" w:eastAsia="Times New Roman" w:hAnsi="Times New Roman" w:cs="Times New Roman"/>
              <w:color w:val="000000"/>
              <w:lang w:val="en-GB" w:eastAsia="tr-TR"/>
            </w:rPr>
            <w:t xml:space="preserve"> Licensed Generation: Includes the installed capacity and generation values of Independent Generation Companies, Build-Operate, Transfer of Operating Rights and Build-Operate-Transfer Power Plants.</w:t>
          </w:r>
        </w:p>
        <w:p w:rsidR="00B257A8" w:rsidRPr="00F876CB" w:rsidRDefault="00275DDB" w:rsidP="00275DDB">
          <w:pPr>
            <w:spacing w:line="240" w:lineRule="auto"/>
            <w:jc w:val="both"/>
            <w:rPr>
              <w:rFonts w:ascii="Times New Roman" w:eastAsia="Times New Roman" w:hAnsi="Times New Roman" w:cs="Times New Roman"/>
              <w:color w:val="000000"/>
              <w:lang w:val="en-GB" w:eastAsia="tr-TR"/>
            </w:rPr>
          </w:pPr>
          <w:r w:rsidRPr="00F876CB">
            <w:rPr>
              <w:rFonts w:ascii="Times New Roman" w:eastAsia="Times New Roman" w:hAnsi="Times New Roman" w:cs="Times New Roman"/>
              <w:color w:val="000000"/>
              <w:lang w:val="en-GB" w:eastAsia="tr-TR"/>
            </w:rPr>
            <w:t xml:space="preserve">**Unlicensed Generation: Generation in accordance with Article 14 of the Electricity Market Law No. 6446, that is granted to the system as a surplus by those who are exempted from the obligation to obtain license and a company. </w:t>
          </w:r>
        </w:p>
        <w:p w:rsidR="00B257A8" w:rsidRPr="00F876CB" w:rsidRDefault="00275DDB" w:rsidP="00275DDB">
          <w:pPr>
            <w:spacing w:line="240" w:lineRule="auto"/>
            <w:jc w:val="both"/>
            <w:rPr>
              <w:rFonts w:ascii="Times New Roman" w:hAnsi="Times New Roman" w:cs="Times New Roman"/>
              <w:bCs/>
              <w:lang w:val="en-GB"/>
            </w:rPr>
          </w:pPr>
          <w:r w:rsidRPr="00F876CB">
            <w:rPr>
              <w:rFonts w:ascii="Times New Roman" w:hAnsi="Times New Roman" w:cs="Times New Roman"/>
              <w:bCs/>
              <w:lang w:val="en-GB"/>
            </w:rPr>
            <w:t xml:space="preserve">*** RESSUM generation includes unlicensed generation values. </w:t>
          </w:r>
        </w:p>
        <w:p w:rsidR="00275DDB" w:rsidRPr="00F876CB" w:rsidRDefault="00275DDB" w:rsidP="00275DDB">
          <w:pPr>
            <w:jc w:val="both"/>
            <w:rPr>
              <w:rFonts w:ascii="Times New Roman" w:hAnsi="Times New Roman" w:cs="Times New Roman"/>
              <w:bCs/>
              <w:lang w:val="en-GB"/>
            </w:rPr>
          </w:pPr>
          <w:r w:rsidRPr="00F876CB">
            <w:rPr>
              <w:rFonts w:ascii="Times New Roman" w:hAnsi="Times New Roman" w:cs="Times New Roman"/>
              <w:bCs/>
              <w:lang w:val="en-GB"/>
            </w:rPr>
            <w:t>**** RESSUM additional cost:</w:t>
          </w:r>
          <w:r w:rsidRPr="00F876CB">
            <w:rPr>
              <w:rFonts w:ascii="Times New Roman" w:hAnsi="Times New Roman" w:cs="Times New Roman"/>
              <w:sz w:val="24"/>
              <w:szCs w:val="24"/>
              <w:lang w:val="en-GB"/>
            </w:rPr>
            <w:t xml:space="preserve"> Additional cost to the weighted average MCP for RESSUM per invoiced unit energy amount.</w:t>
          </w:r>
          <w:r w:rsidRPr="00F876CB">
            <w:rPr>
              <w:rFonts w:ascii="Times New Roman" w:hAnsi="Times New Roman" w:cs="Times New Roman"/>
              <w:bCs/>
              <w:lang w:val="en-GB"/>
            </w:rPr>
            <w:t xml:space="preserve"> </w:t>
          </w:r>
        </w:p>
        <w:p w:rsidR="00BD262C" w:rsidRPr="00F876CB" w:rsidRDefault="00BD262C">
          <w:pPr>
            <w:rPr>
              <w:rFonts w:asciiTheme="minorHAnsi" w:hAnsiTheme="minorHAnsi" w:cstheme="minorHAnsi"/>
              <w:bCs/>
              <w:lang w:val="en-GB"/>
            </w:rPr>
          </w:pPr>
        </w:p>
        <w:p w:rsidR="00BD262C" w:rsidRPr="00F876CB" w:rsidRDefault="00BD262C">
          <w:pPr>
            <w:rPr>
              <w:rFonts w:asciiTheme="minorHAnsi" w:hAnsiTheme="minorHAnsi" w:cstheme="minorHAnsi"/>
              <w:b/>
              <w:bCs/>
              <w:color w:val="FFFFFF" w:themeColor="background1"/>
              <w:sz w:val="24"/>
              <w:szCs w:val="24"/>
              <w:lang w:val="en-GB"/>
            </w:rPr>
            <w:sectPr w:rsidR="00BD262C" w:rsidRPr="00F876CB" w:rsidSect="00151A3B">
              <w:footerReference w:type="first" r:id="rId12"/>
              <w:pgSz w:w="11906" w:h="16838"/>
              <w:pgMar w:top="1418" w:right="1418" w:bottom="1418" w:left="1418" w:header="709" w:footer="709" w:gutter="0"/>
              <w:pgNumType w:fmt="lowerRoman"/>
              <w:cols w:space="708"/>
              <w:titlePg/>
              <w:docGrid w:linePitch="360"/>
            </w:sectPr>
          </w:pPr>
        </w:p>
        <w:p w:rsidR="00020E97" w:rsidRPr="00F876CB" w:rsidRDefault="00200CF2">
          <w:pPr>
            <w:rPr>
              <w:rFonts w:asciiTheme="minorHAnsi" w:hAnsiTheme="minorHAnsi" w:cstheme="minorHAnsi"/>
              <w:b/>
              <w:bCs/>
              <w:sz w:val="24"/>
              <w:szCs w:val="24"/>
              <w:lang w:val="en-GB"/>
            </w:rPr>
          </w:pPr>
          <w:r w:rsidRPr="00F876CB">
            <w:rPr>
              <w:rFonts w:asciiTheme="minorHAnsi" w:hAnsiTheme="minorHAnsi" w:cstheme="minorHAnsi"/>
              <w:b/>
              <w:bCs/>
              <w:sz w:val="24"/>
              <w:szCs w:val="24"/>
              <w:lang w:val="en-GB"/>
            </w:rPr>
            <w:lastRenderedPageBreak/>
            <w:t>C</w:t>
          </w:r>
          <w:r w:rsidR="004C7FB8">
            <w:rPr>
              <w:rFonts w:asciiTheme="minorHAnsi" w:hAnsiTheme="minorHAnsi" w:cstheme="minorHAnsi"/>
              <w:b/>
              <w:bCs/>
              <w:sz w:val="24"/>
              <w:szCs w:val="24"/>
              <w:lang w:val="en-GB"/>
            </w:rPr>
            <w:t>ONTENTS</w:t>
          </w:r>
        </w:p>
      </w:sdtContent>
    </w:sdt>
    <w:p w:rsidR="00EB2BE6" w:rsidRDefault="00620430">
      <w:pPr>
        <w:pStyle w:val="T1"/>
        <w:tabs>
          <w:tab w:val="right" w:leader="dot" w:pos="9060"/>
        </w:tabs>
        <w:rPr>
          <w:rFonts w:asciiTheme="minorHAnsi" w:eastAsiaTheme="minorEastAsia" w:hAnsiTheme="minorHAnsi" w:cstheme="minorBidi"/>
          <w:b w:val="0"/>
          <w:noProof/>
          <w:sz w:val="22"/>
          <w:lang w:eastAsia="tr-TR" w:bidi="ar-SA"/>
        </w:rPr>
      </w:pPr>
      <w:r w:rsidRPr="00F876CB">
        <w:rPr>
          <w:rFonts w:asciiTheme="minorHAnsi" w:hAnsiTheme="minorHAnsi" w:cstheme="minorHAnsi"/>
          <w:b w:val="0"/>
          <w:szCs w:val="24"/>
          <w:lang w:val="en-GB"/>
        </w:rPr>
        <w:fldChar w:fldCharType="begin"/>
      </w:r>
      <w:r w:rsidRPr="00F876CB">
        <w:rPr>
          <w:rFonts w:asciiTheme="minorHAnsi" w:hAnsiTheme="minorHAnsi" w:cstheme="minorHAnsi"/>
          <w:b w:val="0"/>
          <w:szCs w:val="24"/>
          <w:lang w:val="en-GB"/>
        </w:rPr>
        <w:instrText xml:space="preserve"> TOC \o "1-3" \h \z \u </w:instrText>
      </w:r>
      <w:r w:rsidRPr="00F876CB">
        <w:rPr>
          <w:rFonts w:asciiTheme="minorHAnsi" w:hAnsiTheme="minorHAnsi" w:cstheme="minorHAnsi"/>
          <w:b w:val="0"/>
          <w:szCs w:val="24"/>
          <w:lang w:val="en-GB"/>
        </w:rPr>
        <w:fldChar w:fldCharType="separate"/>
      </w:r>
      <w:hyperlink w:anchor="_Toc44508278" w:history="1">
        <w:r w:rsidR="00EB2BE6" w:rsidRPr="00DD2294">
          <w:rPr>
            <w:rStyle w:val="Kpr"/>
            <w:noProof/>
            <w:lang w:val="en-GB"/>
          </w:rPr>
          <w:t>1. LICENSED GENERATION AND INSTALLED CAPACITY, UNLICENSED GENERATION, CONSUMPTION, IMPORT AND EXPORT</w:t>
        </w:r>
        <w:r w:rsidR="00EB2BE6">
          <w:rPr>
            <w:noProof/>
            <w:webHidden/>
          </w:rPr>
          <w:tab/>
        </w:r>
        <w:r w:rsidR="00EB2BE6">
          <w:rPr>
            <w:noProof/>
            <w:webHidden/>
          </w:rPr>
          <w:fldChar w:fldCharType="begin"/>
        </w:r>
        <w:r w:rsidR="00EB2BE6">
          <w:rPr>
            <w:noProof/>
            <w:webHidden/>
          </w:rPr>
          <w:instrText xml:space="preserve"> PAGEREF _Toc44508278 \h </w:instrText>
        </w:r>
        <w:r w:rsidR="00EB2BE6">
          <w:rPr>
            <w:noProof/>
            <w:webHidden/>
          </w:rPr>
        </w:r>
        <w:r w:rsidR="00EB2BE6">
          <w:rPr>
            <w:noProof/>
            <w:webHidden/>
          </w:rPr>
          <w:fldChar w:fldCharType="separate"/>
        </w:r>
        <w:r w:rsidR="00EB2BE6">
          <w:rPr>
            <w:noProof/>
            <w:webHidden/>
          </w:rPr>
          <w:t>16</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0" w:history="1">
        <w:r w:rsidR="00EB2BE6" w:rsidRPr="00DD2294">
          <w:rPr>
            <w:rStyle w:val="Kpr"/>
            <w:noProof/>
            <w:lang w:val="en-GB"/>
          </w:rPr>
          <w:t>1.1</w:t>
        </w:r>
        <w:r w:rsidR="00EB2BE6">
          <w:rPr>
            <w:rFonts w:asciiTheme="minorHAnsi" w:eastAsiaTheme="minorEastAsia" w:hAnsiTheme="minorHAnsi" w:cstheme="minorBidi"/>
            <w:noProof/>
            <w:lang w:eastAsia="tr-TR" w:bidi="ar-SA"/>
          </w:rPr>
          <w:tab/>
        </w:r>
        <w:r w:rsidR="00EB2BE6" w:rsidRPr="00DD2294">
          <w:rPr>
            <w:rStyle w:val="Kpr"/>
            <w:noProof/>
            <w:lang w:val="en-GB"/>
          </w:rPr>
          <w:t>Overview</w:t>
        </w:r>
        <w:r w:rsidR="00EB2BE6">
          <w:rPr>
            <w:noProof/>
            <w:webHidden/>
          </w:rPr>
          <w:tab/>
        </w:r>
        <w:r w:rsidR="00EB2BE6">
          <w:rPr>
            <w:noProof/>
            <w:webHidden/>
          </w:rPr>
          <w:fldChar w:fldCharType="begin"/>
        </w:r>
        <w:r w:rsidR="00EB2BE6">
          <w:rPr>
            <w:noProof/>
            <w:webHidden/>
          </w:rPr>
          <w:instrText xml:space="preserve"> PAGEREF _Toc44508280 \h </w:instrText>
        </w:r>
        <w:r w:rsidR="00EB2BE6">
          <w:rPr>
            <w:noProof/>
            <w:webHidden/>
          </w:rPr>
        </w:r>
        <w:r w:rsidR="00EB2BE6">
          <w:rPr>
            <w:noProof/>
            <w:webHidden/>
          </w:rPr>
          <w:fldChar w:fldCharType="separate"/>
        </w:r>
        <w:r w:rsidR="00EB2BE6">
          <w:rPr>
            <w:noProof/>
            <w:webHidden/>
          </w:rPr>
          <w:t>16</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1" w:history="1">
        <w:r w:rsidR="00EB2BE6" w:rsidRPr="00DD2294">
          <w:rPr>
            <w:rStyle w:val="Kpr"/>
            <w:noProof/>
            <w:lang w:val="en-GB"/>
          </w:rPr>
          <w:t>1.2 Licensed Generation</w:t>
        </w:r>
        <w:r w:rsidR="00EB2BE6">
          <w:rPr>
            <w:noProof/>
            <w:webHidden/>
          </w:rPr>
          <w:tab/>
        </w:r>
        <w:r w:rsidR="00EB2BE6">
          <w:rPr>
            <w:noProof/>
            <w:webHidden/>
          </w:rPr>
          <w:fldChar w:fldCharType="begin"/>
        </w:r>
        <w:r w:rsidR="00EB2BE6">
          <w:rPr>
            <w:noProof/>
            <w:webHidden/>
          </w:rPr>
          <w:instrText xml:space="preserve"> PAGEREF _Toc44508281 \h </w:instrText>
        </w:r>
        <w:r w:rsidR="00EB2BE6">
          <w:rPr>
            <w:noProof/>
            <w:webHidden/>
          </w:rPr>
        </w:r>
        <w:r w:rsidR="00EB2BE6">
          <w:rPr>
            <w:noProof/>
            <w:webHidden/>
          </w:rPr>
          <w:fldChar w:fldCharType="separate"/>
        </w:r>
        <w:r w:rsidR="00EB2BE6">
          <w:rPr>
            <w:noProof/>
            <w:webHidden/>
          </w:rPr>
          <w:t>17</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2" w:history="1">
        <w:r w:rsidR="00EB2BE6" w:rsidRPr="00DD2294">
          <w:rPr>
            <w:rStyle w:val="Kpr"/>
            <w:noProof/>
            <w:lang w:val="en-GB"/>
          </w:rPr>
          <w:t>1.3 Licensed Installed Capacity</w:t>
        </w:r>
        <w:r w:rsidR="00EB2BE6">
          <w:rPr>
            <w:noProof/>
            <w:webHidden/>
          </w:rPr>
          <w:tab/>
        </w:r>
        <w:r w:rsidR="00EB2BE6">
          <w:rPr>
            <w:noProof/>
            <w:webHidden/>
          </w:rPr>
          <w:fldChar w:fldCharType="begin"/>
        </w:r>
        <w:r w:rsidR="00EB2BE6">
          <w:rPr>
            <w:noProof/>
            <w:webHidden/>
          </w:rPr>
          <w:instrText xml:space="preserve"> PAGEREF _Toc44508282 \h </w:instrText>
        </w:r>
        <w:r w:rsidR="00EB2BE6">
          <w:rPr>
            <w:noProof/>
            <w:webHidden/>
          </w:rPr>
        </w:r>
        <w:r w:rsidR="00EB2BE6">
          <w:rPr>
            <w:noProof/>
            <w:webHidden/>
          </w:rPr>
          <w:fldChar w:fldCharType="separate"/>
        </w:r>
        <w:r w:rsidR="00EB2BE6">
          <w:rPr>
            <w:noProof/>
            <w:webHidden/>
          </w:rPr>
          <w:t>25</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3" w:history="1">
        <w:r w:rsidR="00EB2BE6" w:rsidRPr="00DD2294">
          <w:rPr>
            <w:rStyle w:val="Kpr"/>
            <w:noProof/>
            <w:lang w:val="en-GB"/>
          </w:rPr>
          <w:t>1.4 Unlicensed Generation</w:t>
        </w:r>
        <w:r w:rsidR="00EB2BE6">
          <w:rPr>
            <w:noProof/>
            <w:webHidden/>
          </w:rPr>
          <w:tab/>
        </w:r>
        <w:r w:rsidR="00EB2BE6">
          <w:rPr>
            <w:noProof/>
            <w:webHidden/>
          </w:rPr>
          <w:fldChar w:fldCharType="begin"/>
        </w:r>
        <w:r w:rsidR="00EB2BE6">
          <w:rPr>
            <w:noProof/>
            <w:webHidden/>
          </w:rPr>
          <w:instrText xml:space="preserve"> PAGEREF _Toc44508283 \h </w:instrText>
        </w:r>
        <w:r w:rsidR="00EB2BE6">
          <w:rPr>
            <w:noProof/>
            <w:webHidden/>
          </w:rPr>
        </w:r>
        <w:r w:rsidR="00EB2BE6">
          <w:rPr>
            <w:noProof/>
            <w:webHidden/>
          </w:rPr>
          <w:fldChar w:fldCharType="separate"/>
        </w:r>
        <w:r w:rsidR="00EB2BE6">
          <w:rPr>
            <w:noProof/>
            <w:webHidden/>
          </w:rPr>
          <w:t>29</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4" w:history="1">
        <w:r w:rsidR="00EB2BE6" w:rsidRPr="00DD2294">
          <w:rPr>
            <w:rStyle w:val="Kpr"/>
            <w:noProof/>
            <w:lang w:val="en-GB"/>
          </w:rPr>
          <w:t>1.5 Invoiced Electricity Consumption</w:t>
        </w:r>
        <w:r w:rsidR="00EB2BE6">
          <w:rPr>
            <w:noProof/>
            <w:webHidden/>
          </w:rPr>
          <w:tab/>
        </w:r>
        <w:r w:rsidR="00EB2BE6">
          <w:rPr>
            <w:noProof/>
            <w:webHidden/>
          </w:rPr>
          <w:fldChar w:fldCharType="begin"/>
        </w:r>
        <w:r w:rsidR="00EB2BE6">
          <w:rPr>
            <w:noProof/>
            <w:webHidden/>
          </w:rPr>
          <w:instrText xml:space="preserve"> PAGEREF _Toc44508284 \h </w:instrText>
        </w:r>
        <w:r w:rsidR="00EB2BE6">
          <w:rPr>
            <w:noProof/>
            <w:webHidden/>
          </w:rPr>
        </w:r>
        <w:r w:rsidR="00EB2BE6">
          <w:rPr>
            <w:noProof/>
            <w:webHidden/>
          </w:rPr>
          <w:fldChar w:fldCharType="separate"/>
        </w:r>
        <w:r w:rsidR="00EB2BE6">
          <w:rPr>
            <w:noProof/>
            <w:webHidden/>
          </w:rPr>
          <w:t>38</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5" w:history="1">
        <w:r w:rsidR="00EB2BE6" w:rsidRPr="00DD2294">
          <w:rPr>
            <w:rStyle w:val="Kpr"/>
            <w:noProof/>
            <w:lang w:val="en-GB"/>
          </w:rPr>
          <w:t>1.6 Import and Export</w:t>
        </w:r>
        <w:r w:rsidR="00EB2BE6">
          <w:rPr>
            <w:noProof/>
            <w:webHidden/>
          </w:rPr>
          <w:tab/>
        </w:r>
        <w:r w:rsidR="00EB2BE6">
          <w:rPr>
            <w:noProof/>
            <w:webHidden/>
          </w:rPr>
          <w:fldChar w:fldCharType="begin"/>
        </w:r>
        <w:r w:rsidR="00EB2BE6">
          <w:rPr>
            <w:noProof/>
            <w:webHidden/>
          </w:rPr>
          <w:instrText xml:space="preserve"> PAGEREF _Toc44508285 \h </w:instrText>
        </w:r>
        <w:r w:rsidR="00EB2BE6">
          <w:rPr>
            <w:noProof/>
            <w:webHidden/>
          </w:rPr>
        </w:r>
        <w:r w:rsidR="00EB2BE6">
          <w:rPr>
            <w:noProof/>
            <w:webHidden/>
          </w:rPr>
          <w:fldChar w:fldCharType="separate"/>
        </w:r>
        <w:r w:rsidR="00EB2BE6">
          <w:rPr>
            <w:noProof/>
            <w:webHidden/>
          </w:rPr>
          <w:t>47</w:t>
        </w:r>
        <w:r w:rsidR="00EB2BE6">
          <w:rPr>
            <w:noProof/>
            <w:webHidden/>
          </w:rPr>
          <w:fldChar w:fldCharType="end"/>
        </w:r>
      </w:hyperlink>
    </w:p>
    <w:p w:rsidR="00EB2BE6" w:rsidRDefault="00BE6989">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4508286" w:history="1">
        <w:r w:rsidR="00EB2BE6" w:rsidRPr="00DD2294">
          <w:rPr>
            <w:rStyle w:val="Kpr"/>
            <w:noProof/>
            <w:lang w:val="en-GB"/>
          </w:rPr>
          <w:t>2.</w:t>
        </w:r>
        <w:r w:rsidR="00EB2BE6">
          <w:rPr>
            <w:rFonts w:asciiTheme="minorHAnsi" w:eastAsiaTheme="minorEastAsia" w:hAnsiTheme="minorHAnsi" w:cstheme="minorBidi"/>
            <w:b w:val="0"/>
            <w:noProof/>
            <w:sz w:val="22"/>
            <w:lang w:eastAsia="tr-TR" w:bidi="ar-SA"/>
          </w:rPr>
          <w:tab/>
        </w:r>
        <w:r w:rsidR="00EB2BE6" w:rsidRPr="00DD2294">
          <w:rPr>
            <w:rStyle w:val="Kpr"/>
            <w:noProof/>
            <w:lang w:val="en-GB"/>
          </w:rPr>
          <w:t>WHOLESALE MARKET</w:t>
        </w:r>
        <w:r w:rsidR="00EB2BE6">
          <w:rPr>
            <w:noProof/>
            <w:webHidden/>
          </w:rPr>
          <w:tab/>
        </w:r>
        <w:r w:rsidR="00EB2BE6">
          <w:rPr>
            <w:noProof/>
            <w:webHidden/>
          </w:rPr>
          <w:fldChar w:fldCharType="begin"/>
        </w:r>
        <w:r w:rsidR="00EB2BE6">
          <w:rPr>
            <w:noProof/>
            <w:webHidden/>
          </w:rPr>
          <w:instrText xml:space="preserve"> PAGEREF _Toc44508286 \h </w:instrText>
        </w:r>
        <w:r w:rsidR="00EB2BE6">
          <w:rPr>
            <w:noProof/>
            <w:webHidden/>
          </w:rPr>
        </w:r>
        <w:r w:rsidR="00EB2BE6">
          <w:rPr>
            <w:noProof/>
            <w:webHidden/>
          </w:rPr>
          <w:fldChar w:fldCharType="separate"/>
        </w:r>
        <w:r w:rsidR="00EB2BE6">
          <w:rPr>
            <w:noProof/>
            <w:webHidden/>
          </w:rPr>
          <w:t>49</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8" w:history="1">
        <w:r w:rsidR="00EB2BE6" w:rsidRPr="00DD2294">
          <w:rPr>
            <w:rStyle w:val="Kpr"/>
            <w:noProof/>
            <w:lang w:val="en-GB"/>
          </w:rPr>
          <w:t>2.1</w:t>
        </w:r>
        <w:r w:rsidR="00EB2BE6">
          <w:rPr>
            <w:rFonts w:asciiTheme="minorHAnsi" w:eastAsiaTheme="minorEastAsia" w:hAnsiTheme="minorHAnsi" w:cstheme="minorBidi"/>
            <w:noProof/>
            <w:lang w:eastAsia="tr-TR" w:bidi="ar-SA"/>
          </w:rPr>
          <w:tab/>
        </w:r>
        <w:r w:rsidR="00EB2BE6" w:rsidRPr="00DD2294">
          <w:rPr>
            <w:rStyle w:val="Kpr"/>
            <w:noProof/>
            <w:lang w:val="en-GB"/>
          </w:rPr>
          <w:t>Day-Ahead Market</w:t>
        </w:r>
        <w:r w:rsidR="00EB2BE6">
          <w:rPr>
            <w:noProof/>
            <w:webHidden/>
          </w:rPr>
          <w:tab/>
        </w:r>
        <w:r w:rsidR="00EB2BE6">
          <w:rPr>
            <w:noProof/>
            <w:webHidden/>
          </w:rPr>
          <w:fldChar w:fldCharType="begin"/>
        </w:r>
        <w:r w:rsidR="00EB2BE6">
          <w:rPr>
            <w:noProof/>
            <w:webHidden/>
          </w:rPr>
          <w:instrText xml:space="preserve"> PAGEREF _Toc44508288 \h </w:instrText>
        </w:r>
        <w:r w:rsidR="00EB2BE6">
          <w:rPr>
            <w:noProof/>
            <w:webHidden/>
          </w:rPr>
        </w:r>
        <w:r w:rsidR="00EB2BE6">
          <w:rPr>
            <w:noProof/>
            <w:webHidden/>
          </w:rPr>
          <w:fldChar w:fldCharType="separate"/>
        </w:r>
        <w:r w:rsidR="00EB2BE6">
          <w:rPr>
            <w:noProof/>
            <w:webHidden/>
          </w:rPr>
          <w:t>49</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89" w:history="1">
        <w:r w:rsidR="00EB2BE6" w:rsidRPr="00DD2294">
          <w:rPr>
            <w:rStyle w:val="Kpr"/>
            <w:noProof/>
            <w:lang w:val="en-GB"/>
          </w:rPr>
          <w:t>2.2 Balancing Power Market</w:t>
        </w:r>
        <w:r w:rsidR="00EB2BE6">
          <w:rPr>
            <w:noProof/>
            <w:webHidden/>
          </w:rPr>
          <w:tab/>
        </w:r>
        <w:r w:rsidR="00EB2BE6">
          <w:rPr>
            <w:noProof/>
            <w:webHidden/>
          </w:rPr>
          <w:fldChar w:fldCharType="begin"/>
        </w:r>
        <w:r w:rsidR="00EB2BE6">
          <w:rPr>
            <w:noProof/>
            <w:webHidden/>
          </w:rPr>
          <w:instrText xml:space="preserve"> PAGEREF _Toc44508289 \h </w:instrText>
        </w:r>
        <w:r w:rsidR="00EB2BE6">
          <w:rPr>
            <w:noProof/>
            <w:webHidden/>
          </w:rPr>
        </w:r>
        <w:r w:rsidR="00EB2BE6">
          <w:rPr>
            <w:noProof/>
            <w:webHidden/>
          </w:rPr>
          <w:fldChar w:fldCharType="separate"/>
        </w:r>
        <w:r w:rsidR="00EB2BE6">
          <w:rPr>
            <w:noProof/>
            <w:webHidden/>
          </w:rPr>
          <w:t>55</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90" w:history="1">
        <w:r w:rsidR="00EB2BE6" w:rsidRPr="00DD2294">
          <w:rPr>
            <w:rStyle w:val="Kpr"/>
            <w:noProof/>
            <w:lang w:val="en-GB"/>
          </w:rPr>
          <w:t>2.3 Intra-Day Market</w:t>
        </w:r>
        <w:r w:rsidR="00EB2BE6">
          <w:rPr>
            <w:noProof/>
            <w:webHidden/>
          </w:rPr>
          <w:tab/>
        </w:r>
        <w:r w:rsidR="00EB2BE6">
          <w:rPr>
            <w:noProof/>
            <w:webHidden/>
          </w:rPr>
          <w:fldChar w:fldCharType="begin"/>
        </w:r>
        <w:r w:rsidR="00EB2BE6">
          <w:rPr>
            <w:noProof/>
            <w:webHidden/>
          </w:rPr>
          <w:instrText xml:space="preserve"> PAGEREF _Toc44508290 \h </w:instrText>
        </w:r>
        <w:r w:rsidR="00EB2BE6">
          <w:rPr>
            <w:noProof/>
            <w:webHidden/>
          </w:rPr>
        </w:r>
        <w:r w:rsidR="00EB2BE6">
          <w:rPr>
            <w:noProof/>
            <w:webHidden/>
          </w:rPr>
          <w:fldChar w:fldCharType="separate"/>
        </w:r>
        <w:r w:rsidR="00EB2BE6">
          <w:rPr>
            <w:noProof/>
            <w:webHidden/>
          </w:rPr>
          <w:t>61</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91" w:history="1">
        <w:r w:rsidR="00EB2BE6" w:rsidRPr="00DD2294">
          <w:rPr>
            <w:rStyle w:val="Kpr"/>
            <w:noProof/>
            <w:lang w:val="en-GB"/>
          </w:rPr>
          <w:t>2.4 Bilateral Agreements</w:t>
        </w:r>
        <w:r w:rsidR="00EB2BE6">
          <w:rPr>
            <w:noProof/>
            <w:webHidden/>
          </w:rPr>
          <w:tab/>
        </w:r>
        <w:r w:rsidR="00EB2BE6">
          <w:rPr>
            <w:noProof/>
            <w:webHidden/>
          </w:rPr>
          <w:fldChar w:fldCharType="begin"/>
        </w:r>
        <w:r w:rsidR="00EB2BE6">
          <w:rPr>
            <w:noProof/>
            <w:webHidden/>
          </w:rPr>
          <w:instrText xml:space="preserve"> PAGEREF _Toc44508291 \h </w:instrText>
        </w:r>
        <w:r w:rsidR="00EB2BE6">
          <w:rPr>
            <w:noProof/>
            <w:webHidden/>
          </w:rPr>
        </w:r>
        <w:r w:rsidR="00EB2BE6">
          <w:rPr>
            <w:noProof/>
            <w:webHidden/>
          </w:rPr>
          <w:fldChar w:fldCharType="separate"/>
        </w:r>
        <w:r w:rsidR="00EB2BE6">
          <w:rPr>
            <w:noProof/>
            <w:webHidden/>
          </w:rPr>
          <w:t>63</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92" w:history="1">
        <w:r w:rsidR="00EB2BE6" w:rsidRPr="00DD2294">
          <w:rPr>
            <w:rStyle w:val="Kpr"/>
            <w:noProof/>
            <w:lang w:val="en-GB"/>
          </w:rPr>
          <w:t>2.5</w:t>
        </w:r>
        <w:r w:rsidR="00EB2BE6">
          <w:rPr>
            <w:rFonts w:asciiTheme="minorHAnsi" w:eastAsiaTheme="minorEastAsia" w:hAnsiTheme="minorHAnsi" w:cstheme="minorBidi"/>
            <w:noProof/>
            <w:lang w:eastAsia="tr-TR" w:bidi="ar-SA"/>
          </w:rPr>
          <w:tab/>
        </w:r>
        <w:r w:rsidR="00EB2BE6" w:rsidRPr="00DD2294">
          <w:rPr>
            <w:rStyle w:val="Kpr"/>
            <w:noProof/>
            <w:lang w:val="en-GB"/>
          </w:rPr>
          <w:t>RESSUM</w:t>
        </w:r>
        <w:r w:rsidR="00EB2BE6">
          <w:rPr>
            <w:noProof/>
            <w:webHidden/>
          </w:rPr>
          <w:tab/>
        </w:r>
        <w:r w:rsidR="00EB2BE6">
          <w:rPr>
            <w:noProof/>
            <w:webHidden/>
          </w:rPr>
          <w:fldChar w:fldCharType="begin"/>
        </w:r>
        <w:r w:rsidR="00EB2BE6">
          <w:rPr>
            <w:noProof/>
            <w:webHidden/>
          </w:rPr>
          <w:instrText xml:space="preserve"> PAGEREF _Toc44508292 \h </w:instrText>
        </w:r>
        <w:r w:rsidR="00EB2BE6">
          <w:rPr>
            <w:noProof/>
            <w:webHidden/>
          </w:rPr>
        </w:r>
        <w:r w:rsidR="00EB2BE6">
          <w:rPr>
            <w:noProof/>
            <w:webHidden/>
          </w:rPr>
          <w:fldChar w:fldCharType="separate"/>
        </w:r>
        <w:r w:rsidR="00EB2BE6">
          <w:rPr>
            <w:noProof/>
            <w:webHidden/>
          </w:rPr>
          <w:t>66</w:t>
        </w:r>
        <w:r w:rsidR="00EB2BE6">
          <w:rPr>
            <w:noProof/>
            <w:webHidden/>
          </w:rPr>
          <w:fldChar w:fldCharType="end"/>
        </w:r>
      </w:hyperlink>
    </w:p>
    <w:p w:rsidR="00EB2BE6" w:rsidRDefault="00BE6989">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4508293" w:history="1">
        <w:r w:rsidR="00EB2BE6" w:rsidRPr="00DD2294">
          <w:rPr>
            <w:rStyle w:val="Kpr"/>
            <w:noProof/>
            <w:lang w:val="en-GB"/>
          </w:rPr>
          <w:t>3.</w:t>
        </w:r>
        <w:r w:rsidR="00EB2BE6">
          <w:rPr>
            <w:rFonts w:asciiTheme="minorHAnsi" w:eastAsiaTheme="minorEastAsia" w:hAnsiTheme="minorHAnsi" w:cstheme="minorBidi"/>
            <w:b w:val="0"/>
            <w:noProof/>
            <w:sz w:val="22"/>
            <w:lang w:eastAsia="tr-TR" w:bidi="ar-SA"/>
          </w:rPr>
          <w:tab/>
        </w:r>
        <w:r w:rsidR="00EB2BE6" w:rsidRPr="00DD2294">
          <w:rPr>
            <w:rStyle w:val="Kpr"/>
            <w:noProof/>
            <w:lang w:val="en-GB"/>
          </w:rPr>
          <w:t>COMPETITION</w:t>
        </w:r>
        <w:r w:rsidR="00EB2BE6">
          <w:rPr>
            <w:noProof/>
            <w:webHidden/>
          </w:rPr>
          <w:tab/>
        </w:r>
        <w:r w:rsidR="00EB2BE6">
          <w:rPr>
            <w:noProof/>
            <w:webHidden/>
          </w:rPr>
          <w:fldChar w:fldCharType="begin"/>
        </w:r>
        <w:r w:rsidR="00EB2BE6">
          <w:rPr>
            <w:noProof/>
            <w:webHidden/>
          </w:rPr>
          <w:instrText xml:space="preserve"> PAGEREF _Toc44508293 \h </w:instrText>
        </w:r>
        <w:r w:rsidR="00EB2BE6">
          <w:rPr>
            <w:noProof/>
            <w:webHidden/>
          </w:rPr>
        </w:r>
        <w:r w:rsidR="00EB2BE6">
          <w:rPr>
            <w:noProof/>
            <w:webHidden/>
          </w:rPr>
          <w:fldChar w:fldCharType="separate"/>
        </w:r>
        <w:r w:rsidR="00EB2BE6">
          <w:rPr>
            <w:noProof/>
            <w:webHidden/>
          </w:rPr>
          <w:t>72</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97" w:history="1">
        <w:r w:rsidR="00EB2BE6" w:rsidRPr="00DD2294">
          <w:rPr>
            <w:rStyle w:val="Kpr"/>
            <w:noProof/>
            <w:lang w:val="en-GB"/>
          </w:rPr>
          <w:t>3.1 Supply Side</w:t>
        </w:r>
        <w:r w:rsidR="00EB2BE6">
          <w:rPr>
            <w:noProof/>
            <w:webHidden/>
          </w:rPr>
          <w:tab/>
        </w:r>
        <w:r w:rsidR="00EB2BE6">
          <w:rPr>
            <w:noProof/>
            <w:webHidden/>
          </w:rPr>
          <w:fldChar w:fldCharType="begin"/>
        </w:r>
        <w:r w:rsidR="00EB2BE6">
          <w:rPr>
            <w:noProof/>
            <w:webHidden/>
          </w:rPr>
          <w:instrText xml:space="preserve"> PAGEREF _Toc44508297 \h </w:instrText>
        </w:r>
        <w:r w:rsidR="00EB2BE6">
          <w:rPr>
            <w:noProof/>
            <w:webHidden/>
          </w:rPr>
        </w:r>
        <w:r w:rsidR="00EB2BE6">
          <w:rPr>
            <w:noProof/>
            <w:webHidden/>
          </w:rPr>
          <w:fldChar w:fldCharType="separate"/>
        </w:r>
        <w:r w:rsidR="00EB2BE6">
          <w:rPr>
            <w:noProof/>
            <w:webHidden/>
          </w:rPr>
          <w:t>72</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298" w:history="1">
        <w:r w:rsidR="00EB2BE6" w:rsidRPr="00DD2294">
          <w:rPr>
            <w:rStyle w:val="Kpr"/>
            <w:noProof/>
            <w:lang w:val="en-GB"/>
          </w:rPr>
          <w:t>3.2 Demand Side</w:t>
        </w:r>
        <w:r w:rsidR="00EB2BE6">
          <w:rPr>
            <w:noProof/>
            <w:webHidden/>
          </w:rPr>
          <w:tab/>
        </w:r>
        <w:r w:rsidR="00EB2BE6">
          <w:rPr>
            <w:noProof/>
            <w:webHidden/>
          </w:rPr>
          <w:fldChar w:fldCharType="begin"/>
        </w:r>
        <w:r w:rsidR="00EB2BE6">
          <w:rPr>
            <w:noProof/>
            <w:webHidden/>
          </w:rPr>
          <w:instrText xml:space="preserve"> PAGEREF _Toc44508298 \h </w:instrText>
        </w:r>
        <w:r w:rsidR="00EB2BE6">
          <w:rPr>
            <w:noProof/>
            <w:webHidden/>
          </w:rPr>
        </w:r>
        <w:r w:rsidR="00EB2BE6">
          <w:rPr>
            <w:noProof/>
            <w:webHidden/>
          </w:rPr>
          <w:fldChar w:fldCharType="separate"/>
        </w:r>
        <w:r w:rsidR="00EB2BE6">
          <w:rPr>
            <w:noProof/>
            <w:webHidden/>
          </w:rPr>
          <w:t>76</w:t>
        </w:r>
        <w:r w:rsidR="00EB2BE6">
          <w:rPr>
            <w:noProof/>
            <w:webHidden/>
          </w:rPr>
          <w:fldChar w:fldCharType="end"/>
        </w:r>
      </w:hyperlink>
    </w:p>
    <w:p w:rsidR="00EB2BE6" w:rsidRDefault="00BE6989">
      <w:pPr>
        <w:pStyle w:val="T1"/>
        <w:tabs>
          <w:tab w:val="right" w:leader="dot" w:pos="9060"/>
        </w:tabs>
        <w:rPr>
          <w:rFonts w:asciiTheme="minorHAnsi" w:eastAsiaTheme="minorEastAsia" w:hAnsiTheme="minorHAnsi" w:cstheme="minorBidi"/>
          <w:b w:val="0"/>
          <w:noProof/>
          <w:sz w:val="22"/>
          <w:lang w:eastAsia="tr-TR" w:bidi="ar-SA"/>
        </w:rPr>
      </w:pPr>
      <w:hyperlink w:anchor="_Toc44508299" w:history="1">
        <w:r w:rsidR="00EB2BE6" w:rsidRPr="00DD2294">
          <w:rPr>
            <w:rStyle w:val="Kpr"/>
            <w:noProof/>
            <w:lang w:val="en-GB"/>
          </w:rPr>
          <w:t>4. TRANSMISSION</w:t>
        </w:r>
        <w:r w:rsidR="00EB2BE6">
          <w:rPr>
            <w:noProof/>
            <w:webHidden/>
          </w:rPr>
          <w:tab/>
        </w:r>
        <w:r w:rsidR="00EB2BE6">
          <w:rPr>
            <w:noProof/>
            <w:webHidden/>
          </w:rPr>
          <w:fldChar w:fldCharType="begin"/>
        </w:r>
        <w:r w:rsidR="00EB2BE6">
          <w:rPr>
            <w:noProof/>
            <w:webHidden/>
          </w:rPr>
          <w:instrText xml:space="preserve"> PAGEREF _Toc44508299 \h </w:instrText>
        </w:r>
        <w:r w:rsidR="00EB2BE6">
          <w:rPr>
            <w:noProof/>
            <w:webHidden/>
          </w:rPr>
        </w:r>
        <w:r w:rsidR="00EB2BE6">
          <w:rPr>
            <w:noProof/>
            <w:webHidden/>
          </w:rPr>
          <w:fldChar w:fldCharType="separate"/>
        </w:r>
        <w:r w:rsidR="00EB2BE6">
          <w:rPr>
            <w:noProof/>
            <w:webHidden/>
          </w:rPr>
          <w:t>80</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1" w:history="1">
        <w:r w:rsidR="00EB2BE6" w:rsidRPr="00DD2294">
          <w:rPr>
            <w:rStyle w:val="Kpr"/>
            <w:noProof/>
            <w:lang w:val="en-GB"/>
          </w:rPr>
          <w:t>4.1</w:t>
        </w:r>
        <w:r w:rsidR="00EB2BE6">
          <w:rPr>
            <w:rFonts w:asciiTheme="minorHAnsi" w:eastAsiaTheme="minorEastAsia" w:hAnsiTheme="minorHAnsi" w:cstheme="minorBidi"/>
            <w:noProof/>
            <w:lang w:eastAsia="tr-TR" w:bidi="ar-SA"/>
          </w:rPr>
          <w:tab/>
        </w:r>
        <w:r w:rsidR="00EB2BE6" w:rsidRPr="00DD2294">
          <w:rPr>
            <w:rStyle w:val="Kpr"/>
            <w:noProof/>
            <w:lang w:val="en-GB"/>
          </w:rPr>
          <w:t>Transmission System</w:t>
        </w:r>
        <w:r w:rsidR="00EB2BE6">
          <w:rPr>
            <w:noProof/>
            <w:webHidden/>
          </w:rPr>
          <w:tab/>
        </w:r>
        <w:r w:rsidR="00EB2BE6">
          <w:rPr>
            <w:noProof/>
            <w:webHidden/>
          </w:rPr>
          <w:fldChar w:fldCharType="begin"/>
        </w:r>
        <w:r w:rsidR="00EB2BE6">
          <w:rPr>
            <w:noProof/>
            <w:webHidden/>
          </w:rPr>
          <w:instrText xml:space="preserve"> PAGEREF _Toc44508301 \h </w:instrText>
        </w:r>
        <w:r w:rsidR="00EB2BE6">
          <w:rPr>
            <w:noProof/>
            <w:webHidden/>
          </w:rPr>
        </w:r>
        <w:r w:rsidR="00EB2BE6">
          <w:rPr>
            <w:noProof/>
            <w:webHidden/>
          </w:rPr>
          <w:fldChar w:fldCharType="separate"/>
        </w:r>
        <w:r w:rsidR="00EB2BE6">
          <w:rPr>
            <w:noProof/>
            <w:webHidden/>
          </w:rPr>
          <w:t>80</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2" w:history="1">
        <w:r w:rsidR="00EB2BE6" w:rsidRPr="00DD2294">
          <w:rPr>
            <w:rStyle w:val="Kpr"/>
            <w:noProof/>
            <w:lang w:val="en-GB"/>
          </w:rPr>
          <w:t>4.2</w:t>
        </w:r>
        <w:r w:rsidR="00EB2BE6">
          <w:rPr>
            <w:rFonts w:asciiTheme="minorHAnsi" w:eastAsiaTheme="minorEastAsia" w:hAnsiTheme="minorHAnsi" w:cstheme="minorBidi"/>
            <w:noProof/>
            <w:lang w:eastAsia="tr-TR" w:bidi="ar-SA"/>
          </w:rPr>
          <w:tab/>
        </w:r>
        <w:r w:rsidR="00EB2BE6" w:rsidRPr="00DD2294">
          <w:rPr>
            <w:rStyle w:val="Kpr"/>
            <w:noProof/>
            <w:lang w:val="en-GB"/>
          </w:rPr>
          <w:t>Transmission System Connection Applications</w:t>
        </w:r>
        <w:r w:rsidR="00EB2BE6">
          <w:rPr>
            <w:noProof/>
            <w:webHidden/>
          </w:rPr>
          <w:tab/>
        </w:r>
        <w:r w:rsidR="00EB2BE6">
          <w:rPr>
            <w:noProof/>
            <w:webHidden/>
          </w:rPr>
          <w:fldChar w:fldCharType="begin"/>
        </w:r>
        <w:r w:rsidR="00EB2BE6">
          <w:rPr>
            <w:noProof/>
            <w:webHidden/>
          </w:rPr>
          <w:instrText xml:space="preserve"> PAGEREF _Toc44508302 \h </w:instrText>
        </w:r>
        <w:r w:rsidR="00EB2BE6">
          <w:rPr>
            <w:noProof/>
            <w:webHidden/>
          </w:rPr>
        </w:r>
        <w:r w:rsidR="00EB2BE6">
          <w:rPr>
            <w:noProof/>
            <w:webHidden/>
          </w:rPr>
          <w:fldChar w:fldCharType="separate"/>
        </w:r>
        <w:r w:rsidR="00EB2BE6">
          <w:rPr>
            <w:noProof/>
            <w:webHidden/>
          </w:rPr>
          <w:t>82</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3" w:history="1">
        <w:r w:rsidR="00EB2BE6" w:rsidRPr="00DD2294">
          <w:rPr>
            <w:rStyle w:val="Kpr"/>
            <w:noProof/>
            <w:lang w:val="en-GB"/>
          </w:rPr>
          <w:t>4.3</w:t>
        </w:r>
        <w:r w:rsidR="00EB2BE6">
          <w:rPr>
            <w:rFonts w:asciiTheme="minorHAnsi" w:eastAsiaTheme="minorEastAsia" w:hAnsiTheme="minorHAnsi" w:cstheme="minorBidi"/>
            <w:noProof/>
            <w:lang w:eastAsia="tr-TR" w:bidi="ar-SA"/>
          </w:rPr>
          <w:tab/>
        </w:r>
        <w:r w:rsidR="00EB2BE6" w:rsidRPr="00DD2294">
          <w:rPr>
            <w:rStyle w:val="Kpr"/>
            <w:noProof/>
            <w:lang w:val="en-GB"/>
          </w:rPr>
          <w:t>Tariffs</w:t>
        </w:r>
        <w:r w:rsidR="00EB2BE6">
          <w:rPr>
            <w:noProof/>
            <w:webHidden/>
          </w:rPr>
          <w:tab/>
        </w:r>
        <w:r w:rsidR="00EB2BE6">
          <w:rPr>
            <w:noProof/>
            <w:webHidden/>
          </w:rPr>
          <w:fldChar w:fldCharType="begin"/>
        </w:r>
        <w:r w:rsidR="00EB2BE6">
          <w:rPr>
            <w:noProof/>
            <w:webHidden/>
          </w:rPr>
          <w:instrText xml:space="preserve"> PAGEREF _Toc44508303 \h </w:instrText>
        </w:r>
        <w:r w:rsidR="00EB2BE6">
          <w:rPr>
            <w:noProof/>
            <w:webHidden/>
          </w:rPr>
        </w:r>
        <w:r w:rsidR="00EB2BE6">
          <w:rPr>
            <w:noProof/>
            <w:webHidden/>
          </w:rPr>
          <w:fldChar w:fldCharType="separate"/>
        </w:r>
        <w:r w:rsidR="00EB2BE6">
          <w:rPr>
            <w:noProof/>
            <w:webHidden/>
          </w:rPr>
          <w:t>82</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4" w:history="1">
        <w:r w:rsidR="00EB2BE6" w:rsidRPr="00DD2294">
          <w:rPr>
            <w:rStyle w:val="Kpr"/>
            <w:noProof/>
            <w:lang w:val="en-GB"/>
          </w:rPr>
          <w:t>4.4</w:t>
        </w:r>
        <w:r w:rsidR="00EB2BE6">
          <w:rPr>
            <w:rFonts w:asciiTheme="minorHAnsi" w:eastAsiaTheme="minorEastAsia" w:hAnsiTheme="minorHAnsi" w:cstheme="minorBidi"/>
            <w:noProof/>
            <w:lang w:eastAsia="tr-TR" w:bidi="ar-SA"/>
          </w:rPr>
          <w:tab/>
        </w:r>
        <w:r w:rsidR="00EB2BE6" w:rsidRPr="00DD2294">
          <w:rPr>
            <w:rStyle w:val="Kpr"/>
            <w:noProof/>
            <w:lang w:val="en-GB"/>
          </w:rPr>
          <w:t>Amount of Investment</w:t>
        </w:r>
        <w:r w:rsidR="00EB2BE6">
          <w:rPr>
            <w:noProof/>
            <w:webHidden/>
          </w:rPr>
          <w:tab/>
        </w:r>
        <w:r w:rsidR="00EB2BE6">
          <w:rPr>
            <w:noProof/>
            <w:webHidden/>
          </w:rPr>
          <w:fldChar w:fldCharType="begin"/>
        </w:r>
        <w:r w:rsidR="00EB2BE6">
          <w:rPr>
            <w:noProof/>
            <w:webHidden/>
          </w:rPr>
          <w:instrText xml:space="preserve"> PAGEREF _Toc44508304 \h </w:instrText>
        </w:r>
        <w:r w:rsidR="00EB2BE6">
          <w:rPr>
            <w:noProof/>
            <w:webHidden/>
          </w:rPr>
        </w:r>
        <w:r w:rsidR="00EB2BE6">
          <w:rPr>
            <w:noProof/>
            <w:webHidden/>
          </w:rPr>
          <w:fldChar w:fldCharType="separate"/>
        </w:r>
        <w:r w:rsidR="00EB2BE6">
          <w:rPr>
            <w:noProof/>
            <w:webHidden/>
          </w:rPr>
          <w:t>84</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5" w:history="1">
        <w:r w:rsidR="00EB2BE6" w:rsidRPr="00DD2294">
          <w:rPr>
            <w:rStyle w:val="Kpr"/>
            <w:caps/>
            <w:noProof/>
            <w:lang w:val="en-GB"/>
          </w:rPr>
          <w:t>4.5</w:t>
        </w:r>
        <w:r w:rsidR="00EB2BE6">
          <w:rPr>
            <w:rFonts w:asciiTheme="minorHAnsi" w:eastAsiaTheme="minorEastAsia" w:hAnsiTheme="minorHAnsi" w:cstheme="minorBidi"/>
            <w:noProof/>
            <w:lang w:eastAsia="tr-TR" w:bidi="ar-SA"/>
          </w:rPr>
          <w:tab/>
        </w:r>
        <w:r w:rsidR="00EB2BE6" w:rsidRPr="00DD2294">
          <w:rPr>
            <w:rStyle w:val="Kpr"/>
            <w:noProof/>
            <w:lang w:val="en-GB"/>
          </w:rPr>
          <w:t>Losses</w:t>
        </w:r>
        <w:r w:rsidR="00EB2BE6">
          <w:rPr>
            <w:noProof/>
            <w:webHidden/>
          </w:rPr>
          <w:tab/>
        </w:r>
        <w:r w:rsidR="00EB2BE6">
          <w:rPr>
            <w:noProof/>
            <w:webHidden/>
          </w:rPr>
          <w:fldChar w:fldCharType="begin"/>
        </w:r>
        <w:r w:rsidR="00EB2BE6">
          <w:rPr>
            <w:noProof/>
            <w:webHidden/>
          </w:rPr>
          <w:instrText xml:space="preserve"> PAGEREF _Toc44508305 \h </w:instrText>
        </w:r>
        <w:r w:rsidR="00EB2BE6">
          <w:rPr>
            <w:noProof/>
            <w:webHidden/>
          </w:rPr>
        </w:r>
        <w:r w:rsidR="00EB2BE6">
          <w:rPr>
            <w:noProof/>
            <w:webHidden/>
          </w:rPr>
          <w:fldChar w:fldCharType="separate"/>
        </w:r>
        <w:r w:rsidR="00EB2BE6">
          <w:rPr>
            <w:noProof/>
            <w:webHidden/>
          </w:rPr>
          <w:t>84</w:t>
        </w:r>
        <w:r w:rsidR="00EB2BE6">
          <w:rPr>
            <w:noProof/>
            <w:webHidden/>
          </w:rPr>
          <w:fldChar w:fldCharType="end"/>
        </w:r>
      </w:hyperlink>
    </w:p>
    <w:p w:rsidR="00EB2BE6" w:rsidRDefault="00BE6989">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4508306" w:history="1">
        <w:r w:rsidR="00EB2BE6" w:rsidRPr="00DD2294">
          <w:rPr>
            <w:rStyle w:val="Kpr"/>
            <w:noProof/>
            <w:lang w:val="en-GB"/>
          </w:rPr>
          <w:t>5.</w:t>
        </w:r>
        <w:r w:rsidR="00EB2BE6">
          <w:rPr>
            <w:rFonts w:asciiTheme="minorHAnsi" w:eastAsiaTheme="minorEastAsia" w:hAnsiTheme="minorHAnsi" w:cstheme="minorBidi"/>
            <w:b w:val="0"/>
            <w:noProof/>
            <w:sz w:val="22"/>
            <w:lang w:eastAsia="tr-TR" w:bidi="ar-SA"/>
          </w:rPr>
          <w:tab/>
        </w:r>
        <w:r w:rsidR="00EB2BE6" w:rsidRPr="00DD2294">
          <w:rPr>
            <w:rStyle w:val="Kpr"/>
            <w:noProof/>
            <w:lang w:val="en-GB"/>
          </w:rPr>
          <w:t>DISTRIBUTION</w:t>
        </w:r>
        <w:r w:rsidR="00EB2BE6">
          <w:rPr>
            <w:noProof/>
            <w:webHidden/>
          </w:rPr>
          <w:tab/>
        </w:r>
        <w:r w:rsidR="00EB2BE6">
          <w:rPr>
            <w:noProof/>
            <w:webHidden/>
          </w:rPr>
          <w:fldChar w:fldCharType="begin"/>
        </w:r>
        <w:r w:rsidR="00EB2BE6">
          <w:rPr>
            <w:noProof/>
            <w:webHidden/>
          </w:rPr>
          <w:instrText xml:space="preserve"> PAGEREF _Toc44508306 \h </w:instrText>
        </w:r>
        <w:r w:rsidR="00EB2BE6">
          <w:rPr>
            <w:noProof/>
            <w:webHidden/>
          </w:rPr>
        </w:r>
        <w:r w:rsidR="00EB2BE6">
          <w:rPr>
            <w:noProof/>
            <w:webHidden/>
          </w:rPr>
          <w:fldChar w:fldCharType="separate"/>
        </w:r>
        <w:r w:rsidR="00EB2BE6">
          <w:rPr>
            <w:noProof/>
            <w:webHidden/>
          </w:rPr>
          <w:t>86</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09" w:history="1">
        <w:r w:rsidR="00EB2BE6" w:rsidRPr="00DD2294">
          <w:rPr>
            <w:rStyle w:val="Kpr"/>
            <w:noProof/>
            <w:lang w:val="en-GB"/>
          </w:rPr>
          <w:t>5.1</w:t>
        </w:r>
        <w:r w:rsidR="00EB2BE6">
          <w:rPr>
            <w:rFonts w:asciiTheme="minorHAnsi" w:eastAsiaTheme="minorEastAsia" w:hAnsiTheme="minorHAnsi" w:cstheme="minorBidi"/>
            <w:noProof/>
            <w:lang w:eastAsia="tr-TR" w:bidi="ar-SA"/>
          </w:rPr>
          <w:tab/>
        </w:r>
        <w:r w:rsidR="00EB2BE6" w:rsidRPr="00DD2294">
          <w:rPr>
            <w:rStyle w:val="Kpr"/>
            <w:noProof/>
            <w:lang w:val="en-GB"/>
          </w:rPr>
          <w:t>Number of Consumers</w:t>
        </w:r>
        <w:r w:rsidR="00EB2BE6">
          <w:rPr>
            <w:noProof/>
            <w:webHidden/>
          </w:rPr>
          <w:tab/>
        </w:r>
        <w:r w:rsidR="00EB2BE6">
          <w:rPr>
            <w:noProof/>
            <w:webHidden/>
          </w:rPr>
          <w:fldChar w:fldCharType="begin"/>
        </w:r>
        <w:r w:rsidR="00EB2BE6">
          <w:rPr>
            <w:noProof/>
            <w:webHidden/>
          </w:rPr>
          <w:instrText xml:space="preserve"> PAGEREF _Toc44508309 \h </w:instrText>
        </w:r>
        <w:r w:rsidR="00EB2BE6">
          <w:rPr>
            <w:noProof/>
            <w:webHidden/>
          </w:rPr>
        </w:r>
        <w:r w:rsidR="00EB2BE6">
          <w:rPr>
            <w:noProof/>
            <w:webHidden/>
          </w:rPr>
          <w:fldChar w:fldCharType="separate"/>
        </w:r>
        <w:r w:rsidR="00EB2BE6">
          <w:rPr>
            <w:noProof/>
            <w:webHidden/>
          </w:rPr>
          <w:t>86</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0" w:history="1">
        <w:r w:rsidR="00EB2BE6" w:rsidRPr="00DD2294">
          <w:rPr>
            <w:rStyle w:val="Kpr"/>
            <w:noProof/>
            <w:lang w:val="en-GB"/>
          </w:rPr>
          <w:t>5.2</w:t>
        </w:r>
        <w:r w:rsidR="00EB2BE6">
          <w:rPr>
            <w:rFonts w:asciiTheme="minorHAnsi" w:eastAsiaTheme="minorEastAsia" w:hAnsiTheme="minorHAnsi" w:cstheme="minorBidi"/>
            <w:noProof/>
            <w:lang w:eastAsia="tr-TR" w:bidi="ar-SA"/>
          </w:rPr>
          <w:tab/>
        </w:r>
        <w:r w:rsidR="00EB2BE6" w:rsidRPr="00DD2294">
          <w:rPr>
            <w:rStyle w:val="Kpr"/>
            <w:noProof/>
            <w:lang w:val="en-GB"/>
          </w:rPr>
          <w:t>Ratio of Losses</w:t>
        </w:r>
        <w:r w:rsidR="00EB2BE6">
          <w:rPr>
            <w:noProof/>
            <w:webHidden/>
          </w:rPr>
          <w:tab/>
        </w:r>
        <w:r w:rsidR="00EB2BE6">
          <w:rPr>
            <w:noProof/>
            <w:webHidden/>
          </w:rPr>
          <w:fldChar w:fldCharType="begin"/>
        </w:r>
        <w:r w:rsidR="00EB2BE6">
          <w:rPr>
            <w:noProof/>
            <w:webHidden/>
          </w:rPr>
          <w:instrText xml:space="preserve"> PAGEREF _Toc44508310 \h </w:instrText>
        </w:r>
        <w:r w:rsidR="00EB2BE6">
          <w:rPr>
            <w:noProof/>
            <w:webHidden/>
          </w:rPr>
        </w:r>
        <w:r w:rsidR="00EB2BE6">
          <w:rPr>
            <w:noProof/>
            <w:webHidden/>
          </w:rPr>
          <w:fldChar w:fldCharType="separate"/>
        </w:r>
        <w:r w:rsidR="00EB2BE6">
          <w:rPr>
            <w:noProof/>
            <w:webHidden/>
          </w:rPr>
          <w:t>87</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1" w:history="1">
        <w:r w:rsidR="00EB2BE6" w:rsidRPr="00DD2294">
          <w:rPr>
            <w:rStyle w:val="Kpr"/>
            <w:noProof/>
            <w:lang w:val="en-GB"/>
          </w:rPr>
          <w:t>5.3 Employment</w:t>
        </w:r>
        <w:r w:rsidR="00EB2BE6">
          <w:rPr>
            <w:noProof/>
            <w:webHidden/>
          </w:rPr>
          <w:tab/>
        </w:r>
        <w:r w:rsidR="00EB2BE6">
          <w:rPr>
            <w:noProof/>
            <w:webHidden/>
          </w:rPr>
          <w:fldChar w:fldCharType="begin"/>
        </w:r>
        <w:r w:rsidR="00EB2BE6">
          <w:rPr>
            <w:noProof/>
            <w:webHidden/>
          </w:rPr>
          <w:instrText xml:space="preserve"> PAGEREF _Toc44508311 \h </w:instrText>
        </w:r>
        <w:r w:rsidR="00EB2BE6">
          <w:rPr>
            <w:noProof/>
            <w:webHidden/>
          </w:rPr>
        </w:r>
        <w:r w:rsidR="00EB2BE6">
          <w:rPr>
            <w:noProof/>
            <w:webHidden/>
          </w:rPr>
          <w:fldChar w:fldCharType="separate"/>
        </w:r>
        <w:r w:rsidR="00EB2BE6">
          <w:rPr>
            <w:noProof/>
            <w:webHidden/>
          </w:rPr>
          <w:t>89</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2" w:history="1">
        <w:r w:rsidR="00EB2BE6" w:rsidRPr="00DD2294">
          <w:rPr>
            <w:rStyle w:val="Kpr"/>
            <w:noProof/>
            <w:lang w:val="en-GB"/>
          </w:rPr>
          <w:t>5.4 Information about Network</w:t>
        </w:r>
        <w:r w:rsidR="00EB2BE6">
          <w:rPr>
            <w:noProof/>
            <w:webHidden/>
          </w:rPr>
          <w:tab/>
        </w:r>
        <w:r w:rsidR="00EB2BE6">
          <w:rPr>
            <w:noProof/>
            <w:webHidden/>
          </w:rPr>
          <w:fldChar w:fldCharType="begin"/>
        </w:r>
        <w:r w:rsidR="00EB2BE6">
          <w:rPr>
            <w:noProof/>
            <w:webHidden/>
          </w:rPr>
          <w:instrText xml:space="preserve"> PAGEREF _Toc44508312 \h </w:instrText>
        </w:r>
        <w:r w:rsidR="00EB2BE6">
          <w:rPr>
            <w:noProof/>
            <w:webHidden/>
          </w:rPr>
        </w:r>
        <w:r w:rsidR="00EB2BE6">
          <w:rPr>
            <w:noProof/>
            <w:webHidden/>
          </w:rPr>
          <w:fldChar w:fldCharType="separate"/>
        </w:r>
        <w:r w:rsidR="00EB2BE6">
          <w:rPr>
            <w:noProof/>
            <w:webHidden/>
          </w:rPr>
          <w:t>91</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3" w:history="1">
        <w:r w:rsidR="00EB2BE6" w:rsidRPr="00DD2294">
          <w:rPr>
            <w:rStyle w:val="Kpr"/>
            <w:noProof/>
            <w:lang w:val="en-GB"/>
          </w:rPr>
          <w:t>5.5 Quality Indicators</w:t>
        </w:r>
        <w:r w:rsidR="00EB2BE6">
          <w:rPr>
            <w:noProof/>
            <w:webHidden/>
          </w:rPr>
          <w:tab/>
        </w:r>
        <w:r w:rsidR="00EB2BE6">
          <w:rPr>
            <w:noProof/>
            <w:webHidden/>
          </w:rPr>
          <w:fldChar w:fldCharType="begin"/>
        </w:r>
        <w:r w:rsidR="00EB2BE6">
          <w:rPr>
            <w:noProof/>
            <w:webHidden/>
          </w:rPr>
          <w:instrText xml:space="preserve"> PAGEREF _Toc44508313 \h </w:instrText>
        </w:r>
        <w:r w:rsidR="00EB2BE6">
          <w:rPr>
            <w:noProof/>
            <w:webHidden/>
          </w:rPr>
        </w:r>
        <w:r w:rsidR="00EB2BE6">
          <w:rPr>
            <w:noProof/>
            <w:webHidden/>
          </w:rPr>
          <w:fldChar w:fldCharType="separate"/>
        </w:r>
        <w:r w:rsidR="00EB2BE6">
          <w:rPr>
            <w:noProof/>
            <w:webHidden/>
          </w:rPr>
          <w:t>97</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4" w:history="1">
        <w:r w:rsidR="00EB2BE6" w:rsidRPr="00DD2294">
          <w:rPr>
            <w:rStyle w:val="Kpr"/>
            <w:noProof/>
            <w:lang w:val="en-GB"/>
          </w:rPr>
          <w:t>5.6 Investment Amount of Distribution Companies</w:t>
        </w:r>
        <w:r w:rsidR="00EB2BE6">
          <w:rPr>
            <w:noProof/>
            <w:webHidden/>
          </w:rPr>
          <w:tab/>
        </w:r>
        <w:r w:rsidR="00EB2BE6">
          <w:rPr>
            <w:noProof/>
            <w:webHidden/>
          </w:rPr>
          <w:fldChar w:fldCharType="begin"/>
        </w:r>
        <w:r w:rsidR="00EB2BE6">
          <w:rPr>
            <w:noProof/>
            <w:webHidden/>
          </w:rPr>
          <w:instrText xml:space="preserve"> PAGEREF _Toc44508314 \h </w:instrText>
        </w:r>
        <w:r w:rsidR="00EB2BE6">
          <w:rPr>
            <w:noProof/>
            <w:webHidden/>
          </w:rPr>
        </w:r>
        <w:r w:rsidR="00EB2BE6">
          <w:rPr>
            <w:noProof/>
            <w:webHidden/>
          </w:rPr>
          <w:fldChar w:fldCharType="separate"/>
        </w:r>
        <w:r w:rsidR="00EB2BE6">
          <w:rPr>
            <w:noProof/>
            <w:webHidden/>
          </w:rPr>
          <w:t>101</w:t>
        </w:r>
        <w:r w:rsidR="00EB2BE6">
          <w:rPr>
            <w:noProof/>
            <w:webHidden/>
          </w:rPr>
          <w:fldChar w:fldCharType="end"/>
        </w:r>
      </w:hyperlink>
    </w:p>
    <w:p w:rsidR="00EB2BE6" w:rsidRDefault="00BE6989">
      <w:pPr>
        <w:pStyle w:val="T2"/>
        <w:rPr>
          <w:rFonts w:asciiTheme="minorHAnsi" w:eastAsiaTheme="minorEastAsia" w:hAnsiTheme="minorHAnsi" w:cstheme="minorBidi"/>
          <w:noProof/>
          <w:lang w:eastAsia="tr-TR" w:bidi="ar-SA"/>
        </w:rPr>
      </w:pPr>
      <w:hyperlink w:anchor="_Toc44508315" w:history="1">
        <w:r w:rsidR="00EB2BE6" w:rsidRPr="00DD2294">
          <w:rPr>
            <w:rStyle w:val="Kpr"/>
            <w:noProof/>
            <w:lang w:val="en-GB"/>
          </w:rPr>
          <w:t>5.7 Information about Organized Industrial Zones (OIZ)</w:t>
        </w:r>
        <w:r w:rsidR="00EB2BE6">
          <w:rPr>
            <w:noProof/>
            <w:webHidden/>
          </w:rPr>
          <w:tab/>
        </w:r>
        <w:r w:rsidR="00EB2BE6">
          <w:rPr>
            <w:noProof/>
            <w:webHidden/>
          </w:rPr>
          <w:fldChar w:fldCharType="begin"/>
        </w:r>
        <w:r w:rsidR="00EB2BE6">
          <w:rPr>
            <w:noProof/>
            <w:webHidden/>
          </w:rPr>
          <w:instrText xml:space="preserve"> PAGEREF _Toc44508315 \h </w:instrText>
        </w:r>
        <w:r w:rsidR="00EB2BE6">
          <w:rPr>
            <w:noProof/>
            <w:webHidden/>
          </w:rPr>
        </w:r>
        <w:r w:rsidR="00EB2BE6">
          <w:rPr>
            <w:noProof/>
            <w:webHidden/>
          </w:rPr>
          <w:fldChar w:fldCharType="separate"/>
        </w:r>
        <w:r w:rsidR="00EB2BE6">
          <w:rPr>
            <w:noProof/>
            <w:webHidden/>
          </w:rPr>
          <w:t>104</w:t>
        </w:r>
        <w:r w:rsidR="00EB2BE6">
          <w:rPr>
            <w:noProof/>
            <w:webHidden/>
          </w:rPr>
          <w:fldChar w:fldCharType="end"/>
        </w:r>
      </w:hyperlink>
    </w:p>
    <w:p w:rsidR="00EB2BE6" w:rsidRDefault="00BE6989">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4508316" w:history="1">
        <w:r w:rsidR="00EB2BE6" w:rsidRPr="00DD2294">
          <w:rPr>
            <w:rStyle w:val="Kpr"/>
            <w:caps/>
            <w:noProof/>
            <w:lang w:val="en-GB"/>
          </w:rPr>
          <w:t>6.</w:t>
        </w:r>
        <w:r w:rsidR="00EB2BE6">
          <w:rPr>
            <w:rFonts w:asciiTheme="minorHAnsi" w:eastAsiaTheme="minorEastAsia" w:hAnsiTheme="minorHAnsi" w:cstheme="minorBidi"/>
            <w:b w:val="0"/>
            <w:noProof/>
            <w:sz w:val="22"/>
            <w:lang w:eastAsia="tr-TR" w:bidi="ar-SA"/>
          </w:rPr>
          <w:tab/>
        </w:r>
        <w:r w:rsidR="00EB2BE6" w:rsidRPr="00DD2294">
          <w:rPr>
            <w:rStyle w:val="Kpr"/>
            <w:noProof/>
            <w:lang w:val="en-GB"/>
          </w:rPr>
          <w:t>PRICING</w:t>
        </w:r>
        <w:r w:rsidR="00EB2BE6">
          <w:rPr>
            <w:noProof/>
            <w:webHidden/>
          </w:rPr>
          <w:tab/>
        </w:r>
        <w:r w:rsidR="00EB2BE6">
          <w:rPr>
            <w:noProof/>
            <w:webHidden/>
          </w:rPr>
          <w:fldChar w:fldCharType="begin"/>
        </w:r>
        <w:r w:rsidR="00EB2BE6">
          <w:rPr>
            <w:noProof/>
            <w:webHidden/>
          </w:rPr>
          <w:instrText xml:space="preserve"> PAGEREF _Toc44508316 \h </w:instrText>
        </w:r>
        <w:r w:rsidR="00EB2BE6">
          <w:rPr>
            <w:noProof/>
            <w:webHidden/>
          </w:rPr>
        </w:r>
        <w:r w:rsidR="00EB2BE6">
          <w:rPr>
            <w:noProof/>
            <w:webHidden/>
          </w:rPr>
          <w:fldChar w:fldCharType="separate"/>
        </w:r>
        <w:r w:rsidR="00EB2BE6">
          <w:rPr>
            <w:noProof/>
            <w:webHidden/>
          </w:rPr>
          <w:t>105</w:t>
        </w:r>
        <w:r w:rsidR="00EB2BE6">
          <w:rPr>
            <w:noProof/>
            <w:webHidden/>
          </w:rPr>
          <w:fldChar w:fldCharType="end"/>
        </w:r>
      </w:hyperlink>
    </w:p>
    <w:p w:rsidR="00B84ABD" w:rsidRPr="00F876CB" w:rsidRDefault="00620430" w:rsidP="002325DC">
      <w:pPr>
        <w:spacing w:line="360" w:lineRule="auto"/>
        <w:jc w:val="both"/>
        <w:rPr>
          <w:rFonts w:asciiTheme="minorHAnsi" w:hAnsiTheme="minorHAnsi" w:cstheme="minorHAnsi"/>
          <w:sz w:val="24"/>
          <w:szCs w:val="24"/>
          <w:lang w:val="en-GB"/>
        </w:rPr>
      </w:pPr>
      <w:r w:rsidRPr="00F876CB">
        <w:rPr>
          <w:rFonts w:asciiTheme="minorHAnsi" w:hAnsiTheme="minorHAnsi" w:cstheme="minorHAnsi"/>
          <w:b/>
          <w:sz w:val="24"/>
          <w:szCs w:val="24"/>
          <w:lang w:val="en-GB"/>
        </w:rPr>
        <w:fldChar w:fldCharType="end"/>
      </w:r>
    </w:p>
    <w:p w:rsidR="00FB4A5D" w:rsidRPr="00F876CB" w:rsidRDefault="00FB4A5D" w:rsidP="002325DC">
      <w:pPr>
        <w:spacing w:line="360" w:lineRule="auto"/>
        <w:jc w:val="both"/>
        <w:rPr>
          <w:rFonts w:asciiTheme="minorHAnsi" w:hAnsiTheme="minorHAnsi" w:cstheme="minorHAnsi"/>
          <w:sz w:val="24"/>
          <w:szCs w:val="24"/>
          <w:lang w:val="en-GB"/>
        </w:rPr>
      </w:pPr>
    </w:p>
    <w:p w:rsidR="00CE0DA6" w:rsidRPr="00F876CB" w:rsidRDefault="00CE0DA6" w:rsidP="002325DC">
      <w:pPr>
        <w:spacing w:line="360" w:lineRule="auto"/>
        <w:jc w:val="both"/>
        <w:rPr>
          <w:rFonts w:asciiTheme="minorHAnsi" w:hAnsiTheme="minorHAnsi" w:cstheme="minorHAnsi"/>
          <w:sz w:val="24"/>
          <w:szCs w:val="24"/>
          <w:lang w:val="en-GB"/>
        </w:rPr>
      </w:pPr>
    </w:p>
    <w:p w:rsidR="00FB4A5D" w:rsidRPr="00F876CB" w:rsidRDefault="00200CF2" w:rsidP="00A13249">
      <w:pPr>
        <w:jc w:val="center"/>
        <w:rPr>
          <w:rFonts w:asciiTheme="minorHAnsi" w:hAnsiTheme="minorHAnsi" w:cstheme="minorHAnsi"/>
          <w:b/>
          <w:sz w:val="24"/>
          <w:szCs w:val="24"/>
          <w:lang w:val="en-GB"/>
        </w:rPr>
      </w:pPr>
      <w:r w:rsidRPr="00F876CB">
        <w:rPr>
          <w:rFonts w:asciiTheme="minorHAnsi" w:hAnsiTheme="minorHAnsi" w:cstheme="minorHAnsi"/>
          <w:b/>
          <w:sz w:val="24"/>
          <w:szCs w:val="24"/>
          <w:lang w:val="en-GB"/>
        </w:rPr>
        <w:lastRenderedPageBreak/>
        <w:t>List of Table</w:t>
      </w:r>
    </w:p>
    <w:p w:rsidR="00EB2BE6"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F876CB">
        <w:rPr>
          <w:rFonts w:asciiTheme="minorHAnsi" w:hAnsiTheme="minorHAnsi"/>
          <w:szCs w:val="24"/>
          <w:lang w:val="en-GB"/>
        </w:rPr>
        <w:fldChar w:fldCharType="begin"/>
      </w:r>
      <w:r w:rsidRPr="00F876CB">
        <w:rPr>
          <w:rFonts w:asciiTheme="minorHAnsi" w:hAnsiTheme="minorHAnsi"/>
          <w:szCs w:val="24"/>
          <w:lang w:val="en-GB"/>
        </w:rPr>
        <w:instrText xml:space="preserve"> TOC \h \z \t "Başlık 5;Tablolar" \c "Tablo" </w:instrText>
      </w:r>
      <w:r w:rsidRPr="00F876CB">
        <w:rPr>
          <w:rFonts w:asciiTheme="minorHAnsi" w:hAnsiTheme="minorHAnsi"/>
          <w:szCs w:val="24"/>
          <w:lang w:val="en-GB"/>
        </w:rPr>
        <w:fldChar w:fldCharType="separate"/>
      </w:r>
      <w:hyperlink w:anchor="_Toc44508317" w:history="1">
        <w:r w:rsidR="00EB2BE6" w:rsidRPr="00A817AB">
          <w:rPr>
            <w:rStyle w:val="Kpr"/>
            <w:noProof/>
            <w:lang w:val="en-GB"/>
          </w:rPr>
          <w:t xml:space="preserve">Table 1.1: </w:t>
        </w:r>
        <w:r w:rsidR="00EB2BE6" w:rsidRPr="00A817AB">
          <w:rPr>
            <w:rStyle w:val="Kpr"/>
            <w:rFonts w:eastAsia="Times New Roman" w:cs="Times New Roman"/>
            <w:bCs/>
            <w:iCs/>
            <w:noProof/>
            <w:lang w:val="en-GB"/>
          </w:rPr>
          <w:t>Licensed and Unlicensed Installed Capacity, Peak Demand, Licensed and Unlicensed Electricity Generation, Consumption, Import and Export Data</w:t>
        </w:r>
        <w:r w:rsidR="00EB2BE6">
          <w:rPr>
            <w:noProof/>
            <w:webHidden/>
          </w:rPr>
          <w:tab/>
        </w:r>
        <w:r w:rsidR="00EB2BE6">
          <w:rPr>
            <w:noProof/>
            <w:webHidden/>
          </w:rPr>
          <w:fldChar w:fldCharType="begin"/>
        </w:r>
        <w:r w:rsidR="00EB2BE6">
          <w:rPr>
            <w:noProof/>
            <w:webHidden/>
          </w:rPr>
          <w:instrText xml:space="preserve"> PAGEREF _Toc44508317 \h </w:instrText>
        </w:r>
        <w:r w:rsidR="00EB2BE6">
          <w:rPr>
            <w:noProof/>
            <w:webHidden/>
          </w:rPr>
        </w:r>
        <w:r w:rsidR="00EB2BE6">
          <w:rPr>
            <w:noProof/>
            <w:webHidden/>
          </w:rPr>
          <w:fldChar w:fldCharType="separate"/>
        </w:r>
        <w:r w:rsidR="00EB2BE6">
          <w:rPr>
            <w:noProof/>
            <w:webHidden/>
          </w:rPr>
          <w:t>16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18" w:history="1">
        <w:r w:rsidR="00EB2BE6" w:rsidRPr="00A817AB">
          <w:rPr>
            <w:rStyle w:val="Kpr"/>
            <w:noProof/>
            <w:lang w:val="en-GB"/>
          </w:rPr>
          <w:t>Table 1.2: Distribution of Licensed Electricty Generation by Provinces(MWh-%)</w:t>
        </w:r>
        <w:r w:rsidR="00EB2BE6">
          <w:rPr>
            <w:noProof/>
            <w:webHidden/>
          </w:rPr>
          <w:tab/>
        </w:r>
        <w:r w:rsidR="00EB2BE6">
          <w:rPr>
            <w:noProof/>
            <w:webHidden/>
          </w:rPr>
          <w:fldChar w:fldCharType="begin"/>
        </w:r>
        <w:r w:rsidR="00EB2BE6">
          <w:rPr>
            <w:noProof/>
            <w:webHidden/>
          </w:rPr>
          <w:instrText xml:space="preserve"> PAGEREF _Toc44508318 \h </w:instrText>
        </w:r>
        <w:r w:rsidR="00EB2BE6">
          <w:rPr>
            <w:noProof/>
            <w:webHidden/>
          </w:rPr>
        </w:r>
        <w:r w:rsidR="00EB2BE6">
          <w:rPr>
            <w:noProof/>
            <w:webHidden/>
          </w:rPr>
          <w:fldChar w:fldCharType="separate"/>
        </w:r>
        <w:r w:rsidR="00EB2BE6">
          <w:rPr>
            <w:noProof/>
            <w:webHidden/>
          </w:rPr>
          <w:t>22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19" w:history="1">
        <w:r w:rsidR="00EB2BE6" w:rsidRPr="00A817AB">
          <w:rPr>
            <w:rStyle w:val="Kpr"/>
            <w:noProof/>
            <w:lang w:val="en-GB"/>
          </w:rPr>
          <w:t>Table 1.3 Distribution of Licensed Installed Capacity by Province (MW-%)</w:t>
        </w:r>
        <w:r w:rsidR="00EB2BE6">
          <w:rPr>
            <w:noProof/>
            <w:webHidden/>
          </w:rPr>
          <w:tab/>
        </w:r>
        <w:r w:rsidR="00EB2BE6">
          <w:rPr>
            <w:noProof/>
            <w:webHidden/>
          </w:rPr>
          <w:fldChar w:fldCharType="begin"/>
        </w:r>
        <w:r w:rsidR="00EB2BE6">
          <w:rPr>
            <w:noProof/>
            <w:webHidden/>
          </w:rPr>
          <w:instrText xml:space="preserve"> PAGEREF _Toc44508319 \h </w:instrText>
        </w:r>
        <w:r w:rsidR="00EB2BE6">
          <w:rPr>
            <w:noProof/>
            <w:webHidden/>
          </w:rPr>
        </w:r>
        <w:r w:rsidR="00EB2BE6">
          <w:rPr>
            <w:noProof/>
            <w:webHidden/>
          </w:rPr>
          <w:fldChar w:fldCharType="separate"/>
        </w:r>
        <w:r w:rsidR="00EB2BE6">
          <w:rPr>
            <w:noProof/>
            <w:webHidden/>
          </w:rPr>
          <w:t>27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0" w:history="1">
        <w:r w:rsidR="00EB2BE6" w:rsidRPr="00A817AB">
          <w:rPr>
            <w:rStyle w:val="Kpr"/>
            <w:noProof/>
            <w:lang w:val="en-GB"/>
          </w:rPr>
          <w:t xml:space="preserve">Table 1.4: </w:t>
        </w:r>
        <w:r w:rsidR="00EB2BE6" w:rsidRPr="00A817AB">
          <w:rPr>
            <w:rStyle w:val="Kpr"/>
            <w:bCs/>
            <w:noProof/>
            <w:spacing w:val="20"/>
            <w:lang w:val="en-GB"/>
          </w:rPr>
          <w:t>The Status of Unlicensed Electricity Generation Applications by the End of 2019</w:t>
        </w:r>
        <w:r w:rsidR="00EB2BE6" w:rsidRPr="00A817AB">
          <w:rPr>
            <w:rStyle w:val="Kpr"/>
            <w:noProof/>
            <w:lang w:val="en-GB"/>
          </w:rPr>
          <w:t>(MWe)</w:t>
        </w:r>
        <w:r w:rsidR="00EB2BE6">
          <w:rPr>
            <w:noProof/>
            <w:webHidden/>
          </w:rPr>
          <w:tab/>
        </w:r>
        <w:r w:rsidR="00EB2BE6">
          <w:rPr>
            <w:noProof/>
            <w:webHidden/>
          </w:rPr>
          <w:fldChar w:fldCharType="begin"/>
        </w:r>
        <w:r w:rsidR="00EB2BE6">
          <w:rPr>
            <w:noProof/>
            <w:webHidden/>
          </w:rPr>
          <w:instrText xml:space="preserve"> PAGEREF _Toc44508320 \h </w:instrText>
        </w:r>
        <w:r w:rsidR="00EB2BE6">
          <w:rPr>
            <w:noProof/>
            <w:webHidden/>
          </w:rPr>
        </w:r>
        <w:r w:rsidR="00EB2BE6">
          <w:rPr>
            <w:noProof/>
            <w:webHidden/>
          </w:rPr>
          <w:fldChar w:fldCharType="separate"/>
        </w:r>
        <w:r w:rsidR="00EB2BE6">
          <w:rPr>
            <w:noProof/>
            <w:webHidden/>
          </w:rPr>
          <w:t>30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1" w:history="1">
        <w:r w:rsidR="00EB2BE6" w:rsidRPr="00A817AB">
          <w:rPr>
            <w:rStyle w:val="Kpr"/>
            <w:noProof/>
            <w:lang w:val="en-GB"/>
          </w:rPr>
          <w:t>Table 1.5: Distribution of Unlicensed Installed Capacity by Sources (MWe-%)</w:t>
        </w:r>
        <w:r w:rsidR="00EB2BE6">
          <w:rPr>
            <w:noProof/>
            <w:webHidden/>
          </w:rPr>
          <w:tab/>
        </w:r>
        <w:r w:rsidR="00EB2BE6">
          <w:rPr>
            <w:noProof/>
            <w:webHidden/>
          </w:rPr>
          <w:fldChar w:fldCharType="begin"/>
        </w:r>
        <w:r w:rsidR="00EB2BE6">
          <w:rPr>
            <w:noProof/>
            <w:webHidden/>
          </w:rPr>
          <w:instrText xml:space="preserve"> PAGEREF _Toc44508321 \h </w:instrText>
        </w:r>
        <w:r w:rsidR="00EB2BE6">
          <w:rPr>
            <w:noProof/>
            <w:webHidden/>
          </w:rPr>
        </w:r>
        <w:r w:rsidR="00EB2BE6">
          <w:rPr>
            <w:noProof/>
            <w:webHidden/>
          </w:rPr>
          <w:fldChar w:fldCharType="separate"/>
        </w:r>
        <w:r w:rsidR="00EB2BE6">
          <w:rPr>
            <w:noProof/>
            <w:webHidden/>
          </w:rPr>
          <w:t>31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2" w:history="1">
        <w:r w:rsidR="00EB2BE6" w:rsidRPr="00A817AB">
          <w:rPr>
            <w:rStyle w:val="Kpr"/>
            <w:noProof/>
            <w:lang w:val="en-GB"/>
          </w:rPr>
          <w:t>Table 1.6: Distribution of Unlicensed Installed Capacity by Province (MWe-%)</w:t>
        </w:r>
        <w:r w:rsidR="00EB2BE6">
          <w:rPr>
            <w:noProof/>
            <w:webHidden/>
          </w:rPr>
          <w:tab/>
        </w:r>
        <w:r w:rsidR="00EB2BE6">
          <w:rPr>
            <w:noProof/>
            <w:webHidden/>
          </w:rPr>
          <w:fldChar w:fldCharType="begin"/>
        </w:r>
        <w:r w:rsidR="00EB2BE6">
          <w:rPr>
            <w:noProof/>
            <w:webHidden/>
          </w:rPr>
          <w:instrText xml:space="preserve"> PAGEREF _Toc44508322 \h </w:instrText>
        </w:r>
        <w:r w:rsidR="00EB2BE6">
          <w:rPr>
            <w:noProof/>
            <w:webHidden/>
          </w:rPr>
        </w:r>
        <w:r w:rsidR="00EB2BE6">
          <w:rPr>
            <w:noProof/>
            <w:webHidden/>
          </w:rPr>
          <w:fldChar w:fldCharType="separate"/>
        </w:r>
        <w:r w:rsidR="00EB2BE6">
          <w:rPr>
            <w:noProof/>
            <w:webHidden/>
          </w:rPr>
          <w:t>32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3" w:history="1">
        <w:r w:rsidR="00EB2BE6" w:rsidRPr="00A817AB">
          <w:rPr>
            <w:rStyle w:val="Kpr"/>
            <w:noProof/>
            <w:lang w:val="en-GB"/>
          </w:rPr>
          <w:t>Table 1.7: Distribution of Unlicensed Electricity Generation by Sources (MWh-%)</w:t>
        </w:r>
        <w:r w:rsidR="00EB2BE6">
          <w:rPr>
            <w:noProof/>
            <w:webHidden/>
          </w:rPr>
          <w:tab/>
        </w:r>
        <w:r w:rsidR="00EB2BE6">
          <w:rPr>
            <w:noProof/>
            <w:webHidden/>
          </w:rPr>
          <w:fldChar w:fldCharType="begin"/>
        </w:r>
        <w:r w:rsidR="00EB2BE6">
          <w:rPr>
            <w:noProof/>
            <w:webHidden/>
          </w:rPr>
          <w:instrText xml:space="preserve"> PAGEREF _Toc44508323 \h </w:instrText>
        </w:r>
        <w:r w:rsidR="00EB2BE6">
          <w:rPr>
            <w:noProof/>
            <w:webHidden/>
          </w:rPr>
        </w:r>
        <w:r w:rsidR="00EB2BE6">
          <w:rPr>
            <w:noProof/>
            <w:webHidden/>
          </w:rPr>
          <w:fldChar w:fldCharType="separate"/>
        </w:r>
        <w:r w:rsidR="00EB2BE6">
          <w:rPr>
            <w:noProof/>
            <w:webHidden/>
          </w:rPr>
          <w:t>34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4" w:history="1">
        <w:r w:rsidR="00EB2BE6" w:rsidRPr="00A817AB">
          <w:rPr>
            <w:rStyle w:val="Kpr"/>
            <w:noProof/>
            <w:lang w:val="en-GB"/>
          </w:rPr>
          <w:t>Table 1.8: Distribution of Unlicensed Electricity Generation by Provinces (MWh-%)</w:t>
        </w:r>
        <w:r w:rsidR="00EB2BE6">
          <w:rPr>
            <w:noProof/>
            <w:webHidden/>
          </w:rPr>
          <w:tab/>
        </w:r>
        <w:r w:rsidR="00EB2BE6">
          <w:rPr>
            <w:noProof/>
            <w:webHidden/>
          </w:rPr>
          <w:fldChar w:fldCharType="begin"/>
        </w:r>
        <w:r w:rsidR="00EB2BE6">
          <w:rPr>
            <w:noProof/>
            <w:webHidden/>
          </w:rPr>
          <w:instrText xml:space="preserve"> PAGEREF _Toc44508324 \h </w:instrText>
        </w:r>
        <w:r w:rsidR="00EB2BE6">
          <w:rPr>
            <w:noProof/>
            <w:webHidden/>
          </w:rPr>
        </w:r>
        <w:r w:rsidR="00EB2BE6">
          <w:rPr>
            <w:noProof/>
            <w:webHidden/>
          </w:rPr>
          <w:fldChar w:fldCharType="separate"/>
        </w:r>
        <w:r w:rsidR="00EB2BE6">
          <w:rPr>
            <w:noProof/>
            <w:webHidden/>
          </w:rPr>
          <w:t>35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5" w:history="1">
        <w:r w:rsidR="00EB2BE6" w:rsidRPr="00A817AB">
          <w:rPr>
            <w:rStyle w:val="Kpr"/>
            <w:noProof/>
            <w:lang w:val="en-GB"/>
          </w:rPr>
          <w:t>Table 1.9: Distribution of the Amount of Payment Made Within the Scope of Unlicensed Electricity Generation by Sources (TL-%)</w:t>
        </w:r>
        <w:r w:rsidR="00EB2BE6">
          <w:rPr>
            <w:noProof/>
            <w:webHidden/>
          </w:rPr>
          <w:tab/>
        </w:r>
        <w:r w:rsidR="00EB2BE6">
          <w:rPr>
            <w:noProof/>
            <w:webHidden/>
          </w:rPr>
          <w:fldChar w:fldCharType="begin"/>
        </w:r>
        <w:r w:rsidR="00EB2BE6">
          <w:rPr>
            <w:noProof/>
            <w:webHidden/>
          </w:rPr>
          <w:instrText xml:space="preserve"> PAGEREF _Toc44508325 \h </w:instrText>
        </w:r>
        <w:r w:rsidR="00EB2BE6">
          <w:rPr>
            <w:noProof/>
            <w:webHidden/>
          </w:rPr>
        </w:r>
        <w:r w:rsidR="00EB2BE6">
          <w:rPr>
            <w:noProof/>
            <w:webHidden/>
          </w:rPr>
          <w:fldChar w:fldCharType="separate"/>
        </w:r>
        <w:r w:rsidR="00EB2BE6">
          <w:rPr>
            <w:noProof/>
            <w:webHidden/>
          </w:rPr>
          <w:t>37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6" w:history="1">
        <w:r w:rsidR="00EB2BE6" w:rsidRPr="00A817AB">
          <w:rPr>
            <w:rStyle w:val="Kpr"/>
            <w:noProof/>
            <w:lang w:val="en-GB"/>
          </w:rPr>
          <w:t>Table 1.10: Sales to Eligible and Non-Eligible Consumers in 2019 (MWh)</w:t>
        </w:r>
        <w:r w:rsidR="00EB2BE6">
          <w:rPr>
            <w:noProof/>
            <w:webHidden/>
          </w:rPr>
          <w:tab/>
        </w:r>
        <w:r w:rsidR="00EB2BE6">
          <w:rPr>
            <w:noProof/>
            <w:webHidden/>
          </w:rPr>
          <w:fldChar w:fldCharType="begin"/>
        </w:r>
        <w:r w:rsidR="00EB2BE6">
          <w:rPr>
            <w:noProof/>
            <w:webHidden/>
          </w:rPr>
          <w:instrText xml:space="preserve"> PAGEREF _Toc44508326 \h </w:instrText>
        </w:r>
        <w:r w:rsidR="00EB2BE6">
          <w:rPr>
            <w:noProof/>
            <w:webHidden/>
          </w:rPr>
        </w:r>
        <w:r w:rsidR="00EB2BE6">
          <w:rPr>
            <w:noProof/>
            <w:webHidden/>
          </w:rPr>
          <w:fldChar w:fldCharType="separate"/>
        </w:r>
        <w:r w:rsidR="00EB2BE6">
          <w:rPr>
            <w:noProof/>
            <w:webHidden/>
          </w:rPr>
          <w:t>38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7" w:history="1">
        <w:r w:rsidR="00EB2BE6" w:rsidRPr="00A817AB">
          <w:rPr>
            <w:rStyle w:val="Kpr"/>
            <w:noProof/>
            <w:lang w:val="en-GB"/>
          </w:rPr>
          <w:t>Table 1.11: Distribution of Invoiced Consumption by Distribution Regions in 2019 (MWh-%)</w:t>
        </w:r>
        <w:r w:rsidR="00EB2BE6">
          <w:rPr>
            <w:noProof/>
            <w:webHidden/>
          </w:rPr>
          <w:tab/>
        </w:r>
        <w:r w:rsidR="00EB2BE6">
          <w:rPr>
            <w:noProof/>
            <w:webHidden/>
          </w:rPr>
          <w:fldChar w:fldCharType="begin"/>
        </w:r>
        <w:r w:rsidR="00EB2BE6">
          <w:rPr>
            <w:noProof/>
            <w:webHidden/>
          </w:rPr>
          <w:instrText xml:space="preserve"> PAGEREF _Toc44508327 \h </w:instrText>
        </w:r>
        <w:r w:rsidR="00EB2BE6">
          <w:rPr>
            <w:noProof/>
            <w:webHidden/>
          </w:rPr>
        </w:r>
        <w:r w:rsidR="00EB2BE6">
          <w:rPr>
            <w:noProof/>
            <w:webHidden/>
          </w:rPr>
          <w:fldChar w:fldCharType="separate"/>
        </w:r>
        <w:r w:rsidR="00EB2BE6">
          <w:rPr>
            <w:noProof/>
            <w:webHidden/>
          </w:rPr>
          <w:t>39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8" w:history="1">
        <w:r w:rsidR="00EB2BE6" w:rsidRPr="00A817AB">
          <w:rPr>
            <w:rStyle w:val="Kpr"/>
            <w:noProof/>
            <w:lang w:val="en-GB"/>
          </w:rPr>
          <w:t>Table 1.12: Distribution of Invoiced Consumption by Consumer Type as Eligible and Non-Eligible Consumers in 2019 (MWh)</w:t>
        </w:r>
        <w:r w:rsidR="00EB2BE6">
          <w:rPr>
            <w:noProof/>
            <w:webHidden/>
          </w:rPr>
          <w:tab/>
        </w:r>
        <w:r w:rsidR="00EB2BE6">
          <w:rPr>
            <w:noProof/>
            <w:webHidden/>
          </w:rPr>
          <w:fldChar w:fldCharType="begin"/>
        </w:r>
        <w:r w:rsidR="00EB2BE6">
          <w:rPr>
            <w:noProof/>
            <w:webHidden/>
          </w:rPr>
          <w:instrText xml:space="preserve"> PAGEREF _Toc44508328 \h </w:instrText>
        </w:r>
        <w:r w:rsidR="00EB2BE6">
          <w:rPr>
            <w:noProof/>
            <w:webHidden/>
          </w:rPr>
        </w:r>
        <w:r w:rsidR="00EB2BE6">
          <w:rPr>
            <w:noProof/>
            <w:webHidden/>
          </w:rPr>
          <w:fldChar w:fldCharType="separate"/>
        </w:r>
        <w:r w:rsidR="00EB2BE6">
          <w:rPr>
            <w:noProof/>
            <w:webHidden/>
          </w:rPr>
          <w:t>40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29" w:history="1">
        <w:r w:rsidR="00EB2BE6" w:rsidRPr="00A817AB">
          <w:rPr>
            <w:rStyle w:val="Kpr"/>
            <w:noProof/>
            <w:lang w:val="en-GB"/>
          </w:rPr>
          <w:t>Table 1.13: Development of Invoiced Consumption by Consumer Type by Years (MWh)</w:t>
        </w:r>
        <w:r w:rsidR="00EB2BE6">
          <w:rPr>
            <w:noProof/>
            <w:webHidden/>
          </w:rPr>
          <w:tab/>
        </w:r>
        <w:r w:rsidR="00EB2BE6">
          <w:rPr>
            <w:noProof/>
            <w:webHidden/>
          </w:rPr>
          <w:fldChar w:fldCharType="begin"/>
        </w:r>
        <w:r w:rsidR="00EB2BE6">
          <w:rPr>
            <w:noProof/>
            <w:webHidden/>
          </w:rPr>
          <w:instrText xml:space="preserve"> PAGEREF _Toc44508329 \h </w:instrText>
        </w:r>
        <w:r w:rsidR="00EB2BE6">
          <w:rPr>
            <w:noProof/>
            <w:webHidden/>
          </w:rPr>
        </w:r>
        <w:r w:rsidR="00EB2BE6">
          <w:rPr>
            <w:noProof/>
            <w:webHidden/>
          </w:rPr>
          <w:fldChar w:fldCharType="separate"/>
        </w:r>
        <w:r w:rsidR="00EB2BE6">
          <w:rPr>
            <w:noProof/>
            <w:webHidden/>
          </w:rPr>
          <w:t>41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0" w:history="1">
        <w:r w:rsidR="00EB2BE6" w:rsidRPr="00A817AB">
          <w:rPr>
            <w:rStyle w:val="Kpr"/>
            <w:noProof/>
            <w:lang w:val="en-GB"/>
          </w:rPr>
          <w:t>Table 1.14: Distribution of Invoiced Consumption by Province (MWh - %)</w:t>
        </w:r>
        <w:r w:rsidR="00EB2BE6">
          <w:rPr>
            <w:noProof/>
            <w:webHidden/>
          </w:rPr>
          <w:tab/>
        </w:r>
        <w:r w:rsidR="00EB2BE6">
          <w:rPr>
            <w:noProof/>
            <w:webHidden/>
          </w:rPr>
          <w:fldChar w:fldCharType="begin"/>
        </w:r>
        <w:r w:rsidR="00EB2BE6">
          <w:rPr>
            <w:noProof/>
            <w:webHidden/>
          </w:rPr>
          <w:instrText xml:space="preserve"> PAGEREF _Toc44508330 \h </w:instrText>
        </w:r>
        <w:r w:rsidR="00EB2BE6">
          <w:rPr>
            <w:noProof/>
            <w:webHidden/>
          </w:rPr>
        </w:r>
        <w:r w:rsidR="00EB2BE6">
          <w:rPr>
            <w:noProof/>
            <w:webHidden/>
          </w:rPr>
          <w:fldChar w:fldCharType="separate"/>
        </w:r>
        <w:r w:rsidR="00EB2BE6">
          <w:rPr>
            <w:noProof/>
            <w:webHidden/>
          </w:rPr>
          <w:t>41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1" w:history="1">
        <w:r w:rsidR="00EB2BE6" w:rsidRPr="00A817AB">
          <w:rPr>
            <w:rStyle w:val="Kpr"/>
            <w:noProof/>
            <w:lang w:val="en-GB"/>
          </w:rPr>
          <w:t>Table 1.15: Distribution of Invoiced Consumption by Province and Consumer (MWh)</w:t>
        </w:r>
        <w:r w:rsidR="00EB2BE6">
          <w:rPr>
            <w:noProof/>
            <w:webHidden/>
          </w:rPr>
          <w:tab/>
        </w:r>
        <w:r w:rsidR="00EB2BE6">
          <w:rPr>
            <w:noProof/>
            <w:webHidden/>
          </w:rPr>
          <w:fldChar w:fldCharType="begin"/>
        </w:r>
        <w:r w:rsidR="00EB2BE6">
          <w:rPr>
            <w:noProof/>
            <w:webHidden/>
          </w:rPr>
          <w:instrText xml:space="preserve"> PAGEREF _Toc44508331 \h </w:instrText>
        </w:r>
        <w:r w:rsidR="00EB2BE6">
          <w:rPr>
            <w:noProof/>
            <w:webHidden/>
          </w:rPr>
        </w:r>
        <w:r w:rsidR="00EB2BE6">
          <w:rPr>
            <w:noProof/>
            <w:webHidden/>
          </w:rPr>
          <w:fldChar w:fldCharType="separate"/>
        </w:r>
        <w:r w:rsidR="00EB2BE6">
          <w:rPr>
            <w:noProof/>
            <w:webHidden/>
          </w:rPr>
          <w:t>44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2" w:history="1">
        <w:r w:rsidR="00EB2BE6" w:rsidRPr="00A817AB">
          <w:rPr>
            <w:rStyle w:val="Kpr"/>
            <w:noProof/>
            <w:lang w:val="en-GB"/>
          </w:rPr>
          <w:t>Table 2.2.1: Additional Costs of Orders (Million TL)</w:t>
        </w:r>
        <w:r w:rsidR="00EB2BE6">
          <w:rPr>
            <w:noProof/>
            <w:webHidden/>
          </w:rPr>
          <w:tab/>
        </w:r>
        <w:r w:rsidR="00EB2BE6">
          <w:rPr>
            <w:noProof/>
            <w:webHidden/>
          </w:rPr>
          <w:fldChar w:fldCharType="begin"/>
        </w:r>
        <w:r w:rsidR="00EB2BE6">
          <w:rPr>
            <w:noProof/>
            <w:webHidden/>
          </w:rPr>
          <w:instrText xml:space="preserve"> PAGEREF _Toc44508332 \h </w:instrText>
        </w:r>
        <w:r w:rsidR="00EB2BE6">
          <w:rPr>
            <w:noProof/>
            <w:webHidden/>
          </w:rPr>
        </w:r>
        <w:r w:rsidR="00EB2BE6">
          <w:rPr>
            <w:noProof/>
            <w:webHidden/>
          </w:rPr>
          <w:fldChar w:fldCharType="separate"/>
        </w:r>
        <w:r w:rsidR="00EB2BE6">
          <w:rPr>
            <w:noProof/>
            <w:webHidden/>
          </w:rPr>
          <w:t>59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3" w:history="1">
        <w:r w:rsidR="00EB2BE6" w:rsidRPr="00A817AB">
          <w:rPr>
            <w:rStyle w:val="Kpr"/>
            <w:noProof/>
            <w:lang w:val="en-GB"/>
          </w:rPr>
          <w:t>Table 2.5.1: Number of RESSUM Participants by Years</w:t>
        </w:r>
        <w:r w:rsidR="00EB2BE6">
          <w:rPr>
            <w:noProof/>
            <w:webHidden/>
          </w:rPr>
          <w:tab/>
        </w:r>
        <w:r w:rsidR="00EB2BE6">
          <w:rPr>
            <w:noProof/>
            <w:webHidden/>
          </w:rPr>
          <w:fldChar w:fldCharType="begin"/>
        </w:r>
        <w:r w:rsidR="00EB2BE6">
          <w:rPr>
            <w:noProof/>
            <w:webHidden/>
          </w:rPr>
          <w:instrText xml:space="preserve"> PAGEREF _Toc44508333 \h </w:instrText>
        </w:r>
        <w:r w:rsidR="00EB2BE6">
          <w:rPr>
            <w:noProof/>
            <w:webHidden/>
          </w:rPr>
        </w:r>
        <w:r w:rsidR="00EB2BE6">
          <w:rPr>
            <w:noProof/>
            <w:webHidden/>
          </w:rPr>
          <w:fldChar w:fldCharType="separate"/>
        </w:r>
        <w:r w:rsidR="00EB2BE6">
          <w:rPr>
            <w:noProof/>
            <w:webHidden/>
          </w:rPr>
          <w:t>66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4" w:history="1">
        <w:r w:rsidR="00EB2BE6" w:rsidRPr="00A817AB">
          <w:rPr>
            <w:rStyle w:val="Kpr"/>
            <w:noProof/>
            <w:lang w:val="en-GB"/>
          </w:rPr>
          <w:t>Table 2.5.2: Distribution of Generation in RESSUM by Sources in 2019 (MW)*</w:t>
        </w:r>
        <w:r w:rsidR="00EB2BE6">
          <w:rPr>
            <w:noProof/>
            <w:webHidden/>
          </w:rPr>
          <w:tab/>
        </w:r>
        <w:r w:rsidR="00EB2BE6">
          <w:rPr>
            <w:noProof/>
            <w:webHidden/>
          </w:rPr>
          <w:fldChar w:fldCharType="begin"/>
        </w:r>
        <w:r w:rsidR="00EB2BE6">
          <w:rPr>
            <w:noProof/>
            <w:webHidden/>
          </w:rPr>
          <w:instrText xml:space="preserve"> PAGEREF _Toc44508334 \h </w:instrText>
        </w:r>
        <w:r w:rsidR="00EB2BE6">
          <w:rPr>
            <w:noProof/>
            <w:webHidden/>
          </w:rPr>
        </w:r>
        <w:r w:rsidR="00EB2BE6">
          <w:rPr>
            <w:noProof/>
            <w:webHidden/>
          </w:rPr>
          <w:fldChar w:fldCharType="separate"/>
        </w:r>
        <w:r w:rsidR="00EB2BE6">
          <w:rPr>
            <w:noProof/>
            <w:webHidden/>
          </w:rPr>
          <w:t>67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5" w:history="1">
        <w:r w:rsidR="00EB2BE6" w:rsidRPr="00A817AB">
          <w:rPr>
            <w:rStyle w:val="Kpr"/>
            <w:noProof/>
            <w:lang w:val="en-GB"/>
          </w:rPr>
          <w:t>Table 2.5.3: Yearly Generation of RESSUM Participants by years (MWh)*</w:t>
        </w:r>
        <w:r w:rsidR="00EB2BE6">
          <w:rPr>
            <w:noProof/>
            <w:webHidden/>
          </w:rPr>
          <w:tab/>
        </w:r>
        <w:r w:rsidR="00EB2BE6">
          <w:rPr>
            <w:noProof/>
            <w:webHidden/>
          </w:rPr>
          <w:fldChar w:fldCharType="begin"/>
        </w:r>
        <w:r w:rsidR="00EB2BE6">
          <w:rPr>
            <w:noProof/>
            <w:webHidden/>
          </w:rPr>
          <w:instrText xml:space="preserve"> PAGEREF _Toc44508335 \h </w:instrText>
        </w:r>
        <w:r w:rsidR="00EB2BE6">
          <w:rPr>
            <w:noProof/>
            <w:webHidden/>
          </w:rPr>
        </w:r>
        <w:r w:rsidR="00EB2BE6">
          <w:rPr>
            <w:noProof/>
            <w:webHidden/>
          </w:rPr>
          <w:fldChar w:fldCharType="separate"/>
        </w:r>
        <w:r w:rsidR="00EB2BE6">
          <w:rPr>
            <w:noProof/>
            <w:webHidden/>
          </w:rPr>
          <w:t>68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6" w:history="1">
        <w:r w:rsidR="00EB2BE6" w:rsidRPr="00A817AB">
          <w:rPr>
            <w:rStyle w:val="Kpr"/>
            <w:noProof/>
            <w:lang w:val="en-GB"/>
          </w:rPr>
          <w:t>Table 3.1: HHI Values by Generation and Capacity</w:t>
        </w:r>
        <w:r w:rsidR="00EB2BE6">
          <w:rPr>
            <w:noProof/>
            <w:webHidden/>
          </w:rPr>
          <w:tab/>
        </w:r>
        <w:r w:rsidR="00EB2BE6">
          <w:rPr>
            <w:noProof/>
            <w:webHidden/>
          </w:rPr>
          <w:fldChar w:fldCharType="begin"/>
        </w:r>
        <w:r w:rsidR="00EB2BE6">
          <w:rPr>
            <w:noProof/>
            <w:webHidden/>
          </w:rPr>
          <w:instrText xml:space="preserve"> PAGEREF _Toc44508336 \h </w:instrText>
        </w:r>
        <w:r w:rsidR="00EB2BE6">
          <w:rPr>
            <w:noProof/>
            <w:webHidden/>
          </w:rPr>
        </w:r>
        <w:r w:rsidR="00EB2BE6">
          <w:rPr>
            <w:noProof/>
            <w:webHidden/>
          </w:rPr>
          <w:fldChar w:fldCharType="separate"/>
        </w:r>
        <w:r w:rsidR="00EB2BE6">
          <w:rPr>
            <w:noProof/>
            <w:webHidden/>
          </w:rPr>
          <w:t>72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7" w:history="1">
        <w:r w:rsidR="00EB2BE6" w:rsidRPr="00A817AB">
          <w:rPr>
            <w:rStyle w:val="Kpr"/>
            <w:noProof/>
            <w:lang w:val="en-GB"/>
          </w:rPr>
          <w:t>Table 3.2: Sales, Market Shares and HHI Values of Supply License Owners</w:t>
        </w:r>
        <w:r w:rsidR="00EB2BE6">
          <w:rPr>
            <w:noProof/>
            <w:webHidden/>
          </w:rPr>
          <w:tab/>
        </w:r>
        <w:r w:rsidR="00EB2BE6">
          <w:rPr>
            <w:noProof/>
            <w:webHidden/>
          </w:rPr>
          <w:fldChar w:fldCharType="begin"/>
        </w:r>
        <w:r w:rsidR="00EB2BE6">
          <w:rPr>
            <w:noProof/>
            <w:webHidden/>
          </w:rPr>
          <w:instrText xml:space="preserve"> PAGEREF _Toc44508337 \h </w:instrText>
        </w:r>
        <w:r w:rsidR="00EB2BE6">
          <w:rPr>
            <w:noProof/>
            <w:webHidden/>
          </w:rPr>
        </w:r>
        <w:r w:rsidR="00EB2BE6">
          <w:rPr>
            <w:noProof/>
            <w:webHidden/>
          </w:rPr>
          <w:fldChar w:fldCharType="separate"/>
        </w:r>
        <w:r w:rsidR="00EB2BE6">
          <w:rPr>
            <w:noProof/>
            <w:webHidden/>
          </w:rPr>
          <w:t>73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8" w:history="1">
        <w:r w:rsidR="00EB2BE6" w:rsidRPr="00A817AB">
          <w:rPr>
            <w:rStyle w:val="Kpr"/>
            <w:noProof/>
            <w:lang w:val="en-GB"/>
          </w:rPr>
          <w:t>Table 3.3: The Distribution of Eligible Consumers Switches by Supplier Type</w:t>
        </w:r>
        <w:r w:rsidR="00EB2BE6">
          <w:rPr>
            <w:noProof/>
            <w:webHidden/>
          </w:rPr>
          <w:tab/>
        </w:r>
        <w:r w:rsidR="00EB2BE6">
          <w:rPr>
            <w:noProof/>
            <w:webHidden/>
          </w:rPr>
          <w:fldChar w:fldCharType="begin"/>
        </w:r>
        <w:r w:rsidR="00EB2BE6">
          <w:rPr>
            <w:noProof/>
            <w:webHidden/>
          </w:rPr>
          <w:instrText xml:space="preserve"> PAGEREF _Toc44508338 \h </w:instrText>
        </w:r>
        <w:r w:rsidR="00EB2BE6">
          <w:rPr>
            <w:noProof/>
            <w:webHidden/>
          </w:rPr>
        </w:r>
        <w:r w:rsidR="00EB2BE6">
          <w:rPr>
            <w:noProof/>
            <w:webHidden/>
          </w:rPr>
          <w:fldChar w:fldCharType="separate"/>
        </w:r>
        <w:r w:rsidR="00EB2BE6">
          <w:rPr>
            <w:noProof/>
            <w:webHidden/>
          </w:rPr>
          <w:t>79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39" w:history="1">
        <w:r w:rsidR="00EB2BE6" w:rsidRPr="00A817AB">
          <w:rPr>
            <w:rStyle w:val="Kpr"/>
            <w:noProof/>
            <w:lang w:val="en-GB"/>
          </w:rPr>
          <w:t>Table 4.1: Transformer Center Information</w:t>
        </w:r>
        <w:r w:rsidR="00EB2BE6">
          <w:rPr>
            <w:noProof/>
            <w:webHidden/>
          </w:rPr>
          <w:tab/>
        </w:r>
        <w:r w:rsidR="00EB2BE6">
          <w:rPr>
            <w:noProof/>
            <w:webHidden/>
          </w:rPr>
          <w:fldChar w:fldCharType="begin"/>
        </w:r>
        <w:r w:rsidR="00EB2BE6">
          <w:rPr>
            <w:noProof/>
            <w:webHidden/>
          </w:rPr>
          <w:instrText xml:space="preserve"> PAGEREF _Toc44508339 \h </w:instrText>
        </w:r>
        <w:r w:rsidR="00EB2BE6">
          <w:rPr>
            <w:noProof/>
            <w:webHidden/>
          </w:rPr>
        </w:r>
        <w:r w:rsidR="00EB2BE6">
          <w:rPr>
            <w:noProof/>
            <w:webHidden/>
          </w:rPr>
          <w:fldChar w:fldCharType="separate"/>
        </w:r>
        <w:r w:rsidR="00EB2BE6">
          <w:rPr>
            <w:noProof/>
            <w:webHidden/>
          </w:rPr>
          <w:t>80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0" w:history="1">
        <w:r w:rsidR="00EB2BE6" w:rsidRPr="00A817AB">
          <w:rPr>
            <w:rStyle w:val="Kpr"/>
            <w:noProof/>
            <w:lang w:val="en-GB"/>
          </w:rPr>
          <w:t>Table 4.2: TEİAŞ Transmission Lines</w:t>
        </w:r>
        <w:r w:rsidR="00EB2BE6">
          <w:rPr>
            <w:noProof/>
            <w:webHidden/>
          </w:rPr>
          <w:tab/>
        </w:r>
        <w:r w:rsidR="00EB2BE6">
          <w:rPr>
            <w:noProof/>
            <w:webHidden/>
          </w:rPr>
          <w:fldChar w:fldCharType="begin"/>
        </w:r>
        <w:r w:rsidR="00EB2BE6">
          <w:rPr>
            <w:noProof/>
            <w:webHidden/>
          </w:rPr>
          <w:instrText xml:space="preserve"> PAGEREF _Toc44508340 \h </w:instrText>
        </w:r>
        <w:r w:rsidR="00EB2BE6">
          <w:rPr>
            <w:noProof/>
            <w:webHidden/>
          </w:rPr>
        </w:r>
        <w:r w:rsidR="00EB2BE6">
          <w:rPr>
            <w:noProof/>
            <w:webHidden/>
          </w:rPr>
          <w:fldChar w:fldCharType="separate"/>
        </w:r>
        <w:r w:rsidR="00EB2BE6">
          <w:rPr>
            <w:noProof/>
            <w:webHidden/>
          </w:rPr>
          <w:t>81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1" w:history="1">
        <w:r w:rsidR="00EB2BE6" w:rsidRPr="00A817AB">
          <w:rPr>
            <w:rStyle w:val="Kpr"/>
            <w:noProof/>
            <w:lang w:val="en-GB"/>
          </w:rPr>
          <w:t>Table 4.3: Connection Applications to the Transmission System (Number-MW)</w:t>
        </w:r>
        <w:r w:rsidR="00EB2BE6">
          <w:rPr>
            <w:noProof/>
            <w:webHidden/>
          </w:rPr>
          <w:tab/>
        </w:r>
        <w:r w:rsidR="00EB2BE6">
          <w:rPr>
            <w:noProof/>
            <w:webHidden/>
          </w:rPr>
          <w:fldChar w:fldCharType="begin"/>
        </w:r>
        <w:r w:rsidR="00EB2BE6">
          <w:rPr>
            <w:noProof/>
            <w:webHidden/>
          </w:rPr>
          <w:instrText xml:space="preserve"> PAGEREF _Toc44508341 \h </w:instrText>
        </w:r>
        <w:r w:rsidR="00EB2BE6">
          <w:rPr>
            <w:noProof/>
            <w:webHidden/>
          </w:rPr>
        </w:r>
        <w:r w:rsidR="00EB2BE6">
          <w:rPr>
            <w:noProof/>
            <w:webHidden/>
          </w:rPr>
          <w:fldChar w:fldCharType="separate"/>
        </w:r>
        <w:r w:rsidR="00EB2BE6">
          <w:rPr>
            <w:noProof/>
            <w:webHidden/>
          </w:rPr>
          <w:t>82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2" w:history="1">
        <w:r w:rsidR="00EB2BE6" w:rsidRPr="00A817AB">
          <w:rPr>
            <w:rStyle w:val="Kpr"/>
            <w:noProof/>
            <w:lang w:val="en-GB"/>
          </w:rPr>
          <w:t>Table 4.4: System Usage and System Operation Tariffs Applied in 2019 (TL/MW-Year, TL/MWh)</w:t>
        </w:r>
        <w:r w:rsidR="00EB2BE6">
          <w:rPr>
            <w:noProof/>
            <w:webHidden/>
          </w:rPr>
          <w:tab/>
        </w:r>
        <w:r w:rsidR="00EB2BE6">
          <w:rPr>
            <w:noProof/>
            <w:webHidden/>
          </w:rPr>
          <w:fldChar w:fldCharType="begin"/>
        </w:r>
        <w:r w:rsidR="00EB2BE6">
          <w:rPr>
            <w:noProof/>
            <w:webHidden/>
          </w:rPr>
          <w:instrText xml:space="preserve"> PAGEREF _Toc44508342 \h </w:instrText>
        </w:r>
        <w:r w:rsidR="00EB2BE6">
          <w:rPr>
            <w:noProof/>
            <w:webHidden/>
          </w:rPr>
        </w:r>
        <w:r w:rsidR="00EB2BE6">
          <w:rPr>
            <w:noProof/>
            <w:webHidden/>
          </w:rPr>
          <w:fldChar w:fldCharType="separate"/>
        </w:r>
        <w:r w:rsidR="00EB2BE6">
          <w:rPr>
            <w:noProof/>
            <w:webHidden/>
          </w:rPr>
          <w:t>83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3" w:history="1">
        <w:r w:rsidR="00EB2BE6" w:rsidRPr="00A817AB">
          <w:rPr>
            <w:rStyle w:val="Kpr"/>
            <w:noProof/>
            <w:lang w:val="en-GB"/>
          </w:rPr>
          <w:t>Table 4.5: Comparison of 2018 and 2019 Investment Amount (TL-%)</w:t>
        </w:r>
        <w:r w:rsidR="00EB2BE6">
          <w:rPr>
            <w:noProof/>
            <w:webHidden/>
          </w:rPr>
          <w:tab/>
        </w:r>
        <w:r w:rsidR="00EB2BE6">
          <w:rPr>
            <w:noProof/>
            <w:webHidden/>
          </w:rPr>
          <w:fldChar w:fldCharType="begin"/>
        </w:r>
        <w:r w:rsidR="00EB2BE6">
          <w:rPr>
            <w:noProof/>
            <w:webHidden/>
          </w:rPr>
          <w:instrText xml:space="preserve"> PAGEREF _Toc44508343 \h </w:instrText>
        </w:r>
        <w:r w:rsidR="00EB2BE6">
          <w:rPr>
            <w:noProof/>
            <w:webHidden/>
          </w:rPr>
        </w:r>
        <w:r w:rsidR="00EB2BE6">
          <w:rPr>
            <w:noProof/>
            <w:webHidden/>
          </w:rPr>
          <w:fldChar w:fldCharType="separate"/>
        </w:r>
        <w:r w:rsidR="00EB2BE6">
          <w:rPr>
            <w:noProof/>
            <w:webHidden/>
          </w:rPr>
          <w:t>84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4" w:history="1">
        <w:r w:rsidR="00EB2BE6" w:rsidRPr="00A817AB">
          <w:rPr>
            <w:rStyle w:val="Kpr"/>
            <w:bCs/>
            <w:caps/>
            <w:noProof/>
            <w:lang w:val="en-GB"/>
          </w:rPr>
          <w:t>T</w:t>
        </w:r>
        <w:r w:rsidR="00EB2BE6" w:rsidRPr="00A817AB">
          <w:rPr>
            <w:rStyle w:val="Kpr"/>
            <w:bCs/>
            <w:noProof/>
            <w:lang w:val="en-GB"/>
          </w:rPr>
          <w:t>able</w:t>
        </w:r>
        <w:r w:rsidR="00EB2BE6" w:rsidRPr="00A817AB">
          <w:rPr>
            <w:rStyle w:val="Kpr"/>
            <w:bCs/>
            <w:caps/>
            <w:noProof/>
            <w:lang w:val="en-GB"/>
          </w:rPr>
          <w:t xml:space="preserve"> 5.1:</w:t>
        </w:r>
        <w:r w:rsidR="00EB2BE6" w:rsidRPr="00A817AB">
          <w:rPr>
            <w:rStyle w:val="Kpr"/>
            <w:caps/>
            <w:noProof/>
            <w:lang w:val="en-GB"/>
          </w:rPr>
          <w:t xml:space="preserve"> </w:t>
        </w:r>
        <w:r w:rsidR="00EB2BE6" w:rsidRPr="00A817AB">
          <w:rPr>
            <w:rStyle w:val="Kpr"/>
            <w:noProof/>
            <w:lang w:val="en-GB"/>
          </w:rPr>
          <w:t>Number of Consumers Using Distribution System by the end of 2019 (Number-%)</w:t>
        </w:r>
        <w:r w:rsidR="00EB2BE6">
          <w:rPr>
            <w:noProof/>
            <w:webHidden/>
          </w:rPr>
          <w:tab/>
        </w:r>
        <w:r w:rsidR="00EB2BE6">
          <w:rPr>
            <w:noProof/>
            <w:webHidden/>
          </w:rPr>
          <w:fldChar w:fldCharType="begin"/>
        </w:r>
        <w:r w:rsidR="00EB2BE6">
          <w:rPr>
            <w:noProof/>
            <w:webHidden/>
          </w:rPr>
          <w:instrText xml:space="preserve"> PAGEREF _Toc44508344 \h </w:instrText>
        </w:r>
        <w:r w:rsidR="00EB2BE6">
          <w:rPr>
            <w:noProof/>
            <w:webHidden/>
          </w:rPr>
        </w:r>
        <w:r w:rsidR="00EB2BE6">
          <w:rPr>
            <w:noProof/>
            <w:webHidden/>
          </w:rPr>
          <w:fldChar w:fldCharType="separate"/>
        </w:r>
        <w:r w:rsidR="00EB2BE6">
          <w:rPr>
            <w:noProof/>
            <w:webHidden/>
          </w:rPr>
          <w:t>86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5" w:history="1">
        <w:r w:rsidR="00EB2BE6" w:rsidRPr="00A817AB">
          <w:rPr>
            <w:rStyle w:val="Kpr"/>
            <w:bCs/>
            <w:noProof/>
            <w:lang w:val="en-GB"/>
          </w:rPr>
          <w:t>Table 5.2:</w:t>
        </w:r>
        <w:r w:rsidR="00EB2BE6" w:rsidRPr="00A817AB">
          <w:rPr>
            <w:rStyle w:val="Kpr"/>
            <w:noProof/>
            <w:lang w:val="en-GB"/>
          </w:rPr>
          <w:t xml:space="preserve"> Loss Rates of Distribution Companies (%)</w:t>
        </w:r>
        <w:r w:rsidR="00EB2BE6">
          <w:rPr>
            <w:noProof/>
            <w:webHidden/>
          </w:rPr>
          <w:tab/>
        </w:r>
        <w:r w:rsidR="00EB2BE6">
          <w:rPr>
            <w:noProof/>
            <w:webHidden/>
          </w:rPr>
          <w:fldChar w:fldCharType="begin"/>
        </w:r>
        <w:r w:rsidR="00EB2BE6">
          <w:rPr>
            <w:noProof/>
            <w:webHidden/>
          </w:rPr>
          <w:instrText xml:space="preserve"> PAGEREF _Toc44508345 \h </w:instrText>
        </w:r>
        <w:r w:rsidR="00EB2BE6">
          <w:rPr>
            <w:noProof/>
            <w:webHidden/>
          </w:rPr>
        </w:r>
        <w:r w:rsidR="00EB2BE6">
          <w:rPr>
            <w:noProof/>
            <w:webHidden/>
          </w:rPr>
          <w:fldChar w:fldCharType="separate"/>
        </w:r>
        <w:r w:rsidR="00EB2BE6">
          <w:rPr>
            <w:noProof/>
            <w:webHidden/>
          </w:rPr>
          <w:t>88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6" w:history="1">
        <w:r w:rsidR="00EB2BE6" w:rsidRPr="00A817AB">
          <w:rPr>
            <w:rStyle w:val="Kpr"/>
            <w:bCs/>
            <w:noProof/>
            <w:lang w:val="en-GB"/>
          </w:rPr>
          <w:t>Table 5.3:</w:t>
        </w:r>
        <w:r w:rsidR="00EB2BE6" w:rsidRPr="00A817AB">
          <w:rPr>
            <w:rStyle w:val="Kpr"/>
            <w:noProof/>
            <w:lang w:val="en-GB"/>
          </w:rPr>
          <w:t xml:space="preserve"> Number of Employees of Distribution Companies (Number)</w:t>
        </w:r>
        <w:r w:rsidR="00EB2BE6">
          <w:rPr>
            <w:noProof/>
            <w:webHidden/>
          </w:rPr>
          <w:tab/>
        </w:r>
        <w:r w:rsidR="00EB2BE6">
          <w:rPr>
            <w:noProof/>
            <w:webHidden/>
          </w:rPr>
          <w:fldChar w:fldCharType="begin"/>
        </w:r>
        <w:r w:rsidR="00EB2BE6">
          <w:rPr>
            <w:noProof/>
            <w:webHidden/>
          </w:rPr>
          <w:instrText xml:space="preserve"> PAGEREF _Toc44508346 \h </w:instrText>
        </w:r>
        <w:r w:rsidR="00EB2BE6">
          <w:rPr>
            <w:noProof/>
            <w:webHidden/>
          </w:rPr>
        </w:r>
        <w:r w:rsidR="00EB2BE6">
          <w:rPr>
            <w:noProof/>
            <w:webHidden/>
          </w:rPr>
          <w:fldChar w:fldCharType="separate"/>
        </w:r>
        <w:r w:rsidR="00EB2BE6">
          <w:rPr>
            <w:noProof/>
            <w:webHidden/>
          </w:rPr>
          <w:t>90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7" w:history="1">
        <w:r w:rsidR="00EB2BE6" w:rsidRPr="00A817AB">
          <w:rPr>
            <w:rStyle w:val="Kpr"/>
            <w:bCs/>
            <w:noProof/>
            <w:lang w:val="en-GB"/>
          </w:rPr>
          <w:t xml:space="preserve">Table 5.4: </w:t>
        </w:r>
        <w:r w:rsidR="00EB2BE6" w:rsidRPr="00A817AB">
          <w:rPr>
            <w:rStyle w:val="Kpr"/>
            <w:noProof/>
            <w:lang w:val="en-GB"/>
          </w:rPr>
          <w:t>Line Lengths, Number of Transformers and Transformer Capacities Based on Distribution Companies by end of 2019 (km-MVA-Number)</w:t>
        </w:r>
        <w:r w:rsidR="00EB2BE6">
          <w:rPr>
            <w:noProof/>
            <w:webHidden/>
          </w:rPr>
          <w:tab/>
        </w:r>
        <w:r w:rsidR="00EB2BE6">
          <w:rPr>
            <w:noProof/>
            <w:webHidden/>
          </w:rPr>
          <w:fldChar w:fldCharType="begin"/>
        </w:r>
        <w:r w:rsidR="00EB2BE6">
          <w:rPr>
            <w:noProof/>
            <w:webHidden/>
          </w:rPr>
          <w:instrText xml:space="preserve"> PAGEREF _Toc44508347 \h </w:instrText>
        </w:r>
        <w:r w:rsidR="00EB2BE6">
          <w:rPr>
            <w:noProof/>
            <w:webHidden/>
          </w:rPr>
        </w:r>
        <w:r w:rsidR="00EB2BE6">
          <w:rPr>
            <w:noProof/>
            <w:webHidden/>
          </w:rPr>
          <w:fldChar w:fldCharType="separate"/>
        </w:r>
        <w:r w:rsidR="00EB2BE6">
          <w:rPr>
            <w:noProof/>
            <w:webHidden/>
          </w:rPr>
          <w:t>92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8" w:history="1">
        <w:r w:rsidR="00EB2BE6" w:rsidRPr="00A817AB">
          <w:rPr>
            <w:rStyle w:val="Kpr"/>
            <w:bCs/>
            <w:noProof/>
            <w:lang w:val="en-GB"/>
          </w:rPr>
          <w:t>Table 5.5:</w:t>
        </w:r>
        <w:r w:rsidR="00EB2BE6" w:rsidRPr="00A817AB">
          <w:rPr>
            <w:rStyle w:val="Kpr"/>
            <w:noProof/>
            <w:lang w:val="en-GB"/>
          </w:rPr>
          <w:t xml:space="preserve"> The Lengths of Distribution Lines (Km)</w:t>
        </w:r>
        <w:r w:rsidR="00EB2BE6">
          <w:rPr>
            <w:noProof/>
            <w:webHidden/>
          </w:rPr>
          <w:tab/>
        </w:r>
        <w:r w:rsidR="00EB2BE6">
          <w:rPr>
            <w:noProof/>
            <w:webHidden/>
          </w:rPr>
          <w:fldChar w:fldCharType="begin"/>
        </w:r>
        <w:r w:rsidR="00EB2BE6">
          <w:rPr>
            <w:noProof/>
            <w:webHidden/>
          </w:rPr>
          <w:instrText xml:space="preserve"> PAGEREF _Toc44508348 \h </w:instrText>
        </w:r>
        <w:r w:rsidR="00EB2BE6">
          <w:rPr>
            <w:noProof/>
            <w:webHidden/>
          </w:rPr>
        </w:r>
        <w:r w:rsidR="00EB2BE6">
          <w:rPr>
            <w:noProof/>
            <w:webHidden/>
          </w:rPr>
          <w:fldChar w:fldCharType="separate"/>
        </w:r>
        <w:r w:rsidR="00EB2BE6">
          <w:rPr>
            <w:noProof/>
            <w:webHidden/>
          </w:rPr>
          <w:t>94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49" w:history="1">
        <w:r w:rsidR="00EB2BE6" w:rsidRPr="00A817AB">
          <w:rPr>
            <w:rStyle w:val="Kpr"/>
            <w:bCs/>
            <w:noProof/>
            <w:lang w:val="en-GB"/>
          </w:rPr>
          <w:t>Table 5.6:</w:t>
        </w:r>
        <w:r w:rsidR="00EB2BE6" w:rsidRPr="00A817AB">
          <w:rPr>
            <w:rStyle w:val="Kpr"/>
            <w:noProof/>
            <w:lang w:val="en-GB"/>
          </w:rPr>
          <w:t xml:space="preserve"> Line Lengths at Distribution Voltage Levels, Number of Transformers and Transformer Capacities by Provinces in 2019 (Km-MVA-Number)</w:t>
        </w:r>
        <w:r w:rsidR="00EB2BE6">
          <w:rPr>
            <w:noProof/>
            <w:webHidden/>
          </w:rPr>
          <w:tab/>
        </w:r>
        <w:r w:rsidR="00EB2BE6">
          <w:rPr>
            <w:noProof/>
            <w:webHidden/>
          </w:rPr>
          <w:fldChar w:fldCharType="begin"/>
        </w:r>
        <w:r w:rsidR="00EB2BE6">
          <w:rPr>
            <w:noProof/>
            <w:webHidden/>
          </w:rPr>
          <w:instrText xml:space="preserve"> PAGEREF _Toc44508349 \h </w:instrText>
        </w:r>
        <w:r w:rsidR="00EB2BE6">
          <w:rPr>
            <w:noProof/>
            <w:webHidden/>
          </w:rPr>
        </w:r>
        <w:r w:rsidR="00EB2BE6">
          <w:rPr>
            <w:noProof/>
            <w:webHidden/>
          </w:rPr>
          <w:fldChar w:fldCharType="separate"/>
        </w:r>
        <w:r w:rsidR="00EB2BE6">
          <w:rPr>
            <w:noProof/>
            <w:webHidden/>
          </w:rPr>
          <w:t>95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0" w:history="1">
        <w:bookmarkStart w:id="20" w:name="_GoBack"/>
        <w:r w:rsidR="00EB2BE6" w:rsidRPr="00A817AB">
          <w:rPr>
            <w:rStyle w:val="Kpr"/>
            <w:bCs/>
            <w:noProof/>
            <w:lang w:val="en-GB"/>
          </w:rPr>
          <w:t>Table 5.7</w:t>
        </w:r>
        <w:bookmarkEnd w:id="20"/>
        <w:r w:rsidR="00EB2BE6" w:rsidRPr="00A817AB">
          <w:rPr>
            <w:rStyle w:val="Kpr"/>
            <w:bCs/>
            <w:noProof/>
            <w:lang w:val="en-GB"/>
          </w:rPr>
          <w:t>:</w:t>
        </w:r>
        <w:r w:rsidR="00EB2BE6" w:rsidRPr="00A817AB">
          <w:rPr>
            <w:rStyle w:val="Kpr"/>
            <w:noProof/>
            <w:lang w:val="en-GB"/>
          </w:rPr>
          <w:t xml:space="preserve"> Reported and Unreported </w:t>
        </w:r>
        <w:r>
          <w:rPr>
            <w:rStyle w:val="Kpr"/>
            <w:noProof/>
            <w:lang w:val="en-GB"/>
          </w:rPr>
          <w:t>System</w:t>
        </w:r>
        <w:r w:rsidR="00EB2BE6" w:rsidRPr="00A817AB">
          <w:rPr>
            <w:rStyle w:val="Kpr"/>
            <w:noProof/>
            <w:lang w:val="en-GB"/>
          </w:rPr>
          <w:t xml:space="preserve"> Average Interruption Duration Indices of Distribution Companies in 2018-2019 (min)</w:t>
        </w:r>
        <w:r w:rsidR="00EB2BE6">
          <w:rPr>
            <w:noProof/>
            <w:webHidden/>
          </w:rPr>
          <w:tab/>
        </w:r>
        <w:r w:rsidR="00EB2BE6">
          <w:rPr>
            <w:noProof/>
            <w:webHidden/>
          </w:rPr>
          <w:fldChar w:fldCharType="begin"/>
        </w:r>
        <w:r w:rsidR="00EB2BE6">
          <w:rPr>
            <w:noProof/>
            <w:webHidden/>
          </w:rPr>
          <w:instrText xml:space="preserve"> PAGEREF _Toc44508350 \h </w:instrText>
        </w:r>
        <w:r w:rsidR="00EB2BE6">
          <w:rPr>
            <w:noProof/>
            <w:webHidden/>
          </w:rPr>
        </w:r>
        <w:r w:rsidR="00EB2BE6">
          <w:rPr>
            <w:noProof/>
            <w:webHidden/>
          </w:rPr>
          <w:fldChar w:fldCharType="separate"/>
        </w:r>
        <w:r w:rsidR="00EB2BE6">
          <w:rPr>
            <w:noProof/>
            <w:webHidden/>
          </w:rPr>
          <w:t>98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1" w:history="1">
        <w:r w:rsidR="00EB2BE6" w:rsidRPr="00A817AB">
          <w:rPr>
            <w:rStyle w:val="Kpr"/>
            <w:bCs/>
            <w:noProof/>
            <w:lang w:val="en-GB"/>
          </w:rPr>
          <w:t>Table 5.8:</w:t>
        </w:r>
        <w:r w:rsidR="00EB2BE6" w:rsidRPr="00A817AB">
          <w:rPr>
            <w:rStyle w:val="Kpr"/>
            <w:noProof/>
            <w:lang w:val="en-GB"/>
          </w:rPr>
          <w:t xml:space="preserve"> </w:t>
        </w:r>
        <w:r>
          <w:rPr>
            <w:rStyle w:val="Kpr"/>
            <w:noProof/>
            <w:lang w:val="en-GB"/>
          </w:rPr>
          <w:t>System</w:t>
        </w:r>
        <w:r w:rsidR="00EB2BE6" w:rsidRPr="00A817AB">
          <w:rPr>
            <w:rStyle w:val="Kpr"/>
            <w:noProof/>
            <w:lang w:val="en-GB"/>
          </w:rPr>
          <w:t xml:space="preserve"> Average Interruption Duration Indices of Distribution Companies by reason in 2019 (min)</w:t>
        </w:r>
        <w:r w:rsidR="00EB2BE6">
          <w:rPr>
            <w:noProof/>
            <w:webHidden/>
          </w:rPr>
          <w:tab/>
        </w:r>
        <w:r w:rsidR="00EB2BE6">
          <w:rPr>
            <w:noProof/>
            <w:webHidden/>
          </w:rPr>
          <w:fldChar w:fldCharType="begin"/>
        </w:r>
        <w:r w:rsidR="00EB2BE6">
          <w:rPr>
            <w:noProof/>
            <w:webHidden/>
          </w:rPr>
          <w:instrText xml:space="preserve"> PAGEREF _Toc44508351 \h </w:instrText>
        </w:r>
        <w:r w:rsidR="00EB2BE6">
          <w:rPr>
            <w:noProof/>
            <w:webHidden/>
          </w:rPr>
        </w:r>
        <w:r w:rsidR="00EB2BE6">
          <w:rPr>
            <w:noProof/>
            <w:webHidden/>
          </w:rPr>
          <w:fldChar w:fldCharType="separate"/>
        </w:r>
        <w:r w:rsidR="00EB2BE6">
          <w:rPr>
            <w:noProof/>
            <w:webHidden/>
          </w:rPr>
          <w:t>99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2" w:history="1">
        <w:r w:rsidR="00EB2BE6" w:rsidRPr="00A817AB">
          <w:rPr>
            <w:rStyle w:val="Kpr"/>
            <w:bCs/>
            <w:noProof/>
            <w:lang w:val="en-GB"/>
          </w:rPr>
          <w:t>Table 5.9:</w:t>
        </w:r>
        <w:r w:rsidR="00EB2BE6" w:rsidRPr="00A817AB">
          <w:rPr>
            <w:rStyle w:val="Kpr"/>
            <w:noProof/>
            <w:lang w:val="en-GB"/>
          </w:rPr>
          <w:t xml:space="preserve"> </w:t>
        </w:r>
        <w:r>
          <w:rPr>
            <w:rStyle w:val="Kpr"/>
            <w:noProof/>
            <w:lang w:val="en-GB"/>
          </w:rPr>
          <w:t>System</w:t>
        </w:r>
        <w:r w:rsidR="00EB2BE6" w:rsidRPr="00A817AB">
          <w:rPr>
            <w:rStyle w:val="Kpr"/>
            <w:noProof/>
            <w:lang w:val="en-GB"/>
          </w:rPr>
          <w:t xml:space="preserve"> Average Interruption Frequency Indices of Distribution Companies in 2018 and 2019 (Number/Year)</w:t>
        </w:r>
        <w:r w:rsidR="00EB2BE6">
          <w:rPr>
            <w:noProof/>
            <w:webHidden/>
          </w:rPr>
          <w:tab/>
        </w:r>
        <w:r w:rsidR="00EB2BE6">
          <w:rPr>
            <w:noProof/>
            <w:webHidden/>
          </w:rPr>
          <w:fldChar w:fldCharType="begin"/>
        </w:r>
        <w:r w:rsidR="00EB2BE6">
          <w:rPr>
            <w:noProof/>
            <w:webHidden/>
          </w:rPr>
          <w:instrText xml:space="preserve"> PAGEREF _Toc44508352 \h </w:instrText>
        </w:r>
        <w:r w:rsidR="00EB2BE6">
          <w:rPr>
            <w:noProof/>
            <w:webHidden/>
          </w:rPr>
        </w:r>
        <w:r w:rsidR="00EB2BE6">
          <w:rPr>
            <w:noProof/>
            <w:webHidden/>
          </w:rPr>
          <w:fldChar w:fldCharType="separate"/>
        </w:r>
        <w:r w:rsidR="00EB2BE6">
          <w:rPr>
            <w:noProof/>
            <w:webHidden/>
          </w:rPr>
          <w:t>100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3" w:history="1">
        <w:r w:rsidR="00EB2BE6" w:rsidRPr="00A817AB">
          <w:rPr>
            <w:rStyle w:val="Kpr"/>
            <w:bCs/>
            <w:noProof/>
            <w:lang w:val="en-GB"/>
          </w:rPr>
          <w:t>Table 5.10:</w:t>
        </w:r>
        <w:r w:rsidR="00EB2BE6" w:rsidRPr="00A817AB">
          <w:rPr>
            <w:rStyle w:val="Kpr"/>
            <w:noProof/>
            <w:lang w:val="en-GB"/>
          </w:rPr>
          <w:t xml:space="preserve">  Distribution Companies’ </w:t>
        </w:r>
        <w:r w:rsidR="00806229">
          <w:rPr>
            <w:rStyle w:val="Kpr"/>
            <w:noProof/>
            <w:lang w:val="en-GB"/>
          </w:rPr>
          <w:t>System</w:t>
        </w:r>
        <w:r w:rsidR="00EB2BE6" w:rsidRPr="00A817AB">
          <w:rPr>
            <w:rStyle w:val="Kpr"/>
            <w:noProof/>
            <w:lang w:val="en-GB"/>
          </w:rPr>
          <w:t xml:space="preserve"> Average Interruption Frequency Indices of Distribution Companies by Reason in 2019 (Number/Year)</w:t>
        </w:r>
        <w:r w:rsidR="00EB2BE6">
          <w:rPr>
            <w:noProof/>
            <w:webHidden/>
          </w:rPr>
          <w:tab/>
        </w:r>
        <w:r w:rsidR="00EB2BE6">
          <w:rPr>
            <w:noProof/>
            <w:webHidden/>
          </w:rPr>
          <w:fldChar w:fldCharType="begin"/>
        </w:r>
        <w:r w:rsidR="00EB2BE6">
          <w:rPr>
            <w:noProof/>
            <w:webHidden/>
          </w:rPr>
          <w:instrText xml:space="preserve"> PAGEREF _Toc44508353 \h </w:instrText>
        </w:r>
        <w:r w:rsidR="00EB2BE6">
          <w:rPr>
            <w:noProof/>
            <w:webHidden/>
          </w:rPr>
        </w:r>
        <w:r w:rsidR="00EB2BE6">
          <w:rPr>
            <w:noProof/>
            <w:webHidden/>
          </w:rPr>
          <w:fldChar w:fldCharType="separate"/>
        </w:r>
        <w:r w:rsidR="00EB2BE6">
          <w:rPr>
            <w:noProof/>
            <w:webHidden/>
          </w:rPr>
          <w:t>101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4" w:history="1">
        <w:r w:rsidR="00EB2BE6" w:rsidRPr="00A817AB">
          <w:rPr>
            <w:rStyle w:val="Kpr"/>
            <w:bCs/>
            <w:caps/>
            <w:noProof/>
            <w:lang w:val="en-GB"/>
          </w:rPr>
          <w:t>T</w:t>
        </w:r>
        <w:r w:rsidR="00EB2BE6" w:rsidRPr="00A817AB">
          <w:rPr>
            <w:rStyle w:val="Kpr"/>
            <w:bCs/>
            <w:noProof/>
            <w:lang w:val="en-GB"/>
          </w:rPr>
          <w:t>able</w:t>
        </w:r>
        <w:r w:rsidR="00EB2BE6" w:rsidRPr="00A817AB">
          <w:rPr>
            <w:rStyle w:val="Kpr"/>
            <w:bCs/>
            <w:caps/>
            <w:noProof/>
            <w:lang w:val="en-GB"/>
          </w:rPr>
          <w:t xml:space="preserve"> 5.11:</w:t>
        </w:r>
        <w:r w:rsidR="00EB2BE6" w:rsidRPr="00A817AB">
          <w:rPr>
            <w:rStyle w:val="Kpr"/>
            <w:caps/>
            <w:noProof/>
            <w:lang w:val="en-GB"/>
          </w:rPr>
          <w:t xml:space="preserve"> </w:t>
        </w:r>
        <w:r w:rsidR="00EB2BE6" w:rsidRPr="00A817AB">
          <w:rPr>
            <w:rStyle w:val="Kpr"/>
            <w:noProof/>
            <w:lang w:val="en-GB"/>
          </w:rPr>
          <w:t xml:space="preserve">List Of Distribution Investments Comparison in </w:t>
        </w:r>
        <w:r w:rsidR="00EB2BE6" w:rsidRPr="00A817AB">
          <w:rPr>
            <w:rStyle w:val="Kpr"/>
            <w:caps/>
            <w:noProof/>
            <w:lang w:val="en-GB"/>
          </w:rPr>
          <w:t>2018-2019 (</w:t>
        </w:r>
        <w:r w:rsidR="00EB2BE6" w:rsidRPr="00A817AB">
          <w:rPr>
            <w:rStyle w:val="Kpr"/>
            <w:noProof/>
            <w:lang w:val="en-GB"/>
          </w:rPr>
          <w:t>Current Prices - Million TL</w:t>
        </w:r>
        <w:r w:rsidR="00EB2BE6" w:rsidRPr="00A817AB">
          <w:rPr>
            <w:rStyle w:val="Kpr"/>
            <w:caps/>
            <w:noProof/>
            <w:lang w:val="en-GB"/>
          </w:rPr>
          <w:t>-%)</w:t>
        </w:r>
        <w:r w:rsidR="00EB2BE6">
          <w:rPr>
            <w:noProof/>
            <w:webHidden/>
          </w:rPr>
          <w:tab/>
        </w:r>
        <w:r w:rsidR="00EB2BE6">
          <w:rPr>
            <w:noProof/>
            <w:webHidden/>
          </w:rPr>
          <w:fldChar w:fldCharType="begin"/>
        </w:r>
        <w:r w:rsidR="00EB2BE6">
          <w:rPr>
            <w:noProof/>
            <w:webHidden/>
          </w:rPr>
          <w:instrText xml:space="preserve"> PAGEREF _Toc44508354 \h </w:instrText>
        </w:r>
        <w:r w:rsidR="00EB2BE6">
          <w:rPr>
            <w:noProof/>
            <w:webHidden/>
          </w:rPr>
        </w:r>
        <w:r w:rsidR="00EB2BE6">
          <w:rPr>
            <w:noProof/>
            <w:webHidden/>
          </w:rPr>
          <w:fldChar w:fldCharType="separate"/>
        </w:r>
        <w:r w:rsidR="00EB2BE6">
          <w:rPr>
            <w:noProof/>
            <w:webHidden/>
          </w:rPr>
          <w:t>102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5" w:history="1">
        <w:r w:rsidR="00EB2BE6" w:rsidRPr="00A817AB">
          <w:rPr>
            <w:rStyle w:val="Kpr"/>
            <w:bCs/>
            <w:caps/>
            <w:noProof/>
            <w:lang w:val="en-GB"/>
          </w:rPr>
          <w:t>T</w:t>
        </w:r>
        <w:r w:rsidR="00EB2BE6" w:rsidRPr="00A817AB">
          <w:rPr>
            <w:rStyle w:val="Kpr"/>
            <w:bCs/>
            <w:noProof/>
            <w:lang w:val="en-GB"/>
          </w:rPr>
          <w:t>able</w:t>
        </w:r>
        <w:r w:rsidR="00EB2BE6" w:rsidRPr="00A817AB">
          <w:rPr>
            <w:rStyle w:val="Kpr"/>
            <w:bCs/>
            <w:caps/>
            <w:noProof/>
            <w:lang w:val="en-GB"/>
          </w:rPr>
          <w:t xml:space="preserve"> 5.12:</w:t>
        </w:r>
        <w:r w:rsidR="00EB2BE6" w:rsidRPr="00A817AB">
          <w:rPr>
            <w:rStyle w:val="Kpr"/>
            <w:caps/>
            <w:noProof/>
            <w:lang w:val="en-GB"/>
          </w:rPr>
          <w:t xml:space="preserve"> </w:t>
        </w:r>
        <w:r w:rsidR="00EB2BE6" w:rsidRPr="00A817AB">
          <w:rPr>
            <w:rStyle w:val="Kpr"/>
            <w:noProof/>
            <w:lang w:val="en-GB"/>
          </w:rPr>
          <w:t>Investment Amounts of Distribution Companies in 2019  (TL)</w:t>
        </w:r>
        <w:r w:rsidR="00EB2BE6">
          <w:rPr>
            <w:noProof/>
            <w:webHidden/>
          </w:rPr>
          <w:tab/>
        </w:r>
        <w:r w:rsidR="00EB2BE6">
          <w:rPr>
            <w:noProof/>
            <w:webHidden/>
          </w:rPr>
          <w:fldChar w:fldCharType="begin"/>
        </w:r>
        <w:r w:rsidR="00EB2BE6">
          <w:rPr>
            <w:noProof/>
            <w:webHidden/>
          </w:rPr>
          <w:instrText xml:space="preserve"> PAGEREF _Toc44508355 \h </w:instrText>
        </w:r>
        <w:r w:rsidR="00EB2BE6">
          <w:rPr>
            <w:noProof/>
            <w:webHidden/>
          </w:rPr>
        </w:r>
        <w:r w:rsidR="00EB2BE6">
          <w:rPr>
            <w:noProof/>
            <w:webHidden/>
          </w:rPr>
          <w:fldChar w:fldCharType="separate"/>
        </w:r>
        <w:r w:rsidR="00EB2BE6">
          <w:rPr>
            <w:noProof/>
            <w:webHidden/>
          </w:rPr>
          <w:t>103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6" w:history="1">
        <w:r w:rsidR="00EB2BE6" w:rsidRPr="00A817AB">
          <w:rPr>
            <w:rStyle w:val="Kpr"/>
            <w:bCs/>
            <w:caps/>
            <w:noProof/>
            <w:lang w:val="en-GB"/>
          </w:rPr>
          <w:t>T</w:t>
        </w:r>
        <w:r w:rsidR="00EB2BE6" w:rsidRPr="00A817AB">
          <w:rPr>
            <w:rStyle w:val="Kpr"/>
            <w:bCs/>
            <w:noProof/>
            <w:lang w:val="en-GB"/>
          </w:rPr>
          <w:t>able</w:t>
        </w:r>
        <w:r w:rsidR="00EB2BE6" w:rsidRPr="00A817AB">
          <w:rPr>
            <w:rStyle w:val="Kpr"/>
            <w:bCs/>
            <w:caps/>
            <w:noProof/>
            <w:lang w:val="en-GB"/>
          </w:rPr>
          <w:t xml:space="preserve"> 5.13:</w:t>
        </w:r>
        <w:r w:rsidR="00EB2BE6" w:rsidRPr="00A817AB">
          <w:rPr>
            <w:rStyle w:val="Kpr"/>
            <w:caps/>
            <w:noProof/>
            <w:lang w:val="en-GB"/>
          </w:rPr>
          <w:t xml:space="preserve"> </w:t>
        </w:r>
        <w:r w:rsidR="00EB2BE6" w:rsidRPr="00A817AB">
          <w:rPr>
            <w:rStyle w:val="Kpr"/>
            <w:noProof/>
            <w:lang w:val="en-GB"/>
          </w:rPr>
          <w:t>Information about Organized Industrial Zones</w:t>
        </w:r>
        <w:r w:rsidR="00EB2BE6">
          <w:rPr>
            <w:noProof/>
            <w:webHidden/>
          </w:rPr>
          <w:tab/>
        </w:r>
        <w:r w:rsidR="00EB2BE6">
          <w:rPr>
            <w:noProof/>
            <w:webHidden/>
          </w:rPr>
          <w:fldChar w:fldCharType="begin"/>
        </w:r>
        <w:r w:rsidR="00EB2BE6">
          <w:rPr>
            <w:noProof/>
            <w:webHidden/>
          </w:rPr>
          <w:instrText xml:space="preserve"> PAGEREF _Toc44508356 \h </w:instrText>
        </w:r>
        <w:r w:rsidR="00EB2BE6">
          <w:rPr>
            <w:noProof/>
            <w:webHidden/>
          </w:rPr>
        </w:r>
        <w:r w:rsidR="00EB2BE6">
          <w:rPr>
            <w:noProof/>
            <w:webHidden/>
          </w:rPr>
          <w:fldChar w:fldCharType="separate"/>
        </w:r>
        <w:r w:rsidR="00EB2BE6">
          <w:rPr>
            <w:noProof/>
            <w:webHidden/>
          </w:rPr>
          <w:t>104</w:t>
        </w:r>
        <w:r w:rsidR="00EB2BE6">
          <w:rPr>
            <w:noProof/>
            <w:webHidden/>
          </w:rPr>
          <w:fldChar w:fldCharType="end"/>
        </w:r>
      </w:hyperlink>
    </w:p>
    <w:p w:rsidR="00FB4A5D" w:rsidRPr="00F876CB" w:rsidRDefault="00620430" w:rsidP="002325DC">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fldChar w:fldCharType="end"/>
      </w:r>
    </w:p>
    <w:p w:rsidR="00FB4A5D" w:rsidRPr="00F876CB" w:rsidRDefault="00FB4A5D" w:rsidP="002325DC">
      <w:pPr>
        <w:spacing w:line="360" w:lineRule="auto"/>
        <w:jc w:val="both"/>
        <w:rPr>
          <w:rFonts w:asciiTheme="minorHAnsi" w:hAnsiTheme="minorHAnsi" w:cstheme="minorHAnsi"/>
          <w:sz w:val="24"/>
          <w:szCs w:val="24"/>
          <w:lang w:val="en-GB"/>
        </w:rPr>
      </w:pPr>
    </w:p>
    <w:p w:rsidR="00FB4A5D" w:rsidRPr="00F876CB" w:rsidRDefault="00FB4A5D" w:rsidP="002325DC">
      <w:pPr>
        <w:spacing w:line="360" w:lineRule="auto"/>
        <w:jc w:val="both"/>
        <w:rPr>
          <w:rFonts w:asciiTheme="minorHAnsi" w:hAnsiTheme="minorHAnsi" w:cstheme="minorHAnsi"/>
          <w:sz w:val="24"/>
          <w:szCs w:val="24"/>
          <w:lang w:val="en-GB"/>
        </w:rPr>
      </w:pPr>
    </w:p>
    <w:p w:rsidR="00FB4A5D" w:rsidRPr="00F876CB" w:rsidRDefault="00FB4A5D" w:rsidP="002325DC">
      <w:pPr>
        <w:spacing w:line="360" w:lineRule="auto"/>
        <w:jc w:val="both"/>
        <w:rPr>
          <w:rFonts w:asciiTheme="minorHAnsi" w:hAnsiTheme="minorHAnsi" w:cstheme="minorHAnsi"/>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Pr="00F876CB" w:rsidRDefault="00427642" w:rsidP="00524E38">
      <w:pPr>
        <w:rPr>
          <w:rFonts w:asciiTheme="minorHAnsi" w:hAnsiTheme="minorHAnsi" w:cstheme="minorHAnsi"/>
          <w:b/>
          <w:sz w:val="24"/>
          <w:szCs w:val="24"/>
          <w:lang w:val="en-GB"/>
        </w:rPr>
      </w:pPr>
    </w:p>
    <w:p w:rsidR="00427642" w:rsidRDefault="00427642" w:rsidP="00524E38">
      <w:pPr>
        <w:rPr>
          <w:rFonts w:asciiTheme="minorHAnsi" w:hAnsiTheme="minorHAnsi" w:cstheme="minorHAnsi"/>
          <w:b/>
          <w:sz w:val="24"/>
          <w:szCs w:val="24"/>
          <w:lang w:val="en-GB"/>
        </w:rPr>
      </w:pPr>
    </w:p>
    <w:p w:rsidR="0049089B" w:rsidRDefault="0049089B" w:rsidP="00524E38">
      <w:pPr>
        <w:rPr>
          <w:rFonts w:asciiTheme="minorHAnsi" w:hAnsiTheme="minorHAnsi" w:cstheme="minorHAnsi"/>
          <w:b/>
          <w:sz w:val="24"/>
          <w:szCs w:val="24"/>
          <w:lang w:val="en-GB"/>
        </w:rPr>
      </w:pPr>
    </w:p>
    <w:p w:rsidR="0049089B" w:rsidRDefault="0049089B" w:rsidP="00524E38">
      <w:pPr>
        <w:rPr>
          <w:rFonts w:asciiTheme="minorHAnsi" w:hAnsiTheme="minorHAnsi" w:cstheme="minorHAnsi"/>
          <w:b/>
          <w:sz w:val="24"/>
          <w:szCs w:val="24"/>
          <w:lang w:val="en-GB"/>
        </w:rPr>
      </w:pPr>
    </w:p>
    <w:p w:rsidR="0049089B" w:rsidRDefault="0049089B"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814234" w:rsidRDefault="00814234" w:rsidP="00524E38">
      <w:pPr>
        <w:rPr>
          <w:rFonts w:asciiTheme="minorHAnsi" w:hAnsiTheme="minorHAnsi" w:cstheme="minorHAnsi"/>
          <w:b/>
          <w:sz w:val="24"/>
          <w:szCs w:val="24"/>
          <w:lang w:val="en-GB"/>
        </w:rPr>
      </w:pPr>
    </w:p>
    <w:p w:rsidR="0049089B" w:rsidRPr="00F876CB" w:rsidRDefault="0049089B" w:rsidP="00524E38">
      <w:pPr>
        <w:rPr>
          <w:rFonts w:asciiTheme="minorHAnsi" w:hAnsiTheme="minorHAnsi" w:cstheme="minorHAnsi"/>
          <w:b/>
          <w:sz w:val="24"/>
          <w:szCs w:val="24"/>
          <w:lang w:val="en-GB"/>
        </w:rPr>
      </w:pPr>
    </w:p>
    <w:p w:rsidR="00427642" w:rsidRDefault="00427642" w:rsidP="00524E38">
      <w:pPr>
        <w:rPr>
          <w:rFonts w:asciiTheme="minorHAnsi" w:hAnsiTheme="minorHAnsi" w:cstheme="minorHAnsi"/>
          <w:b/>
          <w:sz w:val="24"/>
          <w:szCs w:val="24"/>
          <w:lang w:val="en-GB"/>
        </w:rPr>
      </w:pPr>
    </w:p>
    <w:p w:rsidR="00822668" w:rsidRPr="00F876CB" w:rsidRDefault="00822668" w:rsidP="00524E38">
      <w:pPr>
        <w:rPr>
          <w:rFonts w:asciiTheme="minorHAnsi" w:hAnsiTheme="minorHAnsi" w:cstheme="minorHAnsi"/>
          <w:b/>
          <w:sz w:val="24"/>
          <w:szCs w:val="24"/>
          <w:lang w:val="en-GB"/>
        </w:rPr>
      </w:pPr>
    </w:p>
    <w:p w:rsidR="009876CB" w:rsidRDefault="00A13249" w:rsidP="00A13249">
      <w:pPr>
        <w:pStyle w:val="ekillerTablosu"/>
        <w:tabs>
          <w:tab w:val="right" w:leader="dot" w:pos="9060"/>
        </w:tabs>
        <w:jc w:val="center"/>
        <w:rPr>
          <w:rFonts w:asciiTheme="minorHAnsi" w:hAnsiTheme="minorHAnsi"/>
          <w:b/>
          <w:szCs w:val="24"/>
          <w:lang w:val="en-GB"/>
        </w:rPr>
      </w:pPr>
      <w:r w:rsidRPr="00A13249">
        <w:rPr>
          <w:rFonts w:asciiTheme="minorHAnsi" w:hAnsiTheme="minorHAnsi"/>
          <w:b/>
          <w:szCs w:val="24"/>
          <w:lang w:val="en-GB"/>
        </w:rPr>
        <w:lastRenderedPageBreak/>
        <w:t>List of Figure</w:t>
      </w:r>
    </w:p>
    <w:p w:rsidR="0049089B" w:rsidRPr="0049089B" w:rsidRDefault="0049089B" w:rsidP="0049089B">
      <w:pPr>
        <w:rPr>
          <w:lang w:val="en-GB"/>
        </w:rPr>
      </w:pPr>
    </w:p>
    <w:p w:rsidR="00EB2BE6"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sidRPr="00F876CB">
        <w:rPr>
          <w:szCs w:val="24"/>
          <w:lang w:val="en-GB"/>
        </w:rPr>
        <w:fldChar w:fldCharType="begin"/>
      </w:r>
      <w:r w:rsidRPr="00F876CB">
        <w:rPr>
          <w:szCs w:val="24"/>
          <w:lang w:val="en-GB"/>
        </w:rPr>
        <w:instrText xml:space="preserve"> TOC \h \z \t "Başlık 6;Şekiller" \c </w:instrText>
      </w:r>
      <w:r w:rsidRPr="00F876CB">
        <w:rPr>
          <w:szCs w:val="24"/>
          <w:lang w:val="en-GB"/>
        </w:rPr>
        <w:fldChar w:fldCharType="separate"/>
      </w:r>
      <w:hyperlink w:anchor="_Toc44508357" w:history="1">
        <w:r w:rsidR="00EB2BE6" w:rsidRPr="006529D8">
          <w:rPr>
            <w:rStyle w:val="Kpr"/>
            <w:noProof/>
            <w:lang w:val="en-GB"/>
          </w:rPr>
          <w:t>Figure 1.1: Electric Energy Demand and Rate of Increase by Years (GWh-%)</w:t>
        </w:r>
        <w:r w:rsidR="00EB2BE6">
          <w:rPr>
            <w:noProof/>
            <w:webHidden/>
          </w:rPr>
          <w:tab/>
        </w:r>
        <w:r w:rsidR="00EB2BE6">
          <w:rPr>
            <w:noProof/>
            <w:webHidden/>
          </w:rPr>
          <w:fldChar w:fldCharType="begin"/>
        </w:r>
        <w:r w:rsidR="00EB2BE6">
          <w:rPr>
            <w:noProof/>
            <w:webHidden/>
          </w:rPr>
          <w:instrText xml:space="preserve"> PAGEREF _Toc44508357 \h </w:instrText>
        </w:r>
        <w:r w:rsidR="00EB2BE6">
          <w:rPr>
            <w:noProof/>
            <w:webHidden/>
          </w:rPr>
        </w:r>
        <w:r w:rsidR="00EB2BE6">
          <w:rPr>
            <w:noProof/>
            <w:webHidden/>
          </w:rPr>
          <w:fldChar w:fldCharType="separate"/>
        </w:r>
        <w:r w:rsidR="00EB2BE6">
          <w:rPr>
            <w:noProof/>
            <w:webHidden/>
          </w:rPr>
          <w:t>17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8" w:history="1">
        <w:r w:rsidR="00EB2BE6" w:rsidRPr="006529D8">
          <w:rPr>
            <w:rStyle w:val="Kpr"/>
            <w:noProof/>
            <w:lang w:val="en-GB"/>
          </w:rPr>
          <w:t>Figure 1.2: Peak Demand and Rate of Increase by Years (MW-%)</w:t>
        </w:r>
        <w:r w:rsidR="00EB2BE6">
          <w:rPr>
            <w:noProof/>
            <w:webHidden/>
          </w:rPr>
          <w:tab/>
        </w:r>
        <w:r w:rsidR="00EB2BE6">
          <w:rPr>
            <w:noProof/>
            <w:webHidden/>
          </w:rPr>
          <w:fldChar w:fldCharType="begin"/>
        </w:r>
        <w:r w:rsidR="00EB2BE6">
          <w:rPr>
            <w:noProof/>
            <w:webHidden/>
          </w:rPr>
          <w:instrText xml:space="preserve"> PAGEREF _Toc44508358 \h </w:instrText>
        </w:r>
        <w:r w:rsidR="00EB2BE6">
          <w:rPr>
            <w:noProof/>
            <w:webHidden/>
          </w:rPr>
        </w:r>
        <w:r w:rsidR="00EB2BE6">
          <w:rPr>
            <w:noProof/>
            <w:webHidden/>
          </w:rPr>
          <w:fldChar w:fldCharType="separate"/>
        </w:r>
        <w:r w:rsidR="00EB2BE6">
          <w:rPr>
            <w:noProof/>
            <w:webHidden/>
          </w:rPr>
          <w:t>17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59" w:history="1">
        <w:r w:rsidR="00EB2BE6" w:rsidRPr="006529D8">
          <w:rPr>
            <w:rStyle w:val="Kpr"/>
            <w:noProof/>
            <w:lang w:val="en-GB"/>
          </w:rPr>
          <w:t>Figure 1.3: Rate of Increase of Demand and Peak Demand by Year (%)</w:t>
        </w:r>
        <w:r w:rsidR="00EB2BE6">
          <w:rPr>
            <w:noProof/>
            <w:webHidden/>
          </w:rPr>
          <w:tab/>
        </w:r>
        <w:r w:rsidR="00EB2BE6">
          <w:rPr>
            <w:noProof/>
            <w:webHidden/>
          </w:rPr>
          <w:fldChar w:fldCharType="begin"/>
        </w:r>
        <w:r w:rsidR="00EB2BE6">
          <w:rPr>
            <w:noProof/>
            <w:webHidden/>
          </w:rPr>
          <w:instrText xml:space="preserve"> PAGEREF _Toc44508359 \h </w:instrText>
        </w:r>
        <w:r w:rsidR="00EB2BE6">
          <w:rPr>
            <w:noProof/>
            <w:webHidden/>
          </w:rPr>
        </w:r>
        <w:r w:rsidR="00EB2BE6">
          <w:rPr>
            <w:noProof/>
            <w:webHidden/>
          </w:rPr>
          <w:fldChar w:fldCharType="separate"/>
        </w:r>
        <w:r w:rsidR="00EB2BE6">
          <w:rPr>
            <w:noProof/>
            <w:webHidden/>
          </w:rPr>
          <w:t>18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0" w:history="1">
        <w:r w:rsidR="00EB2BE6" w:rsidRPr="006529D8">
          <w:rPr>
            <w:rStyle w:val="Kpr"/>
            <w:noProof/>
            <w:lang w:val="en-GB"/>
          </w:rPr>
          <w:t>Figure 1.4: Monthly Distribution of Licensed Electricity Generation and Consumption in 2019 (GWh)</w:t>
        </w:r>
        <w:r w:rsidR="00EB2BE6">
          <w:rPr>
            <w:noProof/>
            <w:webHidden/>
          </w:rPr>
          <w:tab/>
        </w:r>
        <w:r w:rsidR="00EB2BE6">
          <w:rPr>
            <w:noProof/>
            <w:webHidden/>
          </w:rPr>
          <w:fldChar w:fldCharType="begin"/>
        </w:r>
        <w:r w:rsidR="00EB2BE6">
          <w:rPr>
            <w:noProof/>
            <w:webHidden/>
          </w:rPr>
          <w:instrText xml:space="preserve"> PAGEREF _Toc44508360 \h </w:instrText>
        </w:r>
        <w:r w:rsidR="00EB2BE6">
          <w:rPr>
            <w:noProof/>
            <w:webHidden/>
          </w:rPr>
        </w:r>
        <w:r w:rsidR="00EB2BE6">
          <w:rPr>
            <w:noProof/>
            <w:webHidden/>
          </w:rPr>
          <w:fldChar w:fldCharType="separate"/>
        </w:r>
        <w:r w:rsidR="00EB2BE6">
          <w:rPr>
            <w:noProof/>
            <w:webHidden/>
          </w:rPr>
          <w:t>18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1" w:history="1">
        <w:r w:rsidR="00EB2BE6" w:rsidRPr="006529D8">
          <w:rPr>
            <w:rStyle w:val="Kpr"/>
            <w:noProof/>
            <w:lang w:val="en-GB"/>
          </w:rPr>
          <w:t>Figure 1.5: Distribution of Licensed Electricity Generation in 2019 by Corporations(%)</w:t>
        </w:r>
        <w:r w:rsidR="00EB2BE6">
          <w:rPr>
            <w:noProof/>
            <w:webHidden/>
          </w:rPr>
          <w:tab/>
        </w:r>
        <w:r w:rsidR="00EB2BE6">
          <w:rPr>
            <w:noProof/>
            <w:webHidden/>
          </w:rPr>
          <w:fldChar w:fldCharType="begin"/>
        </w:r>
        <w:r w:rsidR="00EB2BE6">
          <w:rPr>
            <w:noProof/>
            <w:webHidden/>
          </w:rPr>
          <w:instrText xml:space="preserve"> PAGEREF _Toc44508361 \h </w:instrText>
        </w:r>
        <w:r w:rsidR="00EB2BE6">
          <w:rPr>
            <w:noProof/>
            <w:webHidden/>
          </w:rPr>
        </w:r>
        <w:r w:rsidR="00EB2BE6">
          <w:rPr>
            <w:noProof/>
            <w:webHidden/>
          </w:rPr>
          <w:fldChar w:fldCharType="separate"/>
        </w:r>
        <w:r w:rsidR="00EB2BE6">
          <w:rPr>
            <w:noProof/>
            <w:webHidden/>
          </w:rPr>
          <w:t>19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2" w:history="1">
        <w:r w:rsidR="00EB2BE6" w:rsidRPr="006529D8">
          <w:rPr>
            <w:rStyle w:val="Kpr"/>
            <w:noProof/>
            <w:lang w:val="en-GB"/>
          </w:rPr>
          <w:t>Figure 1.6: Change of Licensed Electricity Generation as Public-Private by Years (%)</w:t>
        </w:r>
        <w:r w:rsidR="00EB2BE6">
          <w:rPr>
            <w:noProof/>
            <w:webHidden/>
          </w:rPr>
          <w:tab/>
        </w:r>
        <w:r w:rsidR="00EB2BE6">
          <w:rPr>
            <w:noProof/>
            <w:webHidden/>
          </w:rPr>
          <w:fldChar w:fldCharType="begin"/>
        </w:r>
        <w:r w:rsidR="00EB2BE6">
          <w:rPr>
            <w:noProof/>
            <w:webHidden/>
          </w:rPr>
          <w:instrText xml:space="preserve"> PAGEREF _Toc44508362 \h </w:instrText>
        </w:r>
        <w:r w:rsidR="00EB2BE6">
          <w:rPr>
            <w:noProof/>
            <w:webHidden/>
          </w:rPr>
        </w:r>
        <w:r w:rsidR="00EB2BE6">
          <w:rPr>
            <w:noProof/>
            <w:webHidden/>
          </w:rPr>
          <w:fldChar w:fldCharType="separate"/>
        </w:r>
        <w:r w:rsidR="00EB2BE6">
          <w:rPr>
            <w:noProof/>
            <w:webHidden/>
          </w:rPr>
          <w:t>19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3" w:history="1">
        <w:r w:rsidR="00EB2BE6" w:rsidRPr="006529D8">
          <w:rPr>
            <w:rStyle w:val="Kpr"/>
            <w:noProof/>
            <w:lang w:val="en-GB"/>
          </w:rPr>
          <w:t>Figure 1.7: The Distribution of Licensed Electricity Generation by Sources in 2019 (%)</w:t>
        </w:r>
        <w:r w:rsidR="00EB2BE6">
          <w:rPr>
            <w:noProof/>
            <w:webHidden/>
          </w:rPr>
          <w:tab/>
        </w:r>
        <w:r w:rsidR="00EB2BE6">
          <w:rPr>
            <w:noProof/>
            <w:webHidden/>
          </w:rPr>
          <w:fldChar w:fldCharType="begin"/>
        </w:r>
        <w:r w:rsidR="00EB2BE6">
          <w:rPr>
            <w:noProof/>
            <w:webHidden/>
          </w:rPr>
          <w:instrText xml:space="preserve"> PAGEREF _Toc44508363 \h </w:instrText>
        </w:r>
        <w:r w:rsidR="00EB2BE6">
          <w:rPr>
            <w:noProof/>
            <w:webHidden/>
          </w:rPr>
        </w:r>
        <w:r w:rsidR="00EB2BE6">
          <w:rPr>
            <w:noProof/>
            <w:webHidden/>
          </w:rPr>
          <w:fldChar w:fldCharType="separate"/>
        </w:r>
        <w:r w:rsidR="00EB2BE6">
          <w:rPr>
            <w:noProof/>
            <w:webHidden/>
          </w:rPr>
          <w:t>20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4" w:history="1">
        <w:r w:rsidR="00EB2BE6" w:rsidRPr="006529D8">
          <w:rPr>
            <w:rStyle w:val="Kpr"/>
            <w:noProof/>
            <w:lang w:val="en-GB"/>
          </w:rPr>
          <w:t>Figure 1.8: Source-Based Development of Licensed Electricity Generation by Years (GWh)</w:t>
        </w:r>
        <w:r w:rsidR="00EB2BE6">
          <w:rPr>
            <w:noProof/>
            <w:webHidden/>
          </w:rPr>
          <w:tab/>
        </w:r>
        <w:r w:rsidR="00EB2BE6">
          <w:rPr>
            <w:noProof/>
            <w:webHidden/>
          </w:rPr>
          <w:fldChar w:fldCharType="begin"/>
        </w:r>
        <w:r w:rsidR="00EB2BE6">
          <w:rPr>
            <w:noProof/>
            <w:webHidden/>
          </w:rPr>
          <w:instrText xml:space="preserve"> PAGEREF _Toc44508364 \h </w:instrText>
        </w:r>
        <w:r w:rsidR="00EB2BE6">
          <w:rPr>
            <w:noProof/>
            <w:webHidden/>
          </w:rPr>
        </w:r>
        <w:r w:rsidR="00EB2BE6">
          <w:rPr>
            <w:noProof/>
            <w:webHidden/>
          </w:rPr>
          <w:fldChar w:fldCharType="separate"/>
        </w:r>
        <w:r w:rsidR="00EB2BE6">
          <w:rPr>
            <w:noProof/>
            <w:webHidden/>
          </w:rPr>
          <w:t>21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5" w:history="1">
        <w:r w:rsidR="00EB2BE6" w:rsidRPr="006529D8">
          <w:rPr>
            <w:rStyle w:val="Kpr"/>
            <w:noProof/>
            <w:lang w:val="en-GB"/>
          </w:rPr>
          <w:t>Figure 1.9: Daily Licensed Electricity Generation in 2019 (MWh)</w:t>
        </w:r>
        <w:r w:rsidR="00EB2BE6">
          <w:rPr>
            <w:noProof/>
            <w:webHidden/>
          </w:rPr>
          <w:tab/>
        </w:r>
        <w:r w:rsidR="00EB2BE6">
          <w:rPr>
            <w:noProof/>
            <w:webHidden/>
          </w:rPr>
          <w:fldChar w:fldCharType="begin"/>
        </w:r>
        <w:r w:rsidR="00EB2BE6">
          <w:rPr>
            <w:noProof/>
            <w:webHidden/>
          </w:rPr>
          <w:instrText xml:space="preserve"> PAGEREF _Toc44508365 \h </w:instrText>
        </w:r>
        <w:r w:rsidR="00EB2BE6">
          <w:rPr>
            <w:noProof/>
            <w:webHidden/>
          </w:rPr>
        </w:r>
        <w:r w:rsidR="00EB2BE6">
          <w:rPr>
            <w:noProof/>
            <w:webHidden/>
          </w:rPr>
          <w:fldChar w:fldCharType="separate"/>
        </w:r>
        <w:r w:rsidR="00EB2BE6">
          <w:rPr>
            <w:noProof/>
            <w:webHidden/>
          </w:rPr>
          <w:t>21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6" w:history="1">
        <w:r w:rsidR="00EB2BE6" w:rsidRPr="006529D8">
          <w:rPr>
            <w:rStyle w:val="Kpr"/>
            <w:noProof/>
            <w:lang w:val="en-GB"/>
          </w:rPr>
          <w:t>Figure 1.10: Hour-Based Electricity Generation in 2019 (MWh)</w:t>
        </w:r>
        <w:r w:rsidR="00EB2BE6">
          <w:rPr>
            <w:noProof/>
            <w:webHidden/>
          </w:rPr>
          <w:tab/>
        </w:r>
        <w:r w:rsidR="00EB2BE6">
          <w:rPr>
            <w:noProof/>
            <w:webHidden/>
          </w:rPr>
          <w:fldChar w:fldCharType="begin"/>
        </w:r>
        <w:r w:rsidR="00EB2BE6">
          <w:rPr>
            <w:noProof/>
            <w:webHidden/>
          </w:rPr>
          <w:instrText xml:space="preserve"> PAGEREF _Toc44508366 \h </w:instrText>
        </w:r>
        <w:r w:rsidR="00EB2BE6">
          <w:rPr>
            <w:noProof/>
            <w:webHidden/>
          </w:rPr>
        </w:r>
        <w:r w:rsidR="00EB2BE6">
          <w:rPr>
            <w:noProof/>
            <w:webHidden/>
          </w:rPr>
          <w:fldChar w:fldCharType="separate"/>
        </w:r>
        <w:r w:rsidR="00EB2BE6">
          <w:rPr>
            <w:noProof/>
            <w:webHidden/>
          </w:rPr>
          <w:t>22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7" w:history="1">
        <w:r w:rsidR="00EB2BE6" w:rsidRPr="006529D8">
          <w:rPr>
            <w:rStyle w:val="Kpr"/>
            <w:noProof/>
            <w:lang w:val="en-GB"/>
          </w:rPr>
          <w:t>Figure 1.11: The share of First 10 Companies within Electricity Generation in 2019 (%)</w:t>
        </w:r>
        <w:r w:rsidR="00EB2BE6">
          <w:rPr>
            <w:noProof/>
            <w:webHidden/>
          </w:rPr>
          <w:tab/>
        </w:r>
        <w:r w:rsidR="00EB2BE6">
          <w:rPr>
            <w:noProof/>
            <w:webHidden/>
          </w:rPr>
          <w:fldChar w:fldCharType="begin"/>
        </w:r>
        <w:r w:rsidR="00EB2BE6">
          <w:rPr>
            <w:noProof/>
            <w:webHidden/>
          </w:rPr>
          <w:instrText xml:space="preserve"> PAGEREF _Toc44508367 \h </w:instrText>
        </w:r>
        <w:r w:rsidR="00EB2BE6">
          <w:rPr>
            <w:noProof/>
            <w:webHidden/>
          </w:rPr>
        </w:r>
        <w:r w:rsidR="00EB2BE6">
          <w:rPr>
            <w:noProof/>
            <w:webHidden/>
          </w:rPr>
          <w:fldChar w:fldCharType="separate"/>
        </w:r>
        <w:r w:rsidR="00EB2BE6">
          <w:rPr>
            <w:noProof/>
            <w:webHidden/>
          </w:rPr>
          <w:t>24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8" w:history="1">
        <w:r w:rsidR="00EB2BE6" w:rsidRPr="006529D8">
          <w:rPr>
            <w:rStyle w:val="Kpr"/>
            <w:noProof/>
            <w:lang w:val="en-GB"/>
          </w:rPr>
          <w:t>Figure 1.12: Distribution of Licensed Installed Capacity by Sources at the End of 2019 (%)</w:t>
        </w:r>
        <w:r w:rsidR="00EB2BE6">
          <w:rPr>
            <w:noProof/>
            <w:webHidden/>
          </w:rPr>
          <w:tab/>
        </w:r>
        <w:r w:rsidR="00EB2BE6">
          <w:rPr>
            <w:noProof/>
            <w:webHidden/>
          </w:rPr>
          <w:fldChar w:fldCharType="begin"/>
        </w:r>
        <w:r w:rsidR="00EB2BE6">
          <w:rPr>
            <w:noProof/>
            <w:webHidden/>
          </w:rPr>
          <w:instrText xml:space="preserve"> PAGEREF _Toc44508368 \h </w:instrText>
        </w:r>
        <w:r w:rsidR="00EB2BE6">
          <w:rPr>
            <w:noProof/>
            <w:webHidden/>
          </w:rPr>
        </w:r>
        <w:r w:rsidR="00EB2BE6">
          <w:rPr>
            <w:noProof/>
            <w:webHidden/>
          </w:rPr>
          <w:fldChar w:fldCharType="separate"/>
        </w:r>
        <w:r w:rsidR="00EB2BE6">
          <w:rPr>
            <w:noProof/>
            <w:webHidden/>
          </w:rPr>
          <w:t>25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69" w:history="1">
        <w:r w:rsidR="00EB2BE6" w:rsidRPr="006529D8">
          <w:rPr>
            <w:rStyle w:val="Kpr"/>
            <w:noProof/>
            <w:lang w:val="en-GB"/>
          </w:rPr>
          <w:t>Figure 1.13: Distribution of Licensed Installed Capacity by Organizations at the End of 2019 (%)</w:t>
        </w:r>
        <w:r w:rsidR="00EB2BE6">
          <w:rPr>
            <w:noProof/>
            <w:webHidden/>
          </w:rPr>
          <w:tab/>
        </w:r>
        <w:r w:rsidR="00EB2BE6">
          <w:rPr>
            <w:noProof/>
            <w:webHidden/>
          </w:rPr>
          <w:fldChar w:fldCharType="begin"/>
        </w:r>
        <w:r w:rsidR="00EB2BE6">
          <w:rPr>
            <w:noProof/>
            <w:webHidden/>
          </w:rPr>
          <w:instrText xml:space="preserve"> PAGEREF _Toc44508369 \h </w:instrText>
        </w:r>
        <w:r w:rsidR="00EB2BE6">
          <w:rPr>
            <w:noProof/>
            <w:webHidden/>
          </w:rPr>
        </w:r>
        <w:r w:rsidR="00EB2BE6">
          <w:rPr>
            <w:noProof/>
            <w:webHidden/>
          </w:rPr>
          <w:fldChar w:fldCharType="separate"/>
        </w:r>
        <w:r w:rsidR="00EB2BE6">
          <w:rPr>
            <w:noProof/>
            <w:webHidden/>
          </w:rPr>
          <w:t>26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0" w:history="1">
        <w:r w:rsidR="00EB2BE6" w:rsidRPr="006529D8">
          <w:rPr>
            <w:rStyle w:val="Kpr"/>
            <w:noProof/>
            <w:lang w:val="en-GB"/>
          </w:rPr>
          <w:t>Figure 1.14: The Development of Licensed Installed Capacity According to Source by Years (MW)</w:t>
        </w:r>
        <w:r w:rsidR="00EB2BE6">
          <w:rPr>
            <w:noProof/>
            <w:webHidden/>
          </w:rPr>
          <w:tab/>
        </w:r>
        <w:r w:rsidR="00EB2BE6">
          <w:rPr>
            <w:noProof/>
            <w:webHidden/>
          </w:rPr>
          <w:fldChar w:fldCharType="begin"/>
        </w:r>
        <w:r w:rsidR="00EB2BE6">
          <w:rPr>
            <w:noProof/>
            <w:webHidden/>
          </w:rPr>
          <w:instrText xml:space="preserve"> PAGEREF _Toc44508370 \h </w:instrText>
        </w:r>
        <w:r w:rsidR="00EB2BE6">
          <w:rPr>
            <w:noProof/>
            <w:webHidden/>
          </w:rPr>
        </w:r>
        <w:r w:rsidR="00EB2BE6">
          <w:rPr>
            <w:noProof/>
            <w:webHidden/>
          </w:rPr>
          <w:fldChar w:fldCharType="separate"/>
        </w:r>
        <w:r w:rsidR="00EB2BE6">
          <w:rPr>
            <w:noProof/>
            <w:webHidden/>
          </w:rPr>
          <w:t>26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1" w:history="1">
        <w:r w:rsidR="00EB2BE6" w:rsidRPr="006529D8">
          <w:rPr>
            <w:rStyle w:val="Kpr"/>
            <w:noProof/>
            <w:lang w:val="en-GB"/>
          </w:rPr>
          <w:t>Figure 1.15: The Development of the Share of the Sources within the Installed Capacity by Years (%)</w:t>
        </w:r>
        <w:r w:rsidR="00EB2BE6">
          <w:rPr>
            <w:noProof/>
            <w:webHidden/>
          </w:rPr>
          <w:tab/>
        </w:r>
        <w:r w:rsidR="00EB2BE6">
          <w:rPr>
            <w:noProof/>
            <w:webHidden/>
          </w:rPr>
          <w:fldChar w:fldCharType="begin"/>
        </w:r>
        <w:r w:rsidR="00EB2BE6">
          <w:rPr>
            <w:noProof/>
            <w:webHidden/>
          </w:rPr>
          <w:instrText xml:space="preserve"> PAGEREF _Toc44508371 \h </w:instrText>
        </w:r>
        <w:r w:rsidR="00EB2BE6">
          <w:rPr>
            <w:noProof/>
            <w:webHidden/>
          </w:rPr>
        </w:r>
        <w:r w:rsidR="00EB2BE6">
          <w:rPr>
            <w:noProof/>
            <w:webHidden/>
          </w:rPr>
          <w:fldChar w:fldCharType="separate"/>
        </w:r>
        <w:r w:rsidR="00EB2BE6">
          <w:rPr>
            <w:noProof/>
            <w:webHidden/>
          </w:rPr>
          <w:t>27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2" w:history="1">
        <w:r w:rsidR="00EB2BE6" w:rsidRPr="006529D8">
          <w:rPr>
            <w:rStyle w:val="Kpr"/>
            <w:noProof/>
            <w:lang w:val="en-GB"/>
          </w:rPr>
          <w:t>Figure 1.16: The Share of the First 10 Companies in Installed Capacity at the End of 2019 (%)</w:t>
        </w:r>
        <w:r w:rsidR="00EB2BE6">
          <w:rPr>
            <w:noProof/>
            <w:webHidden/>
          </w:rPr>
          <w:tab/>
        </w:r>
        <w:r w:rsidR="00EB2BE6">
          <w:rPr>
            <w:noProof/>
            <w:webHidden/>
          </w:rPr>
          <w:fldChar w:fldCharType="begin"/>
        </w:r>
        <w:r w:rsidR="00EB2BE6">
          <w:rPr>
            <w:noProof/>
            <w:webHidden/>
          </w:rPr>
          <w:instrText xml:space="preserve"> PAGEREF _Toc44508372 \h </w:instrText>
        </w:r>
        <w:r w:rsidR="00EB2BE6">
          <w:rPr>
            <w:noProof/>
            <w:webHidden/>
          </w:rPr>
        </w:r>
        <w:r w:rsidR="00EB2BE6">
          <w:rPr>
            <w:noProof/>
            <w:webHidden/>
          </w:rPr>
          <w:fldChar w:fldCharType="separate"/>
        </w:r>
        <w:r w:rsidR="00EB2BE6">
          <w:rPr>
            <w:noProof/>
            <w:webHidden/>
          </w:rPr>
          <w:t>29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3" w:history="1">
        <w:r w:rsidR="00EB2BE6" w:rsidRPr="006529D8">
          <w:rPr>
            <w:rStyle w:val="Kpr"/>
            <w:noProof/>
            <w:lang w:val="en-GB"/>
          </w:rPr>
          <w:t>Figure 1.17: Distribution of Unlicensed Installed Capacity by Sources at the End of 2019 (%)</w:t>
        </w:r>
        <w:r w:rsidR="00EB2BE6">
          <w:rPr>
            <w:noProof/>
            <w:webHidden/>
          </w:rPr>
          <w:tab/>
        </w:r>
        <w:r w:rsidR="00EB2BE6">
          <w:rPr>
            <w:noProof/>
            <w:webHidden/>
          </w:rPr>
          <w:fldChar w:fldCharType="begin"/>
        </w:r>
        <w:r w:rsidR="00EB2BE6">
          <w:rPr>
            <w:noProof/>
            <w:webHidden/>
          </w:rPr>
          <w:instrText xml:space="preserve"> PAGEREF _Toc44508373 \h </w:instrText>
        </w:r>
        <w:r w:rsidR="00EB2BE6">
          <w:rPr>
            <w:noProof/>
            <w:webHidden/>
          </w:rPr>
        </w:r>
        <w:r w:rsidR="00EB2BE6">
          <w:rPr>
            <w:noProof/>
            <w:webHidden/>
          </w:rPr>
          <w:fldChar w:fldCharType="separate"/>
        </w:r>
        <w:r w:rsidR="00EB2BE6">
          <w:rPr>
            <w:noProof/>
            <w:webHidden/>
          </w:rPr>
          <w:t>31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4" w:history="1">
        <w:r w:rsidR="00EB2BE6" w:rsidRPr="006529D8">
          <w:rPr>
            <w:rStyle w:val="Kpr"/>
            <w:noProof/>
            <w:lang w:val="en-GB"/>
          </w:rPr>
          <w:t>Figure 1.18: Distribution of Unlicensed Electricity Generation by Sources in 2019 (%)</w:t>
        </w:r>
        <w:r w:rsidR="00EB2BE6">
          <w:rPr>
            <w:noProof/>
            <w:webHidden/>
          </w:rPr>
          <w:tab/>
        </w:r>
        <w:r w:rsidR="00EB2BE6">
          <w:rPr>
            <w:noProof/>
            <w:webHidden/>
          </w:rPr>
          <w:fldChar w:fldCharType="begin"/>
        </w:r>
        <w:r w:rsidR="00EB2BE6">
          <w:rPr>
            <w:noProof/>
            <w:webHidden/>
          </w:rPr>
          <w:instrText xml:space="preserve"> PAGEREF _Toc44508374 \h </w:instrText>
        </w:r>
        <w:r w:rsidR="00EB2BE6">
          <w:rPr>
            <w:noProof/>
            <w:webHidden/>
          </w:rPr>
        </w:r>
        <w:r w:rsidR="00EB2BE6">
          <w:rPr>
            <w:noProof/>
            <w:webHidden/>
          </w:rPr>
          <w:fldChar w:fldCharType="separate"/>
        </w:r>
        <w:r w:rsidR="00EB2BE6">
          <w:rPr>
            <w:noProof/>
            <w:webHidden/>
          </w:rPr>
          <w:t>34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5" w:history="1">
        <w:r w:rsidR="00EB2BE6" w:rsidRPr="006529D8">
          <w:rPr>
            <w:rStyle w:val="Kpr"/>
            <w:noProof/>
            <w:lang w:val="en-GB"/>
          </w:rPr>
          <w:t>Figure 1.19: Distribution of Invoiced Consumption by Consumer Type in 2019 (%)</w:t>
        </w:r>
        <w:r w:rsidR="00EB2BE6">
          <w:rPr>
            <w:noProof/>
            <w:webHidden/>
          </w:rPr>
          <w:tab/>
        </w:r>
        <w:r w:rsidR="00EB2BE6">
          <w:rPr>
            <w:noProof/>
            <w:webHidden/>
          </w:rPr>
          <w:fldChar w:fldCharType="begin"/>
        </w:r>
        <w:r w:rsidR="00EB2BE6">
          <w:rPr>
            <w:noProof/>
            <w:webHidden/>
          </w:rPr>
          <w:instrText xml:space="preserve"> PAGEREF _Toc44508375 \h </w:instrText>
        </w:r>
        <w:r w:rsidR="00EB2BE6">
          <w:rPr>
            <w:noProof/>
            <w:webHidden/>
          </w:rPr>
        </w:r>
        <w:r w:rsidR="00EB2BE6">
          <w:rPr>
            <w:noProof/>
            <w:webHidden/>
          </w:rPr>
          <w:fldChar w:fldCharType="separate"/>
        </w:r>
        <w:r w:rsidR="00EB2BE6">
          <w:rPr>
            <w:noProof/>
            <w:webHidden/>
          </w:rPr>
          <w:t>40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6" w:history="1">
        <w:r w:rsidR="00EB2BE6" w:rsidRPr="006529D8">
          <w:rPr>
            <w:rStyle w:val="Kpr"/>
            <w:noProof/>
            <w:lang w:val="en-GB"/>
          </w:rPr>
          <w:t>Figure 1.20: Distribution of Invoiced Consumption by Months (MWh)</w:t>
        </w:r>
        <w:r w:rsidR="00EB2BE6">
          <w:rPr>
            <w:noProof/>
            <w:webHidden/>
          </w:rPr>
          <w:tab/>
        </w:r>
        <w:r w:rsidR="00EB2BE6">
          <w:rPr>
            <w:noProof/>
            <w:webHidden/>
          </w:rPr>
          <w:fldChar w:fldCharType="begin"/>
        </w:r>
        <w:r w:rsidR="00EB2BE6">
          <w:rPr>
            <w:noProof/>
            <w:webHidden/>
          </w:rPr>
          <w:instrText xml:space="preserve"> PAGEREF _Toc44508376 \h </w:instrText>
        </w:r>
        <w:r w:rsidR="00EB2BE6">
          <w:rPr>
            <w:noProof/>
            <w:webHidden/>
          </w:rPr>
        </w:r>
        <w:r w:rsidR="00EB2BE6">
          <w:rPr>
            <w:noProof/>
            <w:webHidden/>
          </w:rPr>
          <w:fldChar w:fldCharType="separate"/>
        </w:r>
        <w:r w:rsidR="00EB2BE6">
          <w:rPr>
            <w:noProof/>
            <w:webHidden/>
          </w:rPr>
          <w:t>46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7" w:history="1">
        <w:r w:rsidR="00EB2BE6" w:rsidRPr="006529D8">
          <w:rPr>
            <w:rStyle w:val="Kpr"/>
            <w:noProof/>
            <w:lang w:val="en-GB"/>
          </w:rPr>
          <w:t>Figure 1.21: Development of Gross Consumption by Years (GWh)</w:t>
        </w:r>
        <w:r w:rsidR="00EB2BE6">
          <w:rPr>
            <w:noProof/>
            <w:webHidden/>
          </w:rPr>
          <w:tab/>
        </w:r>
        <w:r w:rsidR="00EB2BE6">
          <w:rPr>
            <w:noProof/>
            <w:webHidden/>
          </w:rPr>
          <w:fldChar w:fldCharType="begin"/>
        </w:r>
        <w:r w:rsidR="00EB2BE6">
          <w:rPr>
            <w:noProof/>
            <w:webHidden/>
          </w:rPr>
          <w:instrText xml:space="preserve"> PAGEREF _Toc44508377 \h </w:instrText>
        </w:r>
        <w:r w:rsidR="00EB2BE6">
          <w:rPr>
            <w:noProof/>
            <w:webHidden/>
          </w:rPr>
        </w:r>
        <w:r w:rsidR="00EB2BE6">
          <w:rPr>
            <w:noProof/>
            <w:webHidden/>
          </w:rPr>
          <w:fldChar w:fldCharType="separate"/>
        </w:r>
        <w:r w:rsidR="00EB2BE6">
          <w:rPr>
            <w:noProof/>
            <w:webHidden/>
          </w:rPr>
          <w:t>46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8" w:history="1">
        <w:r w:rsidR="00EB2BE6" w:rsidRPr="006529D8">
          <w:rPr>
            <w:rStyle w:val="Kpr"/>
            <w:noProof/>
            <w:lang w:val="en-GB"/>
          </w:rPr>
          <w:t>Figure 1.22: Electricity Imports in 2019 by Months (MWh)</w:t>
        </w:r>
        <w:r w:rsidR="00EB2BE6">
          <w:rPr>
            <w:noProof/>
            <w:webHidden/>
          </w:rPr>
          <w:tab/>
        </w:r>
        <w:r w:rsidR="00EB2BE6">
          <w:rPr>
            <w:noProof/>
            <w:webHidden/>
          </w:rPr>
          <w:fldChar w:fldCharType="begin"/>
        </w:r>
        <w:r w:rsidR="00EB2BE6">
          <w:rPr>
            <w:noProof/>
            <w:webHidden/>
          </w:rPr>
          <w:instrText xml:space="preserve"> PAGEREF _Toc44508378 \h </w:instrText>
        </w:r>
        <w:r w:rsidR="00EB2BE6">
          <w:rPr>
            <w:noProof/>
            <w:webHidden/>
          </w:rPr>
        </w:r>
        <w:r w:rsidR="00EB2BE6">
          <w:rPr>
            <w:noProof/>
            <w:webHidden/>
          </w:rPr>
          <w:fldChar w:fldCharType="separate"/>
        </w:r>
        <w:r w:rsidR="00EB2BE6">
          <w:rPr>
            <w:noProof/>
            <w:webHidden/>
          </w:rPr>
          <w:t>47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79" w:history="1">
        <w:r w:rsidR="00EB2BE6" w:rsidRPr="006529D8">
          <w:rPr>
            <w:rStyle w:val="Kpr"/>
            <w:noProof/>
            <w:lang w:val="en-GB"/>
          </w:rPr>
          <w:t>Figure 1.23: Electricity Exports in 2019 by Months (MWh)</w:t>
        </w:r>
        <w:r w:rsidR="00EB2BE6">
          <w:rPr>
            <w:noProof/>
            <w:webHidden/>
          </w:rPr>
          <w:tab/>
        </w:r>
        <w:r w:rsidR="00EB2BE6">
          <w:rPr>
            <w:noProof/>
            <w:webHidden/>
          </w:rPr>
          <w:fldChar w:fldCharType="begin"/>
        </w:r>
        <w:r w:rsidR="00EB2BE6">
          <w:rPr>
            <w:noProof/>
            <w:webHidden/>
          </w:rPr>
          <w:instrText xml:space="preserve"> PAGEREF _Toc44508379 \h </w:instrText>
        </w:r>
        <w:r w:rsidR="00EB2BE6">
          <w:rPr>
            <w:noProof/>
            <w:webHidden/>
          </w:rPr>
        </w:r>
        <w:r w:rsidR="00EB2BE6">
          <w:rPr>
            <w:noProof/>
            <w:webHidden/>
          </w:rPr>
          <w:fldChar w:fldCharType="separate"/>
        </w:r>
        <w:r w:rsidR="00EB2BE6">
          <w:rPr>
            <w:noProof/>
            <w:webHidden/>
          </w:rPr>
          <w:t>48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0" w:history="1">
        <w:r w:rsidR="00EB2BE6" w:rsidRPr="006529D8">
          <w:rPr>
            <w:rStyle w:val="Kpr"/>
            <w:noProof/>
            <w:lang w:val="en-GB"/>
          </w:rPr>
          <w:t>Figure 2.1.1: Hourly Development of Weighted Average Market Clearing Price in 2019 (TL/MWh)</w:t>
        </w:r>
        <w:r w:rsidR="00EB2BE6">
          <w:rPr>
            <w:noProof/>
            <w:webHidden/>
          </w:rPr>
          <w:tab/>
        </w:r>
        <w:r w:rsidR="00EB2BE6">
          <w:rPr>
            <w:noProof/>
            <w:webHidden/>
          </w:rPr>
          <w:fldChar w:fldCharType="begin"/>
        </w:r>
        <w:r w:rsidR="00EB2BE6">
          <w:rPr>
            <w:noProof/>
            <w:webHidden/>
          </w:rPr>
          <w:instrText xml:space="preserve"> PAGEREF _Toc44508380 \h </w:instrText>
        </w:r>
        <w:r w:rsidR="00EB2BE6">
          <w:rPr>
            <w:noProof/>
            <w:webHidden/>
          </w:rPr>
        </w:r>
        <w:r w:rsidR="00EB2BE6">
          <w:rPr>
            <w:noProof/>
            <w:webHidden/>
          </w:rPr>
          <w:fldChar w:fldCharType="separate"/>
        </w:r>
        <w:r w:rsidR="00EB2BE6">
          <w:rPr>
            <w:noProof/>
            <w:webHidden/>
          </w:rPr>
          <w:t>51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1" w:history="1">
        <w:r w:rsidR="00EB2BE6" w:rsidRPr="006529D8">
          <w:rPr>
            <w:rStyle w:val="Kpr"/>
            <w:noProof/>
            <w:lang w:val="en-GB"/>
          </w:rPr>
          <w:t>Figure 2.1.2: Organized and Weighted Average MCP in 2019 (TL/MWh)</w:t>
        </w:r>
        <w:r w:rsidR="00EB2BE6">
          <w:rPr>
            <w:noProof/>
            <w:webHidden/>
          </w:rPr>
          <w:tab/>
        </w:r>
        <w:r w:rsidR="00EB2BE6">
          <w:rPr>
            <w:noProof/>
            <w:webHidden/>
          </w:rPr>
          <w:fldChar w:fldCharType="begin"/>
        </w:r>
        <w:r w:rsidR="00EB2BE6">
          <w:rPr>
            <w:noProof/>
            <w:webHidden/>
          </w:rPr>
          <w:instrText xml:space="preserve"> PAGEREF _Toc44508381 \h </w:instrText>
        </w:r>
        <w:r w:rsidR="00EB2BE6">
          <w:rPr>
            <w:noProof/>
            <w:webHidden/>
          </w:rPr>
        </w:r>
        <w:r w:rsidR="00EB2BE6">
          <w:rPr>
            <w:noProof/>
            <w:webHidden/>
          </w:rPr>
          <w:fldChar w:fldCharType="separate"/>
        </w:r>
        <w:r w:rsidR="00EB2BE6">
          <w:rPr>
            <w:noProof/>
            <w:webHidden/>
          </w:rPr>
          <w:t>51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2" w:history="1">
        <w:r w:rsidR="00EB2BE6" w:rsidRPr="006529D8">
          <w:rPr>
            <w:rStyle w:val="Kpr"/>
            <w:noProof/>
            <w:lang w:val="en-GB"/>
          </w:rPr>
          <w:t>Figure 2.1.3: Weighted Average MCP by Years (TL/MWh)</w:t>
        </w:r>
        <w:r w:rsidR="00EB2BE6">
          <w:rPr>
            <w:noProof/>
            <w:webHidden/>
          </w:rPr>
          <w:tab/>
        </w:r>
        <w:r w:rsidR="00EB2BE6">
          <w:rPr>
            <w:noProof/>
            <w:webHidden/>
          </w:rPr>
          <w:fldChar w:fldCharType="begin"/>
        </w:r>
        <w:r w:rsidR="00EB2BE6">
          <w:rPr>
            <w:noProof/>
            <w:webHidden/>
          </w:rPr>
          <w:instrText xml:space="preserve"> PAGEREF _Toc44508382 \h </w:instrText>
        </w:r>
        <w:r w:rsidR="00EB2BE6">
          <w:rPr>
            <w:noProof/>
            <w:webHidden/>
          </w:rPr>
        </w:r>
        <w:r w:rsidR="00EB2BE6">
          <w:rPr>
            <w:noProof/>
            <w:webHidden/>
          </w:rPr>
          <w:fldChar w:fldCharType="separate"/>
        </w:r>
        <w:r w:rsidR="00EB2BE6">
          <w:rPr>
            <w:noProof/>
            <w:webHidden/>
          </w:rPr>
          <w:t>52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3" w:history="1">
        <w:r w:rsidR="00EB2BE6" w:rsidRPr="006529D8">
          <w:rPr>
            <w:rStyle w:val="Kpr"/>
            <w:noProof/>
            <w:lang w:val="en-GB"/>
          </w:rPr>
          <w:t>Figure 2.1.4: Monthly Weighted Average MCP of the Last Two Years (TL/MWh)</w:t>
        </w:r>
        <w:r w:rsidR="00EB2BE6">
          <w:rPr>
            <w:noProof/>
            <w:webHidden/>
          </w:rPr>
          <w:tab/>
        </w:r>
        <w:r w:rsidR="00EB2BE6">
          <w:rPr>
            <w:noProof/>
            <w:webHidden/>
          </w:rPr>
          <w:fldChar w:fldCharType="begin"/>
        </w:r>
        <w:r w:rsidR="00EB2BE6">
          <w:rPr>
            <w:noProof/>
            <w:webHidden/>
          </w:rPr>
          <w:instrText xml:space="preserve"> PAGEREF _Toc44508383 \h </w:instrText>
        </w:r>
        <w:r w:rsidR="00EB2BE6">
          <w:rPr>
            <w:noProof/>
            <w:webHidden/>
          </w:rPr>
        </w:r>
        <w:r w:rsidR="00EB2BE6">
          <w:rPr>
            <w:noProof/>
            <w:webHidden/>
          </w:rPr>
          <w:fldChar w:fldCharType="separate"/>
        </w:r>
        <w:r w:rsidR="00EB2BE6">
          <w:rPr>
            <w:noProof/>
            <w:webHidden/>
          </w:rPr>
          <w:t>53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4" w:history="1">
        <w:r w:rsidR="00EB2BE6" w:rsidRPr="006529D8">
          <w:rPr>
            <w:rStyle w:val="Kpr"/>
            <w:noProof/>
            <w:lang w:val="en-GB"/>
          </w:rPr>
          <w:t>Figure 2.1.5: Monthly Day-Ahead Market Trading Volume (MWh)</w:t>
        </w:r>
        <w:r w:rsidR="00EB2BE6">
          <w:rPr>
            <w:noProof/>
            <w:webHidden/>
          </w:rPr>
          <w:tab/>
        </w:r>
        <w:r w:rsidR="00EB2BE6">
          <w:rPr>
            <w:noProof/>
            <w:webHidden/>
          </w:rPr>
          <w:fldChar w:fldCharType="begin"/>
        </w:r>
        <w:r w:rsidR="00EB2BE6">
          <w:rPr>
            <w:noProof/>
            <w:webHidden/>
          </w:rPr>
          <w:instrText xml:space="preserve"> PAGEREF _Toc44508384 \h </w:instrText>
        </w:r>
        <w:r w:rsidR="00EB2BE6">
          <w:rPr>
            <w:noProof/>
            <w:webHidden/>
          </w:rPr>
        </w:r>
        <w:r w:rsidR="00EB2BE6">
          <w:rPr>
            <w:noProof/>
            <w:webHidden/>
          </w:rPr>
          <w:fldChar w:fldCharType="separate"/>
        </w:r>
        <w:r w:rsidR="00EB2BE6">
          <w:rPr>
            <w:noProof/>
            <w:webHidden/>
          </w:rPr>
          <w:t>53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5" w:history="1">
        <w:r w:rsidR="00EB2BE6" w:rsidRPr="006529D8">
          <w:rPr>
            <w:rStyle w:val="Kpr"/>
            <w:noProof/>
            <w:lang w:val="en-GB"/>
          </w:rPr>
          <w:t>Figure 2.1.6: The Share of Top 10 Buyer Companies in Day-Ahead Market (%)</w:t>
        </w:r>
        <w:r w:rsidR="00EB2BE6">
          <w:rPr>
            <w:noProof/>
            <w:webHidden/>
          </w:rPr>
          <w:tab/>
        </w:r>
        <w:r w:rsidR="00EB2BE6">
          <w:rPr>
            <w:noProof/>
            <w:webHidden/>
          </w:rPr>
          <w:fldChar w:fldCharType="begin"/>
        </w:r>
        <w:r w:rsidR="00EB2BE6">
          <w:rPr>
            <w:noProof/>
            <w:webHidden/>
          </w:rPr>
          <w:instrText xml:space="preserve"> PAGEREF _Toc44508385 \h </w:instrText>
        </w:r>
        <w:r w:rsidR="00EB2BE6">
          <w:rPr>
            <w:noProof/>
            <w:webHidden/>
          </w:rPr>
        </w:r>
        <w:r w:rsidR="00EB2BE6">
          <w:rPr>
            <w:noProof/>
            <w:webHidden/>
          </w:rPr>
          <w:fldChar w:fldCharType="separate"/>
        </w:r>
        <w:r w:rsidR="00EB2BE6">
          <w:rPr>
            <w:noProof/>
            <w:webHidden/>
          </w:rPr>
          <w:t>54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6" w:history="1">
        <w:r w:rsidR="00EB2BE6" w:rsidRPr="006529D8">
          <w:rPr>
            <w:rStyle w:val="Kpr"/>
            <w:noProof/>
            <w:lang w:val="en-GB"/>
          </w:rPr>
          <w:t>Figure 2.1.7: The Share of Top 10 Seller Companies in Day-Ahead Market (%)</w:t>
        </w:r>
        <w:r w:rsidR="00EB2BE6">
          <w:rPr>
            <w:noProof/>
            <w:webHidden/>
          </w:rPr>
          <w:tab/>
        </w:r>
        <w:r w:rsidR="00EB2BE6">
          <w:rPr>
            <w:noProof/>
            <w:webHidden/>
          </w:rPr>
          <w:fldChar w:fldCharType="begin"/>
        </w:r>
        <w:r w:rsidR="00EB2BE6">
          <w:rPr>
            <w:noProof/>
            <w:webHidden/>
          </w:rPr>
          <w:instrText xml:space="preserve"> PAGEREF _Toc44508386 \h </w:instrText>
        </w:r>
        <w:r w:rsidR="00EB2BE6">
          <w:rPr>
            <w:noProof/>
            <w:webHidden/>
          </w:rPr>
        </w:r>
        <w:r w:rsidR="00EB2BE6">
          <w:rPr>
            <w:noProof/>
            <w:webHidden/>
          </w:rPr>
          <w:fldChar w:fldCharType="separate"/>
        </w:r>
        <w:r w:rsidR="00EB2BE6">
          <w:rPr>
            <w:noProof/>
            <w:webHidden/>
          </w:rPr>
          <w:t>54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7" w:history="1">
        <w:r w:rsidR="00EB2BE6" w:rsidRPr="006529D8">
          <w:rPr>
            <w:rStyle w:val="Kpr"/>
            <w:noProof/>
            <w:lang w:val="en-GB"/>
          </w:rPr>
          <w:t>Figure 2.2.1: Per-Hour Based Development of System Marginal Price (TL/MWh)</w:t>
        </w:r>
        <w:r w:rsidR="00EB2BE6">
          <w:rPr>
            <w:noProof/>
            <w:webHidden/>
          </w:rPr>
          <w:tab/>
        </w:r>
        <w:r w:rsidR="00EB2BE6">
          <w:rPr>
            <w:noProof/>
            <w:webHidden/>
          </w:rPr>
          <w:fldChar w:fldCharType="begin"/>
        </w:r>
        <w:r w:rsidR="00EB2BE6">
          <w:rPr>
            <w:noProof/>
            <w:webHidden/>
          </w:rPr>
          <w:instrText xml:space="preserve"> PAGEREF _Toc44508387 \h </w:instrText>
        </w:r>
        <w:r w:rsidR="00EB2BE6">
          <w:rPr>
            <w:noProof/>
            <w:webHidden/>
          </w:rPr>
        </w:r>
        <w:r w:rsidR="00EB2BE6">
          <w:rPr>
            <w:noProof/>
            <w:webHidden/>
          </w:rPr>
          <w:fldChar w:fldCharType="separate"/>
        </w:r>
        <w:r w:rsidR="00EB2BE6">
          <w:rPr>
            <w:noProof/>
            <w:webHidden/>
          </w:rPr>
          <w:t>55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8" w:history="1">
        <w:r w:rsidR="00EB2BE6" w:rsidRPr="006529D8">
          <w:rPr>
            <w:rStyle w:val="Kpr"/>
            <w:noProof/>
            <w:lang w:val="en-GB"/>
          </w:rPr>
          <w:t>Figure 2.2.2: Organized Sytem Marginal Price (TL/MWh)</w:t>
        </w:r>
        <w:r w:rsidR="00EB2BE6">
          <w:rPr>
            <w:noProof/>
            <w:webHidden/>
          </w:rPr>
          <w:tab/>
        </w:r>
        <w:r w:rsidR="00EB2BE6">
          <w:rPr>
            <w:noProof/>
            <w:webHidden/>
          </w:rPr>
          <w:fldChar w:fldCharType="begin"/>
        </w:r>
        <w:r w:rsidR="00EB2BE6">
          <w:rPr>
            <w:noProof/>
            <w:webHidden/>
          </w:rPr>
          <w:instrText xml:space="preserve"> PAGEREF _Toc44508388 \h </w:instrText>
        </w:r>
        <w:r w:rsidR="00EB2BE6">
          <w:rPr>
            <w:noProof/>
            <w:webHidden/>
          </w:rPr>
        </w:r>
        <w:r w:rsidR="00EB2BE6">
          <w:rPr>
            <w:noProof/>
            <w:webHidden/>
          </w:rPr>
          <w:fldChar w:fldCharType="separate"/>
        </w:r>
        <w:r w:rsidR="00EB2BE6">
          <w:rPr>
            <w:noProof/>
            <w:webHidden/>
          </w:rPr>
          <w:t>55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89" w:history="1">
        <w:r w:rsidR="00EB2BE6" w:rsidRPr="006529D8">
          <w:rPr>
            <w:rStyle w:val="Kpr"/>
            <w:noProof/>
            <w:lang w:val="en-GB"/>
          </w:rPr>
          <w:t>Figure 2.2.3: Monthly Weighted Average Prices of the Last Two Years in Balancing Power Market (TL/MWh)</w:t>
        </w:r>
        <w:r w:rsidR="00EB2BE6">
          <w:rPr>
            <w:noProof/>
            <w:webHidden/>
          </w:rPr>
          <w:tab/>
        </w:r>
        <w:r w:rsidR="00EB2BE6">
          <w:rPr>
            <w:noProof/>
            <w:webHidden/>
          </w:rPr>
          <w:fldChar w:fldCharType="begin"/>
        </w:r>
        <w:r w:rsidR="00EB2BE6">
          <w:rPr>
            <w:noProof/>
            <w:webHidden/>
          </w:rPr>
          <w:instrText xml:space="preserve"> PAGEREF _Toc44508389 \h </w:instrText>
        </w:r>
        <w:r w:rsidR="00EB2BE6">
          <w:rPr>
            <w:noProof/>
            <w:webHidden/>
          </w:rPr>
        </w:r>
        <w:r w:rsidR="00EB2BE6">
          <w:rPr>
            <w:noProof/>
            <w:webHidden/>
          </w:rPr>
          <w:fldChar w:fldCharType="separate"/>
        </w:r>
        <w:r w:rsidR="00EB2BE6">
          <w:rPr>
            <w:noProof/>
            <w:webHidden/>
          </w:rPr>
          <w:t>56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0" w:history="1">
        <w:r w:rsidR="00EB2BE6" w:rsidRPr="006529D8">
          <w:rPr>
            <w:rStyle w:val="Kpr"/>
            <w:noProof/>
            <w:lang w:val="en-GB"/>
          </w:rPr>
          <w:t>Figure 2.2.4: Monthly Trading Volumes in Balancing Power Market (MWh)</w:t>
        </w:r>
        <w:r w:rsidR="00EB2BE6">
          <w:rPr>
            <w:noProof/>
            <w:webHidden/>
          </w:rPr>
          <w:tab/>
        </w:r>
        <w:r w:rsidR="00EB2BE6">
          <w:rPr>
            <w:noProof/>
            <w:webHidden/>
          </w:rPr>
          <w:fldChar w:fldCharType="begin"/>
        </w:r>
        <w:r w:rsidR="00EB2BE6">
          <w:rPr>
            <w:noProof/>
            <w:webHidden/>
          </w:rPr>
          <w:instrText xml:space="preserve"> PAGEREF _Toc44508390 \h </w:instrText>
        </w:r>
        <w:r w:rsidR="00EB2BE6">
          <w:rPr>
            <w:noProof/>
            <w:webHidden/>
          </w:rPr>
        </w:r>
        <w:r w:rsidR="00EB2BE6">
          <w:rPr>
            <w:noProof/>
            <w:webHidden/>
          </w:rPr>
          <w:fldChar w:fldCharType="separate"/>
        </w:r>
        <w:r w:rsidR="00EB2BE6">
          <w:rPr>
            <w:noProof/>
            <w:webHidden/>
          </w:rPr>
          <w:t>57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1" w:history="1">
        <w:r w:rsidR="00EB2BE6" w:rsidRPr="006529D8">
          <w:rPr>
            <w:rStyle w:val="Kpr"/>
            <w:noProof/>
            <w:lang w:val="en-GB"/>
          </w:rPr>
          <w:t>Figure 2.2.5: The Share of Top 10 Buyer Companies in Balancing Power Market (%)</w:t>
        </w:r>
        <w:r w:rsidR="00EB2BE6">
          <w:rPr>
            <w:noProof/>
            <w:webHidden/>
          </w:rPr>
          <w:tab/>
        </w:r>
        <w:r w:rsidR="00EB2BE6">
          <w:rPr>
            <w:noProof/>
            <w:webHidden/>
          </w:rPr>
          <w:fldChar w:fldCharType="begin"/>
        </w:r>
        <w:r w:rsidR="00EB2BE6">
          <w:rPr>
            <w:noProof/>
            <w:webHidden/>
          </w:rPr>
          <w:instrText xml:space="preserve"> PAGEREF _Toc44508391 \h </w:instrText>
        </w:r>
        <w:r w:rsidR="00EB2BE6">
          <w:rPr>
            <w:noProof/>
            <w:webHidden/>
          </w:rPr>
        </w:r>
        <w:r w:rsidR="00EB2BE6">
          <w:rPr>
            <w:noProof/>
            <w:webHidden/>
          </w:rPr>
          <w:fldChar w:fldCharType="separate"/>
        </w:r>
        <w:r w:rsidR="00EB2BE6">
          <w:rPr>
            <w:noProof/>
            <w:webHidden/>
          </w:rPr>
          <w:t>57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2" w:history="1">
        <w:r w:rsidR="00EB2BE6" w:rsidRPr="006529D8">
          <w:rPr>
            <w:rStyle w:val="Kpr"/>
            <w:noProof/>
            <w:lang w:val="en-GB"/>
          </w:rPr>
          <w:t>Figure 2.2.6: The Share of Top 10 Seller Companies in Balancing Power Market (%)</w:t>
        </w:r>
        <w:r w:rsidR="00EB2BE6">
          <w:rPr>
            <w:noProof/>
            <w:webHidden/>
          </w:rPr>
          <w:tab/>
        </w:r>
        <w:r w:rsidR="00EB2BE6">
          <w:rPr>
            <w:noProof/>
            <w:webHidden/>
          </w:rPr>
          <w:fldChar w:fldCharType="begin"/>
        </w:r>
        <w:r w:rsidR="00EB2BE6">
          <w:rPr>
            <w:noProof/>
            <w:webHidden/>
          </w:rPr>
          <w:instrText xml:space="preserve"> PAGEREF _Toc44508392 \h </w:instrText>
        </w:r>
        <w:r w:rsidR="00EB2BE6">
          <w:rPr>
            <w:noProof/>
            <w:webHidden/>
          </w:rPr>
        </w:r>
        <w:r w:rsidR="00EB2BE6">
          <w:rPr>
            <w:noProof/>
            <w:webHidden/>
          </w:rPr>
          <w:fldChar w:fldCharType="separate"/>
        </w:r>
        <w:r w:rsidR="00EB2BE6">
          <w:rPr>
            <w:noProof/>
            <w:webHidden/>
          </w:rPr>
          <w:t>58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3" w:history="1">
        <w:r w:rsidR="00EB2BE6" w:rsidRPr="006529D8">
          <w:rPr>
            <w:rStyle w:val="Kpr"/>
            <w:noProof/>
            <w:lang w:val="en-GB"/>
          </w:rPr>
          <w:t>Figure 2.2.7: Rates of Order Volumes Given in Balancing Power Market in 2019 (%)</w:t>
        </w:r>
        <w:r w:rsidR="00EB2BE6">
          <w:rPr>
            <w:noProof/>
            <w:webHidden/>
          </w:rPr>
          <w:tab/>
        </w:r>
        <w:r w:rsidR="00EB2BE6">
          <w:rPr>
            <w:noProof/>
            <w:webHidden/>
          </w:rPr>
          <w:fldChar w:fldCharType="begin"/>
        </w:r>
        <w:r w:rsidR="00EB2BE6">
          <w:rPr>
            <w:noProof/>
            <w:webHidden/>
          </w:rPr>
          <w:instrText xml:space="preserve"> PAGEREF _Toc44508393 \h </w:instrText>
        </w:r>
        <w:r w:rsidR="00EB2BE6">
          <w:rPr>
            <w:noProof/>
            <w:webHidden/>
          </w:rPr>
        </w:r>
        <w:r w:rsidR="00EB2BE6">
          <w:rPr>
            <w:noProof/>
            <w:webHidden/>
          </w:rPr>
          <w:fldChar w:fldCharType="separate"/>
        </w:r>
        <w:r w:rsidR="00EB2BE6">
          <w:rPr>
            <w:noProof/>
            <w:webHidden/>
          </w:rPr>
          <w:t>58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4" w:history="1">
        <w:r w:rsidR="00EB2BE6" w:rsidRPr="006529D8">
          <w:rPr>
            <w:rStyle w:val="Kpr"/>
            <w:noProof/>
            <w:lang w:val="en-GB"/>
          </w:rPr>
          <w:t>Figure 2.2.8: Distribution of the Orders Given in the Balancing Power Market by Hours in 2019 (MW)</w:t>
        </w:r>
        <w:r w:rsidR="00EB2BE6">
          <w:rPr>
            <w:noProof/>
            <w:webHidden/>
          </w:rPr>
          <w:tab/>
        </w:r>
        <w:r w:rsidR="00EB2BE6">
          <w:rPr>
            <w:noProof/>
            <w:webHidden/>
          </w:rPr>
          <w:fldChar w:fldCharType="begin"/>
        </w:r>
        <w:r w:rsidR="00EB2BE6">
          <w:rPr>
            <w:noProof/>
            <w:webHidden/>
          </w:rPr>
          <w:instrText xml:space="preserve"> PAGEREF _Toc44508394 \h </w:instrText>
        </w:r>
        <w:r w:rsidR="00EB2BE6">
          <w:rPr>
            <w:noProof/>
            <w:webHidden/>
          </w:rPr>
        </w:r>
        <w:r w:rsidR="00EB2BE6">
          <w:rPr>
            <w:noProof/>
            <w:webHidden/>
          </w:rPr>
          <w:fldChar w:fldCharType="separate"/>
        </w:r>
        <w:r w:rsidR="00EB2BE6">
          <w:rPr>
            <w:noProof/>
            <w:webHidden/>
          </w:rPr>
          <w:t>59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5" w:history="1">
        <w:r w:rsidR="00EB2BE6" w:rsidRPr="006529D8">
          <w:rPr>
            <w:rStyle w:val="Kpr"/>
            <w:noProof/>
            <w:lang w:val="en-GB"/>
          </w:rPr>
          <w:t>Figure 2.2.9: Development of Additional Costs of Orders by Months in 2019 (Million TL)</w:t>
        </w:r>
        <w:r w:rsidR="00EB2BE6">
          <w:rPr>
            <w:noProof/>
            <w:webHidden/>
          </w:rPr>
          <w:tab/>
        </w:r>
        <w:r w:rsidR="00EB2BE6">
          <w:rPr>
            <w:noProof/>
            <w:webHidden/>
          </w:rPr>
          <w:fldChar w:fldCharType="begin"/>
        </w:r>
        <w:r w:rsidR="00EB2BE6">
          <w:rPr>
            <w:noProof/>
            <w:webHidden/>
          </w:rPr>
          <w:instrText xml:space="preserve"> PAGEREF _Toc44508395 \h </w:instrText>
        </w:r>
        <w:r w:rsidR="00EB2BE6">
          <w:rPr>
            <w:noProof/>
            <w:webHidden/>
          </w:rPr>
        </w:r>
        <w:r w:rsidR="00EB2BE6">
          <w:rPr>
            <w:noProof/>
            <w:webHidden/>
          </w:rPr>
          <w:fldChar w:fldCharType="separate"/>
        </w:r>
        <w:r w:rsidR="00EB2BE6">
          <w:rPr>
            <w:noProof/>
            <w:webHidden/>
          </w:rPr>
          <w:t>60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6" w:history="1">
        <w:r w:rsidR="00EB2BE6" w:rsidRPr="006529D8">
          <w:rPr>
            <w:rStyle w:val="Kpr"/>
            <w:noProof/>
            <w:lang w:val="en-GB"/>
          </w:rPr>
          <w:t>Figure 2.2.10: Development of Zero Balance Adjustment Component by Years (TL)</w:t>
        </w:r>
        <w:r w:rsidR="00EB2BE6">
          <w:rPr>
            <w:noProof/>
            <w:webHidden/>
          </w:rPr>
          <w:tab/>
        </w:r>
        <w:r w:rsidR="00EB2BE6">
          <w:rPr>
            <w:noProof/>
            <w:webHidden/>
          </w:rPr>
          <w:fldChar w:fldCharType="begin"/>
        </w:r>
        <w:r w:rsidR="00EB2BE6">
          <w:rPr>
            <w:noProof/>
            <w:webHidden/>
          </w:rPr>
          <w:instrText xml:space="preserve"> PAGEREF _Toc44508396 \h </w:instrText>
        </w:r>
        <w:r w:rsidR="00EB2BE6">
          <w:rPr>
            <w:noProof/>
            <w:webHidden/>
          </w:rPr>
        </w:r>
        <w:r w:rsidR="00EB2BE6">
          <w:rPr>
            <w:noProof/>
            <w:webHidden/>
          </w:rPr>
          <w:fldChar w:fldCharType="separate"/>
        </w:r>
        <w:r w:rsidR="00EB2BE6">
          <w:rPr>
            <w:noProof/>
            <w:webHidden/>
          </w:rPr>
          <w:t>60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7" w:history="1">
        <w:r w:rsidR="00EB2BE6" w:rsidRPr="006529D8">
          <w:rPr>
            <w:rStyle w:val="Kpr"/>
            <w:noProof/>
            <w:lang w:val="en-GB"/>
          </w:rPr>
          <w:t>Figure 2.3.1: Monthly Development of Trading Volume and Average Price in the Intra-Day Market (MWh – TL/MWh)</w:t>
        </w:r>
        <w:r w:rsidR="00EB2BE6">
          <w:rPr>
            <w:noProof/>
            <w:webHidden/>
          </w:rPr>
          <w:tab/>
        </w:r>
        <w:r w:rsidR="00EB2BE6">
          <w:rPr>
            <w:noProof/>
            <w:webHidden/>
          </w:rPr>
          <w:fldChar w:fldCharType="begin"/>
        </w:r>
        <w:r w:rsidR="00EB2BE6">
          <w:rPr>
            <w:noProof/>
            <w:webHidden/>
          </w:rPr>
          <w:instrText xml:space="preserve"> PAGEREF _Toc44508397 \h </w:instrText>
        </w:r>
        <w:r w:rsidR="00EB2BE6">
          <w:rPr>
            <w:noProof/>
            <w:webHidden/>
          </w:rPr>
        </w:r>
        <w:r w:rsidR="00EB2BE6">
          <w:rPr>
            <w:noProof/>
            <w:webHidden/>
          </w:rPr>
          <w:fldChar w:fldCharType="separate"/>
        </w:r>
        <w:r w:rsidR="00EB2BE6">
          <w:rPr>
            <w:noProof/>
            <w:webHidden/>
          </w:rPr>
          <w:t>61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8" w:history="1">
        <w:r w:rsidR="00EB2BE6" w:rsidRPr="006529D8">
          <w:rPr>
            <w:rStyle w:val="Kpr"/>
            <w:noProof/>
            <w:lang w:val="en-GB"/>
          </w:rPr>
          <w:t>Figure 2.3.2: Distribution of Purchases of Intra-Day Market by Companies and the Share of Top 10 Companies (%)</w:t>
        </w:r>
        <w:r w:rsidR="00EB2BE6">
          <w:rPr>
            <w:noProof/>
            <w:webHidden/>
          </w:rPr>
          <w:tab/>
        </w:r>
        <w:r w:rsidR="00EB2BE6">
          <w:rPr>
            <w:noProof/>
            <w:webHidden/>
          </w:rPr>
          <w:fldChar w:fldCharType="begin"/>
        </w:r>
        <w:r w:rsidR="00EB2BE6">
          <w:rPr>
            <w:noProof/>
            <w:webHidden/>
          </w:rPr>
          <w:instrText xml:space="preserve"> PAGEREF _Toc44508398 \h </w:instrText>
        </w:r>
        <w:r w:rsidR="00EB2BE6">
          <w:rPr>
            <w:noProof/>
            <w:webHidden/>
          </w:rPr>
        </w:r>
        <w:r w:rsidR="00EB2BE6">
          <w:rPr>
            <w:noProof/>
            <w:webHidden/>
          </w:rPr>
          <w:fldChar w:fldCharType="separate"/>
        </w:r>
        <w:r w:rsidR="00EB2BE6">
          <w:rPr>
            <w:noProof/>
            <w:webHidden/>
          </w:rPr>
          <w:t>62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399" w:history="1">
        <w:r w:rsidR="00EB2BE6" w:rsidRPr="006529D8">
          <w:rPr>
            <w:rStyle w:val="Kpr"/>
            <w:noProof/>
            <w:lang w:val="en-GB"/>
          </w:rPr>
          <w:t>Figure 2.3.3: Distribution of Sales in Intra-Day Market by Companies and the Share of Top 10 Companies (%)</w:t>
        </w:r>
        <w:r w:rsidR="00EB2BE6">
          <w:rPr>
            <w:noProof/>
            <w:webHidden/>
          </w:rPr>
          <w:tab/>
        </w:r>
        <w:r w:rsidR="00EB2BE6">
          <w:rPr>
            <w:noProof/>
            <w:webHidden/>
          </w:rPr>
          <w:fldChar w:fldCharType="begin"/>
        </w:r>
        <w:r w:rsidR="00EB2BE6">
          <w:rPr>
            <w:noProof/>
            <w:webHidden/>
          </w:rPr>
          <w:instrText xml:space="preserve"> PAGEREF _Toc44508399 \h </w:instrText>
        </w:r>
        <w:r w:rsidR="00EB2BE6">
          <w:rPr>
            <w:noProof/>
            <w:webHidden/>
          </w:rPr>
        </w:r>
        <w:r w:rsidR="00EB2BE6">
          <w:rPr>
            <w:noProof/>
            <w:webHidden/>
          </w:rPr>
          <w:fldChar w:fldCharType="separate"/>
        </w:r>
        <w:r w:rsidR="00EB2BE6">
          <w:rPr>
            <w:noProof/>
            <w:webHidden/>
          </w:rPr>
          <w:t>62</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0" w:history="1">
        <w:r w:rsidR="00EB2BE6" w:rsidRPr="006529D8">
          <w:rPr>
            <w:rStyle w:val="Kpr"/>
            <w:noProof/>
            <w:lang w:val="en-GB"/>
          </w:rPr>
          <w:t>Figure 2.4.1: Monthly Bilateral Agreement Volume by Years (MWh)</w:t>
        </w:r>
        <w:r w:rsidR="00EB2BE6">
          <w:rPr>
            <w:noProof/>
            <w:webHidden/>
          </w:rPr>
          <w:tab/>
        </w:r>
        <w:r w:rsidR="00EB2BE6">
          <w:rPr>
            <w:noProof/>
            <w:webHidden/>
          </w:rPr>
          <w:fldChar w:fldCharType="begin"/>
        </w:r>
        <w:r w:rsidR="00EB2BE6">
          <w:rPr>
            <w:noProof/>
            <w:webHidden/>
          </w:rPr>
          <w:instrText xml:space="preserve"> PAGEREF _Toc44508400 \h </w:instrText>
        </w:r>
        <w:r w:rsidR="00EB2BE6">
          <w:rPr>
            <w:noProof/>
            <w:webHidden/>
          </w:rPr>
        </w:r>
        <w:r w:rsidR="00EB2BE6">
          <w:rPr>
            <w:noProof/>
            <w:webHidden/>
          </w:rPr>
          <w:fldChar w:fldCharType="separate"/>
        </w:r>
        <w:r w:rsidR="00EB2BE6">
          <w:rPr>
            <w:noProof/>
            <w:webHidden/>
          </w:rPr>
          <w:t>63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1" w:history="1">
        <w:r w:rsidR="00EB2BE6" w:rsidRPr="006529D8">
          <w:rPr>
            <w:rStyle w:val="Kpr"/>
            <w:noProof/>
            <w:lang w:val="en-GB"/>
          </w:rPr>
          <w:t>Figure 2.4.2: Distribution of Purchases of Bilateral Agreement by Companies and the Share of Top 10 Companies (%)</w:t>
        </w:r>
        <w:r w:rsidR="00EB2BE6">
          <w:rPr>
            <w:noProof/>
            <w:webHidden/>
          </w:rPr>
          <w:tab/>
        </w:r>
        <w:r w:rsidR="00EB2BE6">
          <w:rPr>
            <w:noProof/>
            <w:webHidden/>
          </w:rPr>
          <w:fldChar w:fldCharType="begin"/>
        </w:r>
        <w:r w:rsidR="00EB2BE6">
          <w:rPr>
            <w:noProof/>
            <w:webHidden/>
          </w:rPr>
          <w:instrText xml:space="preserve"> PAGEREF _Toc44508401 \h </w:instrText>
        </w:r>
        <w:r w:rsidR="00EB2BE6">
          <w:rPr>
            <w:noProof/>
            <w:webHidden/>
          </w:rPr>
        </w:r>
        <w:r w:rsidR="00EB2BE6">
          <w:rPr>
            <w:noProof/>
            <w:webHidden/>
          </w:rPr>
          <w:fldChar w:fldCharType="separate"/>
        </w:r>
        <w:r w:rsidR="00EB2BE6">
          <w:rPr>
            <w:noProof/>
            <w:webHidden/>
          </w:rPr>
          <w:t>64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2" w:history="1">
        <w:r w:rsidR="00EB2BE6" w:rsidRPr="006529D8">
          <w:rPr>
            <w:rStyle w:val="Kpr"/>
            <w:noProof/>
            <w:lang w:val="en-GB"/>
          </w:rPr>
          <w:t>Figure 2.4.3: Distribution of Sales with Bilateral Agreement by Companies and the Share of Top 10 Companies (%)</w:t>
        </w:r>
        <w:r w:rsidR="00EB2BE6">
          <w:rPr>
            <w:noProof/>
            <w:webHidden/>
          </w:rPr>
          <w:tab/>
        </w:r>
        <w:r w:rsidR="00EB2BE6">
          <w:rPr>
            <w:noProof/>
            <w:webHidden/>
          </w:rPr>
          <w:fldChar w:fldCharType="begin"/>
        </w:r>
        <w:r w:rsidR="00EB2BE6">
          <w:rPr>
            <w:noProof/>
            <w:webHidden/>
          </w:rPr>
          <w:instrText xml:space="preserve"> PAGEREF _Toc44508402 \h </w:instrText>
        </w:r>
        <w:r w:rsidR="00EB2BE6">
          <w:rPr>
            <w:noProof/>
            <w:webHidden/>
          </w:rPr>
        </w:r>
        <w:r w:rsidR="00EB2BE6">
          <w:rPr>
            <w:noProof/>
            <w:webHidden/>
          </w:rPr>
          <w:fldChar w:fldCharType="separate"/>
        </w:r>
        <w:r w:rsidR="00EB2BE6">
          <w:rPr>
            <w:noProof/>
            <w:webHidden/>
          </w:rPr>
          <w:t>64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3" w:history="1">
        <w:r w:rsidR="00EB2BE6" w:rsidRPr="006529D8">
          <w:rPr>
            <w:rStyle w:val="Kpr"/>
            <w:noProof/>
            <w:lang w:val="en-GB"/>
          </w:rPr>
          <w:t>Below is the change in the wholesale prices of EÜAŞ in Figure 2.4.4.</w:t>
        </w:r>
        <w:r w:rsidR="00EB2BE6">
          <w:rPr>
            <w:noProof/>
            <w:webHidden/>
          </w:rPr>
          <w:tab/>
        </w:r>
        <w:r w:rsidR="00EB2BE6">
          <w:rPr>
            <w:noProof/>
            <w:webHidden/>
          </w:rPr>
          <w:fldChar w:fldCharType="begin"/>
        </w:r>
        <w:r w:rsidR="00EB2BE6">
          <w:rPr>
            <w:noProof/>
            <w:webHidden/>
          </w:rPr>
          <w:instrText xml:space="preserve"> PAGEREF _Toc44508403 \h </w:instrText>
        </w:r>
        <w:r w:rsidR="00EB2BE6">
          <w:rPr>
            <w:noProof/>
            <w:webHidden/>
          </w:rPr>
        </w:r>
        <w:r w:rsidR="00EB2BE6">
          <w:rPr>
            <w:noProof/>
            <w:webHidden/>
          </w:rPr>
          <w:fldChar w:fldCharType="separate"/>
        </w:r>
        <w:r w:rsidR="00EB2BE6">
          <w:rPr>
            <w:noProof/>
            <w:webHidden/>
          </w:rPr>
          <w:t>65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4" w:history="1">
        <w:r w:rsidR="00EB2BE6" w:rsidRPr="006529D8">
          <w:rPr>
            <w:rStyle w:val="Kpr"/>
            <w:noProof/>
            <w:lang w:val="en-GB"/>
          </w:rPr>
          <w:t>Figure 2.4.4: TETAŞ Wholesale Prices Between 2011-2019 (kr/kWh)</w:t>
        </w:r>
        <w:r w:rsidR="00EB2BE6">
          <w:rPr>
            <w:noProof/>
            <w:webHidden/>
          </w:rPr>
          <w:tab/>
        </w:r>
        <w:r w:rsidR="00EB2BE6">
          <w:rPr>
            <w:noProof/>
            <w:webHidden/>
          </w:rPr>
          <w:fldChar w:fldCharType="begin"/>
        </w:r>
        <w:r w:rsidR="00EB2BE6">
          <w:rPr>
            <w:noProof/>
            <w:webHidden/>
          </w:rPr>
          <w:instrText xml:space="preserve"> PAGEREF _Toc44508404 \h </w:instrText>
        </w:r>
        <w:r w:rsidR="00EB2BE6">
          <w:rPr>
            <w:noProof/>
            <w:webHidden/>
          </w:rPr>
        </w:r>
        <w:r w:rsidR="00EB2BE6">
          <w:rPr>
            <w:noProof/>
            <w:webHidden/>
          </w:rPr>
          <w:fldChar w:fldCharType="separate"/>
        </w:r>
        <w:r w:rsidR="00EB2BE6">
          <w:rPr>
            <w:noProof/>
            <w:webHidden/>
          </w:rPr>
          <w:t>65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5" w:history="1">
        <w:r w:rsidR="00EB2BE6" w:rsidRPr="006529D8">
          <w:rPr>
            <w:rStyle w:val="Kpr"/>
            <w:noProof/>
            <w:lang w:val="en-GB"/>
          </w:rPr>
          <w:t>Figure 2.5.1: Distribution of RESSUM Installed Capacity to Resources in 2019 (%)</w:t>
        </w:r>
        <w:r w:rsidR="00EB2BE6">
          <w:rPr>
            <w:noProof/>
            <w:webHidden/>
          </w:rPr>
          <w:tab/>
        </w:r>
        <w:r w:rsidR="00EB2BE6">
          <w:rPr>
            <w:noProof/>
            <w:webHidden/>
          </w:rPr>
          <w:fldChar w:fldCharType="begin"/>
        </w:r>
        <w:r w:rsidR="00EB2BE6">
          <w:rPr>
            <w:noProof/>
            <w:webHidden/>
          </w:rPr>
          <w:instrText xml:space="preserve"> PAGEREF _Toc44508405 \h </w:instrText>
        </w:r>
        <w:r w:rsidR="00EB2BE6">
          <w:rPr>
            <w:noProof/>
            <w:webHidden/>
          </w:rPr>
        </w:r>
        <w:r w:rsidR="00EB2BE6">
          <w:rPr>
            <w:noProof/>
            <w:webHidden/>
          </w:rPr>
          <w:fldChar w:fldCharType="separate"/>
        </w:r>
        <w:r w:rsidR="00EB2BE6">
          <w:rPr>
            <w:noProof/>
            <w:webHidden/>
          </w:rPr>
          <w:t>67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6" w:history="1">
        <w:r w:rsidR="00EB2BE6" w:rsidRPr="006529D8">
          <w:rPr>
            <w:rStyle w:val="Kpr"/>
            <w:noProof/>
            <w:lang w:val="en-GB"/>
          </w:rPr>
          <w:t>Figure 2.5.2: Distribution of Generation in RESSUM by Sources in 2019 (%)</w:t>
        </w:r>
        <w:r w:rsidR="00EB2BE6">
          <w:rPr>
            <w:noProof/>
            <w:webHidden/>
          </w:rPr>
          <w:tab/>
        </w:r>
        <w:r w:rsidR="00EB2BE6">
          <w:rPr>
            <w:noProof/>
            <w:webHidden/>
          </w:rPr>
          <w:fldChar w:fldCharType="begin"/>
        </w:r>
        <w:r w:rsidR="00EB2BE6">
          <w:rPr>
            <w:noProof/>
            <w:webHidden/>
          </w:rPr>
          <w:instrText xml:space="preserve"> PAGEREF _Toc44508406 \h </w:instrText>
        </w:r>
        <w:r w:rsidR="00EB2BE6">
          <w:rPr>
            <w:noProof/>
            <w:webHidden/>
          </w:rPr>
        </w:r>
        <w:r w:rsidR="00EB2BE6">
          <w:rPr>
            <w:noProof/>
            <w:webHidden/>
          </w:rPr>
          <w:fldChar w:fldCharType="separate"/>
        </w:r>
        <w:r w:rsidR="00EB2BE6">
          <w:rPr>
            <w:noProof/>
            <w:webHidden/>
          </w:rPr>
          <w:t>68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7" w:history="1">
        <w:r w:rsidR="00EB2BE6" w:rsidRPr="006529D8">
          <w:rPr>
            <w:rStyle w:val="Kpr"/>
            <w:noProof/>
            <w:lang w:val="en-GB"/>
          </w:rPr>
          <w:t>Figure 2.5.3: Monthly Development of RESSUM Generation in 2019 (MWh)</w:t>
        </w:r>
        <w:r w:rsidR="00EB2BE6">
          <w:rPr>
            <w:noProof/>
            <w:webHidden/>
          </w:rPr>
          <w:tab/>
        </w:r>
        <w:r w:rsidR="00EB2BE6">
          <w:rPr>
            <w:noProof/>
            <w:webHidden/>
          </w:rPr>
          <w:fldChar w:fldCharType="begin"/>
        </w:r>
        <w:r w:rsidR="00EB2BE6">
          <w:rPr>
            <w:noProof/>
            <w:webHidden/>
          </w:rPr>
          <w:instrText xml:space="preserve"> PAGEREF _Toc44508407 \h </w:instrText>
        </w:r>
        <w:r w:rsidR="00EB2BE6">
          <w:rPr>
            <w:noProof/>
            <w:webHidden/>
          </w:rPr>
        </w:r>
        <w:r w:rsidR="00EB2BE6">
          <w:rPr>
            <w:noProof/>
            <w:webHidden/>
          </w:rPr>
          <w:fldChar w:fldCharType="separate"/>
        </w:r>
        <w:r w:rsidR="00EB2BE6">
          <w:rPr>
            <w:noProof/>
            <w:webHidden/>
          </w:rPr>
          <w:t>69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8" w:history="1">
        <w:r w:rsidR="00EB2BE6" w:rsidRPr="006529D8">
          <w:rPr>
            <w:rStyle w:val="Kpr"/>
            <w:noProof/>
            <w:lang w:val="en-GB"/>
          </w:rPr>
          <w:t>Figure 2.5.4: Monthly Development of RESSUM Feed-in Tariffs and MCP in 2019 (TL/MWh)</w:t>
        </w:r>
        <w:r w:rsidR="00EB2BE6">
          <w:rPr>
            <w:noProof/>
            <w:webHidden/>
          </w:rPr>
          <w:tab/>
        </w:r>
        <w:r w:rsidR="00EB2BE6">
          <w:rPr>
            <w:noProof/>
            <w:webHidden/>
          </w:rPr>
          <w:fldChar w:fldCharType="begin"/>
        </w:r>
        <w:r w:rsidR="00EB2BE6">
          <w:rPr>
            <w:noProof/>
            <w:webHidden/>
          </w:rPr>
          <w:instrText xml:space="preserve"> PAGEREF _Toc44508408 \h </w:instrText>
        </w:r>
        <w:r w:rsidR="00EB2BE6">
          <w:rPr>
            <w:noProof/>
            <w:webHidden/>
          </w:rPr>
        </w:r>
        <w:r w:rsidR="00EB2BE6">
          <w:rPr>
            <w:noProof/>
            <w:webHidden/>
          </w:rPr>
          <w:fldChar w:fldCharType="separate"/>
        </w:r>
        <w:r w:rsidR="00EB2BE6">
          <w:rPr>
            <w:noProof/>
            <w:webHidden/>
          </w:rPr>
          <w:t>70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09" w:history="1">
        <w:r w:rsidR="00EB2BE6" w:rsidRPr="006529D8">
          <w:rPr>
            <w:rStyle w:val="Kpr"/>
            <w:noProof/>
            <w:lang w:val="en-GB"/>
          </w:rPr>
          <w:t>Figure 2.5.5:Average of RESSUM and MCP in 2019 (kr/kWh)</w:t>
        </w:r>
        <w:r w:rsidR="00EB2BE6">
          <w:rPr>
            <w:noProof/>
            <w:webHidden/>
          </w:rPr>
          <w:tab/>
        </w:r>
        <w:r w:rsidR="00EB2BE6">
          <w:rPr>
            <w:noProof/>
            <w:webHidden/>
          </w:rPr>
          <w:fldChar w:fldCharType="begin"/>
        </w:r>
        <w:r w:rsidR="00EB2BE6">
          <w:rPr>
            <w:noProof/>
            <w:webHidden/>
          </w:rPr>
          <w:instrText xml:space="preserve"> PAGEREF _Toc44508409 \h </w:instrText>
        </w:r>
        <w:r w:rsidR="00EB2BE6">
          <w:rPr>
            <w:noProof/>
            <w:webHidden/>
          </w:rPr>
        </w:r>
        <w:r w:rsidR="00EB2BE6">
          <w:rPr>
            <w:noProof/>
            <w:webHidden/>
          </w:rPr>
          <w:fldChar w:fldCharType="separate"/>
        </w:r>
        <w:r w:rsidR="00EB2BE6">
          <w:rPr>
            <w:noProof/>
            <w:webHidden/>
          </w:rPr>
          <w:t>70</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0" w:history="1">
        <w:r w:rsidR="00EB2BE6" w:rsidRPr="006529D8">
          <w:rPr>
            <w:rStyle w:val="Kpr"/>
            <w:noProof/>
            <w:lang w:val="en-GB"/>
          </w:rPr>
          <w:t>Figure 2.5.6: Monthly Payments Made within the Scope of the RESSUM in 2019 (TL)</w:t>
        </w:r>
        <w:r w:rsidR="00EB2BE6">
          <w:rPr>
            <w:noProof/>
            <w:webHidden/>
          </w:rPr>
          <w:tab/>
        </w:r>
        <w:r w:rsidR="00EB2BE6">
          <w:rPr>
            <w:noProof/>
            <w:webHidden/>
          </w:rPr>
          <w:fldChar w:fldCharType="begin"/>
        </w:r>
        <w:r w:rsidR="00EB2BE6">
          <w:rPr>
            <w:noProof/>
            <w:webHidden/>
          </w:rPr>
          <w:instrText xml:space="preserve"> PAGEREF _Toc44508410 \h </w:instrText>
        </w:r>
        <w:r w:rsidR="00EB2BE6">
          <w:rPr>
            <w:noProof/>
            <w:webHidden/>
          </w:rPr>
        </w:r>
        <w:r w:rsidR="00EB2BE6">
          <w:rPr>
            <w:noProof/>
            <w:webHidden/>
          </w:rPr>
          <w:fldChar w:fldCharType="separate"/>
        </w:r>
        <w:r w:rsidR="00EB2BE6">
          <w:rPr>
            <w:noProof/>
            <w:webHidden/>
          </w:rPr>
          <w:t>71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1" w:history="1">
        <w:r w:rsidR="00EB2BE6" w:rsidRPr="006529D8">
          <w:rPr>
            <w:rStyle w:val="Kpr"/>
            <w:noProof/>
            <w:lang w:val="en-GB"/>
          </w:rPr>
          <w:t>Figure 2.5.7: Monthly Improvement of Average RESSUM Additional Cost in 2019 (TL/MWh)</w:t>
        </w:r>
        <w:r w:rsidR="00EB2BE6">
          <w:rPr>
            <w:noProof/>
            <w:webHidden/>
          </w:rPr>
          <w:tab/>
        </w:r>
        <w:r w:rsidR="00EB2BE6">
          <w:rPr>
            <w:noProof/>
            <w:webHidden/>
          </w:rPr>
          <w:fldChar w:fldCharType="begin"/>
        </w:r>
        <w:r w:rsidR="00EB2BE6">
          <w:rPr>
            <w:noProof/>
            <w:webHidden/>
          </w:rPr>
          <w:instrText xml:space="preserve"> PAGEREF _Toc44508411 \h </w:instrText>
        </w:r>
        <w:r w:rsidR="00EB2BE6">
          <w:rPr>
            <w:noProof/>
            <w:webHidden/>
          </w:rPr>
        </w:r>
        <w:r w:rsidR="00EB2BE6">
          <w:rPr>
            <w:noProof/>
            <w:webHidden/>
          </w:rPr>
          <w:fldChar w:fldCharType="separate"/>
        </w:r>
        <w:r w:rsidR="00EB2BE6">
          <w:rPr>
            <w:noProof/>
            <w:webHidden/>
          </w:rPr>
          <w:t>71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2" w:history="1">
        <w:r w:rsidR="00EB2BE6" w:rsidRPr="006529D8">
          <w:rPr>
            <w:rStyle w:val="Kpr"/>
            <w:noProof/>
            <w:lang w:val="en-GB"/>
          </w:rPr>
          <w:t>Figure</w:t>
        </w:r>
        <w:r w:rsidR="00EB2BE6" w:rsidRPr="006529D8">
          <w:rPr>
            <w:rStyle w:val="Kpr"/>
            <w:caps/>
            <w:noProof/>
            <w:lang w:val="en-GB"/>
          </w:rPr>
          <w:t xml:space="preserve"> 3.1: </w:t>
        </w:r>
        <w:r w:rsidR="00EB2BE6" w:rsidRPr="006529D8">
          <w:rPr>
            <w:rStyle w:val="Kpr"/>
            <w:noProof/>
            <w:lang w:val="en-GB"/>
          </w:rPr>
          <w:t>Eligible Consumer Limit and Market Openness Ratio by Years (kWh-%)</w:t>
        </w:r>
        <w:r w:rsidR="00EB2BE6">
          <w:rPr>
            <w:noProof/>
            <w:webHidden/>
          </w:rPr>
          <w:tab/>
        </w:r>
        <w:r w:rsidR="00EB2BE6">
          <w:rPr>
            <w:noProof/>
            <w:webHidden/>
          </w:rPr>
          <w:fldChar w:fldCharType="begin"/>
        </w:r>
        <w:r w:rsidR="00EB2BE6">
          <w:rPr>
            <w:noProof/>
            <w:webHidden/>
          </w:rPr>
          <w:instrText xml:space="preserve"> PAGEREF _Toc44508412 \h </w:instrText>
        </w:r>
        <w:r w:rsidR="00EB2BE6">
          <w:rPr>
            <w:noProof/>
            <w:webHidden/>
          </w:rPr>
        </w:r>
        <w:r w:rsidR="00EB2BE6">
          <w:rPr>
            <w:noProof/>
            <w:webHidden/>
          </w:rPr>
          <w:fldChar w:fldCharType="separate"/>
        </w:r>
        <w:r w:rsidR="00EB2BE6">
          <w:rPr>
            <w:noProof/>
            <w:webHidden/>
          </w:rPr>
          <w:t>76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3" w:history="1">
        <w:r w:rsidR="00EB2BE6" w:rsidRPr="006529D8">
          <w:rPr>
            <w:rStyle w:val="Kpr"/>
            <w:noProof/>
            <w:lang w:val="en-GB"/>
          </w:rPr>
          <w:t>Figure 3.2: Number of Eligible Consumer by Months in 2019 (Number)</w:t>
        </w:r>
        <w:r w:rsidR="00EB2BE6">
          <w:rPr>
            <w:noProof/>
            <w:webHidden/>
          </w:rPr>
          <w:tab/>
        </w:r>
        <w:r w:rsidR="00EB2BE6">
          <w:rPr>
            <w:noProof/>
            <w:webHidden/>
          </w:rPr>
          <w:fldChar w:fldCharType="begin"/>
        </w:r>
        <w:r w:rsidR="00EB2BE6">
          <w:rPr>
            <w:noProof/>
            <w:webHidden/>
          </w:rPr>
          <w:instrText xml:space="preserve"> PAGEREF _Toc44508413 \h </w:instrText>
        </w:r>
        <w:r w:rsidR="00EB2BE6">
          <w:rPr>
            <w:noProof/>
            <w:webHidden/>
          </w:rPr>
        </w:r>
        <w:r w:rsidR="00EB2BE6">
          <w:rPr>
            <w:noProof/>
            <w:webHidden/>
          </w:rPr>
          <w:fldChar w:fldCharType="separate"/>
        </w:r>
        <w:r w:rsidR="00EB2BE6">
          <w:rPr>
            <w:noProof/>
            <w:webHidden/>
          </w:rPr>
          <w:t>77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4" w:history="1">
        <w:r w:rsidR="00EB2BE6" w:rsidRPr="006529D8">
          <w:rPr>
            <w:rStyle w:val="Kpr"/>
            <w:noProof/>
            <w:lang w:val="en-GB"/>
          </w:rPr>
          <w:t>Figure 3.3: Distribution of Eligible Consumers by Distribution Regions by end of 2019</w:t>
        </w:r>
        <w:r w:rsidR="00EB2BE6">
          <w:rPr>
            <w:noProof/>
            <w:webHidden/>
          </w:rPr>
          <w:tab/>
        </w:r>
        <w:r w:rsidR="00EB2BE6">
          <w:rPr>
            <w:noProof/>
            <w:webHidden/>
          </w:rPr>
          <w:fldChar w:fldCharType="begin"/>
        </w:r>
        <w:r w:rsidR="00EB2BE6">
          <w:rPr>
            <w:noProof/>
            <w:webHidden/>
          </w:rPr>
          <w:instrText xml:space="preserve"> PAGEREF _Toc44508414 \h </w:instrText>
        </w:r>
        <w:r w:rsidR="00EB2BE6">
          <w:rPr>
            <w:noProof/>
            <w:webHidden/>
          </w:rPr>
        </w:r>
        <w:r w:rsidR="00EB2BE6">
          <w:rPr>
            <w:noProof/>
            <w:webHidden/>
          </w:rPr>
          <w:fldChar w:fldCharType="separate"/>
        </w:r>
        <w:r w:rsidR="00EB2BE6">
          <w:rPr>
            <w:noProof/>
            <w:webHidden/>
          </w:rPr>
          <w:t>77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5" w:history="1">
        <w:r w:rsidR="00EB2BE6" w:rsidRPr="006529D8">
          <w:rPr>
            <w:rStyle w:val="Kpr"/>
            <w:noProof/>
            <w:lang w:val="en-GB"/>
          </w:rPr>
          <w:t>Figure 3.5 below shows the distribution of eligible consumer consumption by supplier type.</w:t>
        </w:r>
        <w:r w:rsidR="00EB2BE6">
          <w:rPr>
            <w:noProof/>
            <w:webHidden/>
          </w:rPr>
          <w:tab/>
        </w:r>
        <w:r w:rsidR="00EB2BE6">
          <w:rPr>
            <w:noProof/>
            <w:webHidden/>
          </w:rPr>
          <w:fldChar w:fldCharType="begin"/>
        </w:r>
        <w:r w:rsidR="00EB2BE6">
          <w:rPr>
            <w:noProof/>
            <w:webHidden/>
          </w:rPr>
          <w:instrText xml:space="preserve"> PAGEREF _Toc44508415 \h </w:instrText>
        </w:r>
        <w:r w:rsidR="00EB2BE6">
          <w:rPr>
            <w:noProof/>
            <w:webHidden/>
          </w:rPr>
        </w:r>
        <w:r w:rsidR="00EB2BE6">
          <w:rPr>
            <w:noProof/>
            <w:webHidden/>
          </w:rPr>
          <w:fldChar w:fldCharType="separate"/>
        </w:r>
        <w:r w:rsidR="00EB2BE6">
          <w:rPr>
            <w:noProof/>
            <w:webHidden/>
          </w:rPr>
          <w:t>78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6" w:history="1">
        <w:r w:rsidR="00EB2BE6" w:rsidRPr="006529D8">
          <w:rPr>
            <w:rStyle w:val="Kpr"/>
            <w:noProof/>
            <w:lang w:val="en-GB"/>
          </w:rPr>
          <w:t>Figure 3.4: Distribution of Eligible Consumer Consumption by Suppliers Type (%)</w:t>
        </w:r>
        <w:r w:rsidR="00EB2BE6">
          <w:rPr>
            <w:noProof/>
            <w:webHidden/>
          </w:rPr>
          <w:tab/>
        </w:r>
        <w:r w:rsidR="00EB2BE6">
          <w:rPr>
            <w:noProof/>
            <w:webHidden/>
          </w:rPr>
          <w:fldChar w:fldCharType="begin"/>
        </w:r>
        <w:r w:rsidR="00EB2BE6">
          <w:rPr>
            <w:noProof/>
            <w:webHidden/>
          </w:rPr>
          <w:instrText xml:space="preserve"> PAGEREF _Toc44508416 \h </w:instrText>
        </w:r>
        <w:r w:rsidR="00EB2BE6">
          <w:rPr>
            <w:noProof/>
            <w:webHidden/>
          </w:rPr>
        </w:r>
        <w:r w:rsidR="00EB2BE6">
          <w:rPr>
            <w:noProof/>
            <w:webHidden/>
          </w:rPr>
          <w:fldChar w:fldCharType="separate"/>
        </w:r>
        <w:r w:rsidR="00EB2BE6">
          <w:rPr>
            <w:noProof/>
            <w:webHidden/>
          </w:rPr>
          <w:t>78</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7" w:history="1">
        <w:r w:rsidR="00EB2BE6" w:rsidRPr="006529D8">
          <w:rPr>
            <w:rStyle w:val="Kpr"/>
            <w:noProof/>
            <w:lang w:val="en-GB"/>
          </w:rPr>
          <w:t>Figure 3.5: Monthly Changes in Number and Consumptions of Eligible Consumers Switching Their Supplier (Number-MWh)</w:t>
        </w:r>
        <w:r w:rsidR="00EB2BE6">
          <w:rPr>
            <w:noProof/>
            <w:webHidden/>
          </w:rPr>
          <w:tab/>
        </w:r>
        <w:r w:rsidR="00EB2BE6">
          <w:rPr>
            <w:noProof/>
            <w:webHidden/>
          </w:rPr>
          <w:fldChar w:fldCharType="begin"/>
        </w:r>
        <w:r w:rsidR="00EB2BE6">
          <w:rPr>
            <w:noProof/>
            <w:webHidden/>
          </w:rPr>
          <w:instrText xml:space="preserve"> PAGEREF _Toc44508417 \h </w:instrText>
        </w:r>
        <w:r w:rsidR="00EB2BE6">
          <w:rPr>
            <w:noProof/>
            <w:webHidden/>
          </w:rPr>
        </w:r>
        <w:r w:rsidR="00EB2BE6">
          <w:rPr>
            <w:noProof/>
            <w:webHidden/>
          </w:rPr>
          <w:fldChar w:fldCharType="separate"/>
        </w:r>
        <w:r w:rsidR="00EB2BE6">
          <w:rPr>
            <w:noProof/>
            <w:webHidden/>
          </w:rPr>
          <w:t>79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8" w:history="1">
        <w:r w:rsidR="00EB2BE6" w:rsidRPr="006529D8">
          <w:rPr>
            <w:rStyle w:val="Kpr"/>
            <w:noProof/>
            <w:lang w:val="en-GB"/>
          </w:rPr>
          <w:t>Figure 4.1: Changes in TEİAŞ Transmission Line Lengths by Years (km)</w:t>
        </w:r>
        <w:r w:rsidR="00EB2BE6">
          <w:rPr>
            <w:noProof/>
            <w:webHidden/>
          </w:rPr>
          <w:tab/>
        </w:r>
        <w:r w:rsidR="00EB2BE6">
          <w:rPr>
            <w:noProof/>
            <w:webHidden/>
          </w:rPr>
          <w:fldChar w:fldCharType="begin"/>
        </w:r>
        <w:r w:rsidR="00EB2BE6">
          <w:rPr>
            <w:noProof/>
            <w:webHidden/>
          </w:rPr>
          <w:instrText xml:space="preserve"> PAGEREF _Toc44508418 \h </w:instrText>
        </w:r>
        <w:r w:rsidR="00EB2BE6">
          <w:rPr>
            <w:noProof/>
            <w:webHidden/>
          </w:rPr>
        </w:r>
        <w:r w:rsidR="00EB2BE6">
          <w:rPr>
            <w:noProof/>
            <w:webHidden/>
          </w:rPr>
          <w:fldChar w:fldCharType="separate"/>
        </w:r>
        <w:r w:rsidR="00EB2BE6">
          <w:rPr>
            <w:noProof/>
            <w:webHidden/>
          </w:rPr>
          <w:t>81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19" w:history="1">
        <w:r w:rsidR="00EB2BE6" w:rsidRPr="006529D8">
          <w:rPr>
            <w:rStyle w:val="Kpr"/>
            <w:noProof/>
            <w:lang w:val="en-GB"/>
          </w:rPr>
          <w:t>Figure 4.2:</w:t>
        </w:r>
        <w:r w:rsidR="00EB2BE6" w:rsidRPr="006529D8">
          <w:rPr>
            <w:rStyle w:val="Kpr"/>
            <w:caps/>
            <w:noProof/>
            <w:lang w:val="en-GB"/>
          </w:rPr>
          <w:t xml:space="preserve"> </w:t>
        </w:r>
        <w:r w:rsidR="00EB2BE6" w:rsidRPr="006529D8">
          <w:rPr>
            <w:rStyle w:val="Kpr"/>
            <w:noProof/>
            <w:lang w:val="en-GB"/>
          </w:rPr>
          <w:t xml:space="preserve"> Capacity Based Regional Transmission System Usage Tariffs Applied in 2019 (TL/MW-Year)</w:t>
        </w:r>
        <w:r w:rsidR="00EB2BE6">
          <w:rPr>
            <w:noProof/>
            <w:webHidden/>
          </w:rPr>
          <w:tab/>
        </w:r>
        <w:r w:rsidR="00EB2BE6">
          <w:rPr>
            <w:noProof/>
            <w:webHidden/>
          </w:rPr>
          <w:fldChar w:fldCharType="begin"/>
        </w:r>
        <w:r w:rsidR="00EB2BE6">
          <w:rPr>
            <w:noProof/>
            <w:webHidden/>
          </w:rPr>
          <w:instrText xml:space="preserve"> PAGEREF _Toc44508419 \h </w:instrText>
        </w:r>
        <w:r w:rsidR="00EB2BE6">
          <w:rPr>
            <w:noProof/>
            <w:webHidden/>
          </w:rPr>
        </w:r>
        <w:r w:rsidR="00EB2BE6">
          <w:rPr>
            <w:noProof/>
            <w:webHidden/>
          </w:rPr>
          <w:fldChar w:fldCharType="separate"/>
        </w:r>
        <w:r w:rsidR="00EB2BE6">
          <w:rPr>
            <w:noProof/>
            <w:webHidden/>
          </w:rPr>
          <w:t>83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0" w:history="1">
        <w:r w:rsidR="00EB2BE6" w:rsidRPr="006529D8">
          <w:rPr>
            <w:rStyle w:val="Kpr"/>
            <w:noProof/>
            <w:lang w:val="en-GB"/>
          </w:rPr>
          <w:t>Figure 4.3: Transmission System Losses (GWh-%)</w:t>
        </w:r>
        <w:r w:rsidR="00EB2BE6">
          <w:rPr>
            <w:noProof/>
            <w:webHidden/>
          </w:rPr>
          <w:tab/>
        </w:r>
        <w:r w:rsidR="00EB2BE6">
          <w:rPr>
            <w:noProof/>
            <w:webHidden/>
          </w:rPr>
          <w:fldChar w:fldCharType="begin"/>
        </w:r>
        <w:r w:rsidR="00EB2BE6">
          <w:rPr>
            <w:noProof/>
            <w:webHidden/>
          </w:rPr>
          <w:instrText xml:space="preserve"> PAGEREF _Toc44508420 \h </w:instrText>
        </w:r>
        <w:r w:rsidR="00EB2BE6">
          <w:rPr>
            <w:noProof/>
            <w:webHidden/>
          </w:rPr>
        </w:r>
        <w:r w:rsidR="00EB2BE6">
          <w:rPr>
            <w:noProof/>
            <w:webHidden/>
          </w:rPr>
          <w:fldChar w:fldCharType="separate"/>
        </w:r>
        <w:r w:rsidR="00EB2BE6">
          <w:rPr>
            <w:noProof/>
            <w:webHidden/>
          </w:rPr>
          <w:t>84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1" w:history="1">
        <w:r w:rsidR="00EB2BE6" w:rsidRPr="006529D8">
          <w:rPr>
            <w:rStyle w:val="Kpr"/>
            <w:noProof/>
            <w:lang w:val="en-GB"/>
          </w:rPr>
          <w:t>Figure 5.1: Number and Consumption of Consumers</w:t>
        </w:r>
        <w:r w:rsidR="00EB2BE6" w:rsidRPr="006529D8">
          <w:rPr>
            <w:rStyle w:val="Kpr"/>
            <w:rFonts w:eastAsia="Times New Roman"/>
            <w:noProof/>
            <w:lang w:val="en-GB" w:eastAsia="tr-TR"/>
          </w:rPr>
          <w:t xml:space="preserve"> (Number- MWh)</w:t>
        </w:r>
        <w:r w:rsidR="00EB2BE6">
          <w:rPr>
            <w:noProof/>
            <w:webHidden/>
          </w:rPr>
          <w:tab/>
        </w:r>
        <w:r w:rsidR="00EB2BE6">
          <w:rPr>
            <w:noProof/>
            <w:webHidden/>
          </w:rPr>
          <w:fldChar w:fldCharType="begin"/>
        </w:r>
        <w:r w:rsidR="00EB2BE6">
          <w:rPr>
            <w:noProof/>
            <w:webHidden/>
          </w:rPr>
          <w:instrText xml:space="preserve"> PAGEREF _Toc44508421 \h </w:instrText>
        </w:r>
        <w:r w:rsidR="00EB2BE6">
          <w:rPr>
            <w:noProof/>
            <w:webHidden/>
          </w:rPr>
        </w:r>
        <w:r w:rsidR="00EB2BE6">
          <w:rPr>
            <w:noProof/>
            <w:webHidden/>
          </w:rPr>
          <w:fldChar w:fldCharType="separate"/>
        </w:r>
        <w:r w:rsidR="00EB2BE6">
          <w:rPr>
            <w:noProof/>
            <w:webHidden/>
          </w:rPr>
          <w:t>87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2" w:history="1">
        <w:r w:rsidR="00EB2BE6" w:rsidRPr="006529D8">
          <w:rPr>
            <w:rStyle w:val="Kpr"/>
            <w:rFonts w:eastAsia="Times New Roman"/>
            <w:bCs/>
            <w:noProof/>
            <w:lang w:val="en-GB" w:eastAsia="tr-TR"/>
          </w:rPr>
          <w:t>In the figure below, the actual and targeted loss rates are shown together.</w:t>
        </w:r>
        <w:r w:rsidR="00EB2BE6">
          <w:rPr>
            <w:noProof/>
            <w:webHidden/>
          </w:rPr>
          <w:tab/>
        </w:r>
        <w:r w:rsidR="00EB2BE6">
          <w:rPr>
            <w:noProof/>
            <w:webHidden/>
          </w:rPr>
          <w:fldChar w:fldCharType="begin"/>
        </w:r>
        <w:r w:rsidR="00EB2BE6">
          <w:rPr>
            <w:noProof/>
            <w:webHidden/>
          </w:rPr>
          <w:instrText xml:space="preserve"> PAGEREF _Toc44508422 \h </w:instrText>
        </w:r>
        <w:r w:rsidR="00EB2BE6">
          <w:rPr>
            <w:noProof/>
            <w:webHidden/>
          </w:rPr>
        </w:r>
        <w:r w:rsidR="00EB2BE6">
          <w:rPr>
            <w:noProof/>
            <w:webHidden/>
          </w:rPr>
          <w:fldChar w:fldCharType="separate"/>
        </w:r>
        <w:r w:rsidR="00EB2BE6">
          <w:rPr>
            <w:noProof/>
            <w:webHidden/>
          </w:rPr>
          <w:t>89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3" w:history="1">
        <w:r w:rsidR="00EB2BE6" w:rsidRPr="006529D8">
          <w:rPr>
            <w:rStyle w:val="Kpr"/>
            <w:noProof/>
            <w:lang w:val="en-GB"/>
          </w:rPr>
          <w:t>Figure 5.2: Real and Target Loss Rates in 2019 (%)</w:t>
        </w:r>
        <w:r w:rsidR="00EB2BE6">
          <w:rPr>
            <w:noProof/>
            <w:webHidden/>
          </w:rPr>
          <w:tab/>
        </w:r>
        <w:r w:rsidR="00EB2BE6">
          <w:rPr>
            <w:noProof/>
            <w:webHidden/>
          </w:rPr>
          <w:fldChar w:fldCharType="begin"/>
        </w:r>
        <w:r w:rsidR="00EB2BE6">
          <w:rPr>
            <w:noProof/>
            <w:webHidden/>
          </w:rPr>
          <w:instrText xml:space="preserve"> PAGEREF _Toc44508423 \h </w:instrText>
        </w:r>
        <w:r w:rsidR="00EB2BE6">
          <w:rPr>
            <w:noProof/>
            <w:webHidden/>
          </w:rPr>
        </w:r>
        <w:r w:rsidR="00EB2BE6">
          <w:rPr>
            <w:noProof/>
            <w:webHidden/>
          </w:rPr>
          <w:fldChar w:fldCharType="separate"/>
        </w:r>
        <w:r w:rsidR="00EB2BE6">
          <w:rPr>
            <w:noProof/>
            <w:webHidden/>
          </w:rPr>
          <w:t>89</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4" w:history="1">
        <w:r w:rsidR="00EB2BE6" w:rsidRPr="006529D8">
          <w:rPr>
            <w:rStyle w:val="Kpr"/>
            <w:caps/>
            <w:noProof/>
            <w:lang w:val="en-GB"/>
          </w:rPr>
          <w:t>F</w:t>
        </w:r>
        <w:r w:rsidR="00EB2BE6" w:rsidRPr="006529D8">
          <w:rPr>
            <w:rStyle w:val="Kpr"/>
            <w:noProof/>
            <w:lang w:val="en-GB"/>
          </w:rPr>
          <w:t>igure 5.3: Number of Employees of Distribution Companies by Year 2019</w:t>
        </w:r>
        <w:r w:rsidR="00EB2BE6">
          <w:rPr>
            <w:noProof/>
            <w:webHidden/>
          </w:rPr>
          <w:tab/>
        </w:r>
        <w:r w:rsidR="00EB2BE6">
          <w:rPr>
            <w:noProof/>
            <w:webHidden/>
          </w:rPr>
          <w:fldChar w:fldCharType="begin"/>
        </w:r>
        <w:r w:rsidR="00EB2BE6">
          <w:rPr>
            <w:noProof/>
            <w:webHidden/>
          </w:rPr>
          <w:instrText xml:space="preserve"> PAGEREF _Toc44508424 \h </w:instrText>
        </w:r>
        <w:r w:rsidR="00EB2BE6">
          <w:rPr>
            <w:noProof/>
            <w:webHidden/>
          </w:rPr>
        </w:r>
        <w:r w:rsidR="00EB2BE6">
          <w:rPr>
            <w:noProof/>
            <w:webHidden/>
          </w:rPr>
          <w:fldChar w:fldCharType="separate"/>
        </w:r>
        <w:r w:rsidR="00EB2BE6">
          <w:rPr>
            <w:noProof/>
            <w:webHidden/>
          </w:rPr>
          <w:t>91</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5" w:history="1">
        <w:r w:rsidR="00EB2BE6" w:rsidRPr="006529D8">
          <w:rPr>
            <w:rStyle w:val="Kpr"/>
            <w:caps/>
            <w:noProof/>
            <w:lang w:val="en-GB"/>
          </w:rPr>
          <w:t>F</w:t>
        </w:r>
        <w:r w:rsidR="00EB2BE6" w:rsidRPr="006529D8">
          <w:rPr>
            <w:rStyle w:val="Kpr"/>
            <w:noProof/>
            <w:lang w:val="en-GB"/>
          </w:rPr>
          <w:t>igure 5.4: Line Lengths and Transformer Capacities on the Basis of Distribution Companies at the end of 2019  (km-MVA)</w:t>
        </w:r>
        <w:r w:rsidR="00EB2BE6">
          <w:rPr>
            <w:noProof/>
            <w:webHidden/>
          </w:rPr>
          <w:tab/>
        </w:r>
        <w:r w:rsidR="00EB2BE6">
          <w:rPr>
            <w:noProof/>
            <w:webHidden/>
          </w:rPr>
          <w:fldChar w:fldCharType="begin"/>
        </w:r>
        <w:r w:rsidR="00EB2BE6">
          <w:rPr>
            <w:noProof/>
            <w:webHidden/>
          </w:rPr>
          <w:instrText xml:space="preserve"> PAGEREF _Toc44508425 \h </w:instrText>
        </w:r>
        <w:r w:rsidR="00EB2BE6">
          <w:rPr>
            <w:noProof/>
            <w:webHidden/>
          </w:rPr>
        </w:r>
        <w:r w:rsidR="00EB2BE6">
          <w:rPr>
            <w:noProof/>
            <w:webHidden/>
          </w:rPr>
          <w:fldChar w:fldCharType="separate"/>
        </w:r>
        <w:r w:rsidR="00EB2BE6">
          <w:rPr>
            <w:noProof/>
            <w:webHidden/>
          </w:rPr>
          <w:t>93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6" w:history="1">
        <w:r w:rsidR="00EB2BE6" w:rsidRPr="006529D8">
          <w:rPr>
            <w:rStyle w:val="Kpr"/>
            <w:caps/>
            <w:noProof/>
            <w:lang w:val="en-GB"/>
          </w:rPr>
          <w:t>F</w:t>
        </w:r>
        <w:r w:rsidR="00EB2BE6" w:rsidRPr="006529D8">
          <w:rPr>
            <w:rStyle w:val="Kpr"/>
            <w:noProof/>
            <w:lang w:val="en-GB"/>
          </w:rPr>
          <w:t>igure 5.5: The Length of Lines on the Basis of Distribution Companies at the end of 2019 (km)</w:t>
        </w:r>
        <w:r w:rsidR="00EB2BE6">
          <w:rPr>
            <w:noProof/>
            <w:webHidden/>
          </w:rPr>
          <w:tab/>
        </w:r>
        <w:r w:rsidR="00EB2BE6">
          <w:rPr>
            <w:noProof/>
            <w:webHidden/>
          </w:rPr>
          <w:fldChar w:fldCharType="begin"/>
        </w:r>
        <w:r w:rsidR="00EB2BE6">
          <w:rPr>
            <w:noProof/>
            <w:webHidden/>
          </w:rPr>
          <w:instrText xml:space="preserve"> PAGEREF _Toc44508426 \h </w:instrText>
        </w:r>
        <w:r w:rsidR="00EB2BE6">
          <w:rPr>
            <w:noProof/>
            <w:webHidden/>
          </w:rPr>
        </w:r>
        <w:r w:rsidR="00EB2BE6">
          <w:rPr>
            <w:noProof/>
            <w:webHidden/>
          </w:rPr>
          <w:fldChar w:fldCharType="separate"/>
        </w:r>
        <w:r w:rsidR="00EB2BE6">
          <w:rPr>
            <w:noProof/>
            <w:webHidden/>
          </w:rPr>
          <w:t>94</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7" w:history="1">
        <w:r w:rsidR="00EB2BE6" w:rsidRPr="006529D8">
          <w:rPr>
            <w:rStyle w:val="Kpr"/>
            <w:noProof/>
            <w:lang w:val="en-GB"/>
          </w:rPr>
          <w:t xml:space="preserve">Figure 5.6: </w:t>
        </w:r>
        <w:r w:rsidR="00EB2BE6" w:rsidRPr="006529D8">
          <w:rPr>
            <w:rStyle w:val="Kpr"/>
            <w:rFonts w:eastAsia="Times New Roman"/>
            <w:noProof/>
            <w:lang w:val="en-GB" w:eastAsia="tr-TR"/>
          </w:rPr>
          <w:t>Investment Amounts of Dıstribution Companies in 2019 (Current Prices-TL)</w:t>
        </w:r>
        <w:r w:rsidR="00EB2BE6">
          <w:rPr>
            <w:noProof/>
            <w:webHidden/>
          </w:rPr>
          <w:tab/>
        </w:r>
        <w:r w:rsidR="00EB2BE6">
          <w:rPr>
            <w:noProof/>
            <w:webHidden/>
          </w:rPr>
          <w:fldChar w:fldCharType="begin"/>
        </w:r>
        <w:r w:rsidR="00EB2BE6">
          <w:rPr>
            <w:noProof/>
            <w:webHidden/>
          </w:rPr>
          <w:instrText xml:space="preserve"> PAGEREF _Toc44508427 \h </w:instrText>
        </w:r>
        <w:r w:rsidR="00EB2BE6">
          <w:rPr>
            <w:noProof/>
            <w:webHidden/>
          </w:rPr>
        </w:r>
        <w:r w:rsidR="00EB2BE6">
          <w:rPr>
            <w:noProof/>
            <w:webHidden/>
          </w:rPr>
          <w:fldChar w:fldCharType="separate"/>
        </w:r>
        <w:r w:rsidR="00EB2BE6">
          <w:rPr>
            <w:noProof/>
            <w:webHidden/>
          </w:rPr>
          <w:t>103</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8" w:history="1">
        <w:r w:rsidR="00EB2BE6" w:rsidRPr="006529D8">
          <w:rPr>
            <w:rStyle w:val="Kpr"/>
            <w:noProof/>
            <w:lang w:val="en-GB"/>
          </w:rPr>
          <w:t>Figure 6.1: Retail Price Excluding Taxes and Funds by Years (Energy+PSH) (kr/kWh)</w:t>
        </w:r>
        <w:r w:rsidR="00EB2BE6">
          <w:rPr>
            <w:noProof/>
            <w:webHidden/>
          </w:rPr>
          <w:tab/>
        </w:r>
        <w:r w:rsidR="00EB2BE6">
          <w:rPr>
            <w:noProof/>
            <w:webHidden/>
          </w:rPr>
          <w:fldChar w:fldCharType="begin"/>
        </w:r>
        <w:r w:rsidR="00EB2BE6">
          <w:rPr>
            <w:noProof/>
            <w:webHidden/>
          </w:rPr>
          <w:instrText xml:space="preserve"> PAGEREF _Toc44508428 \h </w:instrText>
        </w:r>
        <w:r w:rsidR="00EB2BE6">
          <w:rPr>
            <w:noProof/>
            <w:webHidden/>
          </w:rPr>
        </w:r>
        <w:r w:rsidR="00EB2BE6">
          <w:rPr>
            <w:noProof/>
            <w:webHidden/>
          </w:rPr>
          <w:fldChar w:fldCharType="separate"/>
        </w:r>
        <w:r w:rsidR="00EB2BE6">
          <w:rPr>
            <w:noProof/>
            <w:webHidden/>
          </w:rPr>
          <w:t>105</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29" w:history="1">
        <w:r w:rsidR="00EB2BE6" w:rsidRPr="006529D8">
          <w:rPr>
            <w:rStyle w:val="Kpr"/>
            <w:noProof/>
            <w:lang w:val="en-GB"/>
          </w:rPr>
          <w:t>Figure 6.3: Change in Electricity Tariffs before Taxes and Funds by Years (kr/kWh)</w:t>
        </w:r>
        <w:r w:rsidR="00EB2BE6">
          <w:rPr>
            <w:noProof/>
            <w:webHidden/>
          </w:rPr>
          <w:tab/>
        </w:r>
        <w:r w:rsidR="00EB2BE6">
          <w:rPr>
            <w:noProof/>
            <w:webHidden/>
          </w:rPr>
          <w:fldChar w:fldCharType="begin"/>
        </w:r>
        <w:r w:rsidR="00EB2BE6">
          <w:rPr>
            <w:noProof/>
            <w:webHidden/>
          </w:rPr>
          <w:instrText xml:space="preserve"> PAGEREF _Toc44508429 \h </w:instrText>
        </w:r>
        <w:r w:rsidR="00EB2BE6">
          <w:rPr>
            <w:noProof/>
            <w:webHidden/>
          </w:rPr>
        </w:r>
        <w:r w:rsidR="00EB2BE6">
          <w:rPr>
            <w:noProof/>
            <w:webHidden/>
          </w:rPr>
          <w:fldChar w:fldCharType="separate"/>
        </w:r>
        <w:r w:rsidR="00EB2BE6">
          <w:rPr>
            <w:noProof/>
            <w:webHidden/>
          </w:rPr>
          <w:t>106</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30" w:history="1">
        <w:r w:rsidR="00EB2BE6" w:rsidRPr="006529D8">
          <w:rPr>
            <w:rStyle w:val="Kpr"/>
            <w:noProof/>
            <w:lang w:val="en-GB"/>
          </w:rPr>
          <w:t>Figure 6.4: Share of Items on Residence Electricity Invoice in 2019  (%)</w:t>
        </w:r>
        <w:r w:rsidR="00EB2BE6">
          <w:rPr>
            <w:noProof/>
            <w:webHidden/>
          </w:rPr>
          <w:tab/>
        </w:r>
        <w:r w:rsidR="00EB2BE6">
          <w:rPr>
            <w:noProof/>
            <w:webHidden/>
          </w:rPr>
          <w:fldChar w:fldCharType="begin"/>
        </w:r>
        <w:r w:rsidR="00EB2BE6">
          <w:rPr>
            <w:noProof/>
            <w:webHidden/>
          </w:rPr>
          <w:instrText xml:space="preserve"> PAGEREF _Toc44508430 \h </w:instrText>
        </w:r>
        <w:r w:rsidR="00EB2BE6">
          <w:rPr>
            <w:noProof/>
            <w:webHidden/>
          </w:rPr>
        </w:r>
        <w:r w:rsidR="00EB2BE6">
          <w:rPr>
            <w:noProof/>
            <w:webHidden/>
          </w:rPr>
          <w:fldChar w:fldCharType="separate"/>
        </w:r>
        <w:r w:rsidR="00EB2BE6">
          <w:rPr>
            <w:noProof/>
            <w:webHidden/>
          </w:rPr>
          <w:t>107</w:t>
        </w:r>
        <w:r w:rsidR="00EB2BE6">
          <w:rPr>
            <w:noProof/>
            <w:webHidden/>
          </w:rPr>
          <w:fldChar w:fldCharType="end"/>
        </w:r>
      </w:hyperlink>
    </w:p>
    <w:p w:rsidR="00EB2BE6" w:rsidRDefault="00BE6989">
      <w:pPr>
        <w:pStyle w:val="ekillerTablosu"/>
        <w:tabs>
          <w:tab w:val="right" w:leader="dot" w:pos="9060"/>
        </w:tabs>
        <w:rPr>
          <w:rFonts w:asciiTheme="minorHAnsi" w:eastAsiaTheme="minorEastAsia" w:hAnsiTheme="minorHAnsi" w:cstheme="minorBidi"/>
          <w:noProof/>
          <w:sz w:val="22"/>
          <w:szCs w:val="22"/>
          <w:lang w:eastAsia="tr-TR" w:bidi="ar-SA"/>
        </w:rPr>
      </w:pPr>
      <w:hyperlink w:anchor="_Toc44508431" w:history="1">
        <w:r w:rsidR="00EB2BE6" w:rsidRPr="006529D8">
          <w:rPr>
            <w:rStyle w:val="Kpr"/>
            <w:noProof/>
            <w:lang w:val="en-GB"/>
          </w:rPr>
          <w:t>Figure 6.5: Share of Items on Industry Electricity Invoice in 2019 (%)</w:t>
        </w:r>
        <w:r w:rsidR="00EB2BE6">
          <w:rPr>
            <w:noProof/>
            <w:webHidden/>
          </w:rPr>
          <w:tab/>
        </w:r>
        <w:r w:rsidR="00EB2BE6">
          <w:rPr>
            <w:noProof/>
            <w:webHidden/>
          </w:rPr>
          <w:fldChar w:fldCharType="begin"/>
        </w:r>
        <w:r w:rsidR="00EB2BE6">
          <w:rPr>
            <w:noProof/>
            <w:webHidden/>
          </w:rPr>
          <w:instrText xml:space="preserve"> PAGEREF _Toc44508431 \h </w:instrText>
        </w:r>
        <w:r w:rsidR="00EB2BE6">
          <w:rPr>
            <w:noProof/>
            <w:webHidden/>
          </w:rPr>
        </w:r>
        <w:r w:rsidR="00EB2BE6">
          <w:rPr>
            <w:noProof/>
            <w:webHidden/>
          </w:rPr>
          <w:fldChar w:fldCharType="separate"/>
        </w:r>
        <w:r w:rsidR="00EB2BE6">
          <w:rPr>
            <w:noProof/>
            <w:webHidden/>
          </w:rPr>
          <w:t>107</w:t>
        </w:r>
        <w:r w:rsidR="00EB2BE6">
          <w:rPr>
            <w:noProof/>
            <w:webHidden/>
          </w:rPr>
          <w:fldChar w:fldCharType="end"/>
        </w:r>
      </w:hyperlink>
    </w:p>
    <w:p w:rsidR="00B84ABD" w:rsidRPr="00F876CB" w:rsidRDefault="00B84ABD" w:rsidP="002325DC">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fldChar w:fldCharType="end"/>
      </w:r>
    </w:p>
    <w:p w:rsidR="00B84ABD" w:rsidRPr="00F876CB" w:rsidRDefault="00B84ABD" w:rsidP="002325DC">
      <w:pPr>
        <w:spacing w:line="360" w:lineRule="auto"/>
        <w:jc w:val="both"/>
        <w:rPr>
          <w:rFonts w:asciiTheme="minorHAnsi" w:hAnsiTheme="minorHAnsi" w:cstheme="minorHAnsi"/>
          <w:sz w:val="24"/>
          <w:szCs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00BAB" w:rsidRDefault="00800BAB" w:rsidP="00CE0DA6">
      <w:pPr>
        <w:jc w:val="center"/>
        <w:rPr>
          <w:rFonts w:ascii="Times New Roman" w:hAnsi="Times New Roman" w:cs="Times New Roman"/>
          <w:b/>
          <w:sz w:val="24"/>
          <w:lang w:val="en-GB"/>
        </w:rPr>
      </w:pPr>
    </w:p>
    <w:p w:rsidR="00814234" w:rsidRDefault="00814234" w:rsidP="00CE0DA6">
      <w:pPr>
        <w:jc w:val="center"/>
        <w:rPr>
          <w:rFonts w:ascii="Times New Roman" w:hAnsi="Times New Roman" w:cs="Times New Roman"/>
          <w:b/>
          <w:sz w:val="24"/>
          <w:lang w:val="en-GB"/>
        </w:rPr>
      </w:pPr>
    </w:p>
    <w:p w:rsidR="00814234" w:rsidRDefault="00814234" w:rsidP="00CE0DA6">
      <w:pPr>
        <w:jc w:val="center"/>
        <w:rPr>
          <w:rFonts w:ascii="Times New Roman" w:hAnsi="Times New Roman" w:cs="Times New Roman"/>
          <w:b/>
          <w:sz w:val="24"/>
          <w:lang w:val="en-GB"/>
        </w:rPr>
      </w:pPr>
    </w:p>
    <w:p w:rsidR="00814234" w:rsidRDefault="00814234" w:rsidP="00CE0DA6">
      <w:pPr>
        <w:jc w:val="center"/>
        <w:rPr>
          <w:rFonts w:ascii="Times New Roman" w:hAnsi="Times New Roman" w:cs="Times New Roman"/>
          <w:b/>
          <w:sz w:val="24"/>
          <w:lang w:val="en-GB"/>
        </w:rPr>
      </w:pPr>
    </w:p>
    <w:p w:rsidR="00814234" w:rsidRPr="00F876CB" w:rsidRDefault="00814234" w:rsidP="00CE0DA6">
      <w:pPr>
        <w:jc w:val="center"/>
        <w:rPr>
          <w:rFonts w:ascii="Times New Roman" w:hAnsi="Times New Roman" w:cs="Times New Roman"/>
          <w:b/>
          <w:sz w:val="24"/>
          <w:lang w:val="en-GB"/>
        </w:rPr>
      </w:pPr>
    </w:p>
    <w:p w:rsidR="00442AF8" w:rsidRPr="00F876CB" w:rsidRDefault="00442AF8" w:rsidP="00CE0DA6">
      <w:pPr>
        <w:jc w:val="center"/>
        <w:rPr>
          <w:rFonts w:ascii="Times New Roman" w:hAnsi="Times New Roman" w:cs="Times New Roman"/>
          <w:b/>
          <w:sz w:val="24"/>
          <w:lang w:val="en-GB"/>
        </w:rPr>
      </w:pPr>
    </w:p>
    <w:p w:rsidR="00800BAB" w:rsidRPr="00F876CB" w:rsidRDefault="00800BAB" w:rsidP="00CE0DA6">
      <w:pPr>
        <w:jc w:val="center"/>
        <w:rPr>
          <w:rFonts w:ascii="Times New Roman" w:hAnsi="Times New Roman" w:cs="Times New Roman"/>
          <w:b/>
          <w:sz w:val="24"/>
          <w:lang w:val="en-GB"/>
        </w:rPr>
      </w:pPr>
    </w:p>
    <w:p w:rsidR="008B3867" w:rsidRPr="00F876CB" w:rsidRDefault="00C55790" w:rsidP="00C55790">
      <w:pPr>
        <w:spacing w:line="360" w:lineRule="auto"/>
        <w:jc w:val="center"/>
        <w:rPr>
          <w:rFonts w:asciiTheme="minorHAnsi" w:hAnsiTheme="minorHAnsi" w:cstheme="minorHAnsi"/>
          <w:sz w:val="24"/>
          <w:szCs w:val="24"/>
          <w:lang w:val="en-GB"/>
        </w:rPr>
      </w:pPr>
      <w:r w:rsidRPr="00F876CB">
        <w:rPr>
          <w:rFonts w:ascii="Times New Roman" w:hAnsi="Times New Roman" w:cs="Times New Roman"/>
          <w:b/>
          <w:sz w:val="24"/>
          <w:lang w:val="en-GB"/>
        </w:rPr>
        <w:lastRenderedPageBreak/>
        <w:t>ABBREVIATIONS TABLE</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BPM</w:t>
      </w:r>
      <w:r w:rsidRPr="00F876CB">
        <w:rPr>
          <w:rFonts w:ascii="Times New Roman" w:hAnsi="Times New Roman" w:cs="Times New Roman"/>
          <w:b/>
          <w:sz w:val="24"/>
          <w:szCs w:val="24"/>
          <w:lang w:val="en-GB"/>
        </w:rPr>
        <w:tab/>
      </w:r>
      <w:r w:rsidRPr="00F876CB">
        <w:rPr>
          <w:rFonts w:ascii="Times New Roman" w:hAnsi="Times New Roman" w:cs="Times New Roman"/>
          <w:sz w:val="24"/>
          <w:szCs w:val="24"/>
          <w:lang w:val="en-GB"/>
        </w:rPr>
        <w:tab/>
        <w:t>: Balancing Power Market</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EMRA</w:t>
      </w:r>
      <w:r w:rsidRPr="00F876CB">
        <w:rPr>
          <w:rFonts w:ascii="Times New Roman" w:hAnsi="Times New Roman" w:cs="Times New Roman"/>
          <w:sz w:val="24"/>
          <w:szCs w:val="24"/>
          <w:lang w:val="en-GB"/>
        </w:rPr>
        <w:tab/>
        <w:t>: Energy Market Regulatory Authority</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 xml:space="preserve">EXIST </w:t>
      </w:r>
      <w:r w:rsidRPr="00F876CB">
        <w:rPr>
          <w:rFonts w:ascii="Times New Roman" w:hAnsi="Times New Roman" w:cs="Times New Roman"/>
          <w:sz w:val="24"/>
          <w:szCs w:val="24"/>
          <w:lang w:val="en-GB"/>
        </w:rPr>
        <w:tab/>
        <w:t xml:space="preserve">: Energy Exchange Istanbul </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EÜAŞ</w:t>
      </w:r>
      <w:r w:rsidRPr="00F876CB">
        <w:rPr>
          <w:rFonts w:ascii="Times New Roman" w:hAnsi="Times New Roman" w:cs="Times New Roman"/>
          <w:b/>
          <w:sz w:val="24"/>
          <w:szCs w:val="24"/>
          <w:lang w:val="en-GB"/>
        </w:rPr>
        <w:tab/>
      </w:r>
      <w:r w:rsidRPr="00F876CB">
        <w:rPr>
          <w:rFonts w:ascii="Times New Roman" w:hAnsi="Times New Roman" w:cs="Times New Roman"/>
          <w:sz w:val="24"/>
          <w:szCs w:val="24"/>
          <w:lang w:val="en-GB"/>
        </w:rPr>
        <w:tab/>
        <w:t>: Electricity Generation Company</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IDM</w:t>
      </w:r>
      <w:r w:rsidRPr="00F876CB">
        <w:rPr>
          <w:rFonts w:ascii="Times New Roman" w:hAnsi="Times New Roman" w:cs="Times New Roman"/>
          <w:sz w:val="24"/>
          <w:szCs w:val="24"/>
          <w:lang w:val="en-GB"/>
        </w:rPr>
        <w:tab/>
      </w:r>
      <w:r w:rsidRPr="00F876CB">
        <w:rPr>
          <w:rFonts w:ascii="Times New Roman" w:hAnsi="Times New Roman" w:cs="Times New Roman"/>
          <w:sz w:val="24"/>
          <w:szCs w:val="24"/>
          <w:lang w:val="en-GB"/>
        </w:rPr>
        <w:tab/>
        <w:t>: Intra-Day Market</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DAM</w:t>
      </w:r>
      <w:r w:rsidRPr="00F876CB">
        <w:rPr>
          <w:rFonts w:ascii="Times New Roman" w:hAnsi="Times New Roman" w:cs="Times New Roman"/>
          <w:sz w:val="24"/>
          <w:szCs w:val="24"/>
          <w:lang w:val="en-GB"/>
        </w:rPr>
        <w:tab/>
      </w:r>
      <w:r w:rsidRPr="00F876CB">
        <w:rPr>
          <w:rFonts w:ascii="Times New Roman" w:hAnsi="Times New Roman" w:cs="Times New Roman"/>
          <w:sz w:val="24"/>
          <w:szCs w:val="24"/>
          <w:lang w:val="en-GB"/>
        </w:rPr>
        <w:tab/>
        <w:t>: Day-Ahead Market</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MCP</w:t>
      </w:r>
      <w:r w:rsidRPr="00F876CB">
        <w:rPr>
          <w:rFonts w:ascii="Times New Roman" w:hAnsi="Times New Roman" w:cs="Times New Roman"/>
          <w:sz w:val="24"/>
          <w:szCs w:val="24"/>
          <w:lang w:val="en-GB"/>
        </w:rPr>
        <w:tab/>
      </w:r>
      <w:r w:rsidRPr="00F876CB">
        <w:rPr>
          <w:rFonts w:ascii="Times New Roman" w:hAnsi="Times New Roman" w:cs="Times New Roman"/>
          <w:sz w:val="24"/>
          <w:szCs w:val="24"/>
          <w:lang w:val="en-GB"/>
        </w:rPr>
        <w:tab/>
        <w:t>: Market Clearing Price (Day-Ahead Price)</w:t>
      </w:r>
    </w:p>
    <w:p w:rsidR="00E2739A" w:rsidRPr="00F876CB" w:rsidRDefault="00E2739A" w:rsidP="00E2739A">
      <w:pPr>
        <w:spacing w:line="360" w:lineRule="auto"/>
        <w:jc w:val="both"/>
        <w:rPr>
          <w:rFonts w:asciiTheme="minorHAnsi" w:hAnsiTheme="minorHAnsi" w:cstheme="minorHAnsi"/>
          <w:sz w:val="24"/>
          <w:szCs w:val="24"/>
          <w:lang w:val="en-GB"/>
        </w:rPr>
      </w:pPr>
      <w:r w:rsidRPr="00F876CB">
        <w:rPr>
          <w:rFonts w:asciiTheme="minorHAnsi" w:hAnsiTheme="minorHAnsi" w:cstheme="minorHAnsi"/>
          <w:b/>
          <w:sz w:val="24"/>
          <w:szCs w:val="24"/>
          <w:lang w:val="en-GB"/>
        </w:rPr>
        <w:t>SM</w:t>
      </w:r>
      <w:r w:rsidR="00EE08D3" w:rsidRPr="00F876CB">
        <w:rPr>
          <w:rFonts w:asciiTheme="minorHAnsi" w:hAnsiTheme="minorHAnsi" w:cstheme="minorHAnsi"/>
          <w:b/>
          <w:sz w:val="24"/>
          <w:szCs w:val="24"/>
          <w:lang w:val="en-GB"/>
        </w:rPr>
        <w:t>P</w:t>
      </w:r>
      <w:r w:rsidRPr="00F876CB">
        <w:rPr>
          <w:rFonts w:asciiTheme="minorHAnsi" w:hAnsiTheme="minorHAnsi" w:cstheme="minorHAnsi"/>
          <w:b/>
          <w:sz w:val="24"/>
          <w:szCs w:val="24"/>
          <w:lang w:val="en-GB"/>
        </w:rPr>
        <w:tab/>
      </w:r>
      <w:r w:rsidRPr="00F876CB">
        <w:rPr>
          <w:rFonts w:asciiTheme="minorHAnsi" w:hAnsiTheme="minorHAnsi" w:cstheme="minorHAnsi"/>
          <w:sz w:val="24"/>
          <w:szCs w:val="24"/>
          <w:lang w:val="en-GB"/>
        </w:rPr>
        <w:tab/>
        <w:t xml:space="preserve">: </w:t>
      </w:r>
      <w:r w:rsidR="00EE08D3" w:rsidRPr="00F876CB">
        <w:rPr>
          <w:rFonts w:ascii="Times New Roman" w:hAnsi="Times New Roman" w:cs="Times New Roman"/>
          <w:sz w:val="24"/>
          <w:szCs w:val="24"/>
          <w:lang w:val="en-GB"/>
        </w:rPr>
        <w:t>System Marginal Price (Real Time Price)</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BO</w:t>
      </w:r>
      <w:r w:rsidRPr="00F876CB">
        <w:rPr>
          <w:rFonts w:ascii="Times New Roman" w:hAnsi="Times New Roman" w:cs="Times New Roman"/>
          <w:sz w:val="24"/>
          <w:szCs w:val="24"/>
          <w:lang w:val="en-GB"/>
        </w:rPr>
        <w:tab/>
      </w:r>
      <w:r w:rsidRPr="00F876CB">
        <w:rPr>
          <w:rFonts w:ascii="Times New Roman" w:hAnsi="Times New Roman" w:cs="Times New Roman"/>
          <w:sz w:val="24"/>
          <w:szCs w:val="24"/>
          <w:lang w:val="en-GB"/>
        </w:rPr>
        <w:tab/>
        <w:t>: Build Operate</w:t>
      </w:r>
    </w:p>
    <w:p w:rsidR="00EE08D3" w:rsidRPr="00F876CB" w:rsidRDefault="00EE08D3" w:rsidP="00EE08D3">
      <w:pPr>
        <w:spacing w:line="360" w:lineRule="auto"/>
        <w:jc w:val="both"/>
        <w:rPr>
          <w:rFonts w:ascii="Times New Roman" w:hAnsi="Times New Roman" w:cs="Times New Roman"/>
          <w:sz w:val="24"/>
          <w:szCs w:val="24"/>
          <w:lang w:val="en-GB"/>
        </w:rPr>
      </w:pPr>
      <w:r w:rsidRPr="00F876CB">
        <w:rPr>
          <w:rFonts w:ascii="Times New Roman" w:hAnsi="Times New Roman" w:cs="Times New Roman"/>
          <w:b/>
          <w:sz w:val="24"/>
          <w:szCs w:val="24"/>
          <w:lang w:val="en-GB"/>
        </w:rPr>
        <w:t>BOT</w:t>
      </w:r>
      <w:r w:rsidRPr="00F876CB">
        <w:rPr>
          <w:rFonts w:ascii="Times New Roman" w:hAnsi="Times New Roman" w:cs="Times New Roman"/>
          <w:sz w:val="24"/>
          <w:szCs w:val="24"/>
          <w:lang w:val="en-GB"/>
        </w:rPr>
        <w:tab/>
      </w:r>
      <w:r w:rsidRPr="00F876CB">
        <w:rPr>
          <w:rFonts w:ascii="Times New Roman" w:hAnsi="Times New Roman" w:cs="Times New Roman"/>
          <w:sz w:val="24"/>
          <w:szCs w:val="24"/>
          <w:lang w:val="en-GB"/>
        </w:rPr>
        <w:tab/>
        <w:t>: Build Operate Transfer</w:t>
      </w:r>
    </w:p>
    <w:p w:rsidR="00E2739A" w:rsidRPr="00F876CB" w:rsidRDefault="00E2739A" w:rsidP="00E2739A">
      <w:pPr>
        <w:spacing w:line="360" w:lineRule="auto"/>
        <w:jc w:val="both"/>
        <w:rPr>
          <w:rFonts w:asciiTheme="minorHAnsi" w:hAnsiTheme="minorHAnsi" w:cstheme="minorHAnsi"/>
          <w:sz w:val="24"/>
          <w:szCs w:val="24"/>
          <w:lang w:val="en-GB"/>
        </w:rPr>
      </w:pPr>
      <w:r w:rsidRPr="00F876CB">
        <w:rPr>
          <w:rFonts w:asciiTheme="minorHAnsi" w:hAnsiTheme="minorHAnsi" w:cstheme="minorHAnsi"/>
          <w:b/>
          <w:sz w:val="24"/>
          <w:szCs w:val="24"/>
          <w:lang w:val="en-GB"/>
        </w:rPr>
        <w:t>TEİAŞ</w:t>
      </w:r>
      <w:r w:rsidRPr="00F876CB">
        <w:rPr>
          <w:rFonts w:asciiTheme="minorHAnsi" w:hAnsiTheme="minorHAnsi" w:cstheme="minorHAnsi"/>
          <w:sz w:val="24"/>
          <w:szCs w:val="24"/>
          <w:lang w:val="en-GB"/>
        </w:rPr>
        <w:tab/>
        <w:t xml:space="preserve">: </w:t>
      </w:r>
      <w:r w:rsidR="00EE08D3" w:rsidRPr="00F876CB">
        <w:rPr>
          <w:rFonts w:ascii="Times New Roman" w:hAnsi="Times New Roman" w:cs="Times New Roman"/>
          <w:sz w:val="24"/>
          <w:szCs w:val="24"/>
          <w:lang w:val="en-GB"/>
        </w:rPr>
        <w:t>Turkish Electricity Transmission Company</w:t>
      </w:r>
    </w:p>
    <w:p w:rsidR="00DB5FBB" w:rsidRPr="00F876CB" w:rsidRDefault="00DB5FBB" w:rsidP="00E2739A">
      <w:pPr>
        <w:spacing w:line="360" w:lineRule="auto"/>
        <w:jc w:val="both"/>
        <w:rPr>
          <w:rFonts w:asciiTheme="minorHAnsi" w:hAnsiTheme="minorHAnsi" w:cstheme="minorHAnsi"/>
          <w:sz w:val="24"/>
          <w:szCs w:val="24"/>
          <w:lang w:val="en-GB"/>
        </w:rPr>
      </w:pPr>
      <w:r w:rsidRPr="00F876CB">
        <w:rPr>
          <w:rFonts w:asciiTheme="minorHAnsi" w:hAnsiTheme="minorHAnsi" w:cstheme="minorHAnsi"/>
          <w:b/>
          <w:sz w:val="24"/>
          <w:szCs w:val="24"/>
          <w:lang w:val="en-GB"/>
        </w:rPr>
        <w:t>TETAŞ</w:t>
      </w:r>
      <w:r w:rsidRPr="00F876CB">
        <w:rPr>
          <w:rFonts w:asciiTheme="minorHAnsi" w:hAnsiTheme="minorHAnsi" w:cstheme="minorHAnsi"/>
          <w:sz w:val="24"/>
          <w:szCs w:val="24"/>
          <w:lang w:val="en-GB"/>
        </w:rPr>
        <w:tab/>
        <w:t xml:space="preserve">: </w:t>
      </w:r>
      <w:hyperlink r:id="rId13" w:history="1">
        <w:r w:rsidR="00EE08D3" w:rsidRPr="00F876CB">
          <w:rPr>
            <w:rFonts w:ascii="Times New Roman" w:hAnsi="Times New Roman" w:cs="Times New Roman"/>
            <w:sz w:val="24"/>
            <w:szCs w:val="24"/>
            <w:lang w:val="en-GB"/>
          </w:rPr>
          <w:t>Turkish Electricity Trading and Contracting Company</w:t>
        </w:r>
      </w:hyperlink>
    </w:p>
    <w:p w:rsidR="00BD262C" w:rsidRPr="00F876CB" w:rsidRDefault="00EE08D3" w:rsidP="002325DC">
      <w:pPr>
        <w:spacing w:line="360" w:lineRule="auto"/>
        <w:jc w:val="both"/>
        <w:rPr>
          <w:rFonts w:asciiTheme="minorHAnsi" w:hAnsiTheme="minorHAnsi" w:cstheme="minorHAnsi"/>
          <w:sz w:val="24"/>
          <w:szCs w:val="24"/>
          <w:lang w:val="en-GB"/>
        </w:rPr>
        <w:sectPr w:rsidR="00BD262C" w:rsidRPr="00F876CB" w:rsidSect="00151A3B">
          <w:pgSz w:w="11906" w:h="16838"/>
          <w:pgMar w:top="1418" w:right="1418" w:bottom="1418" w:left="1418" w:header="709" w:footer="709" w:gutter="0"/>
          <w:pgNumType w:fmt="lowerRoman"/>
          <w:cols w:space="708"/>
          <w:titlePg/>
          <w:docGrid w:linePitch="360"/>
        </w:sectPr>
      </w:pPr>
      <w:r w:rsidRPr="00F876CB">
        <w:rPr>
          <w:rFonts w:asciiTheme="minorHAnsi" w:hAnsiTheme="minorHAnsi" w:cstheme="minorHAnsi"/>
          <w:b/>
          <w:sz w:val="24"/>
          <w:szCs w:val="24"/>
          <w:lang w:val="en-GB"/>
        </w:rPr>
        <w:t>RESSUM</w:t>
      </w:r>
      <w:r w:rsidR="00E2739A" w:rsidRPr="00F876CB">
        <w:rPr>
          <w:rFonts w:asciiTheme="minorHAnsi" w:hAnsiTheme="minorHAnsi" w:cstheme="minorHAnsi"/>
          <w:sz w:val="24"/>
          <w:szCs w:val="24"/>
          <w:lang w:val="en-GB"/>
        </w:rPr>
        <w:tab/>
        <w:t xml:space="preserve">: </w:t>
      </w:r>
      <w:r w:rsidRPr="00F876CB">
        <w:rPr>
          <w:rFonts w:ascii="Times New Roman" w:hAnsi="Times New Roman" w:cs="Times New Roman"/>
          <w:sz w:val="24"/>
          <w:szCs w:val="24"/>
          <w:lang w:val="en-GB"/>
        </w:rPr>
        <w:t>Renewable Energy Sources Support Mechanism</w:t>
      </w:r>
    </w:p>
    <w:p w:rsidR="00924871" w:rsidRPr="00F876CB" w:rsidRDefault="00924871" w:rsidP="00924871">
      <w:pPr>
        <w:pStyle w:val="BALIKLAR"/>
        <w:rPr>
          <w:lang w:val="en-GB"/>
        </w:rPr>
      </w:pPr>
      <w:bookmarkStart w:id="21" w:name="_Toc494982781"/>
      <w:bookmarkStart w:id="22" w:name="_Toc520821999"/>
      <w:bookmarkStart w:id="23" w:name="_Toc12528932"/>
      <w:bookmarkStart w:id="24" w:name="_Toc44508278"/>
      <w:bookmarkStart w:id="25" w:name="OLE_LINK1"/>
      <w:r w:rsidRPr="00F876CB">
        <w:rPr>
          <w:lang w:val="en-GB"/>
        </w:rPr>
        <w:lastRenderedPageBreak/>
        <w:t>1. LICENSED GENERATION AND INSTALLED CAPACITY, UNLICENSED GENERATION, CONSUMPTION, IMPORT AND EXPORT</w:t>
      </w:r>
      <w:bookmarkEnd w:id="21"/>
      <w:bookmarkEnd w:id="22"/>
      <w:bookmarkEnd w:id="23"/>
      <w:bookmarkEnd w:id="24"/>
    </w:p>
    <w:p w:rsidR="00FB4A5D" w:rsidRPr="00F876CB" w:rsidRDefault="00FB4A5D" w:rsidP="00924871">
      <w:pPr>
        <w:tabs>
          <w:tab w:val="left" w:pos="3555"/>
        </w:tabs>
        <w:jc w:val="center"/>
        <w:rPr>
          <w:lang w:val="en-GB"/>
        </w:rPr>
      </w:pPr>
    </w:p>
    <w:p w:rsidR="00770D71" w:rsidRPr="00F876CB" w:rsidRDefault="00770D71" w:rsidP="00770D71">
      <w:pPr>
        <w:spacing w:line="360" w:lineRule="auto"/>
        <w:jc w:val="both"/>
        <w:rPr>
          <w:rFonts w:ascii="Times New Roman" w:hAnsi="Times New Roman" w:cs="Times New Roman"/>
          <w:sz w:val="24"/>
          <w:szCs w:val="24"/>
          <w:lang w:val="en-GB"/>
        </w:rPr>
      </w:pPr>
      <w:r w:rsidRPr="00F876CB">
        <w:rPr>
          <w:rFonts w:ascii="Times New Roman" w:hAnsi="Times New Roman" w:cs="Times New Roman"/>
          <w:sz w:val="24"/>
          <w:szCs w:val="24"/>
          <w:lang w:val="en-GB"/>
        </w:rPr>
        <w:t xml:space="preserve">This section shall examine, licensed electricity generation and installed capacity, unlicensed electricity generation, consumption, export and import data for the year 2019. In addition, interpretations and comparisons shall be expressed according to the previous years. </w:t>
      </w:r>
      <w:bookmarkStart w:id="26" w:name="_Toc483831840"/>
      <w:bookmarkStart w:id="27" w:name="_Toc493845816"/>
      <w:bookmarkStart w:id="28" w:name="_Toc493846126"/>
      <w:bookmarkStart w:id="29" w:name="_Toc493859509"/>
      <w:bookmarkStart w:id="30" w:name="_Toc493859625"/>
      <w:bookmarkStart w:id="31" w:name="_Toc493859664"/>
      <w:bookmarkStart w:id="32" w:name="_Toc493859989"/>
      <w:bookmarkStart w:id="33" w:name="_Toc494106934"/>
      <w:bookmarkEnd w:id="26"/>
      <w:bookmarkEnd w:id="27"/>
      <w:bookmarkEnd w:id="28"/>
      <w:bookmarkEnd w:id="29"/>
      <w:bookmarkEnd w:id="30"/>
      <w:bookmarkEnd w:id="31"/>
      <w:bookmarkEnd w:id="32"/>
      <w:bookmarkEnd w:id="33"/>
    </w:p>
    <w:p w:rsidR="00E3747B" w:rsidRPr="00F876CB" w:rsidRDefault="00E3747B" w:rsidP="00D232AF">
      <w:pPr>
        <w:spacing w:line="360" w:lineRule="auto"/>
        <w:ind w:firstLine="708"/>
        <w:jc w:val="both"/>
        <w:rPr>
          <w:rFonts w:asciiTheme="minorHAnsi" w:hAnsiTheme="minorHAnsi" w:cstheme="minorHAnsi"/>
          <w:sz w:val="24"/>
          <w:szCs w:val="24"/>
          <w:lang w:val="en-GB"/>
        </w:rPr>
      </w:pPr>
    </w:p>
    <w:p w:rsidR="00D232AF" w:rsidRPr="00F876CB"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GB"/>
        </w:rPr>
      </w:pPr>
      <w:bookmarkStart w:id="34" w:name="_Toc326855603"/>
      <w:bookmarkStart w:id="35" w:name="_Toc326855648"/>
      <w:bookmarkStart w:id="36" w:name="_Toc326855695"/>
      <w:bookmarkStart w:id="37" w:name="_Toc326855741"/>
      <w:bookmarkStart w:id="38" w:name="_Toc326855785"/>
      <w:bookmarkStart w:id="39" w:name="_Toc326855862"/>
      <w:bookmarkStart w:id="40" w:name="_Toc326855906"/>
      <w:bookmarkStart w:id="41" w:name="_Toc326856037"/>
      <w:bookmarkStart w:id="42" w:name="_Toc326856095"/>
      <w:bookmarkStart w:id="43" w:name="_Toc326856169"/>
      <w:bookmarkStart w:id="44" w:name="_Toc326856226"/>
      <w:bookmarkStart w:id="45" w:name="_Toc326856359"/>
      <w:bookmarkStart w:id="46" w:name="_Toc327285607"/>
      <w:bookmarkStart w:id="47" w:name="_Toc327285644"/>
      <w:bookmarkStart w:id="48" w:name="_Toc327285682"/>
      <w:bookmarkStart w:id="49" w:name="_Toc332123271"/>
      <w:bookmarkStart w:id="50" w:name="_Toc333488646"/>
      <w:bookmarkStart w:id="51" w:name="_Toc333488775"/>
      <w:bookmarkStart w:id="52" w:name="_Toc333488848"/>
      <w:bookmarkStart w:id="53" w:name="_Toc333488894"/>
      <w:bookmarkStart w:id="54" w:name="_Toc333488963"/>
      <w:bookmarkStart w:id="55" w:name="_Toc333501271"/>
      <w:bookmarkStart w:id="56" w:name="_Toc335986556"/>
      <w:bookmarkStart w:id="57" w:name="_Toc336004552"/>
      <w:bookmarkStart w:id="58" w:name="_Toc400527909"/>
      <w:bookmarkStart w:id="59" w:name="_Toc400527968"/>
      <w:bookmarkStart w:id="60" w:name="_Toc401766141"/>
      <w:bookmarkStart w:id="61" w:name="_Toc401766196"/>
      <w:bookmarkStart w:id="62" w:name="_Toc402451205"/>
      <w:bookmarkStart w:id="63" w:name="_Toc402512335"/>
      <w:bookmarkStart w:id="64" w:name="_Toc402512375"/>
      <w:bookmarkStart w:id="65" w:name="_Toc402770661"/>
      <w:bookmarkStart w:id="66" w:name="_Toc402780563"/>
      <w:bookmarkStart w:id="67" w:name="_Toc402796262"/>
      <w:bookmarkStart w:id="68" w:name="_Toc402798356"/>
      <w:bookmarkStart w:id="69" w:name="_Toc402798409"/>
      <w:bookmarkStart w:id="70" w:name="_Toc404347592"/>
      <w:bookmarkStart w:id="71" w:name="_Toc404588131"/>
      <w:bookmarkStart w:id="72" w:name="_Toc404863956"/>
      <w:bookmarkStart w:id="73" w:name="_Toc404864360"/>
      <w:bookmarkStart w:id="74" w:name="_Toc404864515"/>
      <w:bookmarkStart w:id="75" w:name="_Toc404864625"/>
      <w:bookmarkStart w:id="76" w:name="_Toc404865474"/>
      <w:bookmarkStart w:id="77" w:name="_Toc405476945"/>
      <w:bookmarkStart w:id="78" w:name="_Toc405817120"/>
      <w:bookmarkStart w:id="79" w:name="_Toc423946978"/>
      <w:bookmarkStart w:id="80" w:name="_Toc428360319"/>
      <w:bookmarkStart w:id="81" w:name="_Toc428422422"/>
      <w:bookmarkStart w:id="82" w:name="_Toc428456302"/>
      <w:bookmarkStart w:id="83" w:name="_Toc428709031"/>
      <w:bookmarkStart w:id="84" w:name="_Toc428709072"/>
      <w:bookmarkStart w:id="85" w:name="_Toc428709703"/>
      <w:bookmarkStart w:id="86" w:name="_Toc428716815"/>
      <w:bookmarkStart w:id="87" w:name="_Toc428716849"/>
      <w:bookmarkStart w:id="88" w:name="_Toc428786931"/>
      <w:bookmarkStart w:id="89" w:name="_Toc429402375"/>
      <w:bookmarkStart w:id="90" w:name="_Toc429469218"/>
      <w:bookmarkStart w:id="91" w:name="_Toc429475737"/>
      <w:bookmarkStart w:id="92" w:name="_Toc432164540"/>
      <w:bookmarkStart w:id="93" w:name="_Toc450223260"/>
      <w:bookmarkStart w:id="94" w:name="_Toc450300221"/>
      <w:bookmarkStart w:id="95" w:name="_Toc450300260"/>
      <w:bookmarkStart w:id="96" w:name="_Toc450309717"/>
      <w:bookmarkStart w:id="97" w:name="_Toc450309792"/>
      <w:bookmarkStart w:id="98" w:name="_Toc450309905"/>
      <w:bookmarkStart w:id="99" w:name="_Toc450314123"/>
      <w:bookmarkStart w:id="100" w:name="_Toc450319850"/>
      <w:bookmarkStart w:id="101" w:name="_Toc450555894"/>
      <w:bookmarkStart w:id="102" w:name="_Toc452044453"/>
      <w:bookmarkStart w:id="103" w:name="_Toc452044867"/>
      <w:bookmarkStart w:id="104" w:name="_Toc452106897"/>
      <w:bookmarkStart w:id="105" w:name="_Toc452111697"/>
      <w:bookmarkStart w:id="106" w:name="_Toc480375578"/>
      <w:bookmarkStart w:id="107" w:name="_Toc480451658"/>
      <w:bookmarkStart w:id="108" w:name="_Toc480534978"/>
      <w:bookmarkStart w:id="109" w:name="_Toc480899341"/>
      <w:bookmarkStart w:id="110" w:name="_Toc480991753"/>
      <w:bookmarkStart w:id="111" w:name="_Toc481497624"/>
      <w:bookmarkStart w:id="112" w:name="_Toc482801110"/>
      <w:bookmarkStart w:id="113" w:name="_Toc483791427"/>
      <w:bookmarkStart w:id="114" w:name="_Toc483791680"/>
      <w:bookmarkStart w:id="115" w:name="_Toc511123163"/>
      <w:bookmarkStart w:id="116" w:name="_Toc511123202"/>
      <w:bookmarkStart w:id="117" w:name="_Toc511221785"/>
      <w:bookmarkStart w:id="118" w:name="_Toc512429782"/>
      <w:bookmarkStart w:id="119" w:name="_Toc512431620"/>
      <w:bookmarkStart w:id="120" w:name="_Toc512431659"/>
      <w:bookmarkStart w:id="121" w:name="_Toc7172734"/>
      <w:bookmarkStart w:id="122" w:name="_Toc7172774"/>
      <w:bookmarkStart w:id="123" w:name="_Toc7181363"/>
      <w:bookmarkStart w:id="124" w:name="_Toc7431155"/>
      <w:bookmarkStart w:id="125" w:name="_Toc8987849"/>
      <w:bookmarkStart w:id="126" w:name="_Toc37374465"/>
      <w:bookmarkStart w:id="127" w:name="_Toc40103298"/>
      <w:bookmarkStart w:id="128" w:name="_Toc40103766"/>
      <w:bookmarkStart w:id="129" w:name="_Toc40142145"/>
      <w:bookmarkStart w:id="130" w:name="_Toc40956350"/>
      <w:bookmarkStart w:id="131" w:name="_Toc40961397"/>
      <w:bookmarkStart w:id="132" w:name="_Toc40965978"/>
      <w:bookmarkStart w:id="133" w:name="_Toc43987849"/>
      <w:bookmarkStart w:id="134" w:name="_Toc43988463"/>
      <w:bookmarkStart w:id="135" w:name="_Toc44060026"/>
      <w:bookmarkStart w:id="136" w:name="_Toc44073360"/>
      <w:bookmarkStart w:id="137" w:name="_Toc44073399"/>
      <w:bookmarkStart w:id="138" w:name="_Toc44073438"/>
      <w:bookmarkStart w:id="139" w:name="_Toc44508279"/>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D232AF" w:rsidRPr="00F876CB" w:rsidRDefault="00F23FEE" w:rsidP="0092403C">
      <w:pPr>
        <w:pStyle w:val="11ilebalayanlar"/>
        <w:numPr>
          <w:ilvl w:val="1"/>
          <w:numId w:val="3"/>
        </w:numPr>
        <w:rPr>
          <w:lang w:val="en-GB"/>
        </w:rPr>
      </w:pPr>
      <w:bookmarkStart w:id="140" w:name="_Toc44508280"/>
      <w:r w:rsidRPr="00F876CB">
        <w:rPr>
          <w:lang w:val="en-GB"/>
        </w:rPr>
        <w:t>Overview</w:t>
      </w:r>
      <w:bookmarkEnd w:id="140"/>
    </w:p>
    <w:p w:rsidR="0092403C" w:rsidRPr="00F876CB" w:rsidRDefault="0092403C" w:rsidP="0092403C">
      <w:pPr>
        <w:pStyle w:val="11ilebalayanlar"/>
        <w:ind w:left="576"/>
        <w:rPr>
          <w:lang w:val="en-GB"/>
        </w:rPr>
      </w:pPr>
    </w:p>
    <w:p w:rsidR="00D232AF" w:rsidRPr="00F876CB" w:rsidRDefault="0092403C" w:rsidP="0092403C">
      <w:pPr>
        <w:spacing w:line="360" w:lineRule="auto"/>
        <w:jc w:val="both"/>
        <w:rPr>
          <w:rFonts w:ascii="Times New Roman" w:hAnsi="Times New Roman" w:cs="Times New Roman"/>
          <w:sz w:val="24"/>
          <w:szCs w:val="24"/>
          <w:lang w:val="en-GB"/>
        </w:rPr>
      </w:pPr>
      <w:r w:rsidRPr="00F876CB">
        <w:rPr>
          <w:rFonts w:ascii="Times New Roman" w:hAnsi="Times New Roman" w:cs="Times New Roman"/>
          <w:sz w:val="24"/>
          <w:szCs w:val="24"/>
          <w:lang w:val="en-GB"/>
        </w:rPr>
        <w:t>Table 1.1 shows licensed and unlicensed installed capacity, peak demand, licensed and unlicensed electricity generation, consumption, import and export data by the end of 2019, combined with previous years’ data</w:t>
      </w:r>
      <w:proofErr w:type="gramStart"/>
      <w:r w:rsidRPr="00F876CB">
        <w:rPr>
          <w:rFonts w:ascii="Times New Roman" w:hAnsi="Times New Roman" w:cs="Times New Roman"/>
          <w:sz w:val="24"/>
          <w:szCs w:val="24"/>
          <w:lang w:val="en-GB"/>
        </w:rPr>
        <w:t xml:space="preserve">. </w:t>
      </w:r>
      <w:r w:rsidR="00D232AF" w:rsidRPr="00F876CB">
        <w:rPr>
          <w:rFonts w:asciiTheme="minorHAnsi" w:hAnsiTheme="minorHAnsi" w:cstheme="minorHAnsi"/>
          <w:sz w:val="24"/>
          <w:szCs w:val="24"/>
          <w:lang w:val="en-GB"/>
        </w:rPr>
        <w:t>.</w:t>
      </w:r>
      <w:proofErr w:type="gramEnd"/>
      <w:r w:rsidR="00D232AF" w:rsidRPr="00F876CB">
        <w:rPr>
          <w:rFonts w:asciiTheme="minorHAnsi" w:hAnsiTheme="minorHAnsi" w:cstheme="minorHAnsi"/>
          <w:sz w:val="24"/>
          <w:szCs w:val="24"/>
          <w:lang w:val="en-GB"/>
        </w:rPr>
        <w:t xml:space="preserve">  </w:t>
      </w:r>
      <w:bookmarkStart w:id="141" w:name="_Ref404345433"/>
    </w:p>
    <w:p w:rsidR="00D232AF" w:rsidRPr="00F876CB" w:rsidRDefault="00015994" w:rsidP="00524E38">
      <w:pPr>
        <w:pStyle w:val="Balk5"/>
        <w:rPr>
          <w:lang w:val="en-GB"/>
        </w:rPr>
      </w:pPr>
      <w:bookmarkStart w:id="142" w:name="_Toc432165775"/>
      <w:bookmarkStart w:id="143" w:name="_Toc450300294"/>
      <w:bookmarkStart w:id="144" w:name="_Toc450309950"/>
      <w:bookmarkStart w:id="145" w:name="_Toc44508317"/>
      <w:r w:rsidRPr="00F876CB">
        <w:rPr>
          <w:lang w:val="en-GB"/>
        </w:rPr>
        <w:t>Table</w:t>
      </w:r>
      <w:r w:rsidR="007F7E7B" w:rsidRPr="00F876CB">
        <w:rPr>
          <w:lang w:val="en-GB"/>
        </w:rPr>
        <w:t xml:space="preserve"> </w:t>
      </w:r>
      <w:r w:rsidR="008373FD"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8615AB" w:rsidRPr="00F876CB">
        <w:rPr>
          <w:lang w:val="en-GB"/>
        </w:rPr>
        <w:t>.</w:t>
      </w:r>
      <w:r w:rsidR="00D232AF" w:rsidRPr="00F876CB">
        <w:rPr>
          <w:lang w:val="en-GB"/>
        </w:rPr>
        <w:fldChar w:fldCharType="begin"/>
      </w:r>
      <w:r w:rsidR="00D232AF" w:rsidRPr="00F876CB">
        <w:rPr>
          <w:lang w:val="en-GB"/>
        </w:rPr>
        <w:instrText xml:space="preserve"> SEQ Tablo \* ARABIC \s 1 </w:instrText>
      </w:r>
      <w:r w:rsidR="00D232AF" w:rsidRPr="00F876CB">
        <w:rPr>
          <w:lang w:val="en-GB"/>
        </w:rPr>
        <w:fldChar w:fldCharType="separate"/>
      </w:r>
      <w:r w:rsidR="00301F7B" w:rsidRPr="00F876CB">
        <w:rPr>
          <w:noProof/>
          <w:lang w:val="en-GB"/>
        </w:rPr>
        <w:t>1</w:t>
      </w:r>
      <w:r w:rsidR="00D232AF" w:rsidRPr="00F876CB">
        <w:rPr>
          <w:lang w:val="en-GB"/>
        </w:rPr>
        <w:fldChar w:fldCharType="end"/>
      </w:r>
      <w:bookmarkEnd w:id="141"/>
      <w:r w:rsidR="00D232AF" w:rsidRPr="00F876CB">
        <w:rPr>
          <w:lang w:val="en-GB"/>
        </w:rPr>
        <w:t xml:space="preserve">: </w:t>
      </w:r>
      <w:bookmarkEnd w:id="142"/>
      <w:bookmarkEnd w:id="143"/>
      <w:bookmarkEnd w:id="144"/>
      <w:r w:rsidR="0004001D" w:rsidRPr="0004001D">
        <w:rPr>
          <w:rFonts w:eastAsia="Times New Roman" w:cs="Times New Roman"/>
          <w:bCs/>
          <w:iCs/>
          <w:spacing w:val="0"/>
          <w:szCs w:val="26"/>
          <w:lang w:val="en-GB" w:bidi="ar-SA"/>
        </w:rPr>
        <w:t>Licensed and Unlicensed Installed Capacity, Peak Demand, Licensed and Unlicensed Electricity Generation, Consumption, Import and Export Data</w:t>
      </w:r>
      <w:bookmarkEnd w:id="145"/>
    </w:p>
    <w:tbl>
      <w:tblPr>
        <w:tblW w:w="10055" w:type="dxa"/>
        <w:tblInd w:w="80" w:type="dxa"/>
        <w:tblCellMar>
          <w:left w:w="70" w:type="dxa"/>
          <w:right w:w="70" w:type="dxa"/>
        </w:tblCellMar>
        <w:tblLook w:val="04A0" w:firstRow="1" w:lastRow="0" w:firstColumn="1" w:lastColumn="0" w:noHBand="0" w:noVBand="1"/>
      </w:tblPr>
      <w:tblGrid>
        <w:gridCol w:w="2124"/>
        <w:gridCol w:w="879"/>
        <w:gridCol w:w="1135"/>
        <w:gridCol w:w="1130"/>
        <w:gridCol w:w="1130"/>
        <w:gridCol w:w="1337"/>
        <w:gridCol w:w="1130"/>
        <w:gridCol w:w="1190"/>
      </w:tblGrid>
      <w:tr w:rsidR="009B2FC7" w:rsidRPr="00F876CB" w:rsidTr="009B2FC7">
        <w:trPr>
          <w:trHeight w:val="795"/>
        </w:trPr>
        <w:tc>
          <w:tcPr>
            <w:tcW w:w="2124"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9B2FC7" w:rsidRPr="00F876CB" w:rsidRDefault="009B2FC7" w:rsidP="009B2FC7">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 </w:t>
            </w:r>
          </w:p>
        </w:tc>
        <w:tc>
          <w:tcPr>
            <w:tcW w:w="879" w:type="dxa"/>
            <w:tcBorders>
              <w:top w:val="single" w:sz="8" w:space="0" w:color="auto"/>
              <w:left w:val="nil"/>
              <w:bottom w:val="single" w:sz="4" w:space="0" w:color="auto"/>
              <w:right w:val="single" w:sz="4" w:space="0" w:color="auto"/>
            </w:tcBorders>
            <w:shd w:val="clear" w:color="000000" w:fill="FF0000"/>
            <w:noWrap/>
            <w:vAlign w:val="center"/>
            <w:hideMark/>
          </w:tcPr>
          <w:p w:rsidR="009B2FC7" w:rsidRPr="00F876CB" w:rsidRDefault="00EC5256"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Unit</w:t>
            </w:r>
          </w:p>
        </w:tc>
        <w:tc>
          <w:tcPr>
            <w:tcW w:w="1135" w:type="dxa"/>
            <w:tcBorders>
              <w:top w:val="single" w:sz="8" w:space="0" w:color="auto"/>
              <w:left w:val="nil"/>
              <w:bottom w:val="single" w:sz="4" w:space="0" w:color="auto"/>
              <w:right w:val="single" w:sz="4" w:space="0" w:color="auto"/>
            </w:tcBorders>
            <w:shd w:val="clear" w:color="000000" w:fill="FF0000"/>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2016</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2017</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2018</w:t>
            </w:r>
          </w:p>
        </w:tc>
        <w:tc>
          <w:tcPr>
            <w:tcW w:w="1337" w:type="dxa"/>
            <w:tcBorders>
              <w:top w:val="single" w:sz="8" w:space="0" w:color="auto"/>
              <w:left w:val="nil"/>
              <w:bottom w:val="single" w:sz="4" w:space="0" w:color="auto"/>
              <w:right w:val="single" w:sz="4" w:space="0" w:color="auto"/>
            </w:tcBorders>
            <w:shd w:val="clear" w:color="000000" w:fill="FF0000"/>
            <w:vAlign w:val="center"/>
            <w:hideMark/>
          </w:tcPr>
          <w:p w:rsidR="009B2FC7" w:rsidRPr="00F876CB" w:rsidRDefault="00EC5256"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Change</w:t>
            </w:r>
            <w:r w:rsidR="009B2FC7" w:rsidRPr="00F876CB">
              <w:rPr>
                <w:rFonts w:ascii="Times New Roman" w:eastAsia="Times New Roman" w:hAnsi="Times New Roman" w:cs="Times New Roman"/>
                <w:b/>
                <w:bCs/>
                <w:color w:val="FFFFFF"/>
                <w:lang w:val="en-GB" w:eastAsia="tr-TR" w:bidi="ar-SA"/>
              </w:rPr>
              <w:t xml:space="preserve"> (%) 2017-2018</w:t>
            </w:r>
          </w:p>
        </w:tc>
        <w:tc>
          <w:tcPr>
            <w:tcW w:w="1130" w:type="dxa"/>
            <w:tcBorders>
              <w:top w:val="single" w:sz="8" w:space="0" w:color="auto"/>
              <w:left w:val="nil"/>
              <w:bottom w:val="single" w:sz="4" w:space="0" w:color="auto"/>
              <w:right w:val="single" w:sz="4" w:space="0" w:color="auto"/>
            </w:tcBorders>
            <w:shd w:val="clear" w:color="000000" w:fill="FF0000"/>
            <w:vAlign w:val="center"/>
            <w:hideMark/>
          </w:tcPr>
          <w:p w:rsidR="009B2FC7" w:rsidRPr="00F876CB" w:rsidRDefault="009B2FC7"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2019</w:t>
            </w:r>
          </w:p>
        </w:tc>
        <w:tc>
          <w:tcPr>
            <w:tcW w:w="1190" w:type="dxa"/>
            <w:tcBorders>
              <w:top w:val="single" w:sz="8" w:space="0" w:color="auto"/>
              <w:left w:val="nil"/>
              <w:bottom w:val="single" w:sz="4" w:space="0" w:color="auto"/>
              <w:right w:val="single" w:sz="8" w:space="0" w:color="auto"/>
            </w:tcBorders>
            <w:shd w:val="clear" w:color="000000" w:fill="FF0000"/>
            <w:vAlign w:val="center"/>
            <w:hideMark/>
          </w:tcPr>
          <w:p w:rsidR="009B2FC7" w:rsidRPr="00F876CB" w:rsidRDefault="00EC5256" w:rsidP="009B2FC7">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Change</w:t>
            </w:r>
            <w:r w:rsidR="009B2FC7" w:rsidRPr="00F876CB">
              <w:rPr>
                <w:rFonts w:ascii="Times New Roman" w:eastAsia="Times New Roman" w:hAnsi="Times New Roman" w:cs="Times New Roman"/>
                <w:b/>
                <w:bCs/>
                <w:color w:val="FFFFFF"/>
                <w:lang w:val="en-GB" w:eastAsia="tr-TR" w:bidi="ar-SA"/>
              </w:rPr>
              <w:t xml:space="preserve"> (%) 2018-2019</w:t>
            </w:r>
          </w:p>
        </w:tc>
      </w:tr>
      <w:tr w:rsidR="009B2FC7" w:rsidRPr="00F876CB" w:rsidTr="009B2FC7">
        <w:trPr>
          <w:trHeight w:val="289"/>
        </w:trPr>
        <w:tc>
          <w:tcPr>
            <w:tcW w:w="2124"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rsidR="009B2FC7" w:rsidRPr="00F876CB" w:rsidRDefault="009B2FC7"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Li</w:t>
            </w:r>
            <w:r w:rsidR="00EC5256" w:rsidRPr="00F876CB">
              <w:rPr>
                <w:rFonts w:ascii="Times New Roman" w:eastAsia="Times New Roman" w:hAnsi="Times New Roman" w:cs="Times New Roman"/>
                <w:b/>
                <w:bCs/>
                <w:color w:val="FFFFFF"/>
                <w:lang w:val="en-GB" w:eastAsia="tr-TR" w:bidi="ar-SA"/>
              </w:rPr>
              <w:t>censed Installed Capacity</w:t>
            </w:r>
          </w:p>
        </w:tc>
        <w:tc>
          <w:tcPr>
            <w:tcW w:w="879" w:type="dxa"/>
            <w:tcBorders>
              <w:top w:val="single" w:sz="4" w:space="0" w:color="auto"/>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MW</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77.563,44</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81.506,42</w:t>
            </w:r>
          </w:p>
        </w:tc>
        <w:tc>
          <w:tcPr>
            <w:tcW w:w="1130" w:type="dxa"/>
            <w:tcBorders>
              <w:top w:val="single" w:sz="4" w:space="0" w:color="auto"/>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83.187,05</w:t>
            </w:r>
          </w:p>
        </w:tc>
        <w:tc>
          <w:tcPr>
            <w:tcW w:w="1337" w:type="dxa"/>
            <w:tcBorders>
              <w:top w:val="single" w:sz="4" w:space="0" w:color="auto"/>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2,06</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84.957,72</w:t>
            </w:r>
          </w:p>
        </w:tc>
        <w:tc>
          <w:tcPr>
            <w:tcW w:w="1190" w:type="dxa"/>
            <w:tcBorders>
              <w:top w:val="single" w:sz="4" w:space="0" w:color="auto"/>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2,13</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EC5256"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Unlicensed Installed Capacity</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MW</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1.048,21</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3.173,32</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5.310,57</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67,35</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6.309,27</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18,81</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9B2FC7"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P</w:t>
            </w:r>
            <w:r w:rsidR="00EC5256" w:rsidRPr="00F876CB">
              <w:rPr>
                <w:rFonts w:ascii="Times New Roman" w:eastAsia="Times New Roman" w:hAnsi="Times New Roman" w:cs="Times New Roman"/>
                <w:b/>
                <w:bCs/>
                <w:color w:val="FFFFFF"/>
                <w:lang w:val="en-GB" w:eastAsia="tr-TR" w:bidi="ar-SA"/>
              </w:rPr>
              <w:t>eak Demand</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MW</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44.733,98</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47.659,65</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46.159,55</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-3,15</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45.324,35</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-1,81</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9B2FC7"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Li</w:t>
            </w:r>
            <w:r w:rsidR="00EC5256" w:rsidRPr="00F876CB">
              <w:rPr>
                <w:rFonts w:ascii="Times New Roman" w:eastAsia="Times New Roman" w:hAnsi="Times New Roman" w:cs="Times New Roman"/>
                <w:b/>
                <w:bCs/>
                <w:color w:val="FFFFFF"/>
                <w:lang w:val="en-GB" w:eastAsia="tr-TR" w:bidi="ar-SA"/>
              </w:rPr>
              <w:t>censed Generation</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272.563,63</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292.595,42</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296.003,71</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1,16</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294.251,32</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-0,59</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EC5256"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Unlicensed Generation</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1.137,87</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3.031,33</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8.212,77</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170,93</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9.829,45</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19,68</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9E1944"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Consumption</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277.522,01</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292.003,54</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302.772,30</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3,69</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301.982,70</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-0,26</w:t>
            </w:r>
          </w:p>
        </w:tc>
      </w:tr>
      <w:tr w:rsidR="009B2FC7" w:rsidRPr="00F876CB" w:rsidTr="009B2FC7">
        <w:trPr>
          <w:trHeight w:val="289"/>
        </w:trPr>
        <w:tc>
          <w:tcPr>
            <w:tcW w:w="2124" w:type="dxa"/>
            <w:tcBorders>
              <w:top w:val="nil"/>
              <w:left w:val="single" w:sz="8" w:space="0" w:color="auto"/>
              <w:bottom w:val="single" w:sz="4" w:space="0" w:color="auto"/>
              <w:right w:val="single" w:sz="4" w:space="0" w:color="auto"/>
            </w:tcBorders>
            <w:shd w:val="clear" w:color="000000" w:fill="FF5050"/>
            <w:noWrap/>
            <w:vAlign w:val="center"/>
            <w:hideMark/>
          </w:tcPr>
          <w:p w:rsidR="009B2FC7" w:rsidRPr="00F876CB" w:rsidRDefault="009E1944"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Import</w:t>
            </w:r>
          </w:p>
        </w:tc>
        <w:tc>
          <w:tcPr>
            <w:tcW w:w="879"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GWh</w:t>
            </w:r>
          </w:p>
        </w:tc>
        <w:tc>
          <w:tcPr>
            <w:tcW w:w="1135"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6.400,13</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2.729,06</w:t>
            </w:r>
          </w:p>
        </w:tc>
        <w:tc>
          <w:tcPr>
            <w:tcW w:w="113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2.466,01</w:t>
            </w:r>
          </w:p>
        </w:tc>
        <w:tc>
          <w:tcPr>
            <w:tcW w:w="1337" w:type="dxa"/>
            <w:tcBorders>
              <w:top w:val="nil"/>
              <w:left w:val="nil"/>
              <w:bottom w:val="single" w:sz="4"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-9,64</w:t>
            </w:r>
          </w:p>
        </w:tc>
        <w:tc>
          <w:tcPr>
            <w:tcW w:w="1130" w:type="dxa"/>
            <w:tcBorders>
              <w:top w:val="nil"/>
              <w:left w:val="nil"/>
              <w:bottom w:val="single" w:sz="4"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2.211,51</w:t>
            </w:r>
          </w:p>
        </w:tc>
        <w:tc>
          <w:tcPr>
            <w:tcW w:w="1190" w:type="dxa"/>
            <w:tcBorders>
              <w:top w:val="nil"/>
              <w:left w:val="nil"/>
              <w:bottom w:val="single" w:sz="4"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-10,32</w:t>
            </w:r>
          </w:p>
        </w:tc>
      </w:tr>
      <w:tr w:rsidR="009B2FC7" w:rsidRPr="00F876CB" w:rsidTr="009B2FC7">
        <w:trPr>
          <w:trHeight w:val="303"/>
        </w:trPr>
        <w:tc>
          <w:tcPr>
            <w:tcW w:w="2124"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9B2FC7" w:rsidRPr="00F876CB" w:rsidRDefault="009E1944" w:rsidP="009B2FC7">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Export</w:t>
            </w:r>
          </w:p>
        </w:tc>
        <w:tc>
          <w:tcPr>
            <w:tcW w:w="879" w:type="dxa"/>
            <w:tcBorders>
              <w:top w:val="nil"/>
              <w:left w:val="single" w:sz="4" w:space="0" w:color="auto"/>
              <w:bottom w:val="single" w:sz="8"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GWh</w:t>
            </w:r>
          </w:p>
        </w:tc>
        <w:tc>
          <w:tcPr>
            <w:tcW w:w="1135" w:type="dxa"/>
            <w:tcBorders>
              <w:top w:val="nil"/>
              <w:left w:val="nil"/>
              <w:bottom w:val="single" w:sz="8"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1.442,08</w:t>
            </w:r>
          </w:p>
        </w:tc>
        <w:tc>
          <w:tcPr>
            <w:tcW w:w="1130" w:type="dxa"/>
            <w:tcBorders>
              <w:top w:val="nil"/>
              <w:left w:val="nil"/>
              <w:bottom w:val="single" w:sz="8"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3.300,10</w:t>
            </w:r>
          </w:p>
        </w:tc>
        <w:tc>
          <w:tcPr>
            <w:tcW w:w="1130" w:type="dxa"/>
            <w:tcBorders>
              <w:top w:val="nil"/>
              <w:left w:val="nil"/>
              <w:bottom w:val="single" w:sz="8"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3.073,60</w:t>
            </w:r>
          </w:p>
        </w:tc>
        <w:tc>
          <w:tcPr>
            <w:tcW w:w="1337" w:type="dxa"/>
            <w:tcBorders>
              <w:top w:val="nil"/>
              <w:left w:val="nil"/>
              <w:bottom w:val="single" w:sz="8" w:space="0" w:color="auto"/>
              <w:right w:val="single" w:sz="4" w:space="0" w:color="auto"/>
            </w:tcBorders>
            <w:shd w:val="clear" w:color="auto" w:fill="auto"/>
            <w:noWrap/>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-6,86</w:t>
            </w:r>
          </w:p>
        </w:tc>
        <w:tc>
          <w:tcPr>
            <w:tcW w:w="1130" w:type="dxa"/>
            <w:tcBorders>
              <w:top w:val="nil"/>
              <w:left w:val="nil"/>
              <w:bottom w:val="single" w:sz="8" w:space="0" w:color="auto"/>
              <w:right w:val="single" w:sz="4" w:space="0" w:color="auto"/>
            </w:tcBorders>
            <w:shd w:val="clear" w:color="auto" w:fill="auto"/>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2.788,67</w:t>
            </w:r>
          </w:p>
        </w:tc>
        <w:tc>
          <w:tcPr>
            <w:tcW w:w="1190" w:type="dxa"/>
            <w:tcBorders>
              <w:top w:val="nil"/>
              <w:left w:val="nil"/>
              <w:bottom w:val="single" w:sz="8" w:space="0" w:color="auto"/>
              <w:right w:val="single" w:sz="4" w:space="0" w:color="auto"/>
            </w:tcBorders>
            <w:shd w:val="clear" w:color="000000" w:fill="FFFFFF"/>
            <w:vAlign w:val="center"/>
            <w:hideMark/>
          </w:tcPr>
          <w:p w:rsidR="009B2FC7" w:rsidRPr="00F876CB" w:rsidRDefault="009B2FC7" w:rsidP="009B2FC7">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-9,27</w:t>
            </w:r>
          </w:p>
        </w:tc>
      </w:tr>
    </w:tbl>
    <w:p w:rsidR="00B417FA" w:rsidRDefault="00F876CB" w:rsidP="00F876CB">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t xml:space="preserve">    </w:t>
      </w:r>
    </w:p>
    <w:p w:rsidR="00F876CB" w:rsidRDefault="00BC05F5" w:rsidP="00F876C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When the table is </w:t>
      </w:r>
      <w:proofErr w:type="spellStart"/>
      <w:r w:rsidRPr="00F876CB">
        <w:rPr>
          <w:rFonts w:asciiTheme="minorHAnsi" w:hAnsiTheme="minorHAnsi" w:cstheme="minorHAnsi"/>
          <w:sz w:val="24"/>
          <w:szCs w:val="24"/>
          <w:lang w:val="en-GB"/>
        </w:rPr>
        <w:t>analyzed</w:t>
      </w:r>
      <w:proofErr w:type="spellEnd"/>
      <w:r w:rsidRPr="00F876CB">
        <w:rPr>
          <w:rFonts w:asciiTheme="minorHAnsi" w:hAnsiTheme="minorHAnsi" w:cstheme="minorHAnsi"/>
          <w:sz w:val="24"/>
          <w:szCs w:val="24"/>
          <w:lang w:val="en-GB"/>
        </w:rPr>
        <w:t xml:space="preserve">, compared to 2018, licensed installed </w:t>
      </w:r>
      <w:r w:rsidR="0004001D" w:rsidRPr="0004001D">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unlicensed installed </w:t>
      </w:r>
      <w:r w:rsidR="0004001D" w:rsidRPr="0004001D">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and unlic</w:t>
      </w:r>
      <w:r w:rsidR="00B417FA">
        <w:rPr>
          <w:rFonts w:asciiTheme="minorHAnsi" w:hAnsiTheme="minorHAnsi" w:cstheme="minorHAnsi"/>
          <w:sz w:val="24"/>
          <w:szCs w:val="24"/>
          <w:lang w:val="en-GB"/>
        </w:rPr>
        <w:t xml:space="preserve">ensed </w:t>
      </w:r>
      <w:r w:rsidR="0004001D">
        <w:rPr>
          <w:rFonts w:asciiTheme="minorHAnsi" w:hAnsiTheme="minorHAnsi" w:cstheme="minorHAnsi"/>
          <w:sz w:val="24"/>
          <w:szCs w:val="24"/>
          <w:lang w:val="en-GB"/>
        </w:rPr>
        <w:t>generation</w:t>
      </w:r>
      <w:r w:rsidR="00B417FA">
        <w:rPr>
          <w:rFonts w:asciiTheme="minorHAnsi" w:hAnsiTheme="minorHAnsi" w:cstheme="minorHAnsi"/>
          <w:sz w:val="24"/>
          <w:szCs w:val="24"/>
          <w:lang w:val="en-GB"/>
        </w:rPr>
        <w:t xml:space="preserve"> increased by 2,13%, 18,81% and 19,</w:t>
      </w:r>
      <w:r w:rsidRPr="00F876CB">
        <w:rPr>
          <w:rFonts w:asciiTheme="minorHAnsi" w:hAnsiTheme="minorHAnsi" w:cstheme="minorHAnsi"/>
          <w:sz w:val="24"/>
          <w:szCs w:val="24"/>
          <w:lang w:val="en-GB"/>
        </w:rPr>
        <w:t xml:space="preserve">68% respectively, and licensed </w:t>
      </w:r>
      <w:r w:rsidR="0004001D">
        <w:rPr>
          <w:rFonts w:asciiTheme="minorHAnsi" w:hAnsiTheme="minorHAnsi" w:cstheme="minorHAnsi"/>
          <w:sz w:val="24"/>
          <w:szCs w:val="24"/>
          <w:lang w:val="en-GB"/>
        </w:rPr>
        <w:t>generation</w:t>
      </w:r>
      <w:r w:rsidRPr="00F876CB">
        <w:rPr>
          <w:rFonts w:asciiTheme="minorHAnsi" w:hAnsiTheme="minorHAnsi" w:cstheme="minorHAnsi"/>
          <w:sz w:val="24"/>
          <w:szCs w:val="24"/>
          <w:lang w:val="en-GB"/>
        </w:rPr>
        <w:t>, con</w:t>
      </w:r>
      <w:r w:rsidR="00B417FA">
        <w:rPr>
          <w:rFonts w:asciiTheme="minorHAnsi" w:hAnsiTheme="minorHAnsi" w:cstheme="minorHAnsi"/>
          <w:sz w:val="24"/>
          <w:szCs w:val="24"/>
          <w:lang w:val="en-GB"/>
        </w:rPr>
        <w:t>sumption and peak demand decreased 0,</w:t>
      </w:r>
      <w:r w:rsidRPr="00F876CB">
        <w:rPr>
          <w:rFonts w:asciiTheme="minorHAnsi" w:hAnsiTheme="minorHAnsi" w:cstheme="minorHAnsi"/>
          <w:sz w:val="24"/>
          <w:szCs w:val="24"/>
          <w:lang w:val="en-GB"/>
        </w:rPr>
        <w:t xml:space="preserve">59%, </w:t>
      </w:r>
      <w:r w:rsidR="00B417FA">
        <w:rPr>
          <w:rFonts w:asciiTheme="minorHAnsi" w:hAnsiTheme="minorHAnsi" w:cstheme="minorHAnsi"/>
          <w:sz w:val="24"/>
          <w:szCs w:val="24"/>
          <w:lang w:val="en-GB"/>
        </w:rPr>
        <w:t xml:space="preserve">0,26% and 1,81% </w:t>
      </w:r>
      <w:r w:rsidRPr="00F876CB">
        <w:rPr>
          <w:rFonts w:asciiTheme="minorHAnsi" w:hAnsiTheme="minorHAnsi" w:cstheme="minorHAnsi"/>
          <w:sz w:val="24"/>
          <w:szCs w:val="24"/>
          <w:lang w:val="en-GB"/>
        </w:rPr>
        <w:t>respectively</w:t>
      </w:r>
      <w:bookmarkStart w:id="146" w:name="_Toc432164542"/>
      <w:r w:rsidR="00B417FA">
        <w:rPr>
          <w:rFonts w:asciiTheme="minorHAnsi" w:hAnsiTheme="minorHAnsi" w:cstheme="minorHAnsi"/>
          <w:sz w:val="24"/>
          <w:szCs w:val="24"/>
          <w:lang w:val="en-GB"/>
        </w:rPr>
        <w:t>.</w:t>
      </w:r>
      <w:r w:rsidR="00F876CB">
        <w:rPr>
          <w:rFonts w:asciiTheme="minorHAnsi" w:hAnsiTheme="minorHAnsi" w:cstheme="minorHAnsi"/>
          <w:sz w:val="24"/>
          <w:szCs w:val="24"/>
          <w:lang w:val="en-GB"/>
        </w:rPr>
        <w:t xml:space="preserve"> </w:t>
      </w:r>
    </w:p>
    <w:p w:rsidR="00BC05F5" w:rsidRPr="00B417FA" w:rsidRDefault="00B417FA" w:rsidP="00F876CB">
      <w:pPr>
        <w:spacing w:line="360" w:lineRule="auto"/>
        <w:jc w:val="both"/>
        <w:rPr>
          <w:rFonts w:asciiTheme="minorHAnsi" w:hAnsiTheme="minorHAnsi" w:cstheme="minorHAnsi"/>
          <w:sz w:val="24"/>
          <w:szCs w:val="24"/>
          <w:lang w:val="en-GB"/>
        </w:rPr>
      </w:pPr>
      <w:r>
        <w:rPr>
          <w:rFonts w:asciiTheme="minorHAnsi" w:hAnsiTheme="minorHAnsi" w:cstheme="minorHAnsi"/>
          <w:bCs/>
          <w:sz w:val="24"/>
          <w:szCs w:val="24"/>
          <w:lang w:val="en-GB"/>
        </w:rPr>
        <w:t>Imports decreased by 10</w:t>
      </w:r>
      <w:r w:rsidR="00D2266C">
        <w:rPr>
          <w:rFonts w:asciiTheme="minorHAnsi" w:hAnsiTheme="minorHAnsi" w:cstheme="minorHAnsi"/>
          <w:bCs/>
          <w:sz w:val="24"/>
          <w:szCs w:val="24"/>
          <w:lang w:val="en-GB"/>
        </w:rPr>
        <w:t>,</w:t>
      </w:r>
      <w:r w:rsidR="00BC05F5" w:rsidRPr="00B417FA">
        <w:rPr>
          <w:rFonts w:asciiTheme="minorHAnsi" w:hAnsiTheme="minorHAnsi" w:cstheme="minorHAnsi"/>
          <w:bCs/>
          <w:sz w:val="24"/>
          <w:szCs w:val="24"/>
          <w:lang w:val="en-GB"/>
        </w:rPr>
        <w:t xml:space="preserve">32% compared to </w:t>
      </w:r>
      <w:r>
        <w:rPr>
          <w:rFonts w:asciiTheme="minorHAnsi" w:hAnsiTheme="minorHAnsi" w:cstheme="minorHAnsi"/>
          <w:bCs/>
          <w:sz w:val="24"/>
          <w:szCs w:val="24"/>
          <w:lang w:val="en-GB"/>
        </w:rPr>
        <w:t>the previous year and reached 2,</w:t>
      </w:r>
      <w:r w:rsidR="00BC05F5" w:rsidRPr="00B417FA">
        <w:rPr>
          <w:rFonts w:asciiTheme="minorHAnsi" w:hAnsiTheme="minorHAnsi" w:cstheme="minorHAnsi"/>
          <w:bCs/>
          <w:sz w:val="24"/>
          <w:szCs w:val="24"/>
          <w:lang w:val="en-GB"/>
        </w:rPr>
        <w:t xml:space="preserve">21 </w:t>
      </w:r>
      <w:proofErr w:type="spellStart"/>
      <w:r w:rsidR="00BC05F5" w:rsidRPr="00B417FA">
        <w:rPr>
          <w:rFonts w:asciiTheme="minorHAnsi" w:hAnsiTheme="minorHAnsi" w:cstheme="minorHAnsi"/>
          <w:bCs/>
          <w:sz w:val="24"/>
          <w:szCs w:val="24"/>
          <w:lang w:val="en-GB"/>
        </w:rPr>
        <w:t>T</w:t>
      </w:r>
      <w:r>
        <w:rPr>
          <w:rFonts w:asciiTheme="minorHAnsi" w:hAnsiTheme="minorHAnsi" w:cstheme="minorHAnsi"/>
          <w:bCs/>
          <w:sz w:val="24"/>
          <w:szCs w:val="24"/>
          <w:lang w:val="en-GB"/>
        </w:rPr>
        <w:t>Wh</w:t>
      </w:r>
      <w:proofErr w:type="spellEnd"/>
      <w:r>
        <w:rPr>
          <w:rFonts w:asciiTheme="minorHAnsi" w:hAnsiTheme="minorHAnsi" w:cstheme="minorHAnsi"/>
          <w:bCs/>
          <w:sz w:val="24"/>
          <w:szCs w:val="24"/>
          <w:lang w:val="en-GB"/>
        </w:rPr>
        <w:t>. Exports also decreased by 9,27%, reaching 2,</w:t>
      </w:r>
      <w:r w:rsidR="00BC05F5" w:rsidRPr="00B417FA">
        <w:rPr>
          <w:rFonts w:asciiTheme="minorHAnsi" w:hAnsiTheme="minorHAnsi" w:cstheme="minorHAnsi"/>
          <w:bCs/>
          <w:sz w:val="24"/>
          <w:szCs w:val="24"/>
          <w:lang w:val="en-GB"/>
        </w:rPr>
        <w:t xml:space="preserve">79 </w:t>
      </w:r>
      <w:proofErr w:type="spellStart"/>
      <w:r w:rsidR="00BC05F5" w:rsidRPr="00B417FA">
        <w:rPr>
          <w:rFonts w:asciiTheme="minorHAnsi" w:hAnsiTheme="minorHAnsi" w:cstheme="minorHAnsi"/>
          <w:bCs/>
          <w:sz w:val="24"/>
          <w:szCs w:val="24"/>
          <w:lang w:val="en-GB"/>
        </w:rPr>
        <w:t>TWh</w:t>
      </w:r>
      <w:proofErr w:type="spellEnd"/>
      <w:r w:rsidR="00BC05F5" w:rsidRPr="00B417FA">
        <w:rPr>
          <w:rFonts w:asciiTheme="minorHAnsi" w:hAnsiTheme="minorHAnsi" w:cstheme="minorHAnsi"/>
          <w:bCs/>
          <w:sz w:val="24"/>
          <w:szCs w:val="24"/>
          <w:lang w:val="en-GB"/>
        </w:rPr>
        <w:t>. While the rati</w:t>
      </w:r>
      <w:r>
        <w:rPr>
          <w:rFonts w:asciiTheme="minorHAnsi" w:hAnsiTheme="minorHAnsi" w:cstheme="minorHAnsi"/>
          <w:bCs/>
          <w:sz w:val="24"/>
          <w:szCs w:val="24"/>
          <w:lang w:val="en-GB"/>
        </w:rPr>
        <w:t>o of exports to imports was 124</w:t>
      </w:r>
      <w:r w:rsidR="00D2266C">
        <w:rPr>
          <w:rFonts w:asciiTheme="minorHAnsi" w:hAnsiTheme="minorHAnsi" w:cstheme="minorHAnsi"/>
          <w:bCs/>
          <w:sz w:val="24"/>
          <w:szCs w:val="24"/>
          <w:lang w:val="en-GB"/>
        </w:rPr>
        <w:t>,</w:t>
      </w:r>
      <w:r w:rsidR="00BC05F5" w:rsidRPr="00B417FA">
        <w:rPr>
          <w:rFonts w:asciiTheme="minorHAnsi" w:hAnsiTheme="minorHAnsi" w:cstheme="minorHAnsi"/>
          <w:bCs/>
          <w:sz w:val="24"/>
          <w:szCs w:val="24"/>
          <w:lang w:val="en-GB"/>
        </w:rPr>
        <w:t xml:space="preserve">64% in </w:t>
      </w:r>
      <w:r>
        <w:rPr>
          <w:rFonts w:asciiTheme="minorHAnsi" w:hAnsiTheme="minorHAnsi" w:cstheme="minorHAnsi"/>
          <w:bCs/>
          <w:sz w:val="24"/>
          <w:szCs w:val="24"/>
          <w:lang w:val="en-GB"/>
        </w:rPr>
        <w:t>2018, it increased to 126,</w:t>
      </w:r>
      <w:r w:rsidR="00BC05F5" w:rsidRPr="00B417FA">
        <w:rPr>
          <w:rFonts w:asciiTheme="minorHAnsi" w:hAnsiTheme="minorHAnsi" w:cstheme="minorHAnsi"/>
          <w:bCs/>
          <w:sz w:val="24"/>
          <w:szCs w:val="24"/>
          <w:lang w:val="en-GB"/>
        </w:rPr>
        <w:t>10% in 2019.</w:t>
      </w:r>
    </w:p>
    <w:p w:rsidR="00BC05F5" w:rsidRPr="00F876CB" w:rsidRDefault="00BC05F5" w:rsidP="00BC05F5">
      <w:pPr>
        <w:pStyle w:val="11ilebalayanlar"/>
        <w:rPr>
          <w:lang w:val="en-GB"/>
        </w:rPr>
      </w:pPr>
      <w:bookmarkStart w:id="147" w:name="_Toc44508281"/>
      <w:bookmarkEnd w:id="146"/>
      <w:r w:rsidRPr="00F876CB">
        <w:rPr>
          <w:lang w:val="en-GB"/>
        </w:rPr>
        <w:lastRenderedPageBreak/>
        <w:t>1.2 Licensed Generation</w:t>
      </w:r>
      <w:bookmarkEnd w:id="147"/>
      <w:r w:rsidRPr="00F876CB">
        <w:rPr>
          <w:lang w:val="en-GB"/>
        </w:rPr>
        <w:t xml:space="preserve"> </w:t>
      </w:r>
    </w:p>
    <w:p w:rsidR="00BC05F5" w:rsidRPr="00F876CB" w:rsidRDefault="00BC05F5" w:rsidP="00D232AF">
      <w:pPr>
        <w:spacing w:line="360" w:lineRule="auto"/>
        <w:ind w:firstLine="708"/>
        <w:jc w:val="both"/>
        <w:rPr>
          <w:rFonts w:asciiTheme="minorHAnsi" w:hAnsiTheme="minorHAnsi" w:cstheme="minorHAnsi"/>
          <w:sz w:val="24"/>
          <w:szCs w:val="24"/>
          <w:lang w:val="en-GB"/>
        </w:rPr>
      </w:pPr>
    </w:p>
    <w:p w:rsidR="00851DC2" w:rsidRPr="00F876CB" w:rsidRDefault="00BC05F5" w:rsidP="0004001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Figure 1.1 shows the electricity energy demand and increase rate over the years. As seen in the figure, the demand for</w:t>
      </w:r>
      <w:r w:rsidR="00DB486D">
        <w:rPr>
          <w:rFonts w:asciiTheme="minorHAnsi" w:hAnsiTheme="minorHAnsi" w:cstheme="minorHAnsi"/>
          <w:sz w:val="24"/>
          <w:szCs w:val="24"/>
          <w:lang w:val="en-GB"/>
        </w:rPr>
        <w:t xml:space="preserve"> electricity</w:t>
      </w:r>
      <w:r w:rsidR="0017290A">
        <w:rPr>
          <w:rFonts w:asciiTheme="minorHAnsi" w:hAnsiTheme="minorHAnsi" w:cstheme="minorHAnsi"/>
          <w:sz w:val="24"/>
          <w:szCs w:val="24"/>
          <w:lang w:val="en-GB"/>
        </w:rPr>
        <w:t xml:space="preserve"> has decreased by 0</w:t>
      </w:r>
      <w:r w:rsidR="00D2266C">
        <w:rPr>
          <w:rFonts w:asciiTheme="minorHAnsi" w:hAnsiTheme="minorHAnsi" w:cstheme="minorHAnsi"/>
          <w:sz w:val="24"/>
          <w:szCs w:val="24"/>
          <w:lang w:val="en-GB"/>
        </w:rPr>
        <w:t>,</w:t>
      </w:r>
      <w:r w:rsidRPr="00F876CB">
        <w:rPr>
          <w:rFonts w:asciiTheme="minorHAnsi" w:hAnsiTheme="minorHAnsi" w:cstheme="minorHAnsi"/>
          <w:sz w:val="24"/>
          <w:szCs w:val="24"/>
          <w:lang w:val="en-GB"/>
        </w:rPr>
        <w:t>26% in 2019 for the second time in the last 19 years after 2009.</w:t>
      </w:r>
    </w:p>
    <w:p w:rsidR="00D232AF" w:rsidRPr="00F876CB" w:rsidRDefault="00015994" w:rsidP="00620430">
      <w:pPr>
        <w:pStyle w:val="Balk6"/>
        <w:rPr>
          <w:lang w:val="en-GB"/>
        </w:rPr>
      </w:pPr>
      <w:bookmarkStart w:id="148" w:name="_Ref416358746"/>
      <w:bookmarkStart w:id="149" w:name="_Toc432165724"/>
      <w:bookmarkStart w:id="150" w:name="_Toc450306991"/>
      <w:bookmarkStart w:id="151" w:name="_Toc450307102"/>
      <w:bookmarkStart w:id="152" w:name="_Toc450307908"/>
      <w:bookmarkStart w:id="153" w:name="_Toc44508357"/>
      <w:r w:rsidRPr="00F876CB">
        <w:rPr>
          <w:lang w:val="en-GB"/>
        </w:rPr>
        <w:t>Figure</w:t>
      </w:r>
      <w:r w:rsidR="008373FD" w:rsidRPr="00F876CB">
        <w:rPr>
          <w:lang w:val="en-GB"/>
        </w:rPr>
        <w:t xml:space="preserve"> 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1</w:t>
      </w:r>
      <w:r w:rsidR="00D232AF" w:rsidRPr="00F876CB">
        <w:rPr>
          <w:lang w:val="en-GB"/>
        </w:rPr>
        <w:fldChar w:fldCharType="end"/>
      </w:r>
      <w:bookmarkEnd w:id="148"/>
      <w:r w:rsidR="00D232AF" w:rsidRPr="00F876CB">
        <w:rPr>
          <w:lang w:val="en-GB"/>
        </w:rPr>
        <w:t xml:space="preserve">: </w:t>
      </w:r>
      <w:bookmarkEnd w:id="149"/>
      <w:bookmarkEnd w:id="150"/>
      <w:bookmarkEnd w:id="151"/>
      <w:bookmarkEnd w:id="152"/>
      <w:r w:rsidR="00BC05F5" w:rsidRPr="00F876CB">
        <w:rPr>
          <w:lang w:val="en-GB"/>
        </w:rPr>
        <w:t xml:space="preserve">Electric Energy Demand and Rate of Increase by Years </w:t>
      </w:r>
      <w:r w:rsidR="002E3711" w:rsidRPr="00F876CB">
        <w:rPr>
          <w:lang w:val="en-GB"/>
        </w:rPr>
        <w:t>(GWh-%)</w:t>
      </w:r>
      <w:bookmarkEnd w:id="153"/>
    </w:p>
    <w:p w:rsidR="00D232AF" w:rsidRPr="00F876CB" w:rsidRDefault="00DB486D" w:rsidP="008D5E3E">
      <w:pPr>
        <w:spacing w:line="360" w:lineRule="auto"/>
        <w:jc w:val="center"/>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7A57E9CC">
            <wp:extent cx="5880735" cy="2590800"/>
            <wp:effectExtent l="0" t="0" r="571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0735" cy="2590800"/>
                    </a:xfrm>
                    <a:prstGeom prst="rect">
                      <a:avLst/>
                    </a:prstGeom>
                    <a:noFill/>
                  </pic:spPr>
                </pic:pic>
              </a:graphicData>
            </a:graphic>
          </wp:inline>
        </w:drawing>
      </w:r>
    </w:p>
    <w:p w:rsidR="00636775" w:rsidRPr="00F876CB" w:rsidRDefault="00636775" w:rsidP="0004001D">
      <w:pPr>
        <w:spacing w:line="360" w:lineRule="auto"/>
        <w:jc w:val="both"/>
        <w:rPr>
          <w:rFonts w:asciiTheme="minorHAnsi" w:hAnsiTheme="minorHAnsi" w:cstheme="minorHAnsi"/>
          <w:sz w:val="24"/>
          <w:szCs w:val="24"/>
          <w:lang w:val="en-GB"/>
        </w:rPr>
      </w:pPr>
      <w:bookmarkStart w:id="154" w:name="_Ref416359035"/>
      <w:bookmarkStart w:id="155" w:name="_Toc432165725"/>
      <w:bookmarkStart w:id="156" w:name="_Toc450306992"/>
      <w:bookmarkStart w:id="157" w:name="_Toc450307103"/>
      <w:bookmarkStart w:id="158" w:name="_Toc450307909"/>
      <w:r w:rsidRPr="00F876CB">
        <w:rPr>
          <w:rFonts w:asciiTheme="minorHAnsi" w:hAnsiTheme="minorHAnsi" w:cstheme="minorHAnsi"/>
          <w:sz w:val="24"/>
          <w:szCs w:val="24"/>
          <w:lang w:val="en-GB"/>
        </w:rPr>
        <w:t xml:space="preserve">The development and increase rate of peak demand is presented in Figure 1.2. The change in peak demand generally occurred in the </w:t>
      </w:r>
      <w:r w:rsidR="0004001D">
        <w:rPr>
          <w:rFonts w:asciiTheme="minorHAnsi" w:hAnsiTheme="minorHAnsi" w:cstheme="minorHAnsi"/>
          <w:sz w:val="24"/>
          <w:szCs w:val="24"/>
          <w:lang w:val="en-GB"/>
        </w:rPr>
        <w:t>f</w:t>
      </w:r>
      <w:r w:rsidRPr="00F876CB">
        <w:rPr>
          <w:rFonts w:asciiTheme="minorHAnsi" w:hAnsiTheme="minorHAnsi" w:cstheme="minorHAnsi"/>
          <w:sz w:val="24"/>
          <w:szCs w:val="24"/>
          <w:lang w:val="en-GB"/>
        </w:rPr>
        <w:t xml:space="preserve">igure similar to energy demand, but it is more variable. It is seen </w:t>
      </w:r>
      <w:r w:rsidR="0017290A">
        <w:rPr>
          <w:rFonts w:asciiTheme="minorHAnsi" w:hAnsiTheme="minorHAnsi" w:cstheme="minorHAnsi"/>
          <w:sz w:val="24"/>
          <w:szCs w:val="24"/>
          <w:lang w:val="en-GB"/>
        </w:rPr>
        <w:t>that peak demand decreased by 1</w:t>
      </w:r>
      <w:r w:rsidR="00D2266C">
        <w:rPr>
          <w:rFonts w:asciiTheme="minorHAnsi" w:hAnsiTheme="minorHAnsi" w:cstheme="minorHAnsi"/>
          <w:sz w:val="24"/>
          <w:szCs w:val="24"/>
          <w:lang w:val="en-GB"/>
        </w:rPr>
        <w:t>,</w:t>
      </w:r>
      <w:r w:rsidRPr="00F876CB">
        <w:rPr>
          <w:rFonts w:asciiTheme="minorHAnsi" w:hAnsiTheme="minorHAnsi" w:cstheme="minorHAnsi"/>
          <w:sz w:val="24"/>
          <w:szCs w:val="24"/>
          <w:lang w:val="en-GB"/>
        </w:rPr>
        <w:t>81% in 2019 compared to the previous year.</w:t>
      </w:r>
    </w:p>
    <w:p w:rsidR="00D232AF" w:rsidRPr="00F876CB" w:rsidRDefault="00015994" w:rsidP="00861DCD">
      <w:pPr>
        <w:pStyle w:val="Balk6"/>
        <w:rPr>
          <w:lang w:val="en-GB"/>
        </w:rPr>
      </w:pPr>
      <w:bookmarkStart w:id="159" w:name="_Toc44508358"/>
      <w:r w:rsidRPr="00F876CB">
        <w:rPr>
          <w:lang w:val="en-GB"/>
        </w:rPr>
        <w:t>Figure</w:t>
      </w:r>
      <w:r w:rsidR="008373FD" w:rsidRPr="00F876CB">
        <w:rPr>
          <w:lang w:val="en-GB"/>
        </w:rPr>
        <w:t xml:space="preserve"> 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2</w:t>
      </w:r>
      <w:r w:rsidR="00D232AF" w:rsidRPr="00F876CB">
        <w:rPr>
          <w:lang w:val="en-GB"/>
        </w:rPr>
        <w:fldChar w:fldCharType="end"/>
      </w:r>
      <w:bookmarkEnd w:id="154"/>
      <w:r w:rsidR="00D232AF" w:rsidRPr="00F876CB">
        <w:rPr>
          <w:lang w:val="en-GB"/>
        </w:rPr>
        <w:t xml:space="preserve">: </w:t>
      </w:r>
      <w:bookmarkEnd w:id="155"/>
      <w:bookmarkEnd w:id="156"/>
      <w:bookmarkEnd w:id="157"/>
      <w:bookmarkEnd w:id="158"/>
      <w:r w:rsidR="00636775" w:rsidRPr="00F876CB">
        <w:rPr>
          <w:lang w:val="en-GB"/>
        </w:rPr>
        <w:t xml:space="preserve">Peak Demand and Rate of Increase by Years </w:t>
      </w:r>
      <w:r w:rsidR="002E3711" w:rsidRPr="00F876CB">
        <w:rPr>
          <w:lang w:val="en-GB"/>
        </w:rPr>
        <w:t>(MW-%)</w:t>
      </w:r>
      <w:bookmarkEnd w:id="159"/>
    </w:p>
    <w:p w:rsidR="00FA4CA2" w:rsidRPr="00F876CB" w:rsidRDefault="00861DCD" w:rsidP="00CC78F3">
      <w:pPr>
        <w:spacing w:line="360" w:lineRule="auto"/>
        <w:ind w:firstLine="708"/>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7F742C7E">
            <wp:extent cx="5398135" cy="282892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8135" cy="2828925"/>
                    </a:xfrm>
                    <a:prstGeom prst="rect">
                      <a:avLst/>
                    </a:prstGeom>
                    <a:noFill/>
                  </pic:spPr>
                </pic:pic>
              </a:graphicData>
            </a:graphic>
          </wp:inline>
        </w:drawing>
      </w:r>
    </w:p>
    <w:p w:rsidR="00B63DD2" w:rsidRPr="00F876CB" w:rsidRDefault="000A5BBA" w:rsidP="00B63DD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lastRenderedPageBreak/>
        <w:t>Figure 1.3 shows the relationship between peak demand and electrical energy demand over the years. As can be seen from the figure, the increase rates of electricity demand and peak demand were generally close to each other.</w:t>
      </w:r>
    </w:p>
    <w:p w:rsidR="00D232AF" w:rsidRPr="00F876CB" w:rsidRDefault="00015994" w:rsidP="00E93600">
      <w:pPr>
        <w:pStyle w:val="Balk6"/>
        <w:rPr>
          <w:lang w:val="en-GB"/>
        </w:rPr>
      </w:pPr>
      <w:bookmarkStart w:id="160" w:name="_Ref416359260"/>
      <w:bookmarkStart w:id="161" w:name="_Toc432165726"/>
      <w:bookmarkStart w:id="162" w:name="_Toc450306993"/>
      <w:bookmarkStart w:id="163" w:name="_Toc450307104"/>
      <w:bookmarkStart w:id="164" w:name="_Toc450307910"/>
      <w:bookmarkStart w:id="165" w:name="_Toc44508359"/>
      <w:r w:rsidRPr="00F876CB">
        <w:rPr>
          <w:lang w:val="en-GB"/>
        </w:rPr>
        <w:t>Figure</w:t>
      </w:r>
      <w:r w:rsidR="008373FD" w:rsidRPr="00F876CB">
        <w:rPr>
          <w:lang w:val="en-GB"/>
        </w:rPr>
        <w:t xml:space="preserve"> 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3</w:t>
      </w:r>
      <w:r w:rsidR="00D232AF" w:rsidRPr="00F876CB">
        <w:rPr>
          <w:lang w:val="en-GB"/>
        </w:rPr>
        <w:fldChar w:fldCharType="end"/>
      </w:r>
      <w:bookmarkEnd w:id="160"/>
      <w:r w:rsidR="00D232AF" w:rsidRPr="00F876CB">
        <w:rPr>
          <w:lang w:val="en-GB"/>
        </w:rPr>
        <w:t xml:space="preserve">: </w:t>
      </w:r>
      <w:r w:rsidR="000A5BBA" w:rsidRPr="00F876CB">
        <w:rPr>
          <w:lang w:val="en-GB"/>
        </w:rPr>
        <w:t xml:space="preserve">Rate of Increase of Demand and Peak Demand by Year </w:t>
      </w:r>
      <w:r w:rsidR="00D232AF" w:rsidRPr="00F876CB">
        <w:rPr>
          <w:lang w:val="en-GB"/>
        </w:rPr>
        <w:t>(%)</w:t>
      </w:r>
      <w:bookmarkEnd w:id="161"/>
      <w:bookmarkEnd w:id="162"/>
      <w:bookmarkEnd w:id="163"/>
      <w:bookmarkEnd w:id="164"/>
      <w:bookmarkEnd w:id="165"/>
    </w:p>
    <w:p w:rsidR="00D232AF" w:rsidRPr="00F876CB" w:rsidRDefault="0005402B" w:rsidP="003B0618">
      <w:pPr>
        <w:spacing w:line="360" w:lineRule="auto"/>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293C26BC">
            <wp:extent cx="5763260" cy="2752725"/>
            <wp:effectExtent l="0" t="0" r="889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3260" cy="2752725"/>
                    </a:xfrm>
                    <a:prstGeom prst="rect">
                      <a:avLst/>
                    </a:prstGeom>
                    <a:noFill/>
                  </pic:spPr>
                </pic:pic>
              </a:graphicData>
            </a:graphic>
          </wp:inline>
        </w:drawing>
      </w:r>
    </w:p>
    <w:p w:rsidR="0005402B" w:rsidRDefault="0005402B" w:rsidP="0005402B">
      <w:pPr>
        <w:pStyle w:val="Balk6"/>
        <w:jc w:val="left"/>
        <w:rPr>
          <w:rFonts w:asciiTheme="minorHAnsi" w:hAnsiTheme="minorHAnsi" w:cstheme="minorHAnsi"/>
          <w:b w:val="0"/>
          <w:spacing w:val="0"/>
          <w:szCs w:val="24"/>
          <w:lang w:val="en-GB"/>
        </w:rPr>
      </w:pPr>
      <w:bookmarkStart w:id="166" w:name="_Ref404345466"/>
      <w:bookmarkStart w:id="167" w:name="_Ref404345458"/>
      <w:bookmarkStart w:id="168" w:name="_Toc432165727"/>
      <w:bookmarkStart w:id="169" w:name="_Toc450306994"/>
      <w:bookmarkStart w:id="170" w:name="_Toc450307105"/>
      <w:bookmarkStart w:id="171" w:name="_Toc450307911"/>
    </w:p>
    <w:p w:rsidR="00EA3208" w:rsidRPr="0005402B" w:rsidRDefault="00EA3208" w:rsidP="0005402B">
      <w:pPr>
        <w:spacing w:line="360" w:lineRule="auto"/>
        <w:jc w:val="both"/>
        <w:rPr>
          <w:rFonts w:asciiTheme="minorHAnsi" w:hAnsiTheme="minorHAnsi" w:cstheme="minorHAnsi"/>
          <w:sz w:val="24"/>
          <w:szCs w:val="24"/>
          <w:lang w:val="en-GB"/>
        </w:rPr>
      </w:pPr>
      <w:r w:rsidRPr="0005402B">
        <w:rPr>
          <w:rFonts w:asciiTheme="minorHAnsi" w:hAnsiTheme="minorHAnsi" w:cstheme="minorHAnsi"/>
          <w:sz w:val="24"/>
          <w:szCs w:val="24"/>
          <w:lang w:val="en-GB"/>
        </w:rPr>
        <w:t xml:space="preserve">Figure 1.4 shows the licensed electricity generation and monthly change in electricity consumption. Monthly </w:t>
      </w:r>
      <w:r w:rsidR="0004001D" w:rsidRPr="0004001D">
        <w:rPr>
          <w:rFonts w:asciiTheme="minorHAnsi" w:hAnsiTheme="minorHAnsi" w:cstheme="minorHAnsi"/>
          <w:sz w:val="24"/>
          <w:szCs w:val="24"/>
          <w:lang w:val="en-GB"/>
        </w:rPr>
        <w:t xml:space="preserve">licensed electricity </w:t>
      </w:r>
      <w:r w:rsidR="0004001D">
        <w:rPr>
          <w:rFonts w:asciiTheme="minorHAnsi" w:hAnsiTheme="minorHAnsi" w:cstheme="minorHAnsi"/>
          <w:sz w:val="24"/>
          <w:szCs w:val="24"/>
          <w:lang w:val="en-GB"/>
        </w:rPr>
        <w:t>generation</w:t>
      </w:r>
      <w:r w:rsidRPr="0005402B">
        <w:rPr>
          <w:rFonts w:asciiTheme="minorHAnsi" w:hAnsiTheme="minorHAnsi" w:cstheme="minorHAnsi"/>
          <w:sz w:val="24"/>
          <w:szCs w:val="24"/>
          <w:lang w:val="en-GB"/>
        </w:rPr>
        <w:t xml:space="preserve"> and consumption reached their highest values in July.</w:t>
      </w:r>
    </w:p>
    <w:p w:rsidR="0005402B" w:rsidRPr="0005402B" w:rsidRDefault="0005402B" w:rsidP="0005402B">
      <w:pPr>
        <w:rPr>
          <w:lang w:val="en-GB"/>
        </w:rPr>
      </w:pPr>
    </w:p>
    <w:p w:rsidR="00D232AF" w:rsidRPr="00F876CB" w:rsidRDefault="00015994" w:rsidP="00E93600">
      <w:pPr>
        <w:pStyle w:val="Balk6"/>
        <w:rPr>
          <w:lang w:val="en-GB"/>
        </w:rPr>
      </w:pPr>
      <w:bookmarkStart w:id="172" w:name="_Toc44508360"/>
      <w:r w:rsidRPr="00F876CB">
        <w:rPr>
          <w:lang w:val="en-GB"/>
        </w:rPr>
        <w:t>Figure</w:t>
      </w:r>
      <w:r w:rsidR="00D232AF" w:rsidRPr="00F876CB">
        <w:rPr>
          <w:lang w:val="en-GB"/>
        </w:rPr>
        <w:t xml:space="preserve"> </w:t>
      </w:r>
      <w:r w:rsidR="008373FD"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4</w:t>
      </w:r>
      <w:r w:rsidR="00D232AF" w:rsidRPr="00F876CB">
        <w:rPr>
          <w:lang w:val="en-GB"/>
        </w:rPr>
        <w:fldChar w:fldCharType="end"/>
      </w:r>
      <w:bookmarkEnd w:id="166"/>
      <w:r w:rsidR="00D232AF" w:rsidRPr="00F876CB">
        <w:rPr>
          <w:lang w:val="en-GB"/>
        </w:rPr>
        <w:t xml:space="preserve">: </w:t>
      </w:r>
      <w:bookmarkEnd w:id="167"/>
      <w:r w:rsidR="00EA3208" w:rsidRPr="00F876CB">
        <w:rPr>
          <w:lang w:val="en-GB"/>
        </w:rPr>
        <w:t xml:space="preserve">Monthly Distribution of Licensed Electricity Generation and Consumption in 2019 </w:t>
      </w:r>
      <w:r w:rsidR="00D232AF" w:rsidRPr="00F876CB">
        <w:rPr>
          <w:lang w:val="en-GB"/>
        </w:rPr>
        <w:t>(GWh)</w:t>
      </w:r>
      <w:bookmarkEnd w:id="168"/>
      <w:bookmarkEnd w:id="169"/>
      <w:bookmarkEnd w:id="170"/>
      <w:bookmarkEnd w:id="171"/>
      <w:bookmarkEnd w:id="172"/>
    </w:p>
    <w:p w:rsidR="00D232AF" w:rsidRPr="00F876CB" w:rsidRDefault="0005402B" w:rsidP="00D232AF">
      <w:pPr>
        <w:spacing w:line="360" w:lineRule="auto"/>
        <w:rPr>
          <w:rFonts w:cstheme="minorHAnsi"/>
          <w:sz w:val="24"/>
          <w:szCs w:val="24"/>
          <w:lang w:val="en-GB"/>
        </w:rPr>
      </w:pPr>
      <w:r>
        <w:rPr>
          <w:rFonts w:cstheme="minorHAnsi"/>
          <w:noProof/>
          <w:sz w:val="24"/>
          <w:szCs w:val="24"/>
          <w:lang w:eastAsia="tr-TR" w:bidi="ar-SA"/>
        </w:rPr>
        <w:drawing>
          <wp:inline distT="0" distB="0" distL="0" distR="0" wp14:anchorId="158F4481">
            <wp:extent cx="5675630" cy="2743200"/>
            <wp:effectExtent l="0" t="0" r="127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5630" cy="2743200"/>
                    </a:xfrm>
                    <a:prstGeom prst="rect">
                      <a:avLst/>
                    </a:prstGeom>
                    <a:noFill/>
                  </pic:spPr>
                </pic:pic>
              </a:graphicData>
            </a:graphic>
          </wp:inline>
        </w:drawing>
      </w:r>
    </w:p>
    <w:p w:rsidR="00AE19D1" w:rsidRPr="0017290A" w:rsidRDefault="007F574B" w:rsidP="0017290A">
      <w:pPr>
        <w:spacing w:line="360" w:lineRule="auto"/>
        <w:jc w:val="both"/>
        <w:rPr>
          <w:rFonts w:asciiTheme="minorHAnsi" w:hAnsiTheme="minorHAnsi" w:cstheme="minorHAnsi"/>
          <w:sz w:val="24"/>
          <w:szCs w:val="24"/>
          <w:lang w:val="en-GB"/>
        </w:rPr>
      </w:pPr>
      <w:bookmarkStart w:id="173" w:name="_Ref404345577"/>
      <w:bookmarkStart w:id="174" w:name="_Toc432165728"/>
      <w:bookmarkStart w:id="175" w:name="_Toc450306995"/>
      <w:bookmarkStart w:id="176" w:name="_Toc450307106"/>
      <w:bookmarkStart w:id="177" w:name="_Toc450307912"/>
      <w:r w:rsidRPr="0017290A">
        <w:rPr>
          <w:rFonts w:asciiTheme="minorHAnsi" w:hAnsiTheme="minorHAnsi" w:cstheme="minorHAnsi"/>
          <w:sz w:val="24"/>
          <w:szCs w:val="24"/>
          <w:lang w:val="en-GB"/>
        </w:rPr>
        <w:lastRenderedPageBreak/>
        <w:t xml:space="preserve">Distribution of licensed electricity generation by organizations in 2019 is shown in Figure 1.5. </w:t>
      </w:r>
      <w:r w:rsidR="0004001D">
        <w:rPr>
          <w:rFonts w:asciiTheme="minorHAnsi" w:hAnsiTheme="minorHAnsi" w:cstheme="minorHAnsi"/>
          <w:sz w:val="24"/>
          <w:szCs w:val="24"/>
          <w:lang w:val="en-GB"/>
        </w:rPr>
        <w:t>Independent generation</w:t>
      </w:r>
      <w:r w:rsidRPr="0017290A">
        <w:rPr>
          <w:rFonts w:asciiTheme="minorHAnsi" w:hAnsiTheme="minorHAnsi" w:cstheme="minorHAnsi"/>
          <w:sz w:val="24"/>
          <w:szCs w:val="24"/>
          <w:lang w:val="en-GB"/>
        </w:rPr>
        <w:t xml:space="preserve"> </w:t>
      </w:r>
      <w:r w:rsidR="0004001D">
        <w:rPr>
          <w:rFonts w:asciiTheme="minorHAnsi" w:hAnsiTheme="minorHAnsi" w:cstheme="minorHAnsi"/>
          <w:sz w:val="24"/>
          <w:szCs w:val="24"/>
          <w:lang w:val="en-GB"/>
        </w:rPr>
        <w:t>c</w:t>
      </w:r>
      <w:r w:rsidRPr="0017290A">
        <w:rPr>
          <w:rFonts w:asciiTheme="minorHAnsi" w:hAnsiTheme="minorHAnsi" w:cstheme="minorHAnsi"/>
          <w:sz w:val="24"/>
          <w:szCs w:val="24"/>
          <w:lang w:val="en-GB"/>
        </w:rPr>
        <w:t>ompanies have the high</w:t>
      </w:r>
      <w:r w:rsidR="0017290A">
        <w:rPr>
          <w:rFonts w:asciiTheme="minorHAnsi" w:hAnsiTheme="minorHAnsi" w:cstheme="minorHAnsi"/>
          <w:sz w:val="24"/>
          <w:szCs w:val="24"/>
          <w:lang w:val="en-GB"/>
        </w:rPr>
        <w:t>est share in production with 71</w:t>
      </w:r>
      <w:r w:rsidR="00D2266C">
        <w:rPr>
          <w:rFonts w:asciiTheme="minorHAnsi" w:hAnsiTheme="minorHAnsi" w:cstheme="minorHAnsi"/>
          <w:sz w:val="24"/>
          <w:szCs w:val="24"/>
          <w:lang w:val="en-GB"/>
        </w:rPr>
        <w:t>,</w:t>
      </w:r>
      <w:r w:rsidRPr="0017290A">
        <w:rPr>
          <w:rFonts w:asciiTheme="minorHAnsi" w:hAnsiTheme="minorHAnsi" w:cstheme="minorHAnsi"/>
          <w:sz w:val="24"/>
          <w:szCs w:val="24"/>
          <w:lang w:val="en-GB"/>
        </w:rPr>
        <w:t>94%. The sh</w:t>
      </w:r>
      <w:r w:rsidR="0017290A">
        <w:rPr>
          <w:rFonts w:asciiTheme="minorHAnsi" w:hAnsiTheme="minorHAnsi" w:cstheme="minorHAnsi"/>
          <w:sz w:val="24"/>
          <w:szCs w:val="24"/>
          <w:lang w:val="en-GB"/>
        </w:rPr>
        <w:t>are of EÜAŞ power plants was 20</w:t>
      </w:r>
      <w:r w:rsidR="00D2266C">
        <w:rPr>
          <w:rFonts w:asciiTheme="minorHAnsi" w:hAnsiTheme="minorHAnsi" w:cstheme="minorHAnsi"/>
          <w:sz w:val="24"/>
          <w:szCs w:val="24"/>
          <w:lang w:val="en-GB"/>
        </w:rPr>
        <w:t>,</w:t>
      </w:r>
      <w:r w:rsidRPr="0017290A">
        <w:rPr>
          <w:rFonts w:asciiTheme="minorHAnsi" w:hAnsiTheme="minorHAnsi" w:cstheme="minorHAnsi"/>
          <w:sz w:val="24"/>
          <w:szCs w:val="24"/>
          <w:lang w:val="en-GB"/>
        </w:rPr>
        <w:t>17%, and the share of power plants operating under existing cont</w:t>
      </w:r>
      <w:r w:rsidR="0017290A">
        <w:rPr>
          <w:rFonts w:asciiTheme="minorHAnsi" w:hAnsiTheme="minorHAnsi" w:cstheme="minorHAnsi"/>
          <w:sz w:val="24"/>
          <w:szCs w:val="24"/>
          <w:lang w:val="en-GB"/>
        </w:rPr>
        <w:t>racts in total production was 7</w:t>
      </w:r>
      <w:r w:rsidR="00D2266C">
        <w:rPr>
          <w:rFonts w:asciiTheme="minorHAnsi" w:hAnsiTheme="minorHAnsi" w:cstheme="minorHAnsi"/>
          <w:sz w:val="24"/>
          <w:szCs w:val="24"/>
          <w:lang w:val="en-GB"/>
        </w:rPr>
        <w:t>,</w:t>
      </w:r>
      <w:r w:rsidRPr="0017290A">
        <w:rPr>
          <w:rFonts w:asciiTheme="minorHAnsi" w:hAnsiTheme="minorHAnsi" w:cstheme="minorHAnsi"/>
          <w:sz w:val="24"/>
          <w:szCs w:val="24"/>
          <w:lang w:val="en-GB"/>
        </w:rPr>
        <w:t>89%.</w:t>
      </w:r>
    </w:p>
    <w:p w:rsidR="007F574B" w:rsidRPr="00F876CB" w:rsidRDefault="007F574B" w:rsidP="007F574B">
      <w:pPr>
        <w:rPr>
          <w:highlight w:val="yellow"/>
          <w:lang w:val="en-GB"/>
        </w:rPr>
      </w:pPr>
    </w:p>
    <w:p w:rsidR="00D232AF" w:rsidRPr="00F876CB" w:rsidRDefault="00015994" w:rsidP="00E93600">
      <w:pPr>
        <w:pStyle w:val="Balk6"/>
        <w:rPr>
          <w:lang w:val="en-GB"/>
        </w:rPr>
      </w:pPr>
      <w:bookmarkStart w:id="178" w:name="_Toc44508361"/>
      <w:r w:rsidRPr="00F876CB">
        <w:rPr>
          <w:lang w:val="en-GB"/>
        </w:rPr>
        <w:t>Figure</w:t>
      </w:r>
      <w:r w:rsidR="00D232AF" w:rsidRPr="00F876CB">
        <w:rPr>
          <w:lang w:val="en-GB"/>
        </w:rPr>
        <w:t xml:space="preserve"> </w:t>
      </w:r>
      <w:r w:rsidR="008373FD"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5</w:t>
      </w:r>
      <w:r w:rsidR="00D232AF" w:rsidRPr="00F876CB">
        <w:rPr>
          <w:lang w:val="en-GB"/>
        </w:rPr>
        <w:fldChar w:fldCharType="end"/>
      </w:r>
      <w:bookmarkEnd w:id="173"/>
      <w:r w:rsidR="00D232AF" w:rsidRPr="00F876CB">
        <w:rPr>
          <w:lang w:val="en-GB"/>
        </w:rPr>
        <w:t xml:space="preserve">: </w:t>
      </w:r>
      <w:r w:rsidR="00656B49" w:rsidRPr="00F876CB">
        <w:rPr>
          <w:lang w:val="en-GB"/>
        </w:rPr>
        <w:t xml:space="preserve">Distribution of Licensed Electricity Generation in 2019 by </w:t>
      </w:r>
      <w:proofErr w:type="gramStart"/>
      <w:r w:rsidR="00656B49" w:rsidRPr="00F876CB">
        <w:rPr>
          <w:lang w:val="en-GB"/>
        </w:rPr>
        <w:t>Corp</w:t>
      </w:r>
      <w:r w:rsidR="00A13249">
        <w:rPr>
          <w:lang w:val="en-GB"/>
        </w:rPr>
        <w:t>o</w:t>
      </w:r>
      <w:r w:rsidR="00656B49" w:rsidRPr="00F876CB">
        <w:rPr>
          <w:lang w:val="en-GB"/>
        </w:rPr>
        <w:t>rations</w:t>
      </w:r>
      <w:r w:rsidR="00D232AF" w:rsidRPr="00F876CB">
        <w:rPr>
          <w:lang w:val="en-GB"/>
        </w:rPr>
        <w:t>(</w:t>
      </w:r>
      <w:proofErr w:type="gramEnd"/>
      <w:r w:rsidR="00D232AF" w:rsidRPr="00F876CB">
        <w:rPr>
          <w:lang w:val="en-GB"/>
        </w:rPr>
        <w:t>%)</w:t>
      </w:r>
      <w:bookmarkEnd w:id="174"/>
      <w:bookmarkEnd w:id="175"/>
      <w:bookmarkEnd w:id="176"/>
      <w:bookmarkEnd w:id="177"/>
      <w:bookmarkEnd w:id="178"/>
    </w:p>
    <w:p w:rsidR="006E3E07" w:rsidRPr="00F876CB" w:rsidRDefault="0017290A" w:rsidP="006E3E07">
      <w:pPr>
        <w:rPr>
          <w:lang w:val="en-GB"/>
        </w:rPr>
      </w:pPr>
      <w:r>
        <w:rPr>
          <w:noProof/>
          <w:lang w:eastAsia="tr-TR" w:bidi="ar-SA"/>
        </w:rPr>
        <w:drawing>
          <wp:inline distT="0" distB="0" distL="0" distR="0" wp14:anchorId="78875225">
            <wp:extent cx="5921375" cy="2076450"/>
            <wp:effectExtent l="0" t="0" r="317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1375" cy="2076450"/>
                    </a:xfrm>
                    <a:prstGeom prst="rect">
                      <a:avLst/>
                    </a:prstGeom>
                    <a:noFill/>
                  </pic:spPr>
                </pic:pic>
              </a:graphicData>
            </a:graphic>
          </wp:inline>
        </w:drawing>
      </w:r>
    </w:p>
    <w:p w:rsidR="00FC4C6C" w:rsidRPr="00F876CB" w:rsidRDefault="00FC4C6C" w:rsidP="006E3E07">
      <w:pPr>
        <w:rPr>
          <w:lang w:val="en-GB"/>
        </w:rPr>
      </w:pPr>
    </w:p>
    <w:p w:rsidR="001D1F7D" w:rsidRPr="0017290A" w:rsidRDefault="00FC4C6C" w:rsidP="0017290A">
      <w:pPr>
        <w:spacing w:line="360" w:lineRule="auto"/>
        <w:jc w:val="both"/>
        <w:rPr>
          <w:rFonts w:asciiTheme="minorHAnsi" w:hAnsiTheme="minorHAnsi" w:cstheme="minorHAnsi"/>
          <w:sz w:val="24"/>
          <w:szCs w:val="24"/>
          <w:lang w:val="en-GB"/>
        </w:rPr>
      </w:pPr>
      <w:bookmarkStart w:id="179" w:name="_Ref404349355"/>
      <w:bookmarkStart w:id="180" w:name="_Toc432165729"/>
      <w:bookmarkStart w:id="181" w:name="_Toc450306996"/>
      <w:bookmarkStart w:id="182" w:name="_Toc450307107"/>
      <w:bookmarkStart w:id="183" w:name="_Toc450307913"/>
      <w:r w:rsidRPr="0017290A">
        <w:rPr>
          <w:rFonts w:asciiTheme="minorHAnsi" w:hAnsiTheme="minorHAnsi" w:cstheme="minorHAnsi"/>
          <w:sz w:val="24"/>
          <w:szCs w:val="24"/>
          <w:lang w:val="en-GB"/>
        </w:rPr>
        <w:t>The distribution of licensed electricity production under public, private and existing contracts is given in Figure 1.6. While the total share of the public sector in production (including existin</w:t>
      </w:r>
      <w:r w:rsidR="0017290A">
        <w:rPr>
          <w:rFonts w:asciiTheme="minorHAnsi" w:hAnsiTheme="minorHAnsi" w:cstheme="minorHAnsi"/>
          <w:sz w:val="24"/>
          <w:szCs w:val="24"/>
          <w:lang w:val="en-GB"/>
        </w:rPr>
        <w:t>g contracts) was 31</w:t>
      </w:r>
      <w:r w:rsidR="00D2266C">
        <w:rPr>
          <w:rFonts w:asciiTheme="minorHAnsi" w:hAnsiTheme="minorHAnsi" w:cstheme="minorHAnsi"/>
          <w:sz w:val="24"/>
          <w:szCs w:val="24"/>
          <w:lang w:val="en-GB"/>
        </w:rPr>
        <w:t>,</w:t>
      </w:r>
      <w:r w:rsidRPr="0017290A">
        <w:rPr>
          <w:rFonts w:asciiTheme="minorHAnsi" w:hAnsiTheme="minorHAnsi" w:cstheme="minorHAnsi"/>
          <w:sz w:val="24"/>
          <w:szCs w:val="24"/>
          <w:lang w:val="en-GB"/>
        </w:rPr>
        <w:t xml:space="preserve">77% in </w:t>
      </w:r>
      <w:r w:rsidR="0017290A">
        <w:rPr>
          <w:rFonts w:asciiTheme="minorHAnsi" w:hAnsiTheme="minorHAnsi" w:cstheme="minorHAnsi"/>
          <w:sz w:val="24"/>
          <w:szCs w:val="24"/>
          <w:lang w:val="en-GB"/>
        </w:rPr>
        <w:t>2018, this rate decreased to 28,</w:t>
      </w:r>
      <w:r w:rsidRPr="0017290A">
        <w:rPr>
          <w:rFonts w:asciiTheme="minorHAnsi" w:hAnsiTheme="minorHAnsi" w:cstheme="minorHAnsi"/>
          <w:sz w:val="24"/>
          <w:szCs w:val="24"/>
          <w:lang w:val="en-GB"/>
        </w:rPr>
        <w:t xml:space="preserve">06% in 2019. The share of </w:t>
      </w:r>
      <w:r w:rsidR="008C061B" w:rsidRPr="008C061B">
        <w:rPr>
          <w:rFonts w:asciiTheme="minorHAnsi" w:hAnsiTheme="minorHAnsi" w:cstheme="minorHAnsi"/>
          <w:sz w:val="24"/>
          <w:szCs w:val="24"/>
          <w:lang w:val="en-GB"/>
        </w:rPr>
        <w:t>independent generation</w:t>
      </w:r>
      <w:r w:rsidR="0017290A">
        <w:rPr>
          <w:rFonts w:asciiTheme="minorHAnsi" w:hAnsiTheme="minorHAnsi" w:cstheme="minorHAnsi"/>
          <w:sz w:val="24"/>
          <w:szCs w:val="24"/>
          <w:lang w:val="en-GB"/>
        </w:rPr>
        <w:t>, which was 68,23% in 2018, increased to 71,</w:t>
      </w:r>
      <w:r w:rsidRPr="0017290A">
        <w:rPr>
          <w:rFonts w:asciiTheme="minorHAnsi" w:hAnsiTheme="minorHAnsi" w:cstheme="minorHAnsi"/>
          <w:sz w:val="24"/>
          <w:szCs w:val="24"/>
          <w:lang w:val="en-GB"/>
        </w:rPr>
        <w:t>94% in 2019.</w:t>
      </w:r>
    </w:p>
    <w:p w:rsidR="00B97547" w:rsidRPr="00F876CB" w:rsidRDefault="00B97547" w:rsidP="00B97547">
      <w:pPr>
        <w:rPr>
          <w:lang w:val="en-GB"/>
        </w:rPr>
      </w:pPr>
    </w:p>
    <w:p w:rsidR="00A13249" w:rsidRDefault="00015994" w:rsidP="0017290A">
      <w:pPr>
        <w:pStyle w:val="Balk6"/>
        <w:rPr>
          <w:lang w:val="en-GB"/>
        </w:rPr>
      </w:pPr>
      <w:bookmarkStart w:id="184" w:name="_Toc44508362"/>
      <w:r w:rsidRPr="00F876CB">
        <w:rPr>
          <w:lang w:val="en-GB"/>
        </w:rPr>
        <w:t>Figure</w:t>
      </w:r>
      <w:r w:rsidR="00D232AF" w:rsidRPr="00F876CB">
        <w:rPr>
          <w:lang w:val="en-GB"/>
        </w:rPr>
        <w:t xml:space="preserve"> </w:t>
      </w:r>
      <w:r w:rsidR="008373FD"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lang w:val="en-GB"/>
        </w:rPr>
        <w:t>6</w:t>
      </w:r>
      <w:r w:rsidR="00D232AF" w:rsidRPr="00F876CB">
        <w:rPr>
          <w:lang w:val="en-GB"/>
        </w:rPr>
        <w:fldChar w:fldCharType="end"/>
      </w:r>
      <w:bookmarkEnd w:id="179"/>
      <w:r w:rsidR="00D232AF" w:rsidRPr="00F876CB">
        <w:rPr>
          <w:lang w:val="en-GB"/>
        </w:rPr>
        <w:t xml:space="preserve">: </w:t>
      </w:r>
      <w:r w:rsidR="00B97547" w:rsidRPr="00F876CB">
        <w:rPr>
          <w:lang w:val="en-GB"/>
        </w:rPr>
        <w:t xml:space="preserve">Change of Licensed Electricity Generation as Public-Private by Years </w:t>
      </w:r>
      <w:r w:rsidR="00D232AF" w:rsidRPr="00F876CB">
        <w:rPr>
          <w:lang w:val="en-GB"/>
        </w:rPr>
        <w:t>(%)</w:t>
      </w:r>
      <w:bookmarkEnd w:id="180"/>
      <w:bookmarkEnd w:id="181"/>
      <w:bookmarkEnd w:id="182"/>
      <w:bookmarkEnd w:id="183"/>
      <w:bookmarkEnd w:id="184"/>
    </w:p>
    <w:p w:rsidR="00D232AF" w:rsidRPr="00A13249" w:rsidRDefault="0017290A" w:rsidP="00A13249">
      <w:pPr>
        <w:rPr>
          <w:lang w:val="en-GB"/>
        </w:rPr>
      </w:pPr>
      <w:r w:rsidRPr="00A13249">
        <w:rPr>
          <w:noProof/>
          <w:lang w:eastAsia="tr-TR" w:bidi="ar-SA"/>
        </w:rPr>
        <w:drawing>
          <wp:inline distT="0" distB="0" distL="0" distR="0" wp14:anchorId="3CD85280">
            <wp:extent cx="5621020" cy="24669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1020" cy="2466975"/>
                    </a:xfrm>
                    <a:prstGeom prst="rect">
                      <a:avLst/>
                    </a:prstGeom>
                    <a:noFill/>
                  </pic:spPr>
                </pic:pic>
              </a:graphicData>
            </a:graphic>
          </wp:inline>
        </w:drawing>
      </w:r>
    </w:p>
    <w:p w:rsidR="006E3E07" w:rsidRPr="00F876CB" w:rsidRDefault="006E3E07" w:rsidP="00D232AF">
      <w:pPr>
        <w:spacing w:line="360" w:lineRule="auto"/>
        <w:ind w:firstLine="708"/>
        <w:jc w:val="both"/>
        <w:rPr>
          <w:rFonts w:asciiTheme="minorHAnsi" w:hAnsiTheme="minorHAnsi" w:cstheme="minorHAnsi"/>
          <w:sz w:val="24"/>
          <w:szCs w:val="24"/>
          <w:lang w:val="en-GB"/>
        </w:rPr>
      </w:pPr>
    </w:p>
    <w:p w:rsidR="00700A45" w:rsidRPr="00F876CB" w:rsidRDefault="00700A45" w:rsidP="001B5309">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As seen in Figure 1.6, </w:t>
      </w:r>
      <w:r w:rsidR="008C061B" w:rsidRPr="008C061B">
        <w:rPr>
          <w:rFonts w:asciiTheme="minorHAnsi" w:hAnsiTheme="minorHAnsi" w:cstheme="minorHAnsi"/>
          <w:sz w:val="24"/>
          <w:szCs w:val="24"/>
          <w:lang w:val="en-GB"/>
        </w:rPr>
        <w:t>the share of independent generation was still increasing</w:t>
      </w:r>
      <w:r w:rsidRPr="00F876CB">
        <w:rPr>
          <w:rFonts w:asciiTheme="minorHAnsi" w:hAnsiTheme="minorHAnsi" w:cstheme="minorHAnsi"/>
          <w:sz w:val="24"/>
          <w:szCs w:val="24"/>
          <w:lang w:val="en-GB"/>
        </w:rPr>
        <w:t xml:space="preserve">. There are two main reasons </w:t>
      </w:r>
      <w:r w:rsidR="008C061B" w:rsidRPr="008C061B">
        <w:rPr>
          <w:rFonts w:asciiTheme="minorHAnsi" w:hAnsiTheme="minorHAnsi" w:cstheme="minorHAnsi"/>
          <w:sz w:val="24"/>
          <w:szCs w:val="24"/>
          <w:lang w:val="en-GB"/>
        </w:rPr>
        <w:t xml:space="preserve">behind this increment. </w:t>
      </w:r>
      <w:r w:rsidRPr="00F876CB">
        <w:rPr>
          <w:rFonts w:asciiTheme="minorHAnsi" w:hAnsiTheme="minorHAnsi" w:cstheme="minorHAnsi"/>
          <w:sz w:val="24"/>
          <w:szCs w:val="24"/>
          <w:lang w:val="en-GB"/>
        </w:rPr>
        <w:t xml:space="preserve">First of all, most of the new investments </w:t>
      </w:r>
      <w:r w:rsidR="008C061B" w:rsidRPr="008C061B">
        <w:rPr>
          <w:rFonts w:asciiTheme="minorHAnsi" w:hAnsiTheme="minorHAnsi" w:cstheme="minorHAnsi"/>
          <w:sz w:val="24"/>
          <w:szCs w:val="24"/>
          <w:lang w:val="en-GB"/>
        </w:rPr>
        <w:t>were done by independent power producers.</w:t>
      </w:r>
      <w:r w:rsidRPr="00F876CB">
        <w:rPr>
          <w:rFonts w:asciiTheme="minorHAnsi" w:hAnsiTheme="minorHAnsi" w:cstheme="minorHAnsi"/>
          <w:sz w:val="24"/>
          <w:szCs w:val="24"/>
          <w:lang w:val="en-GB"/>
        </w:rPr>
        <w:t xml:space="preserve"> The second reason is that some of the existing contracts </w:t>
      </w:r>
      <w:r w:rsidR="001B5309">
        <w:rPr>
          <w:rFonts w:asciiTheme="minorHAnsi" w:hAnsiTheme="minorHAnsi" w:cstheme="minorHAnsi"/>
          <w:sz w:val="24"/>
          <w:szCs w:val="24"/>
          <w:lang w:val="en-GB"/>
        </w:rPr>
        <w:t xml:space="preserve">have </w:t>
      </w:r>
      <w:r w:rsidRPr="00F876CB">
        <w:rPr>
          <w:rFonts w:asciiTheme="minorHAnsi" w:hAnsiTheme="minorHAnsi" w:cstheme="minorHAnsi"/>
          <w:sz w:val="24"/>
          <w:szCs w:val="24"/>
          <w:lang w:val="en-GB"/>
        </w:rPr>
        <w:t>expired and the ownership of the power plants under these contracts has been transferred to the private sector.</w:t>
      </w:r>
    </w:p>
    <w:p w:rsidR="00700A45" w:rsidRPr="00F876CB" w:rsidRDefault="001B5309" w:rsidP="001B5309">
      <w:pPr>
        <w:spacing w:line="360" w:lineRule="auto"/>
        <w:jc w:val="both"/>
        <w:rPr>
          <w:rFonts w:asciiTheme="minorHAnsi" w:hAnsiTheme="minorHAnsi" w:cstheme="minorHAnsi"/>
          <w:sz w:val="24"/>
          <w:szCs w:val="24"/>
          <w:lang w:val="en-GB"/>
        </w:rPr>
      </w:pPr>
      <w:r w:rsidRPr="001B5309">
        <w:rPr>
          <w:rFonts w:asciiTheme="minorHAnsi" w:hAnsiTheme="minorHAnsi" w:cstheme="minorHAnsi"/>
          <w:sz w:val="24"/>
          <w:szCs w:val="24"/>
          <w:lang w:val="en-GB"/>
        </w:rPr>
        <w:t>The distribution of licensed electricity generation by resources is shown in Figure 1.7.</w:t>
      </w:r>
      <w:r>
        <w:rPr>
          <w:rFonts w:asciiTheme="minorHAnsi" w:hAnsiTheme="minorHAnsi" w:cstheme="minorHAnsi"/>
          <w:sz w:val="24"/>
          <w:szCs w:val="24"/>
          <w:lang w:val="en-GB"/>
        </w:rPr>
        <w:t xml:space="preserve"> While the share of natural gas-</w:t>
      </w:r>
      <w:r w:rsidR="00700A45" w:rsidRPr="00F876CB">
        <w:rPr>
          <w:rFonts w:asciiTheme="minorHAnsi" w:hAnsiTheme="minorHAnsi" w:cstheme="minorHAnsi"/>
          <w:sz w:val="24"/>
          <w:szCs w:val="24"/>
          <w:lang w:val="en-GB"/>
        </w:rPr>
        <w:t>fired power plants in licensed electr</w:t>
      </w:r>
      <w:r w:rsidR="0017290A">
        <w:rPr>
          <w:rFonts w:asciiTheme="minorHAnsi" w:hAnsiTheme="minorHAnsi" w:cstheme="minorHAnsi"/>
          <w:sz w:val="24"/>
          <w:szCs w:val="24"/>
          <w:lang w:val="en-GB"/>
        </w:rPr>
        <w:t>icity generation in 2018 was 30,88%, it decreased to 19,</w:t>
      </w:r>
      <w:r w:rsidR="00700A45" w:rsidRPr="00F876CB">
        <w:rPr>
          <w:rFonts w:asciiTheme="minorHAnsi" w:hAnsiTheme="minorHAnsi" w:cstheme="minorHAnsi"/>
          <w:sz w:val="24"/>
          <w:szCs w:val="24"/>
          <w:lang w:val="en-GB"/>
        </w:rPr>
        <w:t>21% in 2019, while the share of imported coal plants decreased from</w:t>
      </w:r>
      <w:r w:rsidR="0017290A">
        <w:rPr>
          <w:rFonts w:asciiTheme="minorHAnsi" w:hAnsiTheme="minorHAnsi" w:cstheme="minorHAnsi"/>
          <w:sz w:val="24"/>
          <w:szCs w:val="24"/>
          <w:lang w:val="en-GB"/>
        </w:rPr>
        <w:t xml:space="preserve"> 21,31% to 20,</w:t>
      </w:r>
      <w:r w:rsidR="00700A45" w:rsidRPr="00F876CB">
        <w:rPr>
          <w:rFonts w:asciiTheme="minorHAnsi" w:hAnsiTheme="minorHAnsi" w:cstheme="minorHAnsi"/>
          <w:sz w:val="24"/>
          <w:szCs w:val="24"/>
          <w:lang w:val="en-GB"/>
        </w:rPr>
        <w:t>52%. On the other hand, the share of hydroelectric</w:t>
      </w:r>
      <w:r w:rsidR="0017290A">
        <w:rPr>
          <w:rFonts w:asciiTheme="minorHAnsi" w:hAnsiTheme="minorHAnsi" w:cstheme="minorHAnsi"/>
          <w:sz w:val="24"/>
          <w:szCs w:val="24"/>
          <w:lang w:val="en-GB"/>
        </w:rPr>
        <w:t xml:space="preserve"> power plants increased from 20,28% in 2018 to 30,</w:t>
      </w:r>
      <w:r w:rsidR="00700A45" w:rsidRPr="00F876CB">
        <w:rPr>
          <w:rFonts w:asciiTheme="minorHAnsi" w:hAnsiTheme="minorHAnsi" w:cstheme="minorHAnsi"/>
          <w:sz w:val="24"/>
          <w:szCs w:val="24"/>
          <w:lang w:val="en-GB"/>
        </w:rPr>
        <w:t>20%, the sh</w:t>
      </w:r>
      <w:r w:rsidR="0017290A">
        <w:rPr>
          <w:rFonts w:asciiTheme="minorHAnsi" w:hAnsiTheme="minorHAnsi" w:cstheme="minorHAnsi"/>
          <w:sz w:val="24"/>
          <w:szCs w:val="24"/>
          <w:lang w:val="en-GB"/>
        </w:rPr>
        <w:t>are of wind power plants from 6,73% to 7,</w:t>
      </w:r>
      <w:r w:rsidR="00700A45" w:rsidRPr="00F876CB">
        <w:rPr>
          <w:rFonts w:asciiTheme="minorHAnsi" w:hAnsiTheme="minorHAnsi" w:cstheme="minorHAnsi"/>
          <w:sz w:val="24"/>
          <w:szCs w:val="24"/>
          <w:lang w:val="en-GB"/>
        </w:rPr>
        <w:t>35%, the sh</w:t>
      </w:r>
      <w:r w:rsidR="0017290A">
        <w:rPr>
          <w:rFonts w:asciiTheme="minorHAnsi" w:hAnsiTheme="minorHAnsi" w:cstheme="minorHAnsi"/>
          <w:sz w:val="24"/>
          <w:szCs w:val="24"/>
          <w:lang w:val="en-GB"/>
        </w:rPr>
        <w:t>are of geothermal plants from 2,58% to 3,</w:t>
      </w:r>
      <w:r w:rsidR="00700A45" w:rsidRPr="00F876CB">
        <w:rPr>
          <w:rFonts w:asciiTheme="minorHAnsi" w:hAnsiTheme="minorHAnsi" w:cstheme="minorHAnsi"/>
          <w:sz w:val="24"/>
          <w:szCs w:val="24"/>
          <w:lang w:val="en-GB"/>
        </w:rPr>
        <w:t>03%, The share of domestic coal (lignite, hard coal and asphaltite)</w:t>
      </w:r>
      <w:r w:rsidR="0017290A">
        <w:rPr>
          <w:rFonts w:asciiTheme="minorHAnsi" w:hAnsiTheme="minorHAnsi" w:cstheme="minorHAnsi"/>
          <w:sz w:val="24"/>
          <w:szCs w:val="24"/>
          <w:lang w:val="en-GB"/>
        </w:rPr>
        <w:t xml:space="preserve"> power plants increased from 17,06% to 17,</w:t>
      </w:r>
      <w:r w:rsidR="00700A45" w:rsidRPr="00F876CB">
        <w:rPr>
          <w:rFonts w:asciiTheme="minorHAnsi" w:hAnsiTheme="minorHAnsi" w:cstheme="minorHAnsi"/>
          <w:sz w:val="24"/>
          <w:szCs w:val="24"/>
          <w:lang w:val="en-GB"/>
        </w:rPr>
        <w:t>92%.</w:t>
      </w:r>
    </w:p>
    <w:p w:rsidR="00700A45" w:rsidRPr="00F876CB" w:rsidRDefault="00700A45" w:rsidP="00D232AF">
      <w:pPr>
        <w:spacing w:line="360" w:lineRule="auto"/>
        <w:ind w:firstLine="708"/>
        <w:jc w:val="both"/>
        <w:rPr>
          <w:rFonts w:asciiTheme="minorHAnsi" w:hAnsiTheme="minorHAnsi" w:cstheme="minorHAnsi"/>
          <w:sz w:val="24"/>
          <w:szCs w:val="24"/>
          <w:lang w:val="en-GB"/>
        </w:rPr>
      </w:pPr>
    </w:p>
    <w:p w:rsidR="00D232AF" w:rsidRPr="00F876CB" w:rsidRDefault="00015994" w:rsidP="00E93600">
      <w:pPr>
        <w:pStyle w:val="Balk6"/>
        <w:rPr>
          <w:lang w:val="en-GB"/>
        </w:rPr>
      </w:pPr>
      <w:bookmarkStart w:id="185" w:name="_Ref404349394"/>
      <w:bookmarkStart w:id="186" w:name="_Toc432165730"/>
      <w:bookmarkStart w:id="187" w:name="_Toc450306997"/>
      <w:bookmarkStart w:id="188" w:name="_Toc450307108"/>
      <w:bookmarkStart w:id="189" w:name="_Toc450307914"/>
      <w:bookmarkStart w:id="190" w:name="_Toc44508363"/>
      <w:r w:rsidRPr="00F876CB">
        <w:rPr>
          <w:lang w:val="en-GB"/>
        </w:rPr>
        <w:t>Figure</w:t>
      </w:r>
      <w:r w:rsidR="00D232AF" w:rsidRPr="00F876CB">
        <w:rPr>
          <w:lang w:val="en-GB"/>
        </w:rPr>
        <w:t xml:space="preserve"> </w:t>
      </w:r>
      <w:r w:rsidR="008373FD"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D232AF" w:rsidRPr="00F876CB">
        <w:rPr>
          <w:lang w:val="en-GB"/>
        </w:rPr>
        <w:fldChar w:fldCharType="begin"/>
      </w:r>
      <w:r w:rsidR="00D232AF" w:rsidRPr="00F876CB">
        <w:rPr>
          <w:lang w:val="en-GB"/>
        </w:rPr>
        <w:instrText xml:space="preserve"> SEQ Şekil \* ARABIC \s 1 </w:instrText>
      </w:r>
      <w:r w:rsidR="00D232AF" w:rsidRPr="00F876CB">
        <w:rPr>
          <w:lang w:val="en-GB"/>
        </w:rPr>
        <w:fldChar w:fldCharType="separate"/>
      </w:r>
      <w:r w:rsidR="00301F7B" w:rsidRPr="00F876CB">
        <w:rPr>
          <w:noProof/>
          <w:lang w:val="en-GB"/>
        </w:rPr>
        <w:t>7</w:t>
      </w:r>
      <w:r w:rsidR="00D232AF" w:rsidRPr="00F876CB">
        <w:rPr>
          <w:lang w:val="en-GB"/>
        </w:rPr>
        <w:fldChar w:fldCharType="end"/>
      </w:r>
      <w:bookmarkEnd w:id="185"/>
      <w:r w:rsidR="00D232AF" w:rsidRPr="00F876CB">
        <w:rPr>
          <w:lang w:val="en-GB"/>
        </w:rPr>
        <w:t xml:space="preserve">: </w:t>
      </w:r>
      <w:r w:rsidR="004E59B2" w:rsidRPr="00F876CB">
        <w:rPr>
          <w:lang w:val="en-GB"/>
        </w:rPr>
        <w:t xml:space="preserve">The Distribution of Licensed Electricity Generation by Sources in 2019 </w:t>
      </w:r>
      <w:r w:rsidR="00D232AF" w:rsidRPr="00F876CB">
        <w:rPr>
          <w:lang w:val="en-GB"/>
        </w:rPr>
        <w:t>(%)</w:t>
      </w:r>
      <w:bookmarkEnd w:id="186"/>
      <w:bookmarkEnd w:id="187"/>
      <w:bookmarkEnd w:id="188"/>
      <w:bookmarkEnd w:id="189"/>
      <w:bookmarkEnd w:id="190"/>
    </w:p>
    <w:p w:rsidR="00D232AF" w:rsidRPr="00F876CB" w:rsidRDefault="00A37078" w:rsidP="00D232AF">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214B5ACA">
            <wp:extent cx="5703570" cy="378142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3570" cy="3781425"/>
                    </a:xfrm>
                    <a:prstGeom prst="rect">
                      <a:avLst/>
                    </a:prstGeom>
                    <a:noFill/>
                  </pic:spPr>
                </pic:pic>
              </a:graphicData>
            </a:graphic>
          </wp:inline>
        </w:drawing>
      </w:r>
    </w:p>
    <w:p w:rsidR="004E59B2" w:rsidRPr="003B6D7E" w:rsidRDefault="004E59B2" w:rsidP="001B5309">
      <w:pPr>
        <w:spacing w:line="360" w:lineRule="auto"/>
        <w:jc w:val="both"/>
        <w:rPr>
          <w:rFonts w:asciiTheme="minorHAnsi" w:hAnsiTheme="minorHAnsi" w:cstheme="minorHAnsi"/>
          <w:sz w:val="24"/>
          <w:szCs w:val="24"/>
          <w:lang w:val="en-GB"/>
        </w:rPr>
      </w:pPr>
      <w:r w:rsidRPr="003B6D7E">
        <w:rPr>
          <w:rFonts w:asciiTheme="minorHAnsi" w:hAnsiTheme="minorHAnsi" w:cstheme="minorHAnsi"/>
          <w:sz w:val="24"/>
          <w:szCs w:val="24"/>
          <w:lang w:val="en-GB"/>
        </w:rPr>
        <w:lastRenderedPageBreak/>
        <w:t xml:space="preserve">The development of licensed electricity generation on the basis of resources </w:t>
      </w:r>
      <w:r w:rsidR="001B5309" w:rsidRPr="001B5309">
        <w:rPr>
          <w:rFonts w:asciiTheme="minorHAnsi" w:hAnsiTheme="minorHAnsi" w:cstheme="minorHAnsi"/>
          <w:sz w:val="24"/>
          <w:szCs w:val="24"/>
          <w:lang w:val="en-GB"/>
        </w:rPr>
        <w:t xml:space="preserve">since 1990 is shown in Figure 1.8. </w:t>
      </w:r>
      <w:r w:rsidRPr="003B6D7E">
        <w:rPr>
          <w:rFonts w:asciiTheme="minorHAnsi" w:hAnsiTheme="minorHAnsi" w:cstheme="minorHAnsi"/>
          <w:sz w:val="24"/>
          <w:szCs w:val="24"/>
          <w:lang w:val="en-GB"/>
        </w:rPr>
        <w:t>As can be seen from the figure, the share of renewable energy sources such as geothermal, wind, solar and biomass in electricity generation has increased every year.</w:t>
      </w:r>
    </w:p>
    <w:p w:rsidR="003B6D7E" w:rsidRPr="003B6D7E" w:rsidRDefault="003B6D7E" w:rsidP="003B6D7E">
      <w:pPr>
        <w:rPr>
          <w:lang w:val="en-GB"/>
        </w:rPr>
      </w:pPr>
    </w:p>
    <w:p w:rsidR="00086013" w:rsidRPr="00F876CB" w:rsidRDefault="00015994" w:rsidP="00086013">
      <w:pPr>
        <w:pStyle w:val="Balk6"/>
        <w:rPr>
          <w:lang w:val="en-GB"/>
        </w:rPr>
      </w:pPr>
      <w:bookmarkStart w:id="191" w:name="_Toc44508364"/>
      <w:r w:rsidRPr="00F876CB">
        <w:rPr>
          <w:lang w:val="en-GB"/>
        </w:rPr>
        <w:t>Figure</w:t>
      </w:r>
      <w:r w:rsidR="00086013" w:rsidRPr="00F876CB">
        <w:rPr>
          <w:lang w:val="en-GB"/>
        </w:rPr>
        <w:t xml:space="preserve"> </w:t>
      </w:r>
      <w:r w:rsidR="008373FD" w:rsidRPr="00F876CB">
        <w:rPr>
          <w:lang w:val="en-GB"/>
        </w:rPr>
        <w:t>1</w:t>
      </w:r>
      <w:r w:rsidR="00086013" w:rsidRPr="00F876CB">
        <w:rPr>
          <w:lang w:val="en-GB"/>
        </w:rPr>
        <w:fldChar w:fldCharType="begin"/>
      </w:r>
      <w:r w:rsidR="00086013" w:rsidRPr="00F876CB">
        <w:rPr>
          <w:lang w:val="en-GB"/>
        </w:rPr>
        <w:instrText xml:space="preserve"> STYLEREF 1 \s </w:instrText>
      </w:r>
      <w:r w:rsidR="00086013" w:rsidRPr="00F876CB">
        <w:rPr>
          <w:lang w:val="en-GB"/>
        </w:rPr>
        <w:fldChar w:fldCharType="end"/>
      </w:r>
      <w:r w:rsidR="00086013" w:rsidRPr="00F876CB">
        <w:rPr>
          <w:lang w:val="en-GB"/>
        </w:rPr>
        <w:t xml:space="preserve">.8: </w:t>
      </w:r>
      <w:r w:rsidR="004E59B2" w:rsidRPr="00F876CB">
        <w:rPr>
          <w:lang w:val="en-GB"/>
        </w:rPr>
        <w:t xml:space="preserve">Source-Based Development of Licensed Electricity Generation by Years </w:t>
      </w:r>
      <w:r w:rsidR="00086013" w:rsidRPr="00F876CB">
        <w:rPr>
          <w:lang w:val="en-GB"/>
        </w:rPr>
        <w:t>(GWh)</w:t>
      </w:r>
      <w:bookmarkEnd w:id="191"/>
      <w:r w:rsidR="00086013" w:rsidRPr="00F876CB">
        <w:rPr>
          <w:lang w:val="en-GB"/>
        </w:rPr>
        <w:t xml:space="preserve"> </w:t>
      </w:r>
    </w:p>
    <w:p w:rsidR="00441319" w:rsidRPr="00F876CB" w:rsidRDefault="003B6D7E" w:rsidP="00441319">
      <w:pPr>
        <w:rPr>
          <w:lang w:val="en-GB"/>
        </w:rPr>
      </w:pPr>
      <w:r>
        <w:rPr>
          <w:noProof/>
          <w:lang w:eastAsia="tr-TR" w:bidi="ar-SA"/>
        </w:rPr>
        <w:drawing>
          <wp:inline distT="0" distB="0" distL="0" distR="0" wp14:anchorId="228EC1A9">
            <wp:extent cx="5981700" cy="249555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1700" cy="2495550"/>
                    </a:xfrm>
                    <a:prstGeom prst="rect">
                      <a:avLst/>
                    </a:prstGeom>
                    <a:noFill/>
                  </pic:spPr>
                </pic:pic>
              </a:graphicData>
            </a:graphic>
          </wp:inline>
        </w:drawing>
      </w:r>
    </w:p>
    <w:p w:rsidR="003B6D7E" w:rsidRDefault="003B6D7E" w:rsidP="00842E23">
      <w:pPr>
        <w:pStyle w:val="Balk6"/>
        <w:jc w:val="left"/>
        <w:rPr>
          <w:rFonts w:asciiTheme="minorHAnsi" w:hAnsiTheme="minorHAnsi" w:cstheme="minorHAnsi"/>
          <w:b w:val="0"/>
          <w:spacing w:val="0"/>
          <w:szCs w:val="24"/>
          <w:lang w:val="en-GB"/>
        </w:rPr>
      </w:pPr>
    </w:p>
    <w:p w:rsidR="00842E23" w:rsidRPr="003B6D7E" w:rsidRDefault="003B6D7E" w:rsidP="001B5309">
      <w:pPr>
        <w:spacing w:line="360" w:lineRule="auto"/>
        <w:jc w:val="both"/>
        <w:rPr>
          <w:rFonts w:asciiTheme="minorHAnsi" w:hAnsiTheme="minorHAnsi" w:cstheme="minorHAnsi"/>
          <w:sz w:val="24"/>
          <w:szCs w:val="24"/>
          <w:lang w:val="en-GB"/>
        </w:rPr>
      </w:pPr>
      <w:r w:rsidRPr="003B6D7E">
        <w:rPr>
          <w:rFonts w:asciiTheme="minorHAnsi" w:hAnsiTheme="minorHAnsi" w:cstheme="minorHAnsi"/>
          <w:sz w:val="24"/>
          <w:szCs w:val="24"/>
          <w:lang w:val="en-GB"/>
        </w:rPr>
        <w:t xml:space="preserve">Day-based development of licensed electricity generation in Turkey is shown </w:t>
      </w:r>
      <w:r w:rsidR="00842E23" w:rsidRPr="003B6D7E">
        <w:rPr>
          <w:rFonts w:asciiTheme="minorHAnsi" w:hAnsiTheme="minorHAnsi" w:cstheme="minorHAnsi"/>
          <w:sz w:val="24"/>
          <w:szCs w:val="24"/>
          <w:lang w:val="en-GB"/>
        </w:rPr>
        <w:t>in Figure 1.9. Licensed electricity production was highest in July and lowest in February. When we look at the basis of day, electricity production was the highest on August 1, 2019 and the lowest on June 4, 2019.</w:t>
      </w:r>
    </w:p>
    <w:p w:rsidR="00795827" w:rsidRPr="00F876CB" w:rsidRDefault="00015994" w:rsidP="00795827">
      <w:pPr>
        <w:pStyle w:val="Balk6"/>
        <w:rPr>
          <w:lang w:val="en-GB"/>
        </w:rPr>
      </w:pPr>
      <w:bookmarkStart w:id="192" w:name="_Toc44508365"/>
      <w:r w:rsidRPr="00F876CB">
        <w:rPr>
          <w:lang w:val="en-GB"/>
        </w:rPr>
        <w:t>Figure</w:t>
      </w:r>
      <w:r w:rsidR="00795827" w:rsidRPr="00F876CB">
        <w:rPr>
          <w:lang w:val="en-GB"/>
        </w:rPr>
        <w:t xml:space="preserve"> </w:t>
      </w:r>
      <w:r w:rsidR="008373FD" w:rsidRPr="00F876CB">
        <w:rPr>
          <w:lang w:val="en-GB"/>
        </w:rPr>
        <w:t>1</w:t>
      </w:r>
      <w:r w:rsidR="00795827" w:rsidRPr="00F876CB">
        <w:rPr>
          <w:lang w:val="en-GB"/>
        </w:rPr>
        <w:fldChar w:fldCharType="begin"/>
      </w:r>
      <w:r w:rsidR="00795827" w:rsidRPr="00F876CB">
        <w:rPr>
          <w:lang w:val="en-GB"/>
        </w:rPr>
        <w:instrText xml:space="preserve"> STYLEREF 1 \s </w:instrText>
      </w:r>
      <w:r w:rsidR="00795827" w:rsidRPr="00F876CB">
        <w:rPr>
          <w:lang w:val="en-GB"/>
        </w:rPr>
        <w:fldChar w:fldCharType="end"/>
      </w:r>
      <w:r w:rsidR="00795827" w:rsidRPr="00F876CB">
        <w:rPr>
          <w:lang w:val="en-GB"/>
        </w:rPr>
        <w:t>.</w:t>
      </w:r>
      <w:r w:rsidR="00762B64" w:rsidRPr="00F876CB">
        <w:rPr>
          <w:lang w:val="en-GB"/>
        </w:rPr>
        <w:t>9</w:t>
      </w:r>
      <w:r w:rsidR="00795827" w:rsidRPr="00F876CB">
        <w:rPr>
          <w:lang w:val="en-GB"/>
        </w:rPr>
        <w:t xml:space="preserve">: </w:t>
      </w:r>
      <w:r w:rsidR="00842E23" w:rsidRPr="00F876CB">
        <w:rPr>
          <w:lang w:val="en-GB"/>
        </w:rPr>
        <w:t xml:space="preserve">Daily Licensed Electricity Generation in 2019 </w:t>
      </w:r>
      <w:r w:rsidR="00795827" w:rsidRPr="00F876CB">
        <w:rPr>
          <w:lang w:val="en-GB"/>
        </w:rPr>
        <w:t>(MWh)</w:t>
      </w:r>
      <w:bookmarkEnd w:id="192"/>
    </w:p>
    <w:p w:rsidR="00795827" w:rsidRPr="00F876CB" w:rsidRDefault="00B115AB" w:rsidP="00A541B0">
      <w:pPr>
        <w:spacing w:line="360" w:lineRule="auto"/>
        <w:ind w:firstLine="708"/>
        <w:rPr>
          <w:rFonts w:asciiTheme="minorHAnsi" w:hAnsiTheme="minorHAnsi" w:cstheme="minorHAnsi"/>
          <w:sz w:val="24"/>
          <w:szCs w:val="24"/>
          <w:highlight w:val="yellow"/>
          <w:lang w:val="en-GB"/>
        </w:rPr>
      </w:pPr>
      <w:r w:rsidRPr="00F876CB">
        <w:rPr>
          <w:rFonts w:asciiTheme="minorHAnsi" w:hAnsiTheme="minorHAnsi" w:cstheme="minorHAnsi"/>
          <w:noProof/>
          <w:sz w:val="24"/>
          <w:szCs w:val="24"/>
          <w:lang w:eastAsia="tr-TR" w:bidi="ar-SA"/>
        </w:rPr>
        <w:drawing>
          <wp:inline distT="0" distB="0" distL="0" distR="0" wp14:anchorId="3960CD0D" wp14:editId="6C7163BC">
            <wp:extent cx="5760720" cy="2781300"/>
            <wp:effectExtent l="0" t="0" r="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2781300"/>
                    </a:xfrm>
                    <a:prstGeom prst="rect">
                      <a:avLst/>
                    </a:prstGeom>
                  </pic:spPr>
                </pic:pic>
              </a:graphicData>
            </a:graphic>
          </wp:inline>
        </w:drawing>
      </w:r>
    </w:p>
    <w:p w:rsidR="00B115AB" w:rsidRPr="003B6D7E" w:rsidRDefault="001B5309" w:rsidP="001B5309">
      <w:pPr>
        <w:spacing w:line="360" w:lineRule="auto"/>
        <w:jc w:val="both"/>
        <w:rPr>
          <w:rFonts w:asciiTheme="minorHAnsi" w:hAnsiTheme="minorHAnsi" w:cstheme="minorHAnsi"/>
          <w:sz w:val="24"/>
          <w:szCs w:val="24"/>
          <w:lang w:val="en-GB"/>
        </w:rPr>
      </w:pPr>
      <w:r w:rsidRPr="001B5309">
        <w:rPr>
          <w:rFonts w:asciiTheme="minorHAnsi" w:hAnsiTheme="minorHAnsi" w:cstheme="minorHAnsi"/>
          <w:sz w:val="24"/>
          <w:szCs w:val="24"/>
          <w:lang w:val="en-GB"/>
        </w:rPr>
        <w:lastRenderedPageBreak/>
        <w:t>Hour-based licensed elec</w:t>
      </w:r>
      <w:r w:rsidR="00D2266C">
        <w:rPr>
          <w:rFonts w:asciiTheme="minorHAnsi" w:hAnsiTheme="minorHAnsi" w:cstheme="minorHAnsi"/>
          <w:sz w:val="24"/>
          <w:szCs w:val="24"/>
          <w:lang w:val="en-GB"/>
        </w:rPr>
        <w:t xml:space="preserve">tricity generation in Turkey is </w:t>
      </w:r>
      <w:r w:rsidRPr="001B5309">
        <w:rPr>
          <w:rFonts w:asciiTheme="minorHAnsi" w:hAnsiTheme="minorHAnsi" w:cstheme="minorHAnsi"/>
          <w:sz w:val="24"/>
          <w:szCs w:val="24"/>
          <w:lang w:val="en-GB"/>
        </w:rPr>
        <w:t xml:space="preserve">shown at Figure 1.10. </w:t>
      </w:r>
      <w:r w:rsidR="00B115AB" w:rsidRPr="003B6D7E">
        <w:rPr>
          <w:rFonts w:asciiTheme="minorHAnsi" w:hAnsiTheme="minorHAnsi" w:cstheme="minorHAnsi"/>
          <w:sz w:val="24"/>
          <w:szCs w:val="24"/>
          <w:lang w:val="en-GB"/>
        </w:rPr>
        <w:t>Licensed electricity generation occurred in the highest 20:00 time zone and the lowest in the 06:00 time zone.</w:t>
      </w:r>
    </w:p>
    <w:p w:rsidR="002D1D85" w:rsidRPr="00F876CB" w:rsidRDefault="00015994" w:rsidP="002D1D85">
      <w:pPr>
        <w:pStyle w:val="Balk6"/>
        <w:rPr>
          <w:lang w:val="en-GB"/>
        </w:rPr>
      </w:pPr>
      <w:bookmarkStart w:id="193" w:name="_Toc44508366"/>
      <w:r w:rsidRPr="00F876CB">
        <w:rPr>
          <w:lang w:val="en-GB"/>
        </w:rPr>
        <w:t>Figure</w:t>
      </w:r>
      <w:r w:rsidR="002D1D85" w:rsidRPr="00F876CB">
        <w:rPr>
          <w:lang w:val="en-GB"/>
        </w:rPr>
        <w:t xml:space="preserve"> </w:t>
      </w:r>
      <w:r w:rsidR="008373FD" w:rsidRPr="00F876CB">
        <w:rPr>
          <w:lang w:val="en-GB"/>
        </w:rPr>
        <w:t>1</w:t>
      </w:r>
      <w:r w:rsidR="002D1D85" w:rsidRPr="00F876CB">
        <w:rPr>
          <w:lang w:val="en-GB"/>
        </w:rPr>
        <w:fldChar w:fldCharType="begin"/>
      </w:r>
      <w:r w:rsidR="002D1D85" w:rsidRPr="00F876CB">
        <w:rPr>
          <w:lang w:val="en-GB"/>
        </w:rPr>
        <w:instrText xml:space="preserve"> STYLEREF 1 \s </w:instrText>
      </w:r>
      <w:r w:rsidR="002D1D85" w:rsidRPr="00F876CB">
        <w:rPr>
          <w:lang w:val="en-GB"/>
        </w:rPr>
        <w:fldChar w:fldCharType="end"/>
      </w:r>
      <w:r w:rsidR="002D1D85" w:rsidRPr="00F876CB">
        <w:rPr>
          <w:lang w:val="en-GB"/>
        </w:rPr>
        <w:t>.</w:t>
      </w:r>
      <w:r w:rsidR="00762B64" w:rsidRPr="00F876CB">
        <w:rPr>
          <w:lang w:val="en-GB"/>
        </w:rPr>
        <w:t>10</w:t>
      </w:r>
      <w:r w:rsidR="002D1D85" w:rsidRPr="00F876CB">
        <w:rPr>
          <w:lang w:val="en-GB"/>
        </w:rPr>
        <w:t xml:space="preserve">: </w:t>
      </w:r>
      <w:r w:rsidR="002011B5" w:rsidRPr="00F876CB">
        <w:rPr>
          <w:lang w:val="en-GB"/>
        </w:rPr>
        <w:t xml:space="preserve">Hour-Based Electricity Generation in 2019 </w:t>
      </w:r>
      <w:r w:rsidR="002D1D85" w:rsidRPr="00F876CB">
        <w:rPr>
          <w:lang w:val="en-GB"/>
        </w:rPr>
        <w:t>(MWh)</w:t>
      </w:r>
      <w:bookmarkEnd w:id="193"/>
    </w:p>
    <w:p w:rsidR="00795827" w:rsidRPr="00F876CB" w:rsidRDefault="002011B5" w:rsidP="00D232AF">
      <w:pPr>
        <w:spacing w:line="360" w:lineRule="auto"/>
        <w:ind w:firstLine="708"/>
        <w:jc w:val="both"/>
        <w:rPr>
          <w:rFonts w:asciiTheme="minorHAnsi" w:hAnsiTheme="minorHAnsi" w:cstheme="minorHAnsi"/>
          <w:sz w:val="24"/>
          <w:szCs w:val="24"/>
          <w:lang w:val="en-GB"/>
        </w:rPr>
      </w:pPr>
      <w:r w:rsidRPr="00F876CB">
        <w:rPr>
          <w:rFonts w:asciiTheme="minorHAnsi" w:hAnsiTheme="minorHAnsi" w:cstheme="minorHAnsi"/>
          <w:noProof/>
          <w:sz w:val="24"/>
          <w:szCs w:val="24"/>
          <w:lang w:eastAsia="tr-TR" w:bidi="ar-SA"/>
        </w:rPr>
        <w:drawing>
          <wp:inline distT="0" distB="0" distL="0" distR="0" wp14:anchorId="35406F46" wp14:editId="625EB483">
            <wp:extent cx="5760720" cy="3138805"/>
            <wp:effectExtent l="0" t="0" r="0" b="444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3138805"/>
                    </a:xfrm>
                    <a:prstGeom prst="rect">
                      <a:avLst/>
                    </a:prstGeom>
                  </pic:spPr>
                </pic:pic>
              </a:graphicData>
            </a:graphic>
          </wp:inline>
        </w:drawing>
      </w:r>
    </w:p>
    <w:p w:rsidR="006C63B9" w:rsidRPr="003B6D7E" w:rsidRDefault="009475FB" w:rsidP="009475FB">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t>The d</w:t>
      </w:r>
      <w:r w:rsidR="006C63B9" w:rsidRPr="003B6D7E">
        <w:rPr>
          <w:rFonts w:asciiTheme="minorHAnsi" w:hAnsiTheme="minorHAnsi" w:cstheme="minorHAnsi"/>
          <w:sz w:val="24"/>
          <w:szCs w:val="24"/>
          <w:lang w:val="en-GB"/>
        </w:rPr>
        <w:t xml:space="preserve">istribution of licensed electricity generation by province is shown in Table 1.2. In 2019, the highest electricity production was realized in </w:t>
      </w:r>
      <w:proofErr w:type="spellStart"/>
      <w:r w:rsidR="006C63B9" w:rsidRPr="003B6D7E">
        <w:rPr>
          <w:rFonts w:asciiTheme="minorHAnsi" w:hAnsiTheme="minorHAnsi" w:cstheme="minorHAnsi"/>
          <w:sz w:val="24"/>
          <w:szCs w:val="24"/>
          <w:lang w:val="en-GB"/>
        </w:rPr>
        <w:t>Çanakkale</w:t>
      </w:r>
      <w:proofErr w:type="spellEnd"/>
      <w:r w:rsidR="006C63B9" w:rsidRPr="003B6D7E">
        <w:rPr>
          <w:rFonts w:asciiTheme="minorHAnsi" w:hAnsiTheme="minorHAnsi" w:cstheme="minorHAnsi"/>
          <w:sz w:val="24"/>
          <w:szCs w:val="24"/>
          <w:lang w:val="en-GB"/>
        </w:rPr>
        <w:t xml:space="preserve">, </w:t>
      </w:r>
      <w:proofErr w:type="spellStart"/>
      <w:r w:rsidR="006C63B9" w:rsidRPr="003B6D7E">
        <w:rPr>
          <w:rFonts w:asciiTheme="minorHAnsi" w:hAnsiTheme="minorHAnsi" w:cstheme="minorHAnsi"/>
          <w:sz w:val="24"/>
          <w:szCs w:val="24"/>
          <w:lang w:val="en-GB"/>
        </w:rPr>
        <w:t>Zonguldak</w:t>
      </w:r>
      <w:proofErr w:type="spellEnd"/>
      <w:r w:rsidR="006C63B9" w:rsidRPr="003B6D7E">
        <w:rPr>
          <w:rFonts w:asciiTheme="minorHAnsi" w:hAnsiTheme="minorHAnsi" w:cstheme="minorHAnsi"/>
          <w:sz w:val="24"/>
          <w:szCs w:val="24"/>
          <w:lang w:val="en-GB"/>
        </w:rPr>
        <w:t xml:space="preserve">, Adana, </w:t>
      </w:r>
      <w:proofErr w:type="spellStart"/>
      <w:r w:rsidR="006C63B9" w:rsidRPr="003B6D7E">
        <w:rPr>
          <w:rFonts w:asciiTheme="minorHAnsi" w:hAnsiTheme="minorHAnsi" w:cstheme="minorHAnsi"/>
          <w:sz w:val="24"/>
          <w:szCs w:val="24"/>
          <w:lang w:val="en-GB"/>
        </w:rPr>
        <w:t>Hatay</w:t>
      </w:r>
      <w:proofErr w:type="spellEnd"/>
      <w:r w:rsidR="006C63B9" w:rsidRPr="003B6D7E">
        <w:rPr>
          <w:rFonts w:asciiTheme="minorHAnsi" w:hAnsiTheme="minorHAnsi" w:cstheme="minorHAnsi"/>
          <w:sz w:val="24"/>
          <w:szCs w:val="24"/>
          <w:lang w:val="en-GB"/>
        </w:rPr>
        <w:t xml:space="preserve">, İzmir and </w:t>
      </w:r>
      <w:proofErr w:type="spellStart"/>
      <w:r w:rsidR="006C63B9" w:rsidRPr="003B6D7E">
        <w:rPr>
          <w:rFonts w:asciiTheme="minorHAnsi" w:hAnsiTheme="minorHAnsi" w:cstheme="minorHAnsi"/>
          <w:sz w:val="24"/>
          <w:szCs w:val="24"/>
          <w:lang w:val="en-GB"/>
        </w:rPr>
        <w:t>Muğla</w:t>
      </w:r>
      <w:proofErr w:type="spellEnd"/>
      <w:r>
        <w:rPr>
          <w:rFonts w:asciiTheme="minorHAnsi" w:hAnsiTheme="minorHAnsi" w:cstheme="minorHAnsi"/>
          <w:sz w:val="24"/>
          <w:szCs w:val="24"/>
          <w:lang w:val="en-GB"/>
        </w:rPr>
        <w:t xml:space="preserve"> provinces</w:t>
      </w:r>
      <w:r w:rsidR="006C63B9" w:rsidRPr="003B6D7E">
        <w:rPr>
          <w:rFonts w:asciiTheme="minorHAnsi" w:hAnsiTheme="minorHAnsi" w:cstheme="minorHAnsi"/>
          <w:sz w:val="24"/>
          <w:szCs w:val="24"/>
          <w:lang w:val="en-GB"/>
        </w:rPr>
        <w:t xml:space="preserve">, the lowest electricity production was in </w:t>
      </w:r>
      <w:proofErr w:type="spellStart"/>
      <w:r w:rsidR="006C63B9" w:rsidRPr="003B6D7E">
        <w:rPr>
          <w:rFonts w:asciiTheme="minorHAnsi" w:hAnsiTheme="minorHAnsi" w:cstheme="minorHAnsi"/>
          <w:sz w:val="24"/>
          <w:szCs w:val="24"/>
          <w:lang w:val="en-GB"/>
        </w:rPr>
        <w:t>Çankırı</w:t>
      </w:r>
      <w:proofErr w:type="spellEnd"/>
      <w:r w:rsidR="006C63B9" w:rsidRPr="003B6D7E">
        <w:rPr>
          <w:rFonts w:asciiTheme="minorHAnsi" w:hAnsiTheme="minorHAnsi" w:cstheme="minorHAnsi"/>
          <w:sz w:val="24"/>
          <w:szCs w:val="24"/>
          <w:lang w:val="en-GB"/>
        </w:rPr>
        <w:t xml:space="preserve">, </w:t>
      </w:r>
      <w:proofErr w:type="spellStart"/>
      <w:r w:rsidR="006C63B9" w:rsidRPr="003B6D7E">
        <w:rPr>
          <w:rFonts w:asciiTheme="minorHAnsi" w:hAnsiTheme="minorHAnsi" w:cstheme="minorHAnsi"/>
          <w:sz w:val="24"/>
          <w:szCs w:val="24"/>
          <w:lang w:val="en-GB"/>
        </w:rPr>
        <w:t>Niğde</w:t>
      </w:r>
      <w:proofErr w:type="spellEnd"/>
      <w:r w:rsidR="006C63B9" w:rsidRPr="003B6D7E">
        <w:rPr>
          <w:rFonts w:asciiTheme="minorHAnsi" w:hAnsiTheme="minorHAnsi" w:cstheme="minorHAnsi"/>
          <w:sz w:val="24"/>
          <w:szCs w:val="24"/>
          <w:lang w:val="en-GB"/>
        </w:rPr>
        <w:t xml:space="preserve">, </w:t>
      </w:r>
      <w:proofErr w:type="spellStart"/>
      <w:r w:rsidR="006C63B9" w:rsidRPr="003B6D7E">
        <w:rPr>
          <w:rFonts w:asciiTheme="minorHAnsi" w:hAnsiTheme="minorHAnsi" w:cstheme="minorHAnsi"/>
          <w:sz w:val="24"/>
          <w:szCs w:val="24"/>
          <w:lang w:val="en-GB"/>
        </w:rPr>
        <w:t>Bartın</w:t>
      </w:r>
      <w:proofErr w:type="spellEnd"/>
      <w:r w:rsidR="006C63B9" w:rsidRPr="003B6D7E">
        <w:rPr>
          <w:rFonts w:asciiTheme="minorHAnsi" w:hAnsiTheme="minorHAnsi" w:cstheme="minorHAnsi"/>
          <w:sz w:val="24"/>
          <w:szCs w:val="24"/>
          <w:lang w:val="en-GB"/>
        </w:rPr>
        <w:t xml:space="preserve">, </w:t>
      </w:r>
      <w:proofErr w:type="spellStart"/>
      <w:r w:rsidR="006C63B9" w:rsidRPr="003B6D7E">
        <w:rPr>
          <w:rFonts w:asciiTheme="minorHAnsi" w:hAnsiTheme="minorHAnsi" w:cstheme="minorHAnsi"/>
          <w:sz w:val="24"/>
          <w:szCs w:val="24"/>
          <w:lang w:val="en-GB"/>
        </w:rPr>
        <w:t>Aksaray</w:t>
      </w:r>
      <w:proofErr w:type="spellEnd"/>
      <w:r w:rsidR="006C63B9" w:rsidRPr="003B6D7E">
        <w:rPr>
          <w:rFonts w:asciiTheme="minorHAnsi" w:hAnsiTheme="minorHAnsi" w:cstheme="minorHAnsi"/>
          <w:sz w:val="24"/>
          <w:szCs w:val="24"/>
          <w:lang w:val="en-GB"/>
        </w:rPr>
        <w:t xml:space="preserve">, </w:t>
      </w:r>
      <w:proofErr w:type="spellStart"/>
      <w:r w:rsidR="006C63B9" w:rsidRPr="003B6D7E">
        <w:rPr>
          <w:rFonts w:asciiTheme="minorHAnsi" w:hAnsiTheme="minorHAnsi" w:cstheme="minorHAnsi"/>
          <w:sz w:val="24"/>
          <w:szCs w:val="24"/>
          <w:lang w:val="en-GB"/>
        </w:rPr>
        <w:t>Iğdır</w:t>
      </w:r>
      <w:proofErr w:type="spellEnd"/>
      <w:r w:rsidR="006C63B9" w:rsidRPr="003B6D7E">
        <w:rPr>
          <w:rFonts w:asciiTheme="minorHAnsi" w:hAnsiTheme="minorHAnsi" w:cstheme="minorHAnsi"/>
          <w:sz w:val="24"/>
          <w:szCs w:val="24"/>
          <w:lang w:val="en-GB"/>
        </w:rPr>
        <w:t xml:space="preserve"> and </w:t>
      </w:r>
      <w:proofErr w:type="spellStart"/>
      <w:r w:rsidR="006C63B9" w:rsidRPr="003B6D7E">
        <w:rPr>
          <w:rFonts w:asciiTheme="minorHAnsi" w:hAnsiTheme="minorHAnsi" w:cstheme="minorHAnsi"/>
          <w:sz w:val="24"/>
          <w:szCs w:val="24"/>
          <w:lang w:val="en-GB"/>
        </w:rPr>
        <w:t>Mardin</w:t>
      </w:r>
      <w:proofErr w:type="spellEnd"/>
      <w:r w:rsidR="006C63B9" w:rsidRPr="003B6D7E">
        <w:rPr>
          <w:rFonts w:asciiTheme="minorHAnsi" w:hAnsiTheme="minorHAnsi" w:cstheme="minorHAnsi"/>
          <w:sz w:val="24"/>
          <w:szCs w:val="24"/>
          <w:lang w:val="en-GB"/>
        </w:rPr>
        <w:t xml:space="preserve"> provinces</w:t>
      </w:r>
      <w:r w:rsidRPr="009475FB">
        <w:t xml:space="preserve"> </w:t>
      </w:r>
      <w:proofErr w:type="gramStart"/>
      <w:r w:rsidRPr="009475FB">
        <w:rPr>
          <w:rFonts w:asciiTheme="minorHAnsi" w:hAnsiTheme="minorHAnsi" w:cstheme="minorHAnsi"/>
          <w:sz w:val="24"/>
          <w:szCs w:val="24"/>
          <w:lang w:val="en-GB"/>
        </w:rPr>
        <w:t>respectively</w:t>
      </w:r>
      <w:r>
        <w:rPr>
          <w:rFonts w:asciiTheme="minorHAnsi" w:hAnsiTheme="minorHAnsi" w:cstheme="minorHAnsi"/>
          <w:sz w:val="24"/>
          <w:szCs w:val="24"/>
          <w:lang w:val="en-GB"/>
        </w:rPr>
        <w:t xml:space="preserve"> </w:t>
      </w:r>
      <w:r w:rsidR="006C63B9" w:rsidRPr="003B6D7E">
        <w:rPr>
          <w:rFonts w:asciiTheme="minorHAnsi" w:hAnsiTheme="minorHAnsi" w:cstheme="minorHAnsi"/>
          <w:sz w:val="24"/>
          <w:szCs w:val="24"/>
          <w:lang w:val="en-GB"/>
        </w:rPr>
        <w:t>.</w:t>
      </w:r>
      <w:proofErr w:type="gramEnd"/>
    </w:p>
    <w:p w:rsidR="00251B6C" w:rsidRPr="00F876CB" w:rsidRDefault="00015994" w:rsidP="00251B6C">
      <w:pPr>
        <w:pStyle w:val="Balk5"/>
        <w:rPr>
          <w:lang w:val="en-GB"/>
        </w:rPr>
      </w:pPr>
      <w:bookmarkStart w:id="194" w:name="_Toc44508318"/>
      <w:r w:rsidRPr="00F876CB">
        <w:rPr>
          <w:lang w:val="en-GB"/>
        </w:rPr>
        <w:t>Table</w:t>
      </w:r>
      <w:r w:rsidR="00251B6C" w:rsidRPr="00F876CB">
        <w:rPr>
          <w:lang w:val="en-GB"/>
        </w:rPr>
        <w:t xml:space="preserve"> </w:t>
      </w:r>
      <w:r w:rsidR="008373FD" w:rsidRPr="00F876CB">
        <w:rPr>
          <w:lang w:val="en-GB"/>
        </w:rPr>
        <w:t>1</w:t>
      </w:r>
      <w:r w:rsidR="00251B6C" w:rsidRPr="00F876CB">
        <w:rPr>
          <w:lang w:val="en-GB"/>
        </w:rPr>
        <w:fldChar w:fldCharType="begin"/>
      </w:r>
      <w:r w:rsidR="00251B6C" w:rsidRPr="00F876CB">
        <w:rPr>
          <w:lang w:val="en-GB"/>
        </w:rPr>
        <w:instrText xml:space="preserve"> STYLEREF 1 \s </w:instrText>
      </w:r>
      <w:r w:rsidR="00251B6C" w:rsidRPr="00F876CB">
        <w:rPr>
          <w:lang w:val="en-GB"/>
        </w:rPr>
        <w:fldChar w:fldCharType="end"/>
      </w:r>
      <w:r w:rsidR="00251B6C" w:rsidRPr="00F876CB">
        <w:rPr>
          <w:lang w:val="en-GB"/>
        </w:rPr>
        <w:t>.</w:t>
      </w:r>
      <w:r w:rsidR="008A5016" w:rsidRPr="00F876CB">
        <w:rPr>
          <w:lang w:val="en-GB"/>
        </w:rPr>
        <w:t>2</w:t>
      </w:r>
      <w:r w:rsidR="00251B6C" w:rsidRPr="00F876CB">
        <w:rPr>
          <w:lang w:val="en-GB"/>
        </w:rPr>
        <w:t xml:space="preserve">: </w:t>
      </w:r>
      <w:r w:rsidR="00E72B0A" w:rsidRPr="00F876CB">
        <w:rPr>
          <w:lang w:val="en-GB"/>
        </w:rPr>
        <w:t xml:space="preserve">Distribution of Licensed </w:t>
      </w:r>
      <w:proofErr w:type="spellStart"/>
      <w:r w:rsidR="00E72B0A" w:rsidRPr="00F876CB">
        <w:rPr>
          <w:lang w:val="en-GB"/>
        </w:rPr>
        <w:t>Electricty</w:t>
      </w:r>
      <w:proofErr w:type="spellEnd"/>
      <w:r w:rsidR="00E72B0A" w:rsidRPr="00F876CB">
        <w:rPr>
          <w:lang w:val="en-GB"/>
        </w:rPr>
        <w:t xml:space="preserve"> Generation by </w:t>
      </w:r>
      <w:proofErr w:type="gramStart"/>
      <w:r w:rsidR="00E72B0A" w:rsidRPr="00F876CB">
        <w:rPr>
          <w:lang w:val="en-GB"/>
        </w:rPr>
        <w:t>Provinces</w:t>
      </w:r>
      <w:r w:rsidR="00251B6C" w:rsidRPr="00F876CB">
        <w:rPr>
          <w:lang w:val="en-GB"/>
        </w:rPr>
        <w:t>(</w:t>
      </w:r>
      <w:proofErr w:type="gramEnd"/>
      <w:r w:rsidR="00251B6C" w:rsidRPr="00F876CB">
        <w:rPr>
          <w:lang w:val="en-GB"/>
        </w:rPr>
        <w:t>MWh-%)</w:t>
      </w:r>
      <w:bookmarkEnd w:id="194"/>
    </w:p>
    <w:tbl>
      <w:tblPr>
        <w:tblW w:w="9061" w:type="dxa"/>
        <w:tblCellMar>
          <w:left w:w="70" w:type="dxa"/>
          <w:right w:w="70" w:type="dxa"/>
        </w:tblCellMar>
        <w:tblLook w:val="04A0" w:firstRow="1" w:lastRow="0" w:firstColumn="1" w:lastColumn="0" w:noHBand="0" w:noVBand="1"/>
      </w:tblPr>
      <w:tblGrid>
        <w:gridCol w:w="1980"/>
        <w:gridCol w:w="1740"/>
        <w:gridCol w:w="960"/>
        <w:gridCol w:w="1900"/>
        <w:gridCol w:w="1541"/>
        <w:gridCol w:w="940"/>
      </w:tblGrid>
      <w:tr w:rsidR="00E72B0A" w:rsidRPr="00F876CB" w:rsidTr="003B6D7E">
        <w:trPr>
          <w:trHeight w:val="300"/>
          <w:tblHeader/>
        </w:trPr>
        <w:tc>
          <w:tcPr>
            <w:tcW w:w="19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PROVINCE</w:t>
            </w:r>
          </w:p>
        </w:tc>
        <w:tc>
          <w:tcPr>
            <w:tcW w:w="1740" w:type="dxa"/>
            <w:tcBorders>
              <w:top w:val="single" w:sz="8" w:space="0" w:color="auto"/>
              <w:left w:val="nil"/>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Generation</w:t>
            </w:r>
            <w:r w:rsidR="00E72B0A" w:rsidRPr="00F876CB">
              <w:rPr>
                <w:rFonts w:ascii="Calibri" w:eastAsia="Times New Roman" w:hAnsi="Calibri" w:cs="Calibri"/>
                <w:b/>
                <w:bCs/>
                <w:color w:val="FFFFFF"/>
                <w:lang w:val="en-GB" w:eastAsia="tr-TR" w:bidi="ar-SA"/>
              </w:rPr>
              <w:t xml:space="preserve">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E72B0A" w:rsidRPr="00F876CB">
              <w:rPr>
                <w:rFonts w:ascii="Calibri" w:eastAsia="Times New Roman" w:hAnsi="Calibri" w:cs="Calibri"/>
                <w:b/>
                <w:bCs/>
                <w:color w:val="FFFFFF"/>
                <w:lang w:val="en-GB" w:eastAsia="tr-TR" w:bidi="ar-SA"/>
              </w:rPr>
              <w:t xml:space="preserve"> (%)</w:t>
            </w:r>
          </w:p>
        </w:tc>
        <w:tc>
          <w:tcPr>
            <w:tcW w:w="1900" w:type="dxa"/>
            <w:tcBorders>
              <w:top w:val="single" w:sz="8" w:space="0" w:color="auto"/>
              <w:left w:val="nil"/>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PROVINCE</w:t>
            </w:r>
          </w:p>
        </w:tc>
        <w:tc>
          <w:tcPr>
            <w:tcW w:w="1541" w:type="dxa"/>
            <w:tcBorders>
              <w:top w:val="single" w:sz="8" w:space="0" w:color="auto"/>
              <w:left w:val="nil"/>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Generation</w:t>
            </w:r>
            <w:r w:rsidR="00E72B0A" w:rsidRPr="00F876CB">
              <w:rPr>
                <w:rFonts w:ascii="Calibri" w:eastAsia="Times New Roman" w:hAnsi="Calibri" w:cs="Calibri"/>
                <w:b/>
                <w:bCs/>
                <w:color w:val="FFFFFF"/>
                <w:lang w:val="en-GB" w:eastAsia="tr-TR" w:bidi="ar-SA"/>
              </w:rPr>
              <w:t xml:space="preserve"> (MWh)</w:t>
            </w:r>
          </w:p>
        </w:tc>
        <w:tc>
          <w:tcPr>
            <w:tcW w:w="940" w:type="dxa"/>
            <w:tcBorders>
              <w:top w:val="single" w:sz="8" w:space="0" w:color="auto"/>
              <w:left w:val="nil"/>
              <w:bottom w:val="single" w:sz="8" w:space="0" w:color="auto"/>
              <w:right w:val="single" w:sz="8" w:space="0" w:color="auto"/>
            </w:tcBorders>
            <w:shd w:val="clear" w:color="000000" w:fill="FF0000"/>
            <w:noWrap/>
            <w:vAlign w:val="center"/>
            <w:hideMark/>
          </w:tcPr>
          <w:p w:rsidR="00E72B0A" w:rsidRPr="00F876CB" w:rsidRDefault="00C103AC"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E72B0A" w:rsidRPr="00F876CB">
              <w:rPr>
                <w:rFonts w:ascii="Calibri" w:eastAsia="Times New Roman" w:hAnsi="Calibri" w:cs="Calibri"/>
                <w:b/>
                <w:bCs/>
                <w:color w:val="FFFFFF"/>
                <w:lang w:val="en-GB" w:eastAsia="tr-TR" w:bidi="ar-SA"/>
              </w:rPr>
              <w:t xml:space="preserve"> (%)</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ÇANAKKALE</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26.276.480,43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ERZURUM</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1.129.280,44</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ZONGULDAK</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21.765.735,48</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7,40</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1.112.545,49</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ADANA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17.528.487,17</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5,96</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987.552,11</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0,34</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HATAY</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13.619.870,93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RİZE</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947.324,81</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İZMİR</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13.253.332,04</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4,50</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935.087,59</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MUĞLA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12.268.248,10</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4,17</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888.531,73</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MANİSA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11.978.433,23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4,07</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883.577,55</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ŞANLIURFA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11.278.452,57</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809.562,03</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ELAZIĞ</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10.398.271,93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799.602,23</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KAHRAMANMARAŞ</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10.024.163,98</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3,41</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789.658,95</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BALIKESİR</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9.279.597,04</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774.535,05</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0,26</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ANKARA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9.084.115,16</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3,09</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685.864,28</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0,23</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DİYARBAKIR</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8.906.176,87</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661.169,00</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BURSA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7.322.483,15</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2,49</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653.271,62</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7.198.655,21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536.323,08</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KIRIKKALE</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6.598.889,23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2,24</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536.299,92</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AYDIN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6.166.954,56</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2,10</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506.932,89</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SAMSUN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6.163.576,39</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2,09</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503.812,67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KÜTAHYA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6.039.178,51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462.606,04</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0,16</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DENİZLİ</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5.329.725,78</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338.646,68</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ARTVİN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4.986.400,50</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1,69</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333.817,07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0,11</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ANTALYA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4.772.134,21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286.083,87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MERSİN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4.289.587,79</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254.153,96</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OSMANİYE</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4.255.404,14</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236.709,26</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SİVAS</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4.207.986,71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222.680,77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0,08</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KOCAELİ</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3.975.359,80</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199.720,16</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KIRKLARELİ</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3.845.439,27</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1,31</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194.799,63</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BİNGÖL</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2.713.885,57</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0,92</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173.251,27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KARAMAN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2.623.987,33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0,89</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HAKKARİ</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150.308,05</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TOKAT</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2.442.341,28</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0,83</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130.403,54</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BOLU</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2.383.624,61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0,81</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104.810,16</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ŞIRNAK</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2.362.640,30</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0,80</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104.176,02</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2.094.517,11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0,71</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84.078,63</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GİRESUN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2.049.159,36</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0,70</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70.955,00</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TEKİRDAĞ</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1.915.105,86</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0,65</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62.818,71</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1.660.500,83</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0,56</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53.894,77</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GÜMÜŞHANE</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1.526.451,84</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0,52</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28.507,76</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ORDU</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1.350.859,52</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0,46</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20.780,00</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TRABZON</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1.345.476,09</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0,46</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15.299,24</w:t>
            </w:r>
          </w:p>
        </w:tc>
        <w:tc>
          <w:tcPr>
            <w:tcW w:w="9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E72B0A" w:rsidRPr="00F876CB" w:rsidTr="004D5DDD">
        <w:trPr>
          <w:trHeight w:val="300"/>
        </w:trPr>
        <w:tc>
          <w:tcPr>
            <w:tcW w:w="1980" w:type="dxa"/>
            <w:tcBorders>
              <w:top w:val="nil"/>
              <w:left w:val="single" w:sz="8" w:space="0" w:color="auto"/>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SİİRT</w:t>
            </w:r>
          </w:p>
        </w:tc>
        <w:tc>
          <w:tcPr>
            <w:tcW w:w="174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1.300.196,71</w:t>
            </w:r>
          </w:p>
        </w:tc>
        <w:tc>
          <w:tcPr>
            <w:tcW w:w="960" w:type="dxa"/>
            <w:tcBorders>
              <w:top w:val="nil"/>
              <w:left w:val="nil"/>
              <w:bottom w:val="single" w:sz="8" w:space="0" w:color="auto"/>
              <w:right w:val="single" w:sz="8" w:space="0" w:color="auto"/>
            </w:tcBorders>
            <w:shd w:val="clear" w:color="auto" w:fill="auto"/>
            <w:noWrap/>
            <w:vAlign w:val="center"/>
            <w:hideMark/>
          </w:tcPr>
          <w:p w:rsidR="00E72B0A" w:rsidRPr="00F876CB" w:rsidRDefault="00E72B0A" w:rsidP="00E72B0A">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0,44</w:t>
            </w:r>
          </w:p>
        </w:tc>
        <w:tc>
          <w:tcPr>
            <w:tcW w:w="190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w:t>
            </w:r>
            <w:r w:rsidR="004E2E7A" w:rsidRPr="00F876CB">
              <w:rPr>
                <w:rFonts w:ascii="Calibri" w:eastAsia="Times New Roman" w:hAnsi="Calibri" w:cs="Calibri"/>
                <w:b/>
                <w:bCs/>
                <w:color w:val="FFFFFF"/>
                <w:lang w:val="en-GB" w:eastAsia="tr-TR" w:bidi="ar-SA"/>
              </w:rPr>
              <w:t>rand Total</w:t>
            </w:r>
          </w:p>
        </w:tc>
        <w:tc>
          <w:tcPr>
            <w:tcW w:w="1541"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294.251.318,65</w:t>
            </w:r>
          </w:p>
        </w:tc>
        <w:tc>
          <w:tcPr>
            <w:tcW w:w="940" w:type="dxa"/>
            <w:tcBorders>
              <w:top w:val="nil"/>
              <w:left w:val="nil"/>
              <w:bottom w:val="single" w:sz="8" w:space="0" w:color="auto"/>
              <w:right w:val="single" w:sz="8" w:space="0" w:color="auto"/>
            </w:tcBorders>
            <w:shd w:val="clear" w:color="000000" w:fill="FF5050"/>
            <w:noWrap/>
            <w:vAlign w:val="center"/>
            <w:hideMark/>
          </w:tcPr>
          <w:p w:rsidR="00E72B0A" w:rsidRPr="00F876CB" w:rsidRDefault="00E72B0A" w:rsidP="00E72B0A">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r>
    </w:tbl>
    <w:p w:rsidR="004D5DDD" w:rsidRPr="00F876CB" w:rsidRDefault="004D5DDD" w:rsidP="00F62E44">
      <w:pPr>
        <w:spacing w:line="360" w:lineRule="auto"/>
        <w:ind w:firstLine="708"/>
        <w:jc w:val="both"/>
        <w:rPr>
          <w:rFonts w:asciiTheme="minorHAnsi" w:hAnsiTheme="minorHAnsi" w:cstheme="minorHAnsi"/>
          <w:sz w:val="24"/>
          <w:szCs w:val="24"/>
          <w:lang w:val="en-GB"/>
        </w:rPr>
      </w:pPr>
    </w:p>
    <w:p w:rsidR="00EF6DEB" w:rsidRPr="00F876CB" w:rsidRDefault="004D5DDD" w:rsidP="009475F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Figure 1.11 shows the shares of the top 10 companies with the highest share in licensed electricity production in 2019. As can be seen from the figure, the top 10 companies </w:t>
      </w:r>
      <w:r w:rsidR="009475FB">
        <w:rPr>
          <w:rFonts w:asciiTheme="minorHAnsi" w:hAnsiTheme="minorHAnsi" w:cstheme="minorHAnsi"/>
          <w:sz w:val="24"/>
          <w:szCs w:val="24"/>
          <w:lang w:val="en-GB"/>
        </w:rPr>
        <w:t>were</w:t>
      </w:r>
      <w:r w:rsidRPr="00F876CB">
        <w:rPr>
          <w:rFonts w:asciiTheme="minorHAnsi" w:hAnsiTheme="minorHAnsi" w:cstheme="minorHAnsi"/>
          <w:sz w:val="24"/>
          <w:szCs w:val="24"/>
          <w:lang w:val="en-GB"/>
        </w:rPr>
        <w:t xml:space="preserve"> respectively EÜAŞ, </w:t>
      </w:r>
      <w:proofErr w:type="spellStart"/>
      <w:r w:rsidRPr="00F876CB">
        <w:rPr>
          <w:rFonts w:asciiTheme="minorHAnsi" w:hAnsiTheme="minorHAnsi" w:cstheme="minorHAnsi"/>
          <w:sz w:val="24"/>
          <w:szCs w:val="24"/>
          <w:lang w:val="en-GB"/>
        </w:rPr>
        <w:t>Eren</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Enerji</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Elektrik</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Üretim</w:t>
      </w:r>
      <w:proofErr w:type="spellEnd"/>
      <w:r w:rsidRPr="00F876CB">
        <w:rPr>
          <w:rFonts w:asciiTheme="minorHAnsi" w:hAnsiTheme="minorHAnsi" w:cstheme="minorHAnsi"/>
          <w:sz w:val="24"/>
          <w:szCs w:val="24"/>
          <w:lang w:val="en-GB"/>
        </w:rPr>
        <w:t xml:space="preserve"> </w:t>
      </w:r>
      <w:proofErr w:type="gramStart"/>
      <w:r w:rsidRPr="00F876CB">
        <w:rPr>
          <w:rFonts w:asciiTheme="minorHAnsi" w:hAnsiTheme="minorHAnsi" w:cstheme="minorHAnsi"/>
          <w:sz w:val="24"/>
          <w:szCs w:val="24"/>
          <w:lang w:val="en-GB"/>
        </w:rPr>
        <w:t>A.Ş. ,</w:t>
      </w:r>
      <w:proofErr w:type="gram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Enerjisa</w:t>
      </w:r>
      <w:proofErr w:type="spellEnd"/>
      <w:r w:rsidRPr="00F876CB">
        <w:rPr>
          <w:rFonts w:asciiTheme="minorHAnsi" w:hAnsiTheme="minorHAnsi" w:cstheme="minorHAnsi"/>
          <w:sz w:val="24"/>
          <w:szCs w:val="24"/>
          <w:lang w:val="en-GB"/>
        </w:rPr>
        <w:t xml:space="preserve"> Energy Production Inc. , </w:t>
      </w:r>
      <w:proofErr w:type="spellStart"/>
      <w:r w:rsidRPr="00F876CB">
        <w:rPr>
          <w:rFonts w:asciiTheme="minorHAnsi" w:hAnsiTheme="minorHAnsi" w:cstheme="minorHAnsi"/>
          <w:sz w:val="24"/>
          <w:szCs w:val="24"/>
          <w:lang w:val="en-GB"/>
        </w:rPr>
        <w:t>Cenal</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Elektrik</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Üretim</w:t>
      </w:r>
      <w:proofErr w:type="spellEnd"/>
      <w:r w:rsidRPr="00F876CB">
        <w:rPr>
          <w:rFonts w:asciiTheme="minorHAnsi" w:hAnsiTheme="minorHAnsi" w:cstheme="minorHAnsi"/>
          <w:sz w:val="24"/>
          <w:szCs w:val="24"/>
          <w:lang w:val="en-GB"/>
        </w:rPr>
        <w:t xml:space="preserve"> A.Ş. , </w:t>
      </w:r>
      <w:proofErr w:type="spellStart"/>
      <w:r w:rsidRPr="00F876CB">
        <w:rPr>
          <w:rFonts w:asciiTheme="minorHAnsi" w:hAnsiTheme="minorHAnsi" w:cstheme="minorHAnsi"/>
          <w:sz w:val="24"/>
          <w:szCs w:val="24"/>
          <w:lang w:val="en-GB"/>
        </w:rPr>
        <w:t>İçdaş</w:t>
      </w:r>
      <w:proofErr w:type="spellEnd"/>
      <w:r w:rsidRPr="00F876CB">
        <w:rPr>
          <w:rFonts w:asciiTheme="minorHAnsi" w:hAnsiTheme="minorHAnsi" w:cstheme="minorHAnsi"/>
          <w:sz w:val="24"/>
          <w:szCs w:val="24"/>
          <w:lang w:val="en-GB"/>
        </w:rPr>
        <w:t xml:space="preserve"> Electric Energy Generation and Investment Inc. , Atlas Energy Production Industry Inc. , </w:t>
      </w:r>
      <w:proofErr w:type="spellStart"/>
      <w:r w:rsidRPr="00F876CB">
        <w:rPr>
          <w:rFonts w:asciiTheme="minorHAnsi" w:hAnsiTheme="minorHAnsi" w:cstheme="minorHAnsi"/>
          <w:sz w:val="24"/>
          <w:szCs w:val="24"/>
          <w:lang w:val="en-GB"/>
        </w:rPr>
        <w:t>Yeniköy</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Kemerköy</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Elektrik</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Üretim</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Ve</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Ticaret</w:t>
      </w:r>
      <w:proofErr w:type="spellEnd"/>
      <w:r w:rsidRPr="00F876CB">
        <w:rPr>
          <w:rFonts w:asciiTheme="minorHAnsi" w:hAnsiTheme="minorHAnsi" w:cstheme="minorHAnsi"/>
          <w:sz w:val="24"/>
          <w:szCs w:val="24"/>
          <w:lang w:val="en-GB"/>
        </w:rPr>
        <w:t xml:space="preserve"> A.Ş. , İskenderun Energy Production and Trade Inc. , Soma Thermal Power Plant Electricity Generation Inc. </w:t>
      </w:r>
      <w:proofErr w:type="spellStart"/>
      <w:r w:rsidRPr="00F876CB">
        <w:rPr>
          <w:rFonts w:asciiTheme="minorHAnsi" w:hAnsiTheme="minorHAnsi" w:cstheme="minorHAnsi"/>
          <w:sz w:val="24"/>
          <w:szCs w:val="24"/>
          <w:lang w:val="en-GB"/>
        </w:rPr>
        <w:t>ve</w:t>
      </w:r>
      <w:proofErr w:type="spellEnd"/>
      <w:r w:rsidRPr="00F876CB">
        <w:rPr>
          <w:rFonts w:asciiTheme="minorHAnsi" w:hAnsiTheme="minorHAnsi" w:cstheme="minorHAnsi"/>
          <w:sz w:val="24"/>
          <w:szCs w:val="24"/>
          <w:lang w:val="en-GB"/>
        </w:rPr>
        <w:t xml:space="preserve"> Park </w:t>
      </w:r>
      <w:proofErr w:type="spellStart"/>
      <w:r w:rsidRPr="00F876CB">
        <w:rPr>
          <w:rFonts w:asciiTheme="minorHAnsi" w:hAnsiTheme="minorHAnsi" w:cstheme="minorHAnsi"/>
          <w:sz w:val="24"/>
          <w:szCs w:val="24"/>
          <w:lang w:val="en-GB"/>
        </w:rPr>
        <w:t>Termik</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Elektrik</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San.Ve</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Tic.A.Ş</w:t>
      </w:r>
      <w:proofErr w:type="spellEnd"/>
      <w:r w:rsidRPr="00F876CB">
        <w:rPr>
          <w:rFonts w:asciiTheme="minorHAnsi" w:hAnsiTheme="minorHAnsi" w:cstheme="minorHAnsi"/>
          <w:sz w:val="24"/>
          <w:szCs w:val="24"/>
          <w:lang w:val="en-GB"/>
        </w:rPr>
        <w:t xml:space="preserve">. </w:t>
      </w:r>
    </w:p>
    <w:p w:rsidR="00AE086C" w:rsidRPr="00F876CB" w:rsidRDefault="00AE086C" w:rsidP="00F62E44">
      <w:pPr>
        <w:spacing w:line="360" w:lineRule="auto"/>
        <w:ind w:firstLine="708"/>
        <w:jc w:val="both"/>
        <w:rPr>
          <w:rFonts w:asciiTheme="minorHAnsi" w:hAnsiTheme="minorHAnsi" w:cstheme="minorHAnsi"/>
          <w:sz w:val="24"/>
          <w:szCs w:val="24"/>
          <w:highlight w:val="yellow"/>
          <w:lang w:val="en-GB"/>
        </w:rPr>
      </w:pPr>
    </w:p>
    <w:p w:rsidR="00724219" w:rsidRPr="00F876CB" w:rsidRDefault="00015994" w:rsidP="00724219">
      <w:pPr>
        <w:pStyle w:val="Balk6"/>
        <w:rPr>
          <w:lang w:val="en-GB"/>
        </w:rPr>
      </w:pPr>
      <w:bookmarkStart w:id="195" w:name="_Toc44508367"/>
      <w:r w:rsidRPr="00F876CB">
        <w:rPr>
          <w:lang w:val="en-GB"/>
        </w:rPr>
        <w:lastRenderedPageBreak/>
        <w:t>Figure</w:t>
      </w:r>
      <w:r w:rsidR="00724219" w:rsidRPr="00F876CB">
        <w:rPr>
          <w:lang w:val="en-GB"/>
        </w:rPr>
        <w:t xml:space="preserve"> </w:t>
      </w:r>
      <w:r w:rsidR="00853F79" w:rsidRPr="00F876CB">
        <w:rPr>
          <w:lang w:val="en-GB"/>
        </w:rPr>
        <w:t>1</w:t>
      </w:r>
      <w:r w:rsidR="00724219" w:rsidRPr="00F876CB">
        <w:rPr>
          <w:lang w:val="en-GB"/>
        </w:rPr>
        <w:fldChar w:fldCharType="begin"/>
      </w:r>
      <w:r w:rsidR="00724219" w:rsidRPr="00F876CB">
        <w:rPr>
          <w:lang w:val="en-GB"/>
        </w:rPr>
        <w:instrText xml:space="preserve"> STYLEREF 1 \s </w:instrText>
      </w:r>
      <w:r w:rsidR="00724219" w:rsidRPr="00F876CB">
        <w:rPr>
          <w:lang w:val="en-GB"/>
        </w:rPr>
        <w:fldChar w:fldCharType="end"/>
      </w:r>
      <w:r w:rsidR="00724219" w:rsidRPr="00F876CB">
        <w:rPr>
          <w:lang w:val="en-GB"/>
        </w:rPr>
        <w:t>.</w:t>
      </w:r>
      <w:r w:rsidR="00762B64" w:rsidRPr="00F876CB">
        <w:rPr>
          <w:lang w:val="en-GB"/>
        </w:rPr>
        <w:t>11</w:t>
      </w:r>
      <w:r w:rsidR="00724219" w:rsidRPr="00F876CB">
        <w:rPr>
          <w:lang w:val="en-GB"/>
        </w:rPr>
        <w:t xml:space="preserve">: </w:t>
      </w:r>
      <w:r w:rsidR="00AE086C" w:rsidRPr="00F876CB">
        <w:rPr>
          <w:lang w:val="en-GB"/>
        </w:rPr>
        <w:t>The share of First 10 Companies within Electricity Generation in 2019</w:t>
      </w:r>
      <w:r w:rsidR="002E3711" w:rsidRPr="00F876CB">
        <w:rPr>
          <w:lang w:val="en-GB"/>
        </w:rPr>
        <w:t xml:space="preserve"> (%)</w:t>
      </w:r>
      <w:bookmarkEnd w:id="195"/>
    </w:p>
    <w:p w:rsidR="008D5E3E" w:rsidRPr="00F876CB" w:rsidRDefault="003B6D7E" w:rsidP="008D5E3E">
      <w:pPr>
        <w:spacing w:line="360" w:lineRule="auto"/>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2C8B703B">
            <wp:extent cx="6075045" cy="4057650"/>
            <wp:effectExtent l="0" t="0" r="190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75045" cy="4057650"/>
                    </a:xfrm>
                    <a:prstGeom prst="rect">
                      <a:avLst/>
                    </a:prstGeom>
                    <a:noFill/>
                  </pic:spPr>
                </pic:pic>
              </a:graphicData>
            </a:graphic>
          </wp:inline>
        </w:drawing>
      </w:r>
    </w:p>
    <w:p w:rsidR="00AD2A49" w:rsidRPr="00F876CB" w:rsidRDefault="008D5E3E" w:rsidP="00AD2A49">
      <w:pPr>
        <w:pStyle w:val="11ilebalayanlar"/>
        <w:rPr>
          <w:lang w:val="en-GB"/>
        </w:rPr>
      </w:pPr>
      <w:r w:rsidRPr="00F876CB">
        <w:rPr>
          <w:rFonts w:asciiTheme="minorHAnsi" w:hAnsiTheme="minorHAnsi" w:cstheme="minorHAnsi"/>
          <w:lang w:val="en-GB"/>
        </w:rPr>
        <w:br w:type="page"/>
      </w:r>
      <w:bookmarkStart w:id="196" w:name="_Toc44508282"/>
      <w:r w:rsidR="00AD2A49" w:rsidRPr="00F876CB">
        <w:rPr>
          <w:lang w:val="en-GB"/>
        </w:rPr>
        <w:lastRenderedPageBreak/>
        <w:t xml:space="preserve">1.3 </w:t>
      </w:r>
      <w:r w:rsidR="00A213A0" w:rsidRPr="00F876CB">
        <w:rPr>
          <w:lang w:val="en-GB"/>
        </w:rPr>
        <w:t>Li</w:t>
      </w:r>
      <w:r w:rsidR="00DC1492" w:rsidRPr="00F876CB">
        <w:rPr>
          <w:lang w:val="en-GB"/>
        </w:rPr>
        <w:t>censed Installed Capacity</w:t>
      </w:r>
      <w:bookmarkEnd w:id="196"/>
      <w:r w:rsidR="00AD2A49" w:rsidRPr="00F876CB">
        <w:rPr>
          <w:lang w:val="en-GB"/>
        </w:rPr>
        <w:t xml:space="preserve"> </w:t>
      </w:r>
    </w:p>
    <w:p w:rsidR="00A32939" w:rsidRPr="00F876CB" w:rsidRDefault="00A32939" w:rsidP="00AD2A49">
      <w:pPr>
        <w:rPr>
          <w:rFonts w:asciiTheme="minorHAnsi" w:hAnsiTheme="minorHAnsi" w:cstheme="minorHAnsi"/>
          <w:sz w:val="24"/>
          <w:szCs w:val="24"/>
          <w:lang w:val="en-GB"/>
        </w:rPr>
      </w:pPr>
    </w:p>
    <w:p w:rsidR="00DC1492" w:rsidRPr="00F876CB" w:rsidRDefault="00DC1492" w:rsidP="009475F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distribution of licensed installed </w:t>
      </w:r>
      <w:r w:rsidR="009475FB">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by resource types is shown in Figure 1.12. As of the end of 2018, the share of natural gas power plants (including liquid and natural gas fired power plants) within the licensed installed </w:t>
      </w:r>
      <w:r w:rsidR="009475FB">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was 30</w:t>
      </w:r>
      <w:r w:rsidR="009475FB">
        <w:rPr>
          <w:rFonts w:asciiTheme="minorHAnsi" w:hAnsiTheme="minorHAnsi" w:cstheme="minorHAnsi"/>
          <w:sz w:val="24"/>
          <w:szCs w:val="24"/>
          <w:lang w:val="en-GB"/>
        </w:rPr>
        <w:t>,93% in 2019, to 30,</w:t>
      </w:r>
      <w:r w:rsidRPr="00F876CB">
        <w:rPr>
          <w:rFonts w:asciiTheme="minorHAnsi" w:hAnsiTheme="minorHAnsi" w:cstheme="minorHAnsi"/>
          <w:sz w:val="24"/>
          <w:szCs w:val="24"/>
          <w:lang w:val="en-GB"/>
        </w:rPr>
        <w:t>53</w:t>
      </w:r>
      <w:proofErr w:type="gramStart"/>
      <w:r w:rsidRPr="00F876CB">
        <w:rPr>
          <w:rFonts w:asciiTheme="minorHAnsi" w:hAnsiTheme="minorHAnsi" w:cstheme="minorHAnsi"/>
          <w:sz w:val="24"/>
          <w:szCs w:val="24"/>
          <w:lang w:val="en-GB"/>
        </w:rPr>
        <w:t>%,</w:t>
      </w:r>
      <w:r w:rsidR="009475FB">
        <w:rPr>
          <w:rFonts w:asciiTheme="minorHAnsi" w:hAnsiTheme="minorHAnsi" w:cstheme="minorHAnsi"/>
          <w:sz w:val="24"/>
          <w:szCs w:val="24"/>
          <w:lang w:val="en-GB"/>
        </w:rPr>
        <w:t xml:space="preserve">  t</w:t>
      </w:r>
      <w:r w:rsidRPr="00F876CB">
        <w:rPr>
          <w:rFonts w:asciiTheme="minorHAnsi" w:hAnsiTheme="minorHAnsi" w:cstheme="minorHAnsi"/>
          <w:sz w:val="24"/>
          <w:szCs w:val="24"/>
          <w:lang w:val="en-GB"/>
        </w:rPr>
        <w:t>he</w:t>
      </w:r>
      <w:proofErr w:type="gramEnd"/>
      <w:r w:rsidRPr="00F876CB">
        <w:rPr>
          <w:rFonts w:asciiTheme="minorHAnsi" w:hAnsiTheme="minorHAnsi" w:cstheme="minorHAnsi"/>
          <w:sz w:val="24"/>
          <w:szCs w:val="24"/>
          <w:lang w:val="en-GB"/>
        </w:rPr>
        <w:t xml:space="preserve"> share of power plants based on imported coal, which is 10</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75%, to 10</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55%, the share of dam-hydroelectric power plants which is 24</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69% to 24</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30%, the share of river-hydroelectric power plants which is 9</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32% to 9</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24% It decreased.</w:t>
      </w:r>
    </w:p>
    <w:p w:rsidR="00DC1492" w:rsidRPr="00F876CB" w:rsidRDefault="00DC1492" w:rsidP="009475F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On the other hand, the share of lignite power plants, which was 11</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54% within the licensed installed power as of the end of 2018, increased to 11</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89% in 2019, the share of wind power plants from 8</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35% to 8</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85%, and geothermal power plants with 1</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54% share increased to 1</w:t>
      </w:r>
      <w:r w:rsidR="009475FB">
        <w:rPr>
          <w:rFonts w:asciiTheme="minorHAnsi" w:hAnsiTheme="minorHAnsi" w:cstheme="minorHAnsi"/>
          <w:sz w:val="24"/>
          <w:szCs w:val="24"/>
          <w:lang w:val="en-GB"/>
        </w:rPr>
        <w:t>,</w:t>
      </w:r>
      <w:r w:rsidRPr="00F876CB">
        <w:rPr>
          <w:rFonts w:asciiTheme="minorHAnsi" w:hAnsiTheme="minorHAnsi" w:cstheme="minorHAnsi"/>
          <w:sz w:val="24"/>
          <w:szCs w:val="24"/>
          <w:lang w:val="en-GB"/>
        </w:rPr>
        <w:t>78%.</w:t>
      </w:r>
    </w:p>
    <w:p w:rsidR="00A37078" w:rsidRDefault="00A37078" w:rsidP="009475FB">
      <w:pPr>
        <w:spacing w:line="360" w:lineRule="auto"/>
        <w:jc w:val="both"/>
        <w:rPr>
          <w:rFonts w:asciiTheme="minorHAnsi" w:hAnsiTheme="minorHAnsi" w:cstheme="minorHAnsi"/>
          <w:sz w:val="24"/>
          <w:szCs w:val="24"/>
          <w:lang w:val="en-GB"/>
        </w:rPr>
      </w:pPr>
      <w:bookmarkStart w:id="197" w:name="_Ref402771121"/>
      <w:bookmarkStart w:id="198" w:name="_Ref402771116"/>
      <w:bookmarkStart w:id="199" w:name="_Toc432165731"/>
      <w:bookmarkStart w:id="200" w:name="_Toc450306998"/>
      <w:bookmarkStart w:id="201" w:name="_Toc450307109"/>
      <w:bookmarkStart w:id="202" w:name="_Toc450307915"/>
      <w:r w:rsidRPr="00A37078">
        <w:rPr>
          <w:rFonts w:asciiTheme="minorHAnsi" w:hAnsiTheme="minorHAnsi" w:cstheme="minorHAnsi"/>
          <w:sz w:val="24"/>
          <w:szCs w:val="24"/>
          <w:lang w:val="en-GB"/>
        </w:rPr>
        <w:t xml:space="preserve">While the share of renewable energy sources (including hydraulics) in total installed </w:t>
      </w:r>
      <w:r w:rsidR="009475FB">
        <w:rPr>
          <w:rFonts w:asciiTheme="minorHAnsi" w:hAnsiTheme="minorHAnsi" w:cstheme="minorHAnsi"/>
          <w:sz w:val="24"/>
          <w:szCs w:val="24"/>
          <w:lang w:val="en-GB"/>
        </w:rPr>
        <w:t>capacity</w:t>
      </w:r>
      <w:r w:rsidRPr="00A37078">
        <w:rPr>
          <w:rFonts w:asciiTheme="minorHAnsi" w:hAnsiTheme="minorHAnsi" w:cstheme="minorHAnsi"/>
          <w:sz w:val="24"/>
          <w:szCs w:val="24"/>
          <w:lang w:val="en-GB"/>
        </w:rPr>
        <w:t xml:space="preserve"> in 20</w:t>
      </w:r>
      <w:r>
        <w:rPr>
          <w:rFonts w:asciiTheme="minorHAnsi" w:hAnsiTheme="minorHAnsi" w:cstheme="minorHAnsi"/>
          <w:sz w:val="24"/>
          <w:szCs w:val="24"/>
          <w:lang w:val="en-GB"/>
        </w:rPr>
        <w:t>18</w:t>
      </w:r>
      <w:r w:rsidRPr="00A37078">
        <w:rPr>
          <w:rFonts w:asciiTheme="minorHAnsi" w:hAnsiTheme="minorHAnsi" w:cstheme="minorHAnsi"/>
          <w:sz w:val="24"/>
          <w:szCs w:val="24"/>
          <w:lang w:val="en-GB"/>
        </w:rPr>
        <w:t xml:space="preserve"> was </w:t>
      </w:r>
      <w:r>
        <w:rPr>
          <w:rFonts w:asciiTheme="minorHAnsi" w:hAnsiTheme="minorHAnsi" w:cstheme="minorHAnsi"/>
          <w:sz w:val="24"/>
          <w:szCs w:val="24"/>
          <w:lang w:val="en-GB"/>
        </w:rPr>
        <w:t>44,70</w:t>
      </w:r>
      <w:r w:rsidRPr="00A37078">
        <w:rPr>
          <w:rFonts w:asciiTheme="minorHAnsi" w:hAnsiTheme="minorHAnsi" w:cstheme="minorHAnsi"/>
          <w:sz w:val="24"/>
          <w:szCs w:val="24"/>
          <w:lang w:val="en-GB"/>
        </w:rPr>
        <w:t xml:space="preserve">%, it increased to </w:t>
      </w:r>
      <w:r>
        <w:rPr>
          <w:rFonts w:asciiTheme="minorHAnsi" w:hAnsiTheme="minorHAnsi" w:cstheme="minorHAnsi"/>
          <w:sz w:val="24"/>
          <w:szCs w:val="24"/>
          <w:lang w:val="en-GB"/>
        </w:rPr>
        <w:t>45,23</w:t>
      </w:r>
      <w:r w:rsidRPr="00A37078">
        <w:rPr>
          <w:rFonts w:asciiTheme="minorHAnsi" w:hAnsiTheme="minorHAnsi" w:cstheme="minorHAnsi"/>
          <w:sz w:val="24"/>
          <w:szCs w:val="24"/>
          <w:lang w:val="en-GB"/>
        </w:rPr>
        <w:t xml:space="preserve">% in </w:t>
      </w:r>
      <w:r>
        <w:rPr>
          <w:rFonts w:asciiTheme="minorHAnsi" w:hAnsiTheme="minorHAnsi" w:cstheme="minorHAnsi"/>
          <w:sz w:val="24"/>
          <w:szCs w:val="24"/>
          <w:lang w:val="en-GB"/>
        </w:rPr>
        <w:t>2019</w:t>
      </w:r>
      <w:r w:rsidRPr="00A37078">
        <w:rPr>
          <w:rFonts w:asciiTheme="minorHAnsi" w:hAnsiTheme="minorHAnsi" w:cstheme="minorHAnsi"/>
          <w:sz w:val="24"/>
          <w:szCs w:val="24"/>
          <w:lang w:val="en-GB"/>
        </w:rPr>
        <w:t xml:space="preserve">. While the ratio of total installed thermal </w:t>
      </w:r>
      <w:r w:rsidR="009475FB">
        <w:rPr>
          <w:rFonts w:asciiTheme="minorHAnsi" w:hAnsiTheme="minorHAnsi" w:cstheme="minorHAnsi"/>
          <w:sz w:val="24"/>
          <w:szCs w:val="24"/>
          <w:lang w:val="en-GB"/>
        </w:rPr>
        <w:t>capacity</w:t>
      </w:r>
      <w:r w:rsidRPr="00A37078">
        <w:rPr>
          <w:rFonts w:asciiTheme="minorHAnsi" w:hAnsiTheme="minorHAnsi" w:cstheme="minorHAnsi"/>
          <w:sz w:val="24"/>
          <w:szCs w:val="24"/>
          <w:lang w:val="en-GB"/>
        </w:rPr>
        <w:t xml:space="preserve"> was </w:t>
      </w:r>
      <w:r>
        <w:rPr>
          <w:rFonts w:asciiTheme="minorHAnsi" w:hAnsiTheme="minorHAnsi" w:cstheme="minorHAnsi"/>
          <w:sz w:val="24"/>
          <w:szCs w:val="24"/>
          <w:lang w:val="en-GB"/>
        </w:rPr>
        <w:t>55,30</w:t>
      </w:r>
      <w:r w:rsidRPr="00A37078">
        <w:rPr>
          <w:rFonts w:asciiTheme="minorHAnsi" w:hAnsiTheme="minorHAnsi" w:cstheme="minorHAnsi"/>
          <w:sz w:val="24"/>
          <w:szCs w:val="24"/>
          <w:lang w:val="en-GB"/>
        </w:rPr>
        <w:t>% in 20</w:t>
      </w:r>
      <w:r>
        <w:rPr>
          <w:rFonts w:asciiTheme="minorHAnsi" w:hAnsiTheme="minorHAnsi" w:cstheme="minorHAnsi"/>
          <w:sz w:val="24"/>
          <w:szCs w:val="24"/>
          <w:lang w:val="en-GB"/>
        </w:rPr>
        <w:t>18</w:t>
      </w:r>
      <w:r w:rsidRPr="00A37078">
        <w:rPr>
          <w:rFonts w:asciiTheme="minorHAnsi" w:hAnsiTheme="minorHAnsi" w:cstheme="minorHAnsi"/>
          <w:sz w:val="24"/>
          <w:szCs w:val="24"/>
          <w:lang w:val="en-GB"/>
        </w:rPr>
        <w:t xml:space="preserve">, it decreased to </w:t>
      </w:r>
      <w:r>
        <w:rPr>
          <w:rFonts w:asciiTheme="minorHAnsi" w:hAnsiTheme="minorHAnsi" w:cstheme="minorHAnsi"/>
          <w:sz w:val="24"/>
          <w:szCs w:val="24"/>
          <w:lang w:val="en-GB"/>
        </w:rPr>
        <w:t>54,57</w:t>
      </w:r>
      <w:r w:rsidRPr="00A37078">
        <w:rPr>
          <w:rFonts w:asciiTheme="minorHAnsi" w:hAnsiTheme="minorHAnsi" w:cstheme="minorHAnsi"/>
          <w:sz w:val="24"/>
          <w:szCs w:val="24"/>
          <w:lang w:val="en-GB"/>
        </w:rPr>
        <w:t xml:space="preserve">% in </w:t>
      </w:r>
      <w:r>
        <w:rPr>
          <w:rFonts w:asciiTheme="minorHAnsi" w:hAnsiTheme="minorHAnsi" w:cstheme="minorHAnsi"/>
          <w:sz w:val="24"/>
          <w:szCs w:val="24"/>
          <w:lang w:val="en-GB"/>
        </w:rPr>
        <w:t>2019</w:t>
      </w:r>
      <w:r w:rsidRPr="00A37078">
        <w:rPr>
          <w:rFonts w:asciiTheme="minorHAnsi" w:hAnsiTheme="minorHAnsi" w:cstheme="minorHAnsi"/>
          <w:sz w:val="24"/>
          <w:szCs w:val="24"/>
          <w:lang w:val="en-GB"/>
        </w:rPr>
        <w:t>.</w:t>
      </w:r>
    </w:p>
    <w:p w:rsidR="00A37078" w:rsidRDefault="00A37078" w:rsidP="00E93600">
      <w:pPr>
        <w:pStyle w:val="Balk6"/>
        <w:rPr>
          <w:lang w:val="en-GB"/>
        </w:rPr>
      </w:pPr>
    </w:p>
    <w:p w:rsidR="00D232AF" w:rsidRPr="00F876CB" w:rsidRDefault="00015994" w:rsidP="00E93600">
      <w:pPr>
        <w:pStyle w:val="Balk6"/>
        <w:rPr>
          <w:lang w:val="en-GB"/>
        </w:rPr>
      </w:pPr>
      <w:bookmarkStart w:id="203" w:name="_Toc44508368"/>
      <w:r w:rsidRPr="00F876CB">
        <w:rPr>
          <w:lang w:val="en-GB"/>
        </w:rPr>
        <w:t>Figure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bookmarkEnd w:id="197"/>
      <w:r w:rsidR="00762B64" w:rsidRPr="00F876CB">
        <w:rPr>
          <w:lang w:val="en-GB"/>
        </w:rPr>
        <w:t>12</w:t>
      </w:r>
      <w:r w:rsidR="00D232AF" w:rsidRPr="00F876CB">
        <w:rPr>
          <w:lang w:val="en-GB"/>
        </w:rPr>
        <w:t xml:space="preserve">: </w:t>
      </w:r>
      <w:bookmarkEnd w:id="198"/>
      <w:r w:rsidR="004A6A38" w:rsidRPr="00F876CB">
        <w:rPr>
          <w:lang w:val="en-GB"/>
        </w:rPr>
        <w:t xml:space="preserve">Distribution of Licensed Installed Capacity by Sources at the End of 2019 </w:t>
      </w:r>
      <w:r w:rsidR="00D232AF" w:rsidRPr="00F876CB">
        <w:rPr>
          <w:lang w:val="en-GB"/>
        </w:rPr>
        <w:t>(%)</w:t>
      </w:r>
      <w:bookmarkEnd w:id="199"/>
      <w:bookmarkEnd w:id="200"/>
      <w:bookmarkEnd w:id="201"/>
      <w:bookmarkEnd w:id="202"/>
      <w:bookmarkEnd w:id="203"/>
    </w:p>
    <w:p w:rsidR="00D232AF" w:rsidRPr="00F876CB" w:rsidRDefault="00A37078" w:rsidP="00D232AF">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559FE2FB">
            <wp:extent cx="6087745" cy="3762375"/>
            <wp:effectExtent l="0" t="0" r="8255"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7745" cy="3762375"/>
                    </a:xfrm>
                    <a:prstGeom prst="rect">
                      <a:avLst/>
                    </a:prstGeom>
                    <a:noFill/>
                  </pic:spPr>
                </pic:pic>
              </a:graphicData>
            </a:graphic>
          </wp:inline>
        </w:drawing>
      </w:r>
    </w:p>
    <w:p w:rsidR="008A626C" w:rsidRDefault="009475FB" w:rsidP="009475FB">
      <w:pPr>
        <w:spacing w:line="360" w:lineRule="auto"/>
        <w:jc w:val="both"/>
        <w:rPr>
          <w:rFonts w:ascii="Times New Roman" w:hAnsi="Times New Roman" w:cs="Times New Roman"/>
          <w:sz w:val="24"/>
          <w:szCs w:val="24"/>
          <w:lang w:val="en-GB"/>
        </w:rPr>
      </w:pPr>
      <w:r w:rsidRPr="009475FB">
        <w:rPr>
          <w:rFonts w:ascii="Times New Roman" w:hAnsi="Times New Roman" w:cs="Times New Roman"/>
          <w:sz w:val="24"/>
          <w:szCs w:val="24"/>
          <w:lang w:val="en-GB"/>
        </w:rPr>
        <w:lastRenderedPageBreak/>
        <w:t xml:space="preserve">The distribution of the licensed installed power according to organizations is shown in Figure 1.13. The share of EÜAŞ Power Plants in total installed </w:t>
      </w:r>
      <w:r w:rsidR="008A626C">
        <w:rPr>
          <w:rFonts w:ascii="Times New Roman" w:hAnsi="Times New Roman" w:cs="Times New Roman"/>
          <w:sz w:val="24"/>
          <w:szCs w:val="24"/>
          <w:lang w:val="en-GB"/>
        </w:rPr>
        <w:t>capacity</w:t>
      </w:r>
      <w:r w:rsidRPr="009475FB">
        <w:rPr>
          <w:rFonts w:ascii="Times New Roman" w:hAnsi="Times New Roman" w:cs="Times New Roman"/>
          <w:sz w:val="24"/>
          <w:szCs w:val="24"/>
          <w:lang w:val="en-GB"/>
        </w:rPr>
        <w:t xml:space="preserve"> </w:t>
      </w:r>
      <w:r w:rsidR="008A626C">
        <w:rPr>
          <w:rFonts w:ascii="Times New Roman" w:hAnsi="Times New Roman" w:cs="Times New Roman"/>
          <w:sz w:val="24"/>
          <w:szCs w:val="24"/>
          <w:lang w:val="en-GB"/>
        </w:rPr>
        <w:t>increased</w:t>
      </w:r>
      <w:r w:rsidRPr="009475FB">
        <w:rPr>
          <w:rFonts w:ascii="Times New Roman" w:hAnsi="Times New Roman" w:cs="Times New Roman"/>
          <w:sz w:val="24"/>
          <w:szCs w:val="24"/>
          <w:lang w:val="en-GB"/>
        </w:rPr>
        <w:t xml:space="preserve"> to </w:t>
      </w:r>
      <w:r w:rsidR="008A626C">
        <w:rPr>
          <w:rFonts w:ascii="Times New Roman" w:hAnsi="Times New Roman" w:cs="Times New Roman"/>
          <w:sz w:val="24"/>
          <w:szCs w:val="24"/>
          <w:lang w:val="en-GB"/>
        </w:rPr>
        <w:t>23</w:t>
      </w:r>
      <w:r w:rsidR="00D2266C">
        <w:rPr>
          <w:rFonts w:ascii="Times New Roman" w:hAnsi="Times New Roman" w:cs="Times New Roman"/>
          <w:sz w:val="24"/>
          <w:szCs w:val="24"/>
          <w:lang w:val="en-GB"/>
        </w:rPr>
        <w:t>,</w:t>
      </w:r>
      <w:r w:rsidR="008A626C">
        <w:rPr>
          <w:rFonts w:ascii="Times New Roman" w:hAnsi="Times New Roman" w:cs="Times New Roman"/>
          <w:sz w:val="24"/>
          <w:szCs w:val="24"/>
          <w:lang w:val="en-GB"/>
        </w:rPr>
        <w:t>05% in 2019</w:t>
      </w:r>
      <w:r w:rsidRPr="009475FB">
        <w:rPr>
          <w:rFonts w:ascii="Times New Roman" w:hAnsi="Times New Roman" w:cs="Times New Roman"/>
          <w:sz w:val="24"/>
          <w:szCs w:val="24"/>
          <w:lang w:val="en-GB"/>
        </w:rPr>
        <w:t xml:space="preserve">, while it was </w:t>
      </w:r>
      <w:r w:rsidR="008A626C">
        <w:rPr>
          <w:rFonts w:ascii="Times New Roman" w:hAnsi="Times New Roman" w:cs="Times New Roman"/>
          <w:sz w:val="24"/>
          <w:szCs w:val="24"/>
          <w:lang w:val="en-GB"/>
        </w:rPr>
        <w:t>22,23</w:t>
      </w:r>
      <w:r w:rsidRPr="009475FB">
        <w:rPr>
          <w:rFonts w:ascii="Times New Roman" w:hAnsi="Times New Roman" w:cs="Times New Roman"/>
          <w:sz w:val="24"/>
          <w:szCs w:val="24"/>
          <w:lang w:val="en-GB"/>
        </w:rPr>
        <w:t>% in 20</w:t>
      </w:r>
      <w:r w:rsidR="008A626C">
        <w:rPr>
          <w:rFonts w:ascii="Times New Roman" w:hAnsi="Times New Roman" w:cs="Times New Roman"/>
          <w:sz w:val="24"/>
          <w:szCs w:val="24"/>
          <w:lang w:val="en-GB"/>
        </w:rPr>
        <w:t>18,</w:t>
      </w:r>
      <w:r w:rsidRPr="009475FB">
        <w:rPr>
          <w:rFonts w:ascii="Times New Roman" w:hAnsi="Times New Roman" w:cs="Times New Roman"/>
          <w:sz w:val="24"/>
          <w:szCs w:val="24"/>
          <w:lang w:val="en-GB"/>
        </w:rPr>
        <w:t xml:space="preserve"> </w:t>
      </w:r>
      <w:r w:rsidR="00E6619B" w:rsidRPr="009475FB">
        <w:rPr>
          <w:rFonts w:ascii="Times New Roman" w:hAnsi="Times New Roman" w:cs="Times New Roman"/>
          <w:sz w:val="24"/>
          <w:szCs w:val="24"/>
          <w:lang w:val="en-GB"/>
        </w:rPr>
        <w:t>the share of free production companies operating under free market conditions increased</w:t>
      </w:r>
      <w:r w:rsidR="008A626C">
        <w:rPr>
          <w:rFonts w:ascii="Times New Roman" w:hAnsi="Times New Roman" w:cs="Times New Roman"/>
          <w:sz w:val="24"/>
          <w:szCs w:val="24"/>
          <w:lang w:val="en-GB"/>
        </w:rPr>
        <w:t xml:space="preserve"> to 72,72% in 2019, while it was 64,73% in 2018. </w:t>
      </w:r>
      <w:r w:rsidR="00E6619B" w:rsidRPr="009475FB">
        <w:rPr>
          <w:rFonts w:ascii="Times New Roman" w:hAnsi="Times New Roman" w:cs="Times New Roman"/>
          <w:sz w:val="24"/>
          <w:szCs w:val="24"/>
          <w:lang w:val="en-GB"/>
        </w:rPr>
        <w:t xml:space="preserve"> </w:t>
      </w:r>
      <w:bookmarkStart w:id="204" w:name="_Ref402771265"/>
      <w:bookmarkStart w:id="205" w:name="_Toc432165732"/>
      <w:bookmarkStart w:id="206" w:name="_Toc450306999"/>
      <w:bookmarkStart w:id="207" w:name="_Toc450307110"/>
      <w:bookmarkStart w:id="208" w:name="_Toc450307916"/>
    </w:p>
    <w:p w:rsidR="00E6619B" w:rsidRPr="00A37078" w:rsidRDefault="00E6619B" w:rsidP="009475FB">
      <w:pPr>
        <w:spacing w:line="360" w:lineRule="auto"/>
        <w:jc w:val="both"/>
        <w:rPr>
          <w:rFonts w:asciiTheme="minorHAnsi" w:hAnsiTheme="minorHAnsi" w:cstheme="minorHAnsi"/>
          <w:sz w:val="24"/>
          <w:szCs w:val="24"/>
          <w:lang w:val="en-GB"/>
        </w:rPr>
      </w:pPr>
      <w:r w:rsidRPr="009475FB">
        <w:rPr>
          <w:rFonts w:ascii="Times New Roman" w:hAnsi="Times New Roman" w:cs="Times New Roman"/>
          <w:sz w:val="24"/>
          <w:szCs w:val="24"/>
          <w:lang w:val="en-GB"/>
        </w:rPr>
        <w:t xml:space="preserve">On the other hand, the share of power plants operating under existing contracts in total installed </w:t>
      </w:r>
      <w:r w:rsidR="008A626C">
        <w:rPr>
          <w:rFonts w:ascii="Times New Roman" w:hAnsi="Times New Roman" w:cs="Times New Roman"/>
          <w:sz w:val="24"/>
          <w:szCs w:val="24"/>
          <w:lang w:val="en-GB"/>
        </w:rPr>
        <w:t>capacity</w:t>
      </w:r>
      <w:r w:rsidRPr="00A37078">
        <w:rPr>
          <w:rFonts w:asciiTheme="minorHAnsi" w:hAnsiTheme="minorHAnsi" w:cstheme="minorHAnsi"/>
          <w:sz w:val="24"/>
          <w:szCs w:val="24"/>
          <w:lang w:val="en-GB"/>
        </w:rPr>
        <w:t xml:space="preserve"> decreased </w:t>
      </w:r>
      <w:r w:rsidR="003977DC" w:rsidRPr="00A37078">
        <w:rPr>
          <w:rFonts w:asciiTheme="minorHAnsi" w:hAnsiTheme="minorHAnsi" w:cstheme="minorHAnsi"/>
          <w:sz w:val="24"/>
          <w:szCs w:val="24"/>
          <w:lang w:val="en-GB"/>
        </w:rPr>
        <w:t>to 4</w:t>
      </w:r>
      <w:r w:rsidR="00D2266C">
        <w:rPr>
          <w:rFonts w:asciiTheme="minorHAnsi" w:hAnsiTheme="minorHAnsi" w:cstheme="minorHAnsi"/>
          <w:sz w:val="24"/>
          <w:szCs w:val="24"/>
          <w:lang w:val="en-GB"/>
        </w:rPr>
        <w:t>,</w:t>
      </w:r>
      <w:r w:rsidR="003977DC" w:rsidRPr="00A37078">
        <w:rPr>
          <w:rFonts w:asciiTheme="minorHAnsi" w:hAnsiTheme="minorHAnsi" w:cstheme="minorHAnsi"/>
          <w:sz w:val="24"/>
          <w:szCs w:val="24"/>
          <w:lang w:val="en-GB"/>
        </w:rPr>
        <w:t>23% in 2019</w:t>
      </w:r>
      <w:r w:rsidR="003977DC">
        <w:rPr>
          <w:rFonts w:asciiTheme="minorHAnsi" w:hAnsiTheme="minorHAnsi" w:cstheme="minorHAnsi"/>
          <w:sz w:val="24"/>
          <w:szCs w:val="24"/>
          <w:lang w:val="en-GB"/>
        </w:rPr>
        <w:t xml:space="preserve">, </w:t>
      </w:r>
      <w:r w:rsidR="003977DC" w:rsidRPr="003977DC">
        <w:rPr>
          <w:rFonts w:asciiTheme="minorHAnsi" w:hAnsiTheme="minorHAnsi" w:cstheme="minorHAnsi"/>
          <w:sz w:val="24"/>
          <w:szCs w:val="24"/>
          <w:lang w:val="en-GB"/>
        </w:rPr>
        <w:t>while it was</w:t>
      </w:r>
      <w:r w:rsidRPr="00A37078">
        <w:rPr>
          <w:rFonts w:asciiTheme="minorHAnsi" w:hAnsiTheme="minorHAnsi" w:cstheme="minorHAnsi"/>
          <w:sz w:val="24"/>
          <w:szCs w:val="24"/>
          <w:lang w:val="en-GB"/>
        </w:rPr>
        <w:t xml:space="preserve"> 13</w:t>
      </w:r>
      <w:r w:rsidR="00A37078">
        <w:rPr>
          <w:rFonts w:asciiTheme="minorHAnsi" w:hAnsiTheme="minorHAnsi" w:cstheme="minorHAnsi"/>
          <w:sz w:val="24"/>
          <w:szCs w:val="24"/>
          <w:lang w:val="en-GB"/>
        </w:rPr>
        <w:t>,</w:t>
      </w:r>
      <w:r w:rsidRPr="00A37078">
        <w:rPr>
          <w:rFonts w:asciiTheme="minorHAnsi" w:hAnsiTheme="minorHAnsi" w:cstheme="minorHAnsi"/>
          <w:sz w:val="24"/>
          <w:szCs w:val="24"/>
          <w:lang w:val="en-GB"/>
        </w:rPr>
        <w:t>04% in 2018.</w:t>
      </w:r>
    </w:p>
    <w:p w:rsidR="006E3E07" w:rsidRPr="00F876CB" w:rsidRDefault="00015994" w:rsidP="006E3E07">
      <w:pPr>
        <w:pStyle w:val="Balk6"/>
        <w:rPr>
          <w:lang w:val="en-GB"/>
        </w:rPr>
      </w:pPr>
      <w:bookmarkStart w:id="209" w:name="_Toc44508369"/>
      <w:r w:rsidRPr="00F876CB">
        <w:rPr>
          <w:lang w:val="en-GB"/>
        </w:rPr>
        <w:t>Figure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bookmarkEnd w:id="204"/>
      <w:r w:rsidR="00762B64" w:rsidRPr="00F876CB">
        <w:rPr>
          <w:lang w:val="en-GB"/>
        </w:rPr>
        <w:t>13</w:t>
      </w:r>
      <w:r w:rsidR="00D232AF" w:rsidRPr="00F876CB">
        <w:rPr>
          <w:lang w:val="en-GB"/>
        </w:rPr>
        <w:t xml:space="preserve">: </w:t>
      </w:r>
      <w:r w:rsidR="003C46FD" w:rsidRPr="00F876CB">
        <w:rPr>
          <w:lang w:val="en-GB"/>
        </w:rPr>
        <w:t xml:space="preserve">Distribution of Licensed Installed Capacity by Organizations at the End of 2019 </w:t>
      </w:r>
      <w:r w:rsidR="00D232AF" w:rsidRPr="00F876CB">
        <w:rPr>
          <w:lang w:val="en-GB"/>
        </w:rPr>
        <w:t>(%)</w:t>
      </w:r>
      <w:bookmarkEnd w:id="205"/>
      <w:bookmarkEnd w:id="206"/>
      <w:bookmarkEnd w:id="207"/>
      <w:bookmarkEnd w:id="208"/>
      <w:bookmarkEnd w:id="209"/>
    </w:p>
    <w:p w:rsidR="00D232AF" w:rsidRPr="00F876CB" w:rsidRDefault="00A37078" w:rsidP="00AF2947">
      <w:pPr>
        <w:jc w:val="center"/>
        <w:rPr>
          <w:lang w:val="en-GB"/>
        </w:rPr>
      </w:pPr>
      <w:r>
        <w:rPr>
          <w:noProof/>
          <w:lang w:eastAsia="tr-TR" w:bidi="ar-SA"/>
        </w:rPr>
        <w:drawing>
          <wp:inline distT="0" distB="0" distL="0" distR="0" wp14:anchorId="3B9E4FE0">
            <wp:extent cx="5377180" cy="2409825"/>
            <wp:effectExtent l="0" t="0" r="0" b="952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77180" cy="2409825"/>
                    </a:xfrm>
                    <a:prstGeom prst="rect">
                      <a:avLst/>
                    </a:prstGeom>
                    <a:noFill/>
                  </pic:spPr>
                </pic:pic>
              </a:graphicData>
            </a:graphic>
          </wp:inline>
        </w:drawing>
      </w:r>
    </w:p>
    <w:p w:rsidR="00005725" w:rsidRPr="00F876CB" w:rsidRDefault="00005725" w:rsidP="00D7729E">
      <w:pPr>
        <w:pStyle w:val="Balk6"/>
        <w:rPr>
          <w:lang w:val="en-GB"/>
        </w:rPr>
      </w:pPr>
    </w:p>
    <w:p w:rsidR="003C46FD" w:rsidRPr="00F876CB" w:rsidRDefault="003C46FD" w:rsidP="00EF6DE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development of licensed installed </w:t>
      </w:r>
      <w:r w:rsidR="003977DC">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on the basis of resources since 2000 is given in Figure 1.14. As can be seen from the figure, the share of geothermal, wind, solar and biomass resources within the installed </w:t>
      </w:r>
      <w:r w:rsidR="003977DC">
        <w:rPr>
          <w:rFonts w:asciiTheme="minorHAnsi" w:hAnsiTheme="minorHAnsi" w:cstheme="minorHAnsi"/>
          <w:sz w:val="24"/>
          <w:szCs w:val="24"/>
          <w:lang w:val="en-GB"/>
        </w:rPr>
        <w:t>capacity</w:t>
      </w:r>
      <w:r w:rsidRPr="00F876CB">
        <w:rPr>
          <w:rFonts w:asciiTheme="minorHAnsi" w:hAnsiTheme="minorHAnsi" w:cstheme="minorHAnsi"/>
          <w:sz w:val="24"/>
          <w:szCs w:val="24"/>
          <w:lang w:val="en-GB"/>
        </w:rPr>
        <w:t xml:space="preserve"> has increased every year.</w:t>
      </w:r>
    </w:p>
    <w:p w:rsidR="00D7729E" w:rsidRPr="00F876CB" w:rsidRDefault="00015994" w:rsidP="00D7729E">
      <w:pPr>
        <w:pStyle w:val="Balk6"/>
        <w:rPr>
          <w:lang w:val="en-GB"/>
        </w:rPr>
      </w:pPr>
      <w:bookmarkStart w:id="210" w:name="_Toc44508370"/>
      <w:r w:rsidRPr="00F876CB">
        <w:rPr>
          <w:lang w:val="en-GB"/>
        </w:rPr>
        <w:t>Figure</w:t>
      </w:r>
      <w:r w:rsidR="00D7729E" w:rsidRPr="00F876CB">
        <w:rPr>
          <w:lang w:val="en-GB"/>
        </w:rPr>
        <w:t xml:space="preserve"> </w:t>
      </w:r>
      <w:r w:rsidR="00853F79" w:rsidRPr="00F876CB">
        <w:rPr>
          <w:lang w:val="en-GB"/>
        </w:rPr>
        <w:t>1</w:t>
      </w:r>
      <w:r w:rsidR="00D7729E" w:rsidRPr="00F876CB">
        <w:rPr>
          <w:lang w:val="en-GB"/>
        </w:rPr>
        <w:fldChar w:fldCharType="begin"/>
      </w:r>
      <w:r w:rsidR="00D7729E" w:rsidRPr="00F876CB">
        <w:rPr>
          <w:lang w:val="en-GB"/>
        </w:rPr>
        <w:instrText xml:space="preserve"> STYLEREF 1 \s </w:instrText>
      </w:r>
      <w:r w:rsidR="00D7729E" w:rsidRPr="00F876CB">
        <w:rPr>
          <w:lang w:val="en-GB"/>
        </w:rPr>
        <w:fldChar w:fldCharType="end"/>
      </w:r>
      <w:r w:rsidR="00D7729E" w:rsidRPr="00F876CB">
        <w:rPr>
          <w:lang w:val="en-GB"/>
        </w:rPr>
        <w:t>.</w:t>
      </w:r>
      <w:r w:rsidR="00E71D7E" w:rsidRPr="00F876CB">
        <w:rPr>
          <w:lang w:val="en-GB"/>
        </w:rPr>
        <w:t>1</w:t>
      </w:r>
      <w:r w:rsidR="006D7488" w:rsidRPr="00F876CB">
        <w:rPr>
          <w:lang w:val="en-GB"/>
        </w:rPr>
        <w:t>4</w:t>
      </w:r>
      <w:r w:rsidR="00D7729E" w:rsidRPr="00F876CB">
        <w:rPr>
          <w:lang w:val="en-GB"/>
        </w:rPr>
        <w:t xml:space="preserve">: </w:t>
      </w:r>
      <w:r w:rsidR="007C0FF0" w:rsidRPr="00F876CB">
        <w:rPr>
          <w:lang w:val="en-GB"/>
        </w:rPr>
        <w:t xml:space="preserve">The Development of Licensed Installed Capacity According to Source by Years </w:t>
      </w:r>
      <w:r w:rsidR="00D42C94" w:rsidRPr="00F876CB">
        <w:rPr>
          <w:lang w:val="en-GB"/>
        </w:rPr>
        <w:t>(MW)</w:t>
      </w:r>
      <w:bookmarkEnd w:id="210"/>
    </w:p>
    <w:p w:rsidR="00326949" w:rsidRPr="00F876CB" w:rsidRDefault="000C4EFC" w:rsidP="00326949">
      <w:pPr>
        <w:rPr>
          <w:lang w:val="en-GB"/>
        </w:rPr>
      </w:pPr>
      <w:r>
        <w:rPr>
          <w:noProof/>
          <w:lang w:eastAsia="tr-TR" w:bidi="ar-SA"/>
        </w:rPr>
        <w:drawing>
          <wp:inline distT="0" distB="0" distL="0" distR="0" wp14:anchorId="56060467">
            <wp:extent cx="5815965" cy="240030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5965" cy="2400300"/>
                    </a:xfrm>
                    <a:prstGeom prst="rect">
                      <a:avLst/>
                    </a:prstGeom>
                    <a:noFill/>
                  </pic:spPr>
                </pic:pic>
              </a:graphicData>
            </a:graphic>
          </wp:inline>
        </w:drawing>
      </w:r>
    </w:p>
    <w:p w:rsidR="003977DC" w:rsidRPr="003977DC" w:rsidRDefault="003977DC" w:rsidP="003977DC">
      <w:pPr>
        <w:spacing w:line="360" w:lineRule="auto"/>
        <w:jc w:val="both"/>
        <w:rPr>
          <w:rFonts w:asciiTheme="minorHAnsi" w:hAnsiTheme="minorHAnsi" w:cstheme="minorHAnsi"/>
          <w:sz w:val="24"/>
          <w:szCs w:val="24"/>
          <w:lang w:val="en-GB"/>
        </w:rPr>
      </w:pPr>
      <w:r w:rsidRPr="003977DC">
        <w:rPr>
          <w:rFonts w:asciiTheme="minorHAnsi" w:hAnsiTheme="minorHAnsi" w:cstheme="minorHAnsi"/>
          <w:sz w:val="24"/>
          <w:szCs w:val="24"/>
          <w:lang w:val="en-GB"/>
        </w:rPr>
        <w:lastRenderedPageBreak/>
        <w:t xml:space="preserve">Similar to Figure 1.14, the development of the shares of licensed power resources since </w:t>
      </w:r>
      <w:r>
        <w:rPr>
          <w:rFonts w:asciiTheme="minorHAnsi" w:hAnsiTheme="minorHAnsi" w:cstheme="minorHAnsi"/>
          <w:sz w:val="24"/>
          <w:szCs w:val="24"/>
          <w:lang w:val="en-GB"/>
        </w:rPr>
        <w:t xml:space="preserve">2000 </w:t>
      </w:r>
      <w:r w:rsidRPr="003977DC">
        <w:rPr>
          <w:rFonts w:asciiTheme="minorHAnsi" w:hAnsiTheme="minorHAnsi" w:cstheme="minorHAnsi"/>
          <w:sz w:val="24"/>
          <w:szCs w:val="24"/>
          <w:lang w:val="en-GB"/>
        </w:rPr>
        <w:t>is also included in Figure 1.15.</w:t>
      </w:r>
    </w:p>
    <w:p w:rsidR="003977DC" w:rsidRDefault="003977DC" w:rsidP="00D42C94">
      <w:pPr>
        <w:pStyle w:val="Balk6"/>
        <w:rPr>
          <w:rFonts w:asciiTheme="minorHAnsi" w:hAnsiTheme="minorHAnsi" w:cstheme="minorHAnsi"/>
          <w:b w:val="0"/>
          <w:spacing w:val="0"/>
          <w:szCs w:val="24"/>
          <w:lang w:val="en-GB"/>
        </w:rPr>
      </w:pPr>
    </w:p>
    <w:p w:rsidR="00D42C94" w:rsidRPr="00F876CB" w:rsidRDefault="00015994" w:rsidP="00D42C94">
      <w:pPr>
        <w:pStyle w:val="Balk6"/>
        <w:rPr>
          <w:lang w:val="en-GB"/>
        </w:rPr>
      </w:pPr>
      <w:bookmarkStart w:id="211" w:name="_Toc44508371"/>
      <w:r w:rsidRPr="00F876CB">
        <w:rPr>
          <w:lang w:val="en-GB"/>
        </w:rPr>
        <w:t>Figure</w:t>
      </w:r>
      <w:r w:rsidR="00D42C94" w:rsidRPr="00F876CB">
        <w:rPr>
          <w:lang w:val="en-GB"/>
        </w:rPr>
        <w:t xml:space="preserve"> </w:t>
      </w:r>
      <w:r w:rsidR="00853F79" w:rsidRPr="00F876CB">
        <w:rPr>
          <w:lang w:val="en-GB"/>
        </w:rPr>
        <w:t>1</w:t>
      </w:r>
      <w:r w:rsidR="00D42C94" w:rsidRPr="00F876CB">
        <w:rPr>
          <w:lang w:val="en-GB"/>
        </w:rPr>
        <w:fldChar w:fldCharType="begin"/>
      </w:r>
      <w:r w:rsidR="00D42C94" w:rsidRPr="00F876CB">
        <w:rPr>
          <w:lang w:val="en-GB"/>
        </w:rPr>
        <w:instrText xml:space="preserve"> STYLEREF 1 \s </w:instrText>
      </w:r>
      <w:r w:rsidR="00D42C94" w:rsidRPr="00F876CB">
        <w:rPr>
          <w:lang w:val="en-GB"/>
        </w:rPr>
        <w:fldChar w:fldCharType="end"/>
      </w:r>
      <w:r w:rsidR="00D42C94" w:rsidRPr="00F876CB">
        <w:rPr>
          <w:lang w:val="en-GB"/>
        </w:rPr>
        <w:t>.</w:t>
      </w:r>
      <w:r w:rsidR="006D7488" w:rsidRPr="00F876CB">
        <w:rPr>
          <w:lang w:val="en-GB"/>
        </w:rPr>
        <w:t>15</w:t>
      </w:r>
      <w:r w:rsidR="00D42C94" w:rsidRPr="00F876CB">
        <w:rPr>
          <w:lang w:val="en-GB"/>
        </w:rPr>
        <w:t xml:space="preserve">: </w:t>
      </w:r>
      <w:r w:rsidR="007C0FF0" w:rsidRPr="00F876CB">
        <w:rPr>
          <w:lang w:val="en-GB"/>
        </w:rPr>
        <w:t xml:space="preserve">The Development of the Share of the Sources within the Installed Capacity by Years </w:t>
      </w:r>
      <w:r w:rsidR="00D42C94" w:rsidRPr="00F876CB">
        <w:rPr>
          <w:lang w:val="en-GB"/>
        </w:rPr>
        <w:t>(%)</w:t>
      </w:r>
      <w:bookmarkEnd w:id="211"/>
    </w:p>
    <w:p w:rsidR="00D42C94" w:rsidRPr="00F876CB" w:rsidRDefault="000C4EFC" w:rsidP="00427642">
      <w:pPr>
        <w:rPr>
          <w:lang w:val="en-GB"/>
        </w:rPr>
      </w:pPr>
      <w:r>
        <w:rPr>
          <w:noProof/>
          <w:lang w:eastAsia="tr-TR" w:bidi="ar-SA"/>
        </w:rPr>
        <w:drawing>
          <wp:inline distT="0" distB="0" distL="0" distR="0" wp14:anchorId="75242502">
            <wp:extent cx="5835650" cy="2676525"/>
            <wp:effectExtent l="0" t="0" r="0" b="952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35650" cy="2676525"/>
                    </a:xfrm>
                    <a:prstGeom prst="rect">
                      <a:avLst/>
                    </a:prstGeom>
                    <a:noFill/>
                  </pic:spPr>
                </pic:pic>
              </a:graphicData>
            </a:graphic>
          </wp:inline>
        </w:drawing>
      </w:r>
    </w:p>
    <w:p w:rsidR="000C4EFC" w:rsidRDefault="000C4EFC" w:rsidP="000C4EFC">
      <w:pPr>
        <w:spacing w:line="360" w:lineRule="auto"/>
        <w:jc w:val="both"/>
        <w:rPr>
          <w:rFonts w:asciiTheme="minorHAnsi" w:hAnsiTheme="minorHAnsi" w:cstheme="minorHAnsi"/>
          <w:sz w:val="24"/>
          <w:szCs w:val="24"/>
          <w:lang w:val="en-GB"/>
        </w:rPr>
      </w:pPr>
    </w:p>
    <w:p w:rsidR="007C0FF0" w:rsidRDefault="007C0FF0" w:rsidP="000C4EFC">
      <w:pPr>
        <w:spacing w:line="360" w:lineRule="auto"/>
        <w:jc w:val="both"/>
        <w:rPr>
          <w:rFonts w:asciiTheme="minorHAnsi" w:hAnsiTheme="minorHAnsi" w:cstheme="minorHAnsi"/>
          <w:sz w:val="24"/>
          <w:szCs w:val="24"/>
          <w:lang w:val="en-GB"/>
        </w:rPr>
      </w:pPr>
      <w:r w:rsidRPr="000C4EFC">
        <w:rPr>
          <w:rFonts w:asciiTheme="minorHAnsi" w:hAnsiTheme="minorHAnsi" w:cstheme="minorHAnsi"/>
          <w:sz w:val="24"/>
          <w:szCs w:val="24"/>
          <w:lang w:val="en-GB"/>
        </w:rPr>
        <w:t xml:space="preserve">The distribution of licensed installed </w:t>
      </w:r>
      <w:r w:rsidR="003977DC">
        <w:rPr>
          <w:rFonts w:asciiTheme="minorHAnsi" w:hAnsiTheme="minorHAnsi" w:cstheme="minorHAnsi"/>
          <w:sz w:val="24"/>
          <w:szCs w:val="24"/>
          <w:lang w:val="en-GB"/>
        </w:rPr>
        <w:t>capacity</w:t>
      </w:r>
      <w:r w:rsidRPr="000C4EFC">
        <w:rPr>
          <w:rFonts w:asciiTheme="minorHAnsi" w:hAnsiTheme="minorHAnsi" w:cstheme="minorHAnsi"/>
          <w:sz w:val="24"/>
          <w:szCs w:val="24"/>
          <w:lang w:val="en-GB"/>
        </w:rPr>
        <w:t xml:space="preserve"> </w:t>
      </w:r>
      <w:r w:rsidR="003977DC">
        <w:rPr>
          <w:rFonts w:asciiTheme="minorHAnsi" w:hAnsiTheme="minorHAnsi" w:cstheme="minorHAnsi"/>
          <w:sz w:val="24"/>
          <w:szCs w:val="24"/>
          <w:lang w:val="en-GB"/>
        </w:rPr>
        <w:t>by</w:t>
      </w:r>
      <w:r w:rsidRPr="000C4EFC">
        <w:rPr>
          <w:rFonts w:asciiTheme="minorHAnsi" w:hAnsiTheme="minorHAnsi" w:cstheme="minorHAnsi"/>
          <w:sz w:val="24"/>
          <w:szCs w:val="24"/>
          <w:lang w:val="en-GB"/>
        </w:rPr>
        <w:t xml:space="preserve"> pro</w:t>
      </w:r>
      <w:r w:rsidR="003977DC">
        <w:rPr>
          <w:rFonts w:asciiTheme="minorHAnsi" w:hAnsiTheme="minorHAnsi" w:cstheme="minorHAnsi"/>
          <w:sz w:val="24"/>
          <w:szCs w:val="24"/>
          <w:lang w:val="en-GB"/>
        </w:rPr>
        <w:t xml:space="preserve">vince </w:t>
      </w:r>
      <w:r w:rsidRPr="000C4EFC">
        <w:rPr>
          <w:rFonts w:asciiTheme="minorHAnsi" w:hAnsiTheme="minorHAnsi" w:cstheme="minorHAnsi"/>
          <w:sz w:val="24"/>
          <w:szCs w:val="24"/>
          <w:lang w:val="en-GB"/>
        </w:rPr>
        <w:t xml:space="preserve">is shown in Table 1.3. </w:t>
      </w:r>
      <w:r w:rsidR="003977DC">
        <w:rPr>
          <w:rFonts w:asciiTheme="minorHAnsi" w:hAnsiTheme="minorHAnsi" w:cstheme="minorHAnsi"/>
          <w:sz w:val="24"/>
          <w:szCs w:val="24"/>
          <w:lang w:val="en-GB"/>
        </w:rPr>
        <w:t xml:space="preserve"> </w:t>
      </w:r>
      <w:r w:rsidRPr="000C4EFC">
        <w:rPr>
          <w:rFonts w:asciiTheme="minorHAnsi" w:hAnsiTheme="minorHAnsi" w:cstheme="minorHAnsi"/>
          <w:sz w:val="24"/>
          <w:szCs w:val="24"/>
          <w:lang w:val="en-GB"/>
        </w:rPr>
        <w:t xml:space="preserve">In 2019, the provinces with the highest installed power were İzmir, </w:t>
      </w:r>
      <w:proofErr w:type="spellStart"/>
      <w:r w:rsidRPr="000C4EFC">
        <w:rPr>
          <w:rFonts w:asciiTheme="minorHAnsi" w:hAnsiTheme="minorHAnsi" w:cstheme="minorHAnsi"/>
          <w:sz w:val="24"/>
          <w:szCs w:val="24"/>
          <w:lang w:val="en-GB"/>
        </w:rPr>
        <w:t>Kahramanmaraş</w:t>
      </w:r>
      <w:proofErr w:type="spellEnd"/>
      <w:r w:rsidRPr="000C4EFC">
        <w:rPr>
          <w:rFonts w:asciiTheme="minorHAnsi" w:hAnsiTheme="minorHAnsi" w:cstheme="minorHAnsi"/>
          <w:sz w:val="24"/>
          <w:szCs w:val="24"/>
          <w:lang w:val="en-GB"/>
        </w:rPr>
        <w:t xml:space="preserve">, </w:t>
      </w:r>
      <w:proofErr w:type="spellStart"/>
      <w:r w:rsidRPr="000C4EFC">
        <w:rPr>
          <w:rFonts w:asciiTheme="minorHAnsi" w:hAnsiTheme="minorHAnsi" w:cstheme="minorHAnsi"/>
          <w:sz w:val="24"/>
          <w:szCs w:val="24"/>
          <w:lang w:val="en-GB"/>
        </w:rPr>
        <w:t>Çanakkale</w:t>
      </w:r>
      <w:proofErr w:type="spellEnd"/>
      <w:r w:rsidRPr="000C4EFC">
        <w:rPr>
          <w:rFonts w:asciiTheme="minorHAnsi" w:hAnsiTheme="minorHAnsi" w:cstheme="minorHAnsi"/>
          <w:sz w:val="24"/>
          <w:szCs w:val="24"/>
          <w:lang w:val="en-GB"/>
        </w:rPr>
        <w:t xml:space="preserve">, Adana, </w:t>
      </w:r>
      <w:proofErr w:type="spellStart"/>
      <w:r w:rsidRPr="000C4EFC">
        <w:rPr>
          <w:rFonts w:asciiTheme="minorHAnsi" w:hAnsiTheme="minorHAnsi" w:cstheme="minorHAnsi"/>
          <w:sz w:val="24"/>
          <w:szCs w:val="24"/>
          <w:lang w:val="en-GB"/>
        </w:rPr>
        <w:t>Şanlıurfa</w:t>
      </w:r>
      <w:proofErr w:type="spellEnd"/>
      <w:r w:rsidRPr="000C4EFC">
        <w:rPr>
          <w:rFonts w:asciiTheme="minorHAnsi" w:hAnsiTheme="minorHAnsi" w:cstheme="minorHAnsi"/>
          <w:sz w:val="24"/>
          <w:szCs w:val="24"/>
          <w:lang w:val="en-GB"/>
        </w:rPr>
        <w:t xml:space="preserve"> and Samsun respectively, and the provinces with the lowest installed power were </w:t>
      </w:r>
      <w:proofErr w:type="spellStart"/>
      <w:r w:rsidRPr="000C4EFC">
        <w:rPr>
          <w:rFonts w:asciiTheme="minorHAnsi" w:hAnsiTheme="minorHAnsi" w:cstheme="minorHAnsi"/>
          <w:sz w:val="24"/>
          <w:szCs w:val="24"/>
          <w:lang w:val="en-GB"/>
        </w:rPr>
        <w:t>Ağrı</w:t>
      </w:r>
      <w:proofErr w:type="spellEnd"/>
      <w:r w:rsidRPr="000C4EFC">
        <w:rPr>
          <w:rFonts w:asciiTheme="minorHAnsi" w:hAnsiTheme="minorHAnsi" w:cstheme="minorHAnsi"/>
          <w:sz w:val="24"/>
          <w:szCs w:val="24"/>
          <w:lang w:val="en-GB"/>
        </w:rPr>
        <w:t xml:space="preserve">, </w:t>
      </w:r>
      <w:proofErr w:type="spellStart"/>
      <w:r w:rsidRPr="000C4EFC">
        <w:rPr>
          <w:rFonts w:asciiTheme="minorHAnsi" w:hAnsiTheme="minorHAnsi" w:cstheme="minorHAnsi"/>
          <w:sz w:val="24"/>
          <w:szCs w:val="24"/>
          <w:lang w:val="en-GB"/>
        </w:rPr>
        <w:t>Çankırı</w:t>
      </w:r>
      <w:proofErr w:type="spellEnd"/>
      <w:r w:rsidRPr="000C4EFC">
        <w:rPr>
          <w:rFonts w:asciiTheme="minorHAnsi" w:hAnsiTheme="minorHAnsi" w:cstheme="minorHAnsi"/>
          <w:sz w:val="24"/>
          <w:szCs w:val="24"/>
          <w:lang w:val="en-GB"/>
        </w:rPr>
        <w:t xml:space="preserve">, </w:t>
      </w:r>
      <w:proofErr w:type="spellStart"/>
      <w:r w:rsidRPr="000C4EFC">
        <w:rPr>
          <w:rFonts w:asciiTheme="minorHAnsi" w:hAnsiTheme="minorHAnsi" w:cstheme="minorHAnsi"/>
          <w:sz w:val="24"/>
          <w:szCs w:val="24"/>
          <w:lang w:val="en-GB"/>
        </w:rPr>
        <w:t>Bart</w:t>
      </w:r>
      <w:r w:rsidR="000C4EFC">
        <w:rPr>
          <w:rFonts w:asciiTheme="minorHAnsi" w:hAnsiTheme="minorHAnsi" w:cstheme="minorHAnsi"/>
          <w:sz w:val="24"/>
          <w:szCs w:val="24"/>
          <w:lang w:val="en-GB"/>
        </w:rPr>
        <w:t>ın</w:t>
      </w:r>
      <w:proofErr w:type="spellEnd"/>
      <w:r w:rsidR="000C4EFC">
        <w:rPr>
          <w:rFonts w:asciiTheme="minorHAnsi" w:hAnsiTheme="minorHAnsi" w:cstheme="minorHAnsi"/>
          <w:sz w:val="24"/>
          <w:szCs w:val="24"/>
          <w:lang w:val="en-GB"/>
        </w:rPr>
        <w:t xml:space="preserve">, </w:t>
      </w:r>
      <w:proofErr w:type="spellStart"/>
      <w:r w:rsidR="000C4EFC">
        <w:rPr>
          <w:rFonts w:asciiTheme="minorHAnsi" w:hAnsiTheme="minorHAnsi" w:cstheme="minorHAnsi"/>
          <w:sz w:val="24"/>
          <w:szCs w:val="24"/>
          <w:lang w:val="en-GB"/>
        </w:rPr>
        <w:t>Iğdır</w:t>
      </w:r>
      <w:proofErr w:type="spellEnd"/>
      <w:r w:rsidR="000C4EFC">
        <w:rPr>
          <w:rFonts w:asciiTheme="minorHAnsi" w:hAnsiTheme="minorHAnsi" w:cstheme="minorHAnsi"/>
          <w:sz w:val="24"/>
          <w:szCs w:val="24"/>
          <w:lang w:val="en-GB"/>
        </w:rPr>
        <w:t xml:space="preserve">, Bayburt and </w:t>
      </w:r>
      <w:proofErr w:type="spellStart"/>
      <w:r w:rsidR="000C4EFC">
        <w:rPr>
          <w:rFonts w:asciiTheme="minorHAnsi" w:hAnsiTheme="minorHAnsi" w:cstheme="minorHAnsi"/>
          <w:sz w:val="24"/>
          <w:szCs w:val="24"/>
          <w:lang w:val="en-GB"/>
        </w:rPr>
        <w:t>Aksaray</w:t>
      </w:r>
      <w:proofErr w:type="spellEnd"/>
      <w:r w:rsidR="000C4EFC">
        <w:rPr>
          <w:rFonts w:asciiTheme="minorHAnsi" w:hAnsiTheme="minorHAnsi" w:cstheme="minorHAnsi"/>
          <w:sz w:val="24"/>
          <w:szCs w:val="24"/>
          <w:lang w:val="en-GB"/>
        </w:rPr>
        <w:t>.</w:t>
      </w:r>
    </w:p>
    <w:p w:rsidR="000C4EFC" w:rsidRPr="00F876CB" w:rsidRDefault="000C4EFC" w:rsidP="007C0FF0">
      <w:pPr>
        <w:rPr>
          <w:lang w:val="en-GB"/>
        </w:rPr>
      </w:pPr>
    </w:p>
    <w:p w:rsidR="009765A8" w:rsidRPr="00F876CB" w:rsidRDefault="00015994" w:rsidP="009765A8">
      <w:pPr>
        <w:pStyle w:val="Balk5"/>
        <w:rPr>
          <w:lang w:val="en-GB"/>
        </w:rPr>
      </w:pPr>
      <w:bookmarkStart w:id="212" w:name="_Toc44508319"/>
      <w:r w:rsidRPr="00F876CB">
        <w:rPr>
          <w:lang w:val="en-GB"/>
        </w:rPr>
        <w:t>Table</w:t>
      </w:r>
      <w:r w:rsidR="008A5016" w:rsidRPr="00F876CB">
        <w:rPr>
          <w:lang w:val="en-GB"/>
        </w:rPr>
        <w:t xml:space="preserve"> 1.3</w:t>
      </w:r>
      <w:r w:rsidR="009765A8" w:rsidRPr="00F876CB">
        <w:rPr>
          <w:lang w:val="en-GB"/>
        </w:rPr>
        <w:t xml:space="preserve"> </w:t>
      </w:r>
      <w:r w:rsidR="00D907AF" w:rsidRPr="00F876CB">
        <w:rPr>
          <w:lang w:val="en-GB"/>
        </w:rPr>
        <w:t xml:space="preserve">Distribution of Licensed Installed Capacity by Province </w:t>
      </w:r>
      <w:r w:rsidR="009765A8" w:rsidRPr="00F876CB">
        <w:rPr>
          <w:lang w:val="en-GB"/>
        </w:rPr>
        <w:t>(MW-%)</w:t>
      </w:r>
      <w:bookmarkEnd w:id="212"/>
    </w:p>
    <w:tbl>
      <w:tblPr>
        <w:tblW w:w="9498" w:type="dxa"/>
        <w:tblInd w:w="70" w:type="dxa"/>
        <w:tblCellMar>
          <w:left w:w="70" w:type="dxa"/>
          <w:right w:w="70" w:type="dxa"/>
        </w:tblCellMar>
        <w:tblLook w:val="04A0" w:firstRow="1" w:lastRow="0" w:firstColumn="1" w:lastColumn="0" w:noHBand="0" w:noVBand="1"/>
      </w:tblPr>
      <w:tblGrid>
        <w:gridCol w:w="1985"/>
        <w:gridCol w:w="1843"/>
        <w:gridCol w:w="992"/>
        <w:gridCol w:w="1843"/>
        <w:gridCol w:w="1842"/>
        <w:gridCol w:w="993"/>
      </w:tblGrid>
      <w:tr w:rsidR="00AC6173" w:rsidRPr="00F876CB" w:rsidTr="00AC6173">
        <w:trPr>
          <w:trHeight w:val="315"/>
          <w:tblHeader/>
        </w:trPr>
        <w:tc>
          <w:tcPr>
            <w:tcW w:w="198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PROVINCE</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Inst. Cap.</w:t>
            </w:r>
            <w:r w:rsidR="00AC6173" w:rsidRPr="00F876CB">
              <w:rPr>
                <w:rFonts w:ascii="Calibri" w:eastAsia="Times New Roman" w:hAnsi="Calibri" w:cs="Calibri"/>
                <w:b/>
                <w:bCs/>
                <w:color w:val="FFFFFF"/>
                <w:lang w:val="en-GB" w:eastAsia="tr-TR" w:bidi="ar-SA"/>
              </w:rPr>
              <w:t xml:space="preserve">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AC6173" w:rsidRPr="00F876CB">
              <w:rPr>
                <w:rFonts w:ascii="Calibri" w:eastAsia="Times New Roman" w:hAnsi="Calibri" w:cs="Calibri"/>
                <w:b/>
                <w:bCs/>
                <w:color w:val="FFFFFF"/>
                <w:lang w:val="en-GB" w:eastAsia="tr-TR" w:bidi="ar-SA"/>
              </w:rPr>
              <w:t xml:space="preserve">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PROVINCE</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Inst. Cap.</w:t>
            </w:r>
            <w:r w:rsidR="00AC6173" w:rsidRPr="00F876CB">
              <w:rPr>
                <w:rFonts w:ascii="Calibri" w:eastAsia="Times New Roman" w:hAnsi="Calibri" w:cs="Calibri"/>
                <w:b/>
                <w:bCs/>
                <w:color w:val="FFFFFF"/>
                <w:lang w:val="en-GB" w:eastAsia="tr-TR" w:bidi="ar-SA"/>
              </w:rPr>
              <w:t xml:space="preserve"> (MW</w:t>
            </w:r>
            <w:r w:rsidRPr="00F876CB">
              <w:rPr>
                <w:rFonts w:ascii="Calibri" w:eastAsia="Times New Roman" w:hAnsi="Calibri" w:cs="Calibri"/>
                <w:b/>
                <w:bCs/>
                <w:color w:val="FFFFFF"/>
                <w:lang w:val="en-GB" w:eastAsia="tr-TR" w:bidi="ar-SA"/>
              </w:rPr>
              <w:t>)</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AC6173" w:rsidRPr="00F876CB" w:rsidRDefault="00554A3B"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AC6173" w:rsidRPr="00F876CB">
              <w:rPr>
                <w:rFonts w:ascii="Calibri" w:eastAsia="Times New Roman" w:hAnsi="Calibri" w:cs="Calibri"/>
                <w:b/>
                <w:bCs/>
                <w:color w:val="FFFFFF"/>
                <w:lang w:val="en-GB" w:eastAsia="tr-TR" w:bidi="ar-SA"/>
              </w:rPr>
              <w:t xml:space="preserve"> (%)</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İZMİR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5.072,54</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BOLU</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416,14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0,49</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KAHRAMANMARAŞ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4.347,39</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ŞIRNAK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405,64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0,48</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ÇANAKKALE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4.180,59</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KONYA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399,60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ADANA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3.729,55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ÇORUM</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388,65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0,46</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ŞANLIURFA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3.426,92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RİZE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354,23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0,42</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SAMSUN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3.387,56</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SİİRT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344,49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ZONGULDAK</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3.370,25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AFYONKARAHİSAR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342,32</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0,40</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BALIKESİR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2.828,07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ERZİNCAN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316,27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MANİSA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2.812,22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AMASYA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314,66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2.757,23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KIRŞEHİR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308,40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0,36</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HATAY</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2.727,45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YALOVA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245,38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0,29</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BURSA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2.607,03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ADIYAMAN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238,87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0,28</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2.537,81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ARDAHAN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235,90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0,28</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ELAZIĞ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2.460,83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ISPARTA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191,19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ANKARA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2.370,75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MUŞ</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182,66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DİYARBAKIR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2.252,26</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MARDİN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165,35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0,19</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MUĞLA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2.219,35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KARS</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154,67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KOCAELİ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2.030,37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KARABÜK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148,43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KIRIKKALE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1.953,02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EDİRNE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143,08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ANTALYA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1.872,61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DÜZCE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121,49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0,14</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ARTVİN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1.785,02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KASTAMONU</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110,61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DENİZLİ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1.687,77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TUNCELİ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106,95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KIRKLARELİ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1.618,67</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100,91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0,12</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TEKİRDAĞ</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1.556,50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BİLECİK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96,74</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AYDIN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1.194,90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1,41</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BURDUR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95,86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OSMANİYE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1.064,28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NEVŞEHİR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87,13</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KÜTAHYA</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1.063,43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UŞAK</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81,67</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SİVAS</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973,51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MALATYA</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81,36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MERSİN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924,15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1,09</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BATMAN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57,00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GİRESUN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847,88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YOZGAT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50,70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BİNGÖL</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817,70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0,96</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HAKKARİ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48,75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ERZURUM</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784,53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0,92</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AYDIN </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44,00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TOKAT</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660,38</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NİĞDE</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39,61</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656,80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0,77</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BİTLİS</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32,25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TRABZON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596,72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AKSARAY</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28,88</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590,61</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BAYBURT</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25,70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559,95</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0,66</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IĞDIR</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23,79</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KARAMAN</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549,52</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BARTIN</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19,56</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534,34</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0,63</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ÇANKIRI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9,75</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ESKİŞEHİR</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490,23</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AĞRI</w:t>
            </w:r>
          </w:p>
        </w:tc>
        <w:tc>
          <w:tcPr>
            <w:tcW w:w="184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9,50</w:t>
            </w:r>
          </w:p>
        </w:tc>
        <w:tc>
          <w:tcPr>
            <w:tcW w:w="99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AC6173" w:rsidRPr="00F876CB" w:rsidTr="00AC6173">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488,90</w:t>
            </w:r>
          </w:p>
        </w:tc>
        <w:tc>
          <w:tcPr>
            <w:tcW w:w="992" w:type="dxa"/>
            <w:tcBorders>
              <w:top w:val="nil"/>
              <w:left w:val="nil"/>
              <w:bottom w:val="single" w:sz="8" w:space="0" w:color="auto"/>
              <w:right w:val="single" w:sz="8" w:space="0" w:color="auto"/>
            </w:tcBorders>
            <w:shd w:val="clear" w:color="auto" w:fill="auto"/>
            <w:noWrap/>
            <w:vAlign w:val="center"/>
            <w:hideMark/>
          </w:tcPr>
          <w:p w:rsidR="00AC6173" w:rsidRPr="00F876CB" w:rsidRDefault="00AC6173" w:rsidP="00AC6173">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0,58</w:t>
            </w:r>
          </w:p>
        </w:tc>
        <w:tc>
          <w:tcPr>
            <w:tcW w:w="184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w:t>
            </w:r>
            <w:r w:rsidR="004E2E7A" w:rsidRPr="00F876CB">
              <w:rPr>
                <w:rFonts w:ascii="Calibri" w:eastAsia="Times New Roman" w:hAnsi="Calibri" w:cs="Calibri"/>
                <w:b/>
                <w:bCs/>
                <w:color w:val="FFFFFF"/>
                <w:lang w:val="en-GB" w:eastAsia="tr-TR" w:bidi="ar-SA"/>
              </w:rPr>
              <w:t>rand Total</w:t>
            </w:r>
          </w:p>
        </w:tc>
        <w:tc>
          <w:tcPr>
            <w:tcW w:w="1842"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84.957,72</w:t>
            </w:r>
          </w:p>
        </w:tc>
        <w:tc>
          <w:tcPr>
            <w:tcW w:w="993" w:type="dxa"/>
            <w:tcBorders>
              <w:top w:val="nil"/>
              <w:left w:val="nil"/>
              <w:bottom w:val="single" w:sz="8" w:space="0" w:color="auto"/>
              <w:right w:val="single" w:sz="8" w:space="0" w:color="auto"/>
            </w:tcBorders>
            <w:shd w:val="clear" w:color="000000" w:fill="FF5050"/>
            <w:noWrap/>
            <w:vAlign w:val="center"/>
            <w:hideMark/>
          </w:tcPr>
          <w:p w:rsidR="00AC6173" w:rsidRPr="00F876CB" w:rsidRDefault="00AC6173" w:rsidP="00AC6173">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r>
    </w:tbl>
    <w:p w:rsidR="00432B57" w:rsidRPr="00F876CB" w:rsidRDefault="00432B57" w:rsidP="00EF6DEB">
      <w:pPr>
        <w:spacing w:line="360" w:lineRule="auto"/>
        <w:ind w:firstLine="708"/>
        <w:jc w:val="both"/>
        <w:rPr>
          <w:rFonts w:asciiTheme="minorHAnsi" w:hAnsiTheme="minorHAnsi" w:cstheme="minorHAnsi"/>
          <w:sz w:val="24"/>
          <w:szCs w:val="24"/>
          <w:lang w:val="en-GB"/>
        </w:rPr>
      </w:pPr>
    </w:p>
    <w:p w:rsidR="006D7488" w:rsidRPr="000C4EFC" w:rsidRDefault="00201208" w:rsidP="000C4EFC">
      <w:pPr>
        <w:spacing w:line="360" w:lineRule="auto"/>
        <w:jc w:val="both"/>
        <w:rPr>
          <w:rFonts w:asciiTheme="minorHAnsi" w:hAnsiTheme="minorHAnsi" w:cstheme="minorHAnsi"/>
          <w:sz w:val="24"/>
          <w:szCs w:val="24"/>
          <w:lang w:val="en-GB"/>
        </w:rPr>
      </w:pPr>
      <w:r w:rsidRPr="00201208">
        <w:rPr>
          <w:rFonts w:asciiTheme="minorHAnsi" w:hAnsiTheme="minorHAnsi" w:cstheme="minorHAnsi"/>
          <w:sz w:val="24"/>
          <w:szCs w:val="24"/>
          <w:lang w:val="en-GB"/>
        </w:rPr>
        <w:t>Figure 1.16 shows the shares of the first 10 companies that had the highest share of licensed insta</w:t>
      </w:r>
      <w:r>
        <w:rPr>
          <w:rFonts w:asciiTheme="minorHAnsi" w:hAnsiTheme="minorHAnsi" w:cstheme="minorHAnsi"/>
          <w:sz w:val="24"/>
          <w:szCs w:val="24"/>
          <w:lang w:val="en-GB"/>
        </w:rPr>
        <w:t xml:space="preserve">lled capacity at the end of 2019. </w:t>
      </w:r>
      <w:r w:rsidR="00EC1BE4" w:rsidRPr="000C4EFC">
        <w:rPr>
          <w:rFonts w:asciiTheme="minorHAnsi" w:hAnsiTheme="minorHAnsi" w:cstheme="minorHAnsi"/>
          <w:sz w:val="24"/>
          <w:szCs w:val="24"/>
          <w:lang w:val="en-GB"/>
        </w:rPr>
        <w:t xml:space="preserve"> As can be seen from the figure, </w:t>
      </w:r>
      <w:r>
        <w:rPr>
          <w:rFonts w:asciiTheme="minorHAnsi" w:hAnsiTheme="minorHAnsi" w:cstheme="minorHAnsi"/>
          <w:sz w:val="24"/>
          <w:szCs w:val="24"/>
          <w:lang w:val="en-GB"/>
        </w:rPr>
        <w:t>first</w:t>
      </w:r>
      <w:r w:rsidR="00EC1BE4" w:rsidRPr="000C4EFC">
        <w:rPr>
          <w:rFonts w:asciiTheme="minorHAnsi" w:hAnsiTheme="minorHAnsi" w:cstheme="minorHAnsi"/>
          <w:sz w:val="24"/>
          <w:szCs w:val="24"/>
          <w:lang w:val="en-GB"/>
        </w:rPr>
        <w:t xml:space="preserve"> 10 companies </w:t>
      </w:r>
      <w:r>
        <w:rPr>
          <w:rFonts w:asciiTheme="minorHAnsi" w:hAnsiTheme="minorHAnsi" w:cstheme="minorHAnsi"/>
          <w:sz w:val="24"/>
          <w:szCs w:val="24"/>
          <w:lang w:val="en-GB"/>
        </w:rPr>
        <w:t>were</w:t>
      </w:r>
      <w:r w:rsidR="00EC1BE4" w:rsidRPr="000C4EFC">
        <w:rPr>
          <w:rFonts w:asciiTheme="minorHAnsi" w:hAnsiTheme="minorHAnsi" w:cstheme="minorHAnsi"/>
          <w:sz w:val="24"/>
          <w:szCs w:val="24"/>
          <w:lang w:val="en-GB"/>
        </w:rPr>
        <w:t xml:space="preserve"> EÜAŞ, </w:t>
      </w:r>
      <w:proofErr w:type="spellStart"/>
      <w:r w:rsidR="00EC1BE4" w:rsidRPr="000C4EFC">
        <w:rPr>
          <w:rFonts w:asciiTheme="minorHAnsi" w:hAnsiTheme="minorHAnsi" w:cstheme="minorHAnsi"/>
          <w:sz w:val="24"/>
          <w:szCs w:val="24"/>
          <w:lang w:val="en-GB"/>
        </w:rPr>
        <w:t>Eren</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Enerji</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A.Ş., </w:t>
      </w:r>
      <w:proofErr w:type="spellStart"/>
      <w:r w:rsidR="00EC1BE4" w:rsidRPr="000C4EFC">
        <w:rPr>
          <w:rFonts w:asciiTheme="minorHAnsi" w:hAnsiTheme="minorHAnsi" w:cstheme="minorHAnsi"/>
          <w:sz w:val="24"/>
          <w:szCs w:val="24"/>
          <w:lang w:val="en-GB"/>
        </w:rPr>
        <w:t>Enerjisa</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Enerji</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gramStart"/>
      <w:r w:rsidR="00EC1BE4" w:rsidRPr="000C4EFC">
        <w:rPr>
          <w:rFonts w:asciiTheme="minorHAnsi" w:hAnsiTheme="minorHAnsi" w:cstheme="minorHAnsi"/>
          <w:sz w:val="24"/>
          <w:szCs w:val="24"/>
          <w:lang w:val="en-GB"/>
        </w:rPr>
        <w:t>A.Ş. ,</w:t>
      </w:r>
      <w:proofErr w:type="gram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Gebze</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Ltd.Şti</w:t>
      </w:r>
      <w:proofErr w:type="spellEnd"/>
      <w:r w:rsidR="00EC1BE4" w:rsidRPr="000C4EFC">
        <w:rPr>
          <w:rFonts w:asciiTheme="minorHAnsi" w:hAnsiTheme="minorHAnsi" w:cstheme="minorHAnsi"/>
          <w:sz w:val="24"/>
          <w:szCs w:val="24"/>
          <w:lang w:val="en-GB"/>
        </w:rPr>
        <w:t xml:space="preserve">., İzmir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Ltd.Şti</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Afşin</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Elbistan</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ve</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Ticaret</w:t>
      </w:r>
      <w:proofErr w:type="spellEnd"/>
      <w:r w:rsidR="00EC1BE4" w:rsidRPr="000C4EFC">
        <w:rPr>
          <w:rFonts w:asciiTheme="minorHAnsi" w:hAnsiTheme="minorHAnsi" w:cstheme="minorHAnsi"/>
          <w:sz w:val="24"/>
          <w:szCs w:val="24"/>
          <w:lang w:val="en-GB"/>
        </w:rPr>
        <w:t xml:space="preserve"> A.Ş. , </w:t>
      </w:r>
      <w:proofErr w:type="spellStart"/>
      <w:r w:rsidR="00EC1BE4" w:rsidRPr="000C4EFC">
        <w:rPr>
          <w:rFonts w:asciiTheme="minorHAnsi" w:hAnsiTheme="minorHAnsi" w:cstheme="minorHAnsi"/>
          <w:sz w:val="24"/>
          <w:szCs w:val="24"/>
          <w:lang w:val="en-GB"/>
        </w:rPr>
        <w:t>Cenal</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A.Ş., İskenderun </w:t>
      </w:r>
      <w:proofErr w:type="spellStart"/>
      <w:r w:rsidR="00EC1BE4" w:rsidRPr="000C4EFC">
        <w:rPr>
          <w:rFonts w:asciiTheme="minorHAnsi" w:hAnsiTheme="minorHAnsi" w:cstheme="minorHAnsi"/>
          <w:sz w:val="24"/>
          <w:szCs w:val="24"/>
          <w:lang w:val="en-GB"/>
        </w:rPr>
        <w:t>Enerji</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Ve</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Ticaret</w:t>
      </w:r>
      <w:proofErr w:type="spellEnd"/>
      <w:r w:rsidR="00EC1BE4" w:rsidRPr="000C4EFC">
        <w:rPr>
          <w:rFonts w:asciiTheme="minorHAnsi" w:hAnsiTheme="minorHAnsi" w:cstheme="minorHAnsi"/>
          <w:sz w:val="24"/>
          <w:szCs w:val="24"/>
          <w:lang w:val="en-GB"/>
        </w:rPr>
        <w:t xml:space="preserve"> A.Ş. , </w:t>
      </w:r>
      <w:proofErr w:type="spellStart"/>
      <w:r w:rsidR="00EC1BE4" w:rsidRPr="000C4EFC">
        <w:rPr>
          <w:rFonts w:asciiTheme="minorHAnsi" w:hAnsiTheme="minorHAnsi" w:cstheme="minorHAnsi"/>
          <w:sz w:val="24"/>
          <w:szCs w:val="24"/>
          <w:lang w:val="en-GB"/>
        </w:rPr>
        <w:t>Hamitabat</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Elektrik</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Üretim</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Ve</w:t>
      </w:r>
      <w:proofErr w:type="spellEnd"/>
      <w:r w:rsidR="00EC1BE4" w:rsidRPr="000C4EFC">
        <w:rPr>
          <w:rFonts w:asciiTheme="minorHAnsi" w:hAnsiTheme="minorHAnsi" w:cstheme="minorHAnsi"/>
          <w:sz w:val="24"/>
          <w:szCs w:val="24"/>
          <w:lang w:val="en-GB"/>
        </w:rPr>
        <w:t xml:space="preserve"> </w:t>
      </w:r>
      <w:proofErr w:type="spellStart"/>
      <w:r w:rsidR="00EC1BE4" w:rsidRPr="000C4EFC">
        <w:rPr>
          <w:rFonts w:asciiTheme="minorHAnsi" w:hAnsiTheme="minorHAnsi" w:cstheme="minorHAnsi"/>
          <w:sz w:val="24"/>
          <w:szCs w:val="24"/>
          <w:lang w:val="en-GB"/>
        </w:rPr>
        <w:t>Ticaret</w:t>
      </w:r>
      <w:proofErr w:type="spellEnd"/>
      <w:r w:rsidR="00EC1BE4" w:rsidRPr="000C4EFC">
        <w:rPr>
          <w:rFonts w:asciiTheme="minorHAnsi" w:hAnsiTheme="minorHAnsi" w:cstheme="minorHAnsi"/>
          <w:sz w:val="24"/>
          <w:szCs w:val="24"/>
          <w:lang w:val="en-GB"/>
        </w:rPr>
        <w:t xml:space="preserve"> A.Ş. and </w:t>
      </w:r>
      <w:r w:rsidRPr="00201208">
        <w:rPr>
          <w:rFonts w:asciiTheme="minorHAnsi" w:hAnsiTheme="minorHAnsi" w:cstheme="minorHAnsi"/>
          <w:sz w:val="24"/>
          <w:szCs w:val="24"/>
          <w:lang w:val="en-GB"/>
        </w:rPr>
        <w:t xml:space="preserve">Atlas </w:t>
      </w:r>
      <w:proofErr w:type="spellStart"/>
      <w:r w:rsidRPr="00201208">
        <w:rPr>
          <w:rFonts w:asciiTheme="minorHAnsi" w:hAnsiTheme="minorHAnsi" w:cstheme="minorHAnsi"/>
          <w:sz w:val="24"/>
          <w:szCs w:val="24"/>
          <w:lang w:val="en-GB"/>
        </w:rPr>
        <w:t>Enerji</w:t>
      </w:r>
      <w:proofErr w:type="spellEnd"/>
      <w:r w:rsidRPr="00201208">
        <w:rPr>
          <w:rFonts w:asciiTheme="minorHAnsi" w:hAnsiTheme="minorHAnsi" w:cstheme="minorHAnsi"/>
          <w:sz w:val="24"/>
          <w:szCs w:val="24"/>
          <w:lang w:val="en-GB"/>
        </w:rPr>
        <w:t xml:space="preserve"> </w:t>
      </w:r>
      <w:proofErr w:type="spellStart"/>
      <w:r w:rsidRPr="00201208">
        <w:rPr>
          <w:rFonts w:asciiTheme="minorHAnsi" w:hAnsiTheme="minorHAnsi" w:cstheme="minorHAnsi"/>
          <w:sz w:val="24"/>
          <w:szCs w:val="24"/>
          <w:lang w:val="en-GB"/>
        </w:rPr>
        <w:t>Üretim</w:t>
      </w:r>
      <w:proofErr w:type="spellEnd"/>
      <w:r w:rsidRPr="00201208">
        <w:rPr>
          <w:rFonts w:asciiTheme="minorHAnsi" w:hAnsiTheme="minorHAnsi" w:cstheme="minorHAnsi"/>
          <w:sz w:val="24"/>
          <w:szCs w:val="24"/>
          <w:lang w:val="en-GB"/>
        </w:rPr>
        <w:t xml:space="preserve"> Sanayi A.Ş. respectively</w:t>
      </w:r>
      <w:r>
        <w:rPr>
          <w:rFonts w:asciiTheme="minorHAnsi" w:hAnsiTheme="minorHAnsi" w:cstheme="minorHAnsi"/>
          <w:sz w:val="24"/>
          <w:szCs w:val="24"/>
          <w:lang w:val="en-GB"/>
        </w:rPr>
        <w:t>.</w:t>
      </w:r>
    </w:p>
    <w:p w:rsidR="006E3E07" w:rsidRPr="00F876CB" w:rsidRDefault="00015994" w:rsidP="00B66CC5">
      <w:pPr>
        <w:pStyle w:val="Balk6"/>
        <w:rPr>
          <w:lang w:val="en-GB"/>
        </w:rPr>
      </w:pPr>
      <w:bookmarkStart w:id="213" w:name="_Toc44508372"/>
      <w:r w:rsidRPr="00F876CB">
        <w:rPr>
          <w:lang w:val="en-GB"/>
        </w:rPr>
        <w:lastRenderedPageBreak/>
        <w:t>Figure</w:t>
      </w:r>
      <w:r w:rsidR="00B66CC5" w:rsidRPr="00F876CB">
        <w:rPr>
          <w:lang w:val="en-GB"/>
        </w:rPr>
        <w:t xml:space="preserve"> </w:t>
      </w:r>
      <w:r w:rsidR="00853F79" w:rsidRPr="00F876CB">
        <w:rPr>
          <w:lang w:val="en-GB"/>
        </w:rPr>
        <w:t>1</w:t>
      </w:r>
      <w:r w:rsidR="00B66CC5" w:rsidRPr="00F876CB">
        <w:rPr>
          <w:lang w:val="en-GB"/>
        </w:rPr>
        <w:fldChar w:fldCharType="begin"/>
      </w:r>
      <w:r w:rsidR="00B66CC5" w:rsidRPr="00F876CB">
        <w:rPr>
          <w:lang w:val="en-GB"/>
        </w:rPr>
        <w:instrText xml:space="preserve"> STYLEREF 1 \s </w:instrText>
      </w:r>
      <w:r w:rsidR="00B66CC5" w:rsidRPr="00F876CB">
        <w:rPr>
          <w:lang w:val="en-GB"/>
        </w:rPr>
        <w:fldChar w:fldCharType="end"/>
      </w:r>
      <w:r w:rsidR="00B66CC5" w:rsidRPr="00F876CB">
        <w:rPr>
          <w:lang w:val="en-GB"/>
        </w:rPr>
        <w:t>.</w:t>
      </w:r>
      <w:r w:rsidR="00E71D7E" w:rsidRPr="00F876CB">
        <w:rPr>
          <w:lang w:val="en-GB"/>
        </w:rPr>
        <w:t>1</w:t>
      </w:r>
      <w:r w:rsidR="006D7488" w:rsidRPr="00F876CB">
        <w:rPr>
          <w:lang w:val="en-GB"/>
        </w:rPr>
        <w:t>6</w:t>
      </w:r>
      <w:r w:rsidR="00B66CC5" w:rsidRPr="00F876CB">
        <w:rPr>
          <w:lang w:val="en-GB"/>
        </w:rPr>
        <w:t xml:space="preserve">: </w:t>
      </w:r>
      <w:r w:rsidR="00477433" w:rsidRPr="00F876CB">
        <w:rPr>
          <w:lang w:val="en-GB"/>
        </w:rPr>
        <w:t xml:space="preserve">The Share of the First 10 Companies in Installed Capacity at the End of 2019 </w:t>
      </w:r>
      <w:r w:rsidR="002E3711" w:rsidRPr="00F876CB">
        <w:rPr>
          <w:lang w:val="en-GB"/>
        </w:rPr>
        <w:t>(%)</w:t>
      </w:r>
      <w:bookmarkEnd w:id="213"/>
    </w:p>
    <w:p w:rsidR="00001924" w:rsidRPr="00F876CB" w:rsidRDefault="000C4EFC" w:rsidP="006903CB">
      <w:pPr>
        <w:rPr>
          <w:lang w:val="en-GB"/>
        </w:rPr>
      </w:pPr>
      <w:bookmarkStart w:id="214" w:name="_Toc432164543"/>
      <w:r>
        <w:rPr>
          <w:noProof/>
          <w:lang w:eastAsia="tr-TR" w:bidi="ar-SA"/>
        </w:rPr>
        <w:drawing>
          <wp:inline distT="0" distB="0" distL="0" distR="0" wp14:anchorId="0722EB3D">
            <wp:extent cx="5612765" cy="3267075"/>
            <wp:effectExtent l="0" t="0" r="6985"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2765" cy="3267075"/>
                    </a:xfrm>
                    <a:prstGeom prst="rect">
                      <a:avLst/>
                    </a:prstGeom>
                    <a:noFill/>
                  </pic:spPr>
                </pic:pic>
              </a:graphicData>
            </a:graphic>
          </wp:inline>
        </w:drawing>
      </w:r>
    </w:p>
    <w:p w:rsidR="00001924" w:rsidRPr="00F876CB" w:rsidRDefault="00001924" w:rsidP="00E778B8">
      <w:pPr>
        <w:pStyle w:val="11ilebalayanlar"/>
        <w:rPr>
          <w:lang w:val="en-GB"/>
        </w:rPr>
      </w:pPr>
    </w:p>
    <w:p w:rsidR="00796EB1" w:rsidRPr="00F876CB" w:rsidRDefault="00E778B8" w:rsidP="00E778B8">
      <w:pPr>
        <w:pStyle w:val="11ilebalayanlar"/>
        <w:rPr>
          <w:lang w:val="en-GB"/>
        </w:rPr>
      </w:pPr>
      <w:bookmarkStart w:id="215" w:name="_Toc44508283"/>
      <w:r w:rsidRPr="00F876CB">
        <w:rPr>
          <w:lang w:val="en-GB"/>
        </w:rPr>
        <w:t>1.</w:t>
      </w:r>
      <w:r w:rsidR="00A32939" w:rsidRPr="00F876CB">
        <w:rPr>
          <w:lang w:val="en-GB"/>
        </w:rPr>
        <w:t>4</w:t>
      </w:r>
      <w:r w:rsidRPr="00F876CB">
        <w:rPr>
          <w:lang w:val="en-GB"/>
        </w:rPr>
        <w:t xml:space="preserve"> </w:t>
      </w:r>
      <w:r w:rsidR="00001924" w:rsidRPr="00F876CB">
        <w:rPr>
          <w:lang w:val="en-GB"/>
        </w:rPr>
        <w:t>Unlicensed Generation</w:t>
      </w:r>
      <w:bookmarkEnd w:id="215"/>
    </w:p>
    <w:p w:rsidR="006D7488" w:rsidRPr="00F876CB" w:rsidRDefault="006D7488" w:rsidP="00E778B8">
      <w:pPr>
        <w:pStyle w:val="11ilebalayanlar"/>
        <w:rPr>
          <w:lang w:val="en-GB"/>
        </w:rPr>
      </w:pPr>
    </w:p>
    <w:p w:rsidR="00D232AF" w:rsidRPr="00F876CB" w:rsidRDefault="00384A45" w:rsidP="00E778B8">
      <w:pPr>
        <w:pStyle w:val="11ilebalayanlar"/>
        <w:rPr>
          <w:lang w:val="en-GB"/>
        </w:rPr>
      </w:pPr>
      <w:r w:rsidRPr="00F876CB">
        <w:rPr>
          <w:lang w:val="en-GB"/>
        </w:rPr>
        <w:t xml:space="preserve"> </w:t>
      </w:r>
    </w:p>
    <w:p w:rsidR="00001924" w:rsidRPr="000C4EFC" w:rsidRDefault="00001924" w:rsidP="000C4EFC">
      <w:pPr>
        <w:spacing w:line="360" w:lineRule="auto"/>
        <w:jc w:val="both"/>
        <w:rPr>
          <w:rFonts w:asciiTheme="minorHAnsi" w:hAnsiTheme="minorHAnsi" w:cstheme="minorHAnsi"/>
          <w:sz w:val="24"/>
          <w:szCs w:val="24"/>
          <w:lang w:val="en-GB"/>
        </w:rPr>
      </w:pPr>
      <w:bookmarkStart w:id="216" w:name="_Toc10123833"/>
      <w:bookmarkStart w:id="217" w:name="_Toc12526209"/>
      <w:bookmarkEnd w:id="214"/>
      <w:r w:rsidRPr="000C4EFC">
        <w:rPr>
          <w:rFonts w:asciiTheme="minorHAnsi" w:hAnsiTheme="minorHAnsi" w:cstheme="minorHAnsi"/>
          <w:sz w:val="24"/>
          <w:szCs w:val="24"/>
          <w:lang w:val="en-GB"/>
        </w:rPr>
        <w:t xml:space="preserve">      In the first sub clause of Article 14 of the Electricity Market Law No. 6446, the production facilities exempted from the license to install and establish a company are as follows;</w:t>
      </w:r>
      <w:bookmarkEnd w:id="216"/>
      <w:bookmarkEnd w:id="217"/>
    </w:p>
    <w:p w:rsidR="006D7488" w:rsidRPr="00F876CB" w:rsidRDefault="006D7488" w:rsidP="00D232AF">
      <w:pPr>
        <w:spacing w:after="0" w:line="360" w:lineRule="auto"/>
        <w:ind w:firstLine="709"/>
        <w:jc w:val="both"/>
        <w:rPr>
          <w:rFonts w:asciiTheme="minorHAnsi" w:eastAsiaTheme="minorEastAsia" w:hAnsiTheme="minorHAnsi" w:cstheme="minorHAnsi"/>
          <w:sz w:val="24"/>
          <w:szCs w:val="24"/>
          <w:lang w:val="en-GB"/>
        </w:rPr>
      </w:pPr>
    </w:p>
    <w:p w:rsidR="00F4265F" w:rsidRPr="00F876CB" w:rsidRDefault="00F4265F" w:rsidP="00F4265F">
      <w:pPr>
        <w:tabs>
          <w:tab w:val="left" w:pos="566"/>
        </w:tabs>
        <w:spacing w:line="360" w:lineRule="auto"/>
        <w:jc w:val="both"/>
        <w:rPr>
          <w:rFonts w:ascii="Times New Roman" w:eastAsia="ヒラギノ明朝 Pro W3" w:hAnsi="Times New Roman" w:cs="Times New Roman"/>
          <w:i/>
          <w:sz w:val="24"/>
          <w:szCs w:val="24"/>
          <w:lang w:val="en-GB"/>
        </w:rPr>
      </w:pPr>
      <w:r w:rsidRPr="00F876CB">
        <w:rPr>
          <w:rFonts w:ascii="Times New Roman" w:eastAsiaTheme="minorEastAsia" w:hAnsi="Times New Roman" w:cs="Times New Roman"/>
          <w:sz w:val="24"/>
          <w:szCs w:val="24"/>
          <w:lang w:val="en-GB"/>
        </w:rPr>
        <w:t>“</w:t>
      </w:r>
      <w:r w:rsidRPr="00F876CB">
        <w:rPr>
          <w:rFonts w:ascii="Times New Roman" w:eastAsia="ヒラギノ明朝 Pro W3" w:hAnsi="Times New Roman" w:cs="Times New Roman"/>
          <w:i/>
          <w:sz w:val="24"/>
          <w:szCs w:val="24"/>
          <w:lang w:val="en-GB"/>
        </w:rPr>
        <w:t>a) Generation facilities not connected to emergency generator groups or transmission or distribution systems</w:t>
      </w:r>
    </w:p>
    <w:p w:rsidR="00F4265F" w:rsidRPr="00F876CB" w:rsidRDefault="00F4265F" w:rsidP="00F4265F">
      <w:pPr>
        <w:tabs>
          <w:tab w:val="left" w:pos="566"/>
        </w:tabs>
        <w:spacing w:line="360" w:lineRule="auto"/>
        <w:jc w:val="both"/>
        <w:rPr>
          <w:rFonts w:ascii="Times New Roman" w:eastAsia="ヒラギノ明朝 Pro W3" w:hAnsi="Times New Roman" w:cs="Times New Roman"/>
          <w:i/>
          <w:sz w:val="24"/>
          <w:szCs w:val="24"/>
          <w:lang w:val="en-GB"/>
        </w:rPr>
      </w:pPr>
      <w:r w:rsidRPr="00F876CB">
        <w:rPr>
          <w:rFonts w:ascii="Times New Roman" w:eastAsia="ヒラギノ明朝 Pro W3" w:hAnsi="Times New Roman" w:cs="Times New Roman"/>
          <w:i/>
          <w:sz w:val="24"/>
          <w:szCs w:val="24"/>
          <w:lang w:val="en-GB"/>
        </w:rPr>
        <w:t xml:space="preserve">b) Generation facilities with the installed power based on maximum one-megawatt renewable energy sources </w:t>
      </w:r>
    </w:p>
    <w:p w:rsidR="00F4265F" w:rsidRPr="00F876CB" w:rsidRDefault="00F4265F" w:rsidP="00F4265F">
      <w:pPr>
        <w:tabs>
          <w:tab w:val="left" w:pos="566"/>
        </w:tabs>
        <w:spacing w:line="360" w:lineRule="auto"/>
        <w:jc w:val="both"/>
        <w:rPr>
          <w:rFonts w:ascii="Times New Roman" w:eastAsia="ヒラギノ明朝 Pro W3" w:hAnsi="Times New Roman" w:cs="Times New Roman"/>
          <w:i/>
          <w:sz w:val="24"/>
          <w:szCs w:val="24"/>
          <w:lang w:val="en-GB"/>
        </w:rPr>
      </w:pPr>
      <w:r w:rsidRPr="00F876CB">
        <w:rPr>
          <w:rFonts w:ascii="Times New Roman" w:eastAsia="ヒラギノ明朝 Pro W3" w:hAnsi="Times New Roman" w:cs="Times New Roman"/>
          <w:i/>
          <w:sz w:val="24"/>
          <w:szCs w:val="24"/>
          <w:lang w:val="en-GB"/>
        </w:rPr>
        <w:t>c) Electricity generation facilities of municipalities installed to dispose the sludge of solid waste facilities and of treatment plants</w:t>
      </w:r>
    </w:p>
    <w:p w:rsidR="00F4265F" w:rsidRPr="00F876CB" w:rsidRDefault="00F4265F" w:rsidP="00F4265F">
      <w:pPr>
        <w:tabs>
          <w:tab w:val="left" w:pos="566"/>
        </w:tabs>
        <w:spacing w:line="360" w:lineRule="auto"/>
        <w:jc w:val="both"/>
        <w:rPr>
          <w:rFonts w:ascii="Times New Roman" w:eastAsia="ヒラギノ明朝 Pro W3" w:hAnsi="Times New Roman" w:cs="Times New Roman"/>
          <w:i/>
          <w:sz w:val="24"/>
          <w:szCs w:val="24"/>
          <w:lang w:val="en-GB"/>
        </w:rPr>
      </w:pPr>
      <w:r w:rsidRPr="00F876CB">
        <w:rPr>
          <w:rFonts w:ascii="Times New Roman" w:eastAsia="ヒラギノ明朝 Pro W3" w:hAnsi="Times New Roman" w:cs="Times New Roman"/>
          <w:i/>
          <w:sz w:val="24"/>
          <w:szCs w:val="24"/>
          <w:lang w:val="en-GB"/>
        </w:rPr>
        <w:t>d) Those of micro-cogeneration facilities and cogeneration facilities having the productivity value to be determined by the Ministry, and in the category to be determined by the Board</w:t>
      </w:r>
    </w:p>
    <w:p w:rsidR="00F4265F" w:rsidRPr="00F876CB" w:rsidRDefault="00F4265F" w:rsidP="00F4265F">
      <w:pPr>
        <w:spacing w:line="360" w:lineRule="auto"/>
        <w:jc w:val="both"/>
        <w:rPr>
          <w:rFonts w:ascii="Times New Roman" w:hAnsi="Times New Roman" w:cs="Times New Roman"/>
          <w:i/>
          <w:sz w:val="24"/>
          <w:szCs w:val="24"/>
          <w:lang w:val="en-GB"/>
        </w:rPr>
      </w:pPr>
      <w:r w:rsidRPr="00F876CB">
        <w:rPr>
          <w:rFonts w:ascii="Times New Roman" w:hAnsi="Times New Roman" w:cs="Times New Roman"/>
          <w:i/>
          <w:sz w:val="24"/>
          <w:szCs w:val="24"/>
          <w:lang w:val="en-GB"/>
        </w:rPr>
        <w:lastRenderedPageBreak/>
        <w:t>e) (Attachment: 21/3 / 2018-7103 / 84 art.) Market activities carried out within the scope of the limits determined by the Board and electricity storage and demand side participation within the framework of the procedures and principles determined by the Ministry.</w:t>
      </w:r>
    </w:p>
    <w:p w:rsidR="009223C6" w:rsidRPr="00F876CB" w:rsidRDefault="00F4265F" w:rsidP="00F4265F">
      <w:pPr>
        <w:spacing w:after="0" w:line="360" w:lineRule="auto"/>
        <w:jc w:val="both"/>
        <w:rPr>
          <w:rFonts w:ascii="Times New Roman" w:hAnsi="Times New Roman" w:cs="Times New Roman"/>
          <w:i/>
          <w:sz w:val="24"/>
          <w:szCs w:val="24"/>
          <w:lang w:val="en-GB"/>
        </w:rPr>
      </w:pPr>
      <w:r w:rsidRPr="00F876CB">
        <w:rPr>
          <w:rFonts w:ascii="Times New Roman" w:hAnsi="Times New Roman" w:cs="Times New Roman"/>
          <w:i/>
          <w:sz w:val="24"/>
          <w:szCs w:val="24"/>
          <w:lang w:val="en-GB"/>
        </w:rPr>
        <w:t xml:space="preserve">f) (Attachment: 19/4 / 2018-7139 / 56 art.) Electricity subscription </w:t>
      </w:r>
      <w:proofErr w:type="gramStart"/>
      <w:r w:rsidRPr="00F876CB">
        <w:rPr>
          <w:rFonts w:ascii="Times New Roman" w:hAnsi="Times New Roman" w:cs="Times New Roman"/>
          <w:i/>
          <w:sz w:val="24"/>
          <w:szCs w:val="24"/>
          <w:lang w:val="en-GB"/>
        </w:rPr>
        <w:t>In</w:t>
      </w:r>
      <w:proofErr w:type="gramEnd"/>
      <w:r w:rsidRPr="00F876CB">
        <w:rPr>
          <w:rFonts w:ascii="Times New Roman" w:hAnsi="Times New Roman" w:cs="Times New Roman"/>
          <w:i/>
          <w:sz w:val="24"/>
          <w:szCs w:val="24"/>
          <w:lang w:val="en-GB"/>
        </w:rPr>
        <w:t xml:space="preserve"> order to meet the electricity needs of the agricultural irrigation facilities owned by the General Directorate of State Hydraulic Works, the contract power of the installed power agricultural irrigation plant is production facility based on renewable energy sources established and operated by the General Directorate of State Hydraulic Works, provided that the total</w:t>
      </w:r>
    </w:p>
    <w:p w:rsidR="006903CB" w:rsidRPr="00F876CB" w:rsidRDefault="006903CB" w:rsidP="006903CB">
      <w:pPr>
        <w:spacing w:line="360" w:lineRule="auto"/>
        <w:jc w:val="both"/>
        <w:rPr>
          <w:rFonts w:asciiTheme="minorHAnsi" w:eastAsiaTheme="minorEastAsia" w:hAnsiTheme="minorHAnsi" w:cstheme="minorHAnsi"/>
          <w:sz w:val="24"/>
          <w:szCs w:val="24"/>
          <w:lang w:val="en-GB"/>
        </w:rPr>
      </w:pPr>
    </w:p>
    <w:p w:rsidR="005E0399" w:rsidRPr="00F876CB" w:rsidRDefault="006903CB" w:rsidP="006903CB">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The current status of unlicensed electricity generation applications by 2019 is shown in Table 1.4.</w:t>
      </w:r>
    </w:p>
    <w:p w:rsidR="008A5016" w:rsidRPr="00F876CB" w:rsidRDefault="00015994" w:rsidP="006903CB">
      <w:pPr>
        <w:pStyle w:val="Balk5"/>
        <w:rPr>
          <w:rFonts w:eastAsiaTheme="minorEastAsia"/>
          <w:lang w:val="en-GB"/>
        </w:rPr>
      </w:pPr>
      <w:bookmarkStart w:id="218" w:name="_Toc44508320"/>
      <w:r w:rsidRPr="00F876CB">
        <w:rPr>
          <w:lang w:val="en-GB"/>
        </w:rPr>
        <w:t>Table</w:t>
      </w:r>
      <w:r w:rsidR="008A5016" w:rsidRPr="00F876CB">
        <w:rPr>
          <w:lang w:val="en-GB"/>
        </w:rPr>
        <w:t xml:space="preserve"> </w:t>
      </w:r>
      <w:r w:rsidR="00853F79" w:rsidRPr="00F876CB">
        <w:rPr>
          <w:lang w:val="en-GB"/>
        </w:rPr>
        <w:t>1</w:t>
      </w:r>
      <w:r w:rsidR="008A5016" w:rsidRPr="00F876CB">
        <w:rPr>
          <w:lang w:val="en-GB"/>
        </w:rPr>
        <w:fldChar w:fldCharType="begin"/>
      </w:r>
      <w:r w:rsidR="008A5016" w:rsidRPr="00F876CB">
        <w:rPr>
          <w:lang w:val="en-GB"/>
        </w:rPr>
        <w:instrText xml:space="preserve"> STYLEREF 1 \s </w:instrText>
      </w:r>
      <w:r w:rsidR="008A5016" w:rsidRPr="00F876CB">
        <w:rPr>
          <w:lang w:val="en-GB"/>
        </w:rPr>
        <w:fldChar w:fldCharType="end"/>
      </w:r>
      <w:r w:rsidR="008A5016" w:rsidRPr="00F876CB">
        <w:rPr>
          <w:lang w:val="en-GB"/>
        </w:rPr>
        <w:t xml:space="preserve">.4: </w:t>
      </w:r>
      <w:r w:rsidR="00FD4740" w:rsidRPr="00F876CB">
        <w:rPr>
          <w:rStyle w:val="Balk1Char"/>
          <w:b/>
          <w:bCs/>
          <w:lang w:val="en-GB"/>
        </w:rPr>
        <w:t>The Status of Unlicensed Electricity Generation Applications by the End of 2019</w:t>
      </w:r>
      <w:r w:rsidR="002E3711" w:rsidRPr="00F876CB">
        <w:rPr>
          <w:lang w:val="en-GB"/>
        </w:rPr>
        <w:t>(</w:t>
      </w:r>
      <w:proofErr w:type="spellStart"/>
      <w:r w:rsidR="002E3711" w:rsidRPr="00F876CB">
        <w:rPr>
          <w:lang w:val="en-GB"/>
        </w:rPr>
        <w:t>MWe</w:t>
      </w:r>
      <w:proofErr w:type="spellEnd"/>
      <w:r w:rsidR="002E3711" w:rsidRPr="00F876CB">
        <w:rPr>
          <w:lang w:val="en-GB"/>
        </w:rPr>
        <w:t>)</w:t>
      </w:r>
      <w:bookmarkEnd w:id="218"/>
    </w:p>
    <w:tbl>
      <w:tblPr>
        <w:tblW w:w="9700" w:type="dxa"/>
        <w:tblInd w:w="80" w:type="dxa"/>
        <w:tblCellMar>
          <w:left w:w="70" w:type="dxa"/>
          <w:right w:w="70" w:type="dxa"/>
        </w:tblCellMar>
        <w:tblLook w:val="04A0" w:firstRow="1" w:lastRow="0" w:firstColumn="1" w:lastColumn="0" w:noHBand="0" w:noVBand="1"/>
      </w:tblPr>
      <w:tblGrid>
        <w:gridCol w:w="1193"/>
        <w:gridCol w:w="678"/>
        <w:gridCol w:w="787"/>
        <w:gridCol w:w="834"/>
        <w:gridCol w:w="568"/>
        <w:gridCol w:w="704"/>
        <w:gridCol w:w="941"/>
        <w:gridCol w:w="623"/>
        <w:gridCol w:w="657"/>
        <w:gridCol w:w="650"/>
        <w:gridCol w:w="892"/>
        <w:gridCol w:w="691"/>
        <w:gridCol w:w="941"/>
      </w:tblGrid>
      <w:tr w:rsidR="002B73FA" w:rsidRPr="00F876CB" w:rsidTr="000C4EFC">
        <w:trPr>
          <w:trHeight w:val="539"/>
        </w:trPr>
        <w:tc>
          <w:tcPr>
            <w:tcW w:w="1187"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Status</w:t>
            </w:r>
            <w:r w:rsidR="002B73FA" w:rsidRPr="00F876CB">
              <w:rPr>
                <w:rFonts w:ascii="Calibri" w:eastAsia="Times New Roman" w:hAnsi="Calibri" w:cs="Calibri"/>
                <w:b/>
                <w:bCs/>
                <w:color w:val="FFFFFF"/>
                <w:sz w:val="18"/>
                <w:szCs w:val="18"/>
                <w:lang w:val="en-GB" w:eastAsia="tr-TR" w:bidi="ar-SA"/>
              </w:rPr>
              <w:t>/</w:t>
            </w:r>
            <w:r w:rsidRPr="00F876CB">
              <w:rPr>
                <w:rFonts w:ascii="Calibri" w:eastAsia="Times New Roman" w:hAnsi="Calibri" w:cs="Calibri"/>
                <w:b/>
                <w:bCs/>
                <w:color w:val="FFFFFF"/>
                <w:sz w:val="18"/>
                <w:szCs w:val="18"/>
                <w:lang w:val="en-GB" w:eastAsia="tr-TR" w:bidi="ar-SA"/>
              </w:rPr>
              <w:t>Source</w:t>
            </w:r>
          </w:p>
        </w:tc>
        <w:tc>
          <w:tcPr>
            <w:tcW w:w="629"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Stream</w:t>
            </w:r>
          </w:p>
        </w:tc>
        <w:tc>
          <w:tcPr>
            <w:tcW w:w="787"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2B73FA"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Bi</w:t>
            </w:r>
            <w:r w:rsidR="00A633F4" w:rsidRPr="00F876CB">
              <w:rPr>
                <w:rFonts w:ascii="Calibri" w:eastAsia="Times New Roman" w:hAnsi="Calibri" w:cs="Calibri"/>
                <w:b/>
                <w:bCs/>
                <w:color w:val="FFFFFF"/>
                <w:sz w:val="18"/>
                <w:szCs w:val="18"/>
                <w:lang w:val="en-GB" w:eastAsia="tr-TR" w:bidi="ar-SA"/>
              </w:rPr>
              <w:t>omass</w:t>
            </w:r>
          </w:p>
        </w:tc>
        <w:tc>
          <w:tcPr>
            <w:tcW w:w="774" w:type="dxa"/>
            <w:tcBorders>
              <w:top w:val="single" w:sz="8" w:space="0" w:color="auto"/>
              <w:left w:val="nil"/>
              <w:bottom w:val="single" w:sz="4" w:space="0" w:color="auto"/>
              <w:right w:val="single" w:sz="4" w:space="0" w:color="auto"/>
            </w:tcBorders>
            <w:shd w:val="clear" w:color="000000" w:fill="FF0000"/>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Multifuel</w:t>
            </w:r>
          </w:p>
        </w:tc>
        <w:tc>
          <w:tcPr>
            <w:tcW w:w="527"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Wave</w:t>
            </w:r>
          </w:p>
        </w:tc>
        <w:tc>
          <w:tcPr>
            <w:tcW w:w="698" w:type="dxa"/>
            <w:tcBorders>
              <w:top w:val="single" w:sz="8" w:space="0" w:color="auto"/>
              <w:left w:val="nil"/>
              <w:bottom w:val="single" w:sz="4" w:space="0" w:color="auto"/>
              <w:right w:val="single" w:sz="4" w:space="0" w:color="auto"/>
            </w:tcBorders>
            <w:shd w:val="clear" w:color="000000" w:fill="FF0000"/>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Natural gas</w:t>
            </w:r>
          </w:p>
        </w:tc>
        <w:tc>
          <w:tcPr>
            <w:tcW w:w="873" w:type="dxa"/>
            <w:tcBorders>
              <w:top w:val="single" w:sz="8" w:space="0" w:color="auto"/>
              <w:left w:val="nil"/>
              <w:bottom w:val="single" w:sz="4" w:space="0" w:color="auto"/>
              <w:right w:val="single" w:sz="4" w:space="0" w:color="auto"/>
            </w:tcBorders>
            <w:shd w:val="clear" w:color="000000" w:fill="FF0000"/>
            <w:vAlign w:val="center"/>
            <w:hideMark/>
          </w:tcPr>
          <w:p w:rsidR="002B73FA" w:rsidRPr="00F876CB" w:rsidRDefault="00A633F4"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Solar</w:t>
            </w:r>
            <w:r w:rsidR="002B73FA" w:rsidRPr="00F876CB">
              <w:rPr>
                <w:rFonts w:ascii="Calibri" w:eastAsia="Times New Roman" w:hAnsi="Calibri" w:cs="Calibri"/>
                <w:b/>
                <w:bCs/>
                <w:color w:val="FFFFFF"/>
                <w:sz w:val="18"/>
                <w:szCs w:val="18"/>
                <w:lang w:val="en-GB" w:eastAsia="tr-TR" w:bidi="ar-SA"/>
              </w:rPr>
              <w:t xml:space="preserve"> </w:t>
            </w:r>
            <w:r w:rsidR="002B73FA" w:rsidRPr="00F876CB">
              <w:rPr>
                <w:rFonts w:ascii="Calibri" w:eastAsia="Times New Roman" w:hAnsi="Calibri" w:cs="Calibri"/>
                <w:b/>
                <w:bCs/>
                <w:color w:val="FFFFFF"/>
                <w:sz w:val="18"/>
                <w:szCs w:val="18"/>
                <w:lang w:val="en-GB" w:eastAsia="tr-TR" w:bidi="ar-SA"/>
              </w:rPr>
              <w:br/>
              <w:t xml:space="preserve"> (</w:t>
            </w:r>
            <w:r w:rsidR="00C2321B" w:rsidRPr="00F876CB">
              <w:rPr>
                <w:rFonts w:ascii="Calibri" w:eastAsia="Times New Roman" w:hAnsi="Calibri" w:cs="Calibri"/>
                <w:b/>
                <w:bCs/>
                <w:color w:val="FFFFFF"/>
                <w:sz w:val="18"/>
                <w:szCs w:val="18"/>
                <w:lang w:val="en-GB" w:eastAsia="tr-TR" w:bidi="ar-SA"/>
              </w:rPr>
              <w:t>PV</w:t>
            </w:r>
            <w:r w:rsidR="002B73FA" w:rsidRPr="00F876CB">
              <w:rPr>
                <w:rFonts w:ascii="Calibri" w:eastAsia="Times New Roman" w:hAnsi="Calibri" w:cs="Calibri"/>
                <w:b/>
                <w:bCs/>
                <w:color w:val="FFFFFF"/>
                <w:sz w:val="18"/>
                <w:szCs w:val="18"/>
                <w:lang w:val="en-GB" w:eastAsia="tr-TR" w:bidi="ar-SA"/>
              </w:rPr>
              <w:t>)</w:t>
            </w:r>
          </w:p>
        </w:tc>
        <w:tc>
          <w:tcPr>
            <w:tcW w:w="623" w:type="dxa"/>
            <w:tcBorders>
              <w:top w:val="single" w:sz="8" w:space="0" w:color="auto"/>
              <w:left w:val="nil"/>
              <w:bottom w:val="single" w:sz="4" w:space="0" w:color="auto"/>
              <w:right w:val="single" w:sz="4" w:space="0" w:color="auto"/>
            </w:tcBorders>
            <w:shd w:val="clear" w:color="000000" w:fill="FF0000"/>
            <w:vAlign w:val="center"/>
            <w:hideMark/>
          </w:tcPr>
          <w:p w:rsidR="002B73FA" w:rsidRPr="00F876CB" w:rsidRDefault="00C2321B"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Solar</w:t>
            </w:r>
            <w:r w:rsidR="002B73FA" w:rsidRPr="00F876CB">
              <w:rPr>
                <w:rFonts w:ascii="Calibri" w:eastAsia="Times New Roman" w:hAnsi="Calibri" w:cs="Calibri"/>
                <w:b/>
                <w:bCs/>
                <w:color w:val="FFFFFF"/>
                <w:sz w:val="18"/>
                <w:szCs w:val="18"/>
                <w:lang w:val="en-GB" w:eastAsia="tr-TR" w:bidi="ar-SA"/>
              </w:rPr>
              <w:t xml:space="preserve"> </w:t>
            </w:r>
            <w:r w:rsidR="002B73FA" w:rsidRPr="00F876CB">
              <w:rPr>
                <w:rFonts w:ascii="Calibri" w:eastAsia="Times New Roman" w:hAnsi="Calibri" w:cs="Calibri"/>
                <w:b/>
                <w:bCs/>
                <w:color w:val="FFFFFF"/>
                <w:sz w:val="18"/>
                <w:szCs w:val="18"/>
                <w:lang w:val="en-GB" w:eastAsia="tr-TR" w:bidi="ar-SA"/>
              </w:rPr>
              <w:br/>
              <w:t>(</w:t>
            </w:r>
            <w:r w:rsidRPr="00F876CB">
              <w:rPr>
                <w:rFonts w:ascii="Calibri" w:eastAsia="Times New Roman" w:hAnsi="Calibri" w:cs="Calibri"/>
                <w:b/>
                <w:bCs/>
                <w:color w:val="FFFFFF"/>
                <w:sz w:val="18"/>
                <w:szCs w:val="18"/>
                <w:lang w:val="en-GB" w:eastAsia="tr-TR" w:bidi="ar-SA"/>
              </w:rPr>
              <w:t>CSP</w:t>
            </w:r>
            <w:r w:rsidR="002B73FA" w:rsidRPr="00F876CB">
              <w:rPr>
                <w:rFonts w:ascii="Calibri" w:eastAsia="Times New Roman" w:hAnsi="Calibri" w:cs="Calibri"/>
                <w:b/>
                <w:bCs/>
                <w:color w:val="FFFFFF"/>
                <w:sz w:val="18"/>
                <w:szCs w:val="18"/>
                <w:lang w:val="en-GB" w:eastAsia="tr-TR" w:bidi="ar-SA"/>
              </w:rPr>
              <w:t>)</w:t>
            </w:r>
          </w:p>
        </w:tc>
        <w:tc>
          <w:tcPr>
            <w:tcW w:w="657"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2B73FA"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H</w:t>
            </w:r>
            <w:r w:rsidR="00C2321B" w:rsidRPr="00F876CB">
              <w:rPr>
                <w:rFonts w:ascii="Calibri" w:eastAsia="Times New Roman" w:hAnsi="Calibri" w:cs="Calibri"/>
                <w:b/>
                <w:bCs/>
                <w:color w:val="FFFFFF"/>
                <w:sz w:val="18"/>
                <w:szCs w:val="18"/>
                <w:lang w:val="en-GB" w:eastAsia="tr-TR" w:bidi="ar-SA"/>
              </w:rPr>
              <w:t>ydro</w:t>
            </w:r>
          </w:p>
        </w:tc>
        <w:tc>
          <w:tcPr>
            <w:tcW w:w="603"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C2321B" w:rsidP="00C2321B">
            <w:pPr>
              <w:spacing w:after="0" w:line="240" w:lineRule="auto"/>
              <w:jc w:val="center"/>
              <w:rPr>
                <w:rFonts w:ascii="Calibri" w:eastAsia="Times New Roman" w:hAnsi="Calibri" w:cs="Calibri"/>
                <w:b/>
                <w:bCs/>
                <w:color w:val="FFFFFF"/>
                <w:sz w:val="18"/>
                <w:szCs w:val="18"/>
                <w:lang w:val="en-GB" w:eastAsia="tr-TR" w:bidi="ar-SA"/>
              </w:rPr>
            </w:pPr>
            <w:proofErr w:type="spellStart"/>
            <w:r w:rsidRPr="00F876CB">
              <w:rPr>
                <w:rFonts w:ascii="Calibri" w:eastAsia="Times New Roman" w:hAnsi="Calibri" w:cs="Calibri"/>
                <w:b/>
                <w:bCs/>
                <w:color w:val="FFFFFF"/>
                <w:sz w:val="18"/>
                <w:szCs w:val="18"/>
                <w:lang w:val="en-GB" w:eastAsia="tr-TR" w:bidi="ar-SA"/>
              </w:rPr>
              <w:t>Geoth</w:t>
            </w:r>
            <w:proofErr w:type="spellEnd"/>
            <w:r w:rsidRPr="00F876CB">
              <w:rPr>
                <w:rFonts w:ascii="Calibri" w:eastAsia="Times New Roman" w:hAnsi="Calibri" w:cs="Calibri"/>
                <w:b/>
                <w:bCs/>
                <w:color w:val="FFFFFF"/>
                <w:sz w:val="18"/>
                <w:szCs w:val="18"/>
                <w:lang w:val="en-GB" w:eastAsia="tr-TR" w:bidi="ar-SA"/>
              </w:rPr>
              <w:t>.</w:t>
            </w:r>
            <w:r w:rsidR="002B73FA" w:rsidRPr="00F876CB">
              <w:rPr>
                <w:rFonts w:ascii="Calibri" w:eastAsia="Times New Roman" w:hAnsi="Calibri" w:cs="Calibri"/>
                <w:b/>
                <w:bCs/>
                <w:color w:val="FFFFFF"/>
                <w:sz w:val="18"/>
                <w:szCs w:val="18"/>
                <w:lang w:val="en-GB" w:eastAsia="tr-TR" w:bidi="ar-SA"/>
              </w:rPr>
              <w:t xml:space="preserve"> </w:t>
            </w:r>
          </w:p>
        </w:tc>
        <w:tc>
          <w:tcPr>
            <w:tcW w:w="828" w:type="dxa"/>
            <w:tcBorders>
              <w:top w:val="single" w:sz="8" w:space="0" w:color="auto"/>
              <w:left w:val="nil"/>
              <w:bottom w:val="single" w:sz="4" w:space="0" w:color="auto"/>
              <w:right w:val="single" w:sz="4" w:space="0" w:color="auto"/>
            </w:tcBorders>
            <w:shd w:val="clear" w:color="000000" w:fill="FF0000"/>
            <w:vAlign w:val="center"/>
            <w:hideMark/>
          </w:tcPr>
          <w:p w:rsidR="002B73FA" w:rsidRPr="00F876CB" w:rsidRDefault="00C2321B"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Oil derivative</w:t>
            </w:r>
          </w:p>
        </w:tc>
        <w:tc>
          <w:tcPr>
            <w:tcW w:w="641" w:type="dxa"/>
            <w:tcBorders>
              <w:top w:val="single" w:sz="8" w:space="0" w:color="auto"/>
              <w:left w:val="nil"/>
              <w:bottom w:val="single" w:sz="4" w:space="0" w:color="auto"/>
              <w:right w:val="single" w:sz="4" w:space="0" w:color="auto"/>
            </w:tcBorders>
            <w:shd w:val="clear" w:color="000000" w:fill="FF0000"/>
            <w:noWrap/>
            <w:vAlign w:val="center"/>
            <w:hideMark/>
          </w:tcPr>
          <w:p w:rsidR="002B73FA" w:rsidRPr="00F876CB" w:rsidRDefault="00C2321B" w:rsidP="002B73FA">
            <w:pPr>
              <w:spacing w:after="0" w:line="240" w:lineRule="auto"/>
              <w:jc w:val="center"/>
              <w:rPr>
                <w:rFonts w:ascii="Calibri" w:eastAsia="Times New Roman" w:hAnsi="Calibri" w:cs="Calibri"/>
                <w:b/>
                <w:bCs/>
                <w:color w:val="FFFFFF"/>
                <w:sz w:val="18"/>
                <w:szCs w:val="18"/>
                <w:lang w:val="en-GB" w:eastAsia="tr-TR" w:bidi="ar-SA"/>
              </w:rPr>
            </w:pPr>
            <w:r w:rsidRPr="00F876CB">
              <w:rPr>
                <w:rFonts w:ascii="Calibri" w:eastAsia="Times New Roman" w:hAnsi="Calibri" w:cs="Calibri"/>
                <w:b/>
                <w:bCs/>
                <w:color w:val="FFFFFF"/>
                <w:sz w:val="18"/>
                <w:szCs w:val="18"/>
                <w:lang w:val="en-GB" w:eastAsia="tr-TR" w:bidi="ar-SA"/>
              </w:rPr>
              <w:t>Wind</w:t>
            </w:r>
          </w:p>
        </w:tc>
        <w:tc>
          <w:tcPr>
            <w:tcW w:w="873" w:type="dxa"/>
            <w:tcBorders>
              <w:top w:val="single" w:sz="8" w:space="0" w:color="auto"/>
              <w:left w:val="nil"/>
              <w:bottom w:val="single" w:sz="4" w:space="0" w:color="auto"/>
              <w:right w:val="single" w:sz="8" w:space="0" w:color="auto"/>
            </w:tcBorders>
            <w:shd w:val="clear" w:color="000000" w:fill="FF0000"/>
            <w:vAlign w:val="center"/>
            <w:hideMark/>
          </w:tcPr>
          <w:p w:rsidR="002B73FA" w:rsidRPr="00F876CB" w:rsidRDefault="000C4EFC" w:rsidP="002B73FA">
            <w:pPr>
              <w:spacing w:after="0" w:line="240" w:lineRule="auto"/>
              <w:jc w:val="center"/>
              <w:rPr>
                <w:rFonts w:ascii="Calibri" w:eastAsia="Times New Roman" w:hAnsi="Calibri" w:cs="Calibri"/>
                <w:b/>
                <w:bCs/>
                <w:color w:val="FFFFFF"/>
                <w:sz w:val="18"/>
                <w:szCs w:val="18"/>
                <w:lang w:val="en-GB" w:eastAsia="tr-TR" w:bidi="ar-SA"/>
              </w:rPr>
            </w:pPr>
            <w:r>
              <w:rPr>
                <w:rFonts w:ascii="Calibri" w:eastAsia="Times New Roman" w:hAnsi="Calibri" w:cs="Calibri"/>
                <w:b/>
                <w:bCs/>
                <w:color w:val="FFFFFF"/>
                <w:sz w:val="18"/>
                <w:szCs w:val="18"/>
                <w:lang w:val="en-GB" w:eastAsia="tr-TR" w:bidi="ar-SA"/>
              </w:rPr>
              <w:t xml:space="preserve">Total </w:t>
            </w:r>
          </w:p>
        </w:tc>
      </w:tr>
      <w:tr w:rsidR="002B73FA" w:rsidRPr="00F876CB" w:rsidTr="000C4EFC">
        <w:trPr>
          <w:trHeight w:val="539"/>
        </w:trPr>
        <w:tc>
          <w:tcPr>
            <w:tcW w:w="1187" w:type="dxa"/>
            <w:tcBorders>
              <w:top w:val="single" w:sz="4" w:space="0" w:color="auto"/>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Application period for connection agreement has expired</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35,35</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6,80</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84,55</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683,67</w:t>
            </w:r>
          </w:p>
        </w:tc>
        <w:tc>
          <w:tcPr>
            <w:tcW w:w="623"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0,10</w:t>
            </w:r>
          </w:p>
        </w:tc>
        <w:tc>
          <w:tcPr>
            <w:tcW w:w="657"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8,78</w:t>
            </w:r>
          </w:p>
        </w:tc>
        <w:tc>
          <w:tcPr>
            <w:tcW w:w="603"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single" w:sz="4" w:space="0" w:color="auto"/>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39,34</w:t>
            </w:r>
          </w:p>
        </w:tc>
        <w:tc>
          <w:tcPr>
            <w:tcW w:w="873" w:type="dxa"/>
            <w:tcBorders>
              <w:top w:val="single" w:sz="4" w:space="0" w:color="auto"/>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858,58</w:t>
            </w:r>
          </w:p>
        </w:tc>
      </w:tr>
      <w:tr w:rsidR="002B73FA" w:rsidRPr="00F876CB" w:rsidTr="000C4EFC">
        <w:trPr>
          <w:trHeight w:val="358"/>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Connection agreement done</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31,48</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5,71</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47,06</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774,25</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0,80</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2,90</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52,04</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914,23</w:t>
            </w:r>
          </w:p>
        </w:tc>
      </w:tr>
      <w:tr w:rsidR="002B73FA" w:rsidRPr="00F876CB" w:rsidTr="000C4EFC">
        <w:trPr>
          <w:trHeight w:val="539"/>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 xml:space="preserve">Connection </w:t>
            </w:r>
            <w:proofErr w:type="spellStart"/>
            <w:r w:rsidRPr="00F876CB">
              <w:rPr>
                <w:rFonts w:ascii="Calibri" w:eastAsia="Times New Roman" w:hAnsi="Calibri" w:cs="Calibri"/>
                <w:color w:val="FFFFFF"/>
                <w:sz w:val="18"/>
                <w:szCs w:val="18"/>
                <w:lang w:val="en-GB" w:eastAsia="tr-TR" w:bidi="ar-SA"/>
              </w:rPr>
              <w:t>agrement</w:t>
            </w:r>
            <w:proofErr w:type="spellEnd"/>
            <w:r w:rsidRPr="00F876CB">
              <w:rPr>
                <w:rFonts w:ascii="Calibri" w:eastAsia="Times New Roman" w:hAnsi="Calibri" w:cs="Calibri"/>
                <w:color w:val="FFFFFF"/>
                <w:sz w:val="18"/>
                <w:szCs w:val="18"/>
                <w:lang w:val="en-GB" w:eastAsia="tr-TR" w:bidi="ar-SA"/>
              </w:rPr>
              <w:t xml:space="preserve"> expired</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8,31</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4,20</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211,89</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11,78</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21,66</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257,84</w:t>
            </w:r>
          </w:p>
        </w:tc>
      </w:tr>
      <w:tr w:rsidR="002B73FA" w:rsidRPr="00F876CB" w:rsidTr="000C4EFC">
        <w:trPr>
          <w:trHeight w:val="358"/>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Under evaluation</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2,12</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12,00</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377,31</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17,46</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1,55</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9,96</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420,40</w:t>
            </w:r>
          </w:p>
        </w:tc>
      </w:tr>
      <w:tr w:rsidR="002B73FA" w:rsidRPr="00F876CB" w:rsidTr="000C4EFC">
        <w:trPr>
          <w:trHeight w:val="211"/>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Installed and Activated</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4A221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75,67</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9,92</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4A221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318,74</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5657FF" w:rsidP="004A221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5.</w:t>
            </w:r>
            <w:r w:rsidR="004A221A" w:rsidRPr="00F876CB">
              <w:rPr>
                <w:rFonts w:eastAsia="Times New Roman" w:cstheme="majorHAnsi"/>
                <w:color w:val="000000"/>
                <w:sz w:val="18"/>
                <w:szCs w:val="18"/>
                <w:lang w:val="en-GB" w:eastAsia="tr-TR" w:bidi="ar-SA"/>
              </w:rPr>
              <w:t>824,96</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0,50</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5657FF"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8,65</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5657FF"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70,83</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4A221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6.309,27</w:t>
            </w:r>
          </w:p>
        </w:tc>
      </w:tr>
      <w:tr w:rsidR="002B73FA" w:rsidRPr="00F876CB" w:rsidTr="000C4EFC">
        <w:trPr>
          <w:trHeight w:val="211"/>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Accepted</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26,24</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1,23</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73,33</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254,22</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2,69</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4,28</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4,43</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53,62</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420,05</w:t>
            </w:r>
          </w:p>
        </w:tc>
      </w:tr>
      <w:tr w:rsidR="002B73FA" w:rsidRPr="00F876CB" w:rsidTr="000C4EFC">
        <w:trPr>
          <w:trHeight w:val="358"/>
        </w:trPr>
        <w:tc>
          <w:tcPr>
            <w:tcW w:w="1187" w:type="dxa"/>
            <w:tcBorders>
              <w:top w:val="nil"/>
              <w:left w:val="single" w:sz="8" w:space="0" w:color="auto"/>
              <w:bottom w:val="single" w:sz="4" w:space="0" w:color="auto"/>
              <w:right w:val="single" w:sz="4" w:space="0" w:color="auto"/>
            </w:tcBorders>
            <w:shd w:val="clear" w:color="000000" w:fill="FF5050"/>
            <w:vAlign w:val="center"/>
            <w:hideMark/>
          </w:tcPr>
          <w:p w:rsidR="002B73FA" w:rsidRPr="00F876CB" w:rsidRDefault="00C2321B" w:rsidP="002B73FA">
            <w:pPr>
              <w:spacing w:after="0" w:line="240" w:lineRule="auto"/>
              <w:rPr>
                <w:rFonts w:ascii="Calibri" w:eastAsia="Times New Roman" w:hAnsi="Calibri" w:cs="Calibri"/>
                <w:color w:val="FFFFFF"/>
                <w:sz w:val="18"/>
                <w:szCs w:val="18"/>
                <w:lang w:val="en-GB" w:eastAsia="tr-TR" w:bidi="ar-SA"/>
              </w:rPr>
            </w:pPr>
            <w:r w:rsidRPr="00F876CB">
              <w:rPr>
                <w:rFonts w:ascii="Calibri" w:eastAsia="Times New Roman" w:hAnsi="Calibri" w:cs="Calibri"/>
                <w:color w:val="FFFFFF"/>
                <w:sz w:val="18"/>
                <w:szCs w:val="18"/>
                <w:lang w:val="en-GB" w:eastAsia="tr-TR" w:bidi="ar-SA"/>
              </w:rPr>
              <w:t>Rejected</w:t>
            </w:r>
          </w:p>
        </w:tc>
        <w:tc>
          <w:tcPr>
            <w:tcW w:w="629"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0,50</w:t>
            </w:r>
          </w:p>
        </w:tc>
        <w:tc>
          <w:tcPr>
            <w:tcW w:w="78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188,40</w:t>
            </w:r>
          </w:p>
        </w:tc>
        <w:tc>
          <w:tcPr>
            <w:tcW w:w="774"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6,00</w:t>
            </w:r>
          </w:p>
        </w:tc>
        <w:tc>
          <w:tcPr>
            <w:tcW w:w="52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0,40</w:t>
            </w:r>
          </w:p>
        </w:tc>
        <w:tc>
          <w:tcPr>
            <w:tcW w:w="69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101,45</w:t>
            </w:r>
          </w:p>
        </w:tc>
        <w:tc>
          <w:tcPr>
            <w:tcW w:w="87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13.564,57</w:t>
            </w:r>
          </w:p>
        </w:tc>
        <w:tc>
          <w:tcPr>
            <w:tcW w:w="62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2,04</w:t>
            </w:r>
          </w:p>
        </w:tc>
        <w:tc>
          <w:tcPr>
            <w:tcW w:w="657"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63,41</w:t>
            </w:r>
          </w:p>
        </w:tc>
        <w:tc>
          <w:tcPr>
            <w:tcW w:w="603"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0,13</w:t>
            </w:r>
          </w:p>
        </w:tc>
        <w:tc>
          <w:tcPr>
            <w:tcW w:w="828"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 </w:t>
            </w:r>
          </w:p>
        </w:tc>
        <w:tc>
          <w:tcPr>
            <w:tcW w:w="641" w:type="dxa"/>
            <w:tcBorders>
              <w:top w:val="nil"/>
              <w:left w:val="nil"/>
              <w:bottom w:val="single" w:sz="4" w:space="0" w:color="auto"/>
              <w:right w:val="single" w:sz="4"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color w:val="000000"/>
                <w:sz w:val="18"/>
                <w:szCs w:val="18"/>
                <w:lang w:val="en-GB" w:eastAsia="tr-TR" w:bidi="ar-SA"/>
              </w:rPr>
            </w:pPr>
            <w:r w:rsidRPr="00F876CB">
              <w:rPr>
                <w:rFonts w:eastAsia="Times New Roman" w:cstheme="majorHAnsi"/>
                <w:color w:val="000000"/>
                <w:sz w:val="18"/>
                <w:szCs w:val="18"/>
                <w:lang w:val="en-GB" w:eastAsia="tr-TR" w:bidi="ar-SA"/>
              </w:rPr>
              <w:t>349,39</w:t>
            </w:r>
          </w:p>
        </w:tc>
        <w:tc>
          <w:tcPr>
            <w:tcW w:w="873" w:type="dxa"/>
            <w:tcBorders>
              <w:top w:val="nil"/>
              <w:left w:val="nil"/>
              <w:bottom w:val="single" w:sz="4" w:space="0" w:color="auto"/>
              <w:right w:val="single" w:sz="8" w:space="0" w:color="auto"/>
            </w:tcBorders>
            <w:shd w:val="clear" w:color="auto" w:fill="auto"/>
            <w:noWrap/>
            <w:vAlign w:val="bottom"/>
            <w:hideMark/>
          </w:tcPr>
          <w:p w:rsidR="002B73FA" w:rsidRPr="00F876CB" w:rsidRDefault="002B73FA" w:rsidP="002B73FA">
            <w:pPr>
              <w:spacing w:after="0" w:line="240" w:lineRule="auto"/>
              <w:rPr>
                <w:rFonts w:eastAsia="Times New Roman" w:cstheme="majorHAnsi"/>
                <w:b/>
                <w:bCs/>
                <w:color w:val="000000"/>
                <w:sz w:val="18"/>
                <w:szCs w:val="18"/>
                <w:lang w:val="en-GB" w:eastAsia="tr-TR" w:bidi="ar-SA"/>
              </w:rPr>
            </w:pPr>
            <w:r w:rsidRPr="00F876CB">
              <w:rPr>
                <w:rFonts w:eastAsia="Times New Roman" w:cstheme="majorHAnsi"/>
                <w:b/>
                <w:bCs/>
                <w:color w:val="000000"/>
                <w:sz w:val="18"/>
                <w:szCs w:val="18"/>
                <w:lang w:val="en-GB" w:eastAsia="tr-TR" w:bidi="ar-SA"/>
              </w:rPr>
              <w:t>14.276,29</w:t>
            </w:r>
          </w:p>
        </w:tc>
      </w:tr>
    </w:tbl>
    <w:p w:rsidR="008A5016" w:rsidRPr="00F876CB" w:rsidRDefault="008A5016" w:rsidP="00796EB1">
      <w:pPr>
        <w:spacing w:after="0" w:line="360" w:lineRule="auto"/>
        <w:rPr>
          <w:rFonts w:asciiTheme="minorHAnsi" w:eastAsiaTheme="minorEastAsia" w:hAnsiTheme="minorHAnsi" w:cstheme="minorHAnsi"/>
          <w:sz w:val="24"/>
          <w:szCs w:val="24"/>
          <w:lang w:val="en-GB"/>
        </w:rPr>
      </w:pPr>
    </w:p>
    <w:p w:rsidR="00743FC1" w:rsidRPr="00F876CB" w:rsidRDefault="00743FC1" w:rsidP="006342E1">
      <w:pPr>
        <w:spacing w:line="360" w:lineRule="auto"/>
        <w:ind w:firstLine="708"/>
        <w:jc w:val="both"/>
        <w:rPr>
          <w:rFonts w:asciiTheme="minorHAnsi" w:hAnsiTheme="minorHAnsi" w:cstheme="minorHAnsi"/>
          <w:sz w:val="24"/>
          <w:szCs w:val="24"/>
          <w:lang w:val="en-GB"/>
        </w:rPr>
      </w:pPr>
    </w:p>
    <w:p w:rsidR="00743FC1" w:rsidRPr="000C4EFC" w:rsidRDefault="009D7C40" w:rsidP="000C4EFC">
      <w:pPr>
        <w:spacing w:line="360" w:lineRule="auto"/>
        <w:jc w:val="both"/>
        <w:rPr>
          <w:rFonts w:ascii="Times New Roman" w:eastAsiaTheme="minorEastAsia" w:hAnsi="Times New Roman" w:cs="Times New Roman"/>
          <w:sz w:val="24"/>
          <w:szCs w:val="24"/>
          <w:lang w:val="en-GB"/>
        </w:rPr>
      </w:pPr>
      <w:bookmarkStart w:id="219" w:name="_Toc450300295"/>
      <w:bookmarkStart w:id="220" w:name="_Toc450309951"/>
      <w:r>
        <w:rPr>
          <w:rFonts w:ascii="Times New Roman" w:eastAsiaTheme="minorEastAsia" w:hAnsi="Times New Roman" w:cs="Times New Roman"/>
          <w:sz w:val="24"/>
          <w:szCs w:val="24"/>
          <w:lang w:val="en-GB"/>
        </w:rPr>
        <w:t>The d</w:t>
      </w:r>
      <w:r w:rsidR="004D7166" w:rsidRPr="000C4EFC">
        <w:rPr>
          <w:rFonts w:ascii="Times New Roman" w:eastAsiaTheme="minorEastAsia" w:hAnsi="Times New Roman" w:cs="Times New Roman"/>
          <w:sz w:val="24"/>
          <w:szCs w:val="24"/>
          <w:lang w:val="en-GB"/>
        </w:rPr>
        <w:t xml:space="preserve">istribution of unlicensed installed </w:t>
      </w:r>
      <w:r>
        <w:rPr>
          <w:rFonts w:ascii="Times New Roman" w:eastAsiaTheme="minorEastAsia" w:hAnsi="Times New Roman" w:cs="Times New Roman"/>
          <w:sz w:val="24"/>
          <w:szCs w:val="24"/>
          <w:lang w:val="en-GB"/>
        </w:rPr>
        <w:t>capacity</w:t>
      </w:r>
      <w:r w:rsidR="004D7166" w:rsidRPr="000C4EFC">
        <w:rPr>
          <w:rFonts w:ascii="Times New Roman" w:eastAsiaTheme="minorEastAsia" w:hAnsi="Times New Roman" w:cs="Times New Roman"/>
          <w:sz w:val="24"/>
          <w:szCs w:val="24"/>
          <w:lang w:val="en-GB"/>
        </w:rPr>
        <w:t xml:space="preserve"> by sources is given in Table 1.5 and Figure 1.18. The amount of capacity that entered the facility, which was 5.310</w:t>
      </w:r>
      <w:r w:rsidR="000C4EF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 xml:space="preserve">57 </w:t>
      </w:r>
      <w:proofErr w:type="spellStart"/>
      <w:r w:rsidR="004D7166" w:rsidRPr="000C4EFC">
        <w:rPr>
          <w:rFonts w:ascii="Times New Roman" w:eastAsiaTheme="minorEastAsia" w:hAnsi="Times New Roman" w:cs="Times New Roman"/>
          <w:sz w:val="24"/>
          <w:szCs w:val="24"/>
          <w:lang w:val="en-GB"/>
        </w:rPr>
        <w:t>MWe</w:t>
      </w:r>
      <w:proofErr w:type="spellEnd"/>
      <w:r w:rsidR="004D7166" w:rsidRPr="000C4EFC">
        <w:rPr>
          <w:rFonts w:ascii="Times New Roman" w:eastAsiaTheme="minorEastAsia" w:hAnsi="Times New Roman" w:cs="Times New Roman"/>
          <w:sz w:val="24"/>
          <w:szCs w:val="24"/>
          <w:lang w:val="en-GB"/>
        </w:rPr>
        <w:t xml:space="preserve"> as of the end of 2018, increased by 18</w:t>
      </w:r>
      <w:r w:rsidR="000C4EF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81% and reached 6.309</w:t>
      </w:r>
      <w:r w:rsidR="000C4EF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 xml:space="preserve">27 </w:t>
      </w:r>
      <w:proofErr w:type="spellStart"/>
      <w:r w:rsidR="004D7166" w:rsidRPr="000C4EFC">
        <w:rPr>
          <w:rFonts w:ascii="Times New Roman" w:eastAsiaTheme="minorEastAsia" w:hAnsi="Times New Roman" w:cs="Times New Roman"/>
          <w:sz w:val="24"/>
          <w:szCs w:val="24"/>
          <w:lang w:val="en-GB"/>
        </w:rPr>
        <w:t>MWe</w:t>
      </w:r>
      <w:proofErr w:type="spellEnd"/>
      <w:r w:rsidR="004D7166" w:rsidRPr="000C4EFC">
        <w:rPr>
          <w:rFonts w:ascii="Times New Roman" w:eastAsiaTheme="minorEastAsia" w:hAnsi="Times New Roman" w:cs="Times New Roman"/>
          <w:sz w:val="24"/>
          <w:szCs w:val="24"/>
          <w:lang w:val="en-GB"/>
        </w:rPr>
        <w:t xml:space="preserve"> as of the end of 2019. As in 2018, the highest share belongs to solar power plants with 92</w:t>
      </w:r>
      <w:r w:rsidR="00D2266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33% in 2019, followed by natural gas with 5</w:t>
      </w:r>
      <w:r w:rsidR="000C4EF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21% and biomass with 1</w:t>
      </w:r>
      <w:r w:rsidR="000C4EFC">
        <w:rPr>
          <w:rFonts w:ascii="Times New Roman" w:eastAsiaTheme="minorEastAsia" w:hAnsi="Times New Roman" w:cs="Times New Roman"/>
          <w:sz w:val="24"/>
          <w:szCs w:val="24"/>
          <w:lang w:val="en-GB"/>
        </w:rPr>
        <w:t>,</w:t>
      </w:r>
      <w:r w:rsidR="004D7166" w:rsidRPr="000C4EFC">
        <w:rPr>
          <w:rFonts w:ascii="Times New Roman" w:eastAsiaTheme="minorEastAsia" w:hAnsi="Times New Roman" w:cs="Times New Roman"/>
          <w:sz w:val="24"/>
          <w:szCs w:val="24"/>
          <w:lang w:val="en-GB"/>
        </w:rPr>
        <w:t>20%.</w:t>
      </w:r>
    </w:p>
    <w:p w:rsidR="00D232AF" w:rsidRPr="00F876CB" w:rsidRDefault="00015994" w:rsidP="00524E38">
      <w:pPr>
        <w:pStyle w:val="Balk5"/>
        <w:rPr>
          <w:rFonts w:eastAsiaTheme="minorEastAsia"/>
          <w:lang w:val="en-GB"/>
        </w:rPr>
      </w:pPr>
      <w:bookmarkStart w:id="221" w:name="_Toc44508321"/>
      <w:r w:rsidRPr="00F876CB">
        <w:rPr>
          <w:lang w:val="en-GB"/>
        </w:rPr>
        <w:lastRenderedPageBreak/>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8A5016" w:rsidRPr="00F876CB">
        <w:rPr>
          <w:lang w:val="en-GB"/>
        </w:rPr>
        <w:t>5</w:t>
      </w:r>
      <w:r w:rsidR="00D232AF" w:rsidRPr="00F876CB">
        <w:rPr>
          <w:lang w:val="en-GB"/>
        </w:rPr>
        <w:t xml:space="preserve">: </w:t>
      </w:r>
      <w:r w:rsidR="0020355D" w:rsidRPr="00F876CB">
        <w:rPr>
          <w:lang w:val="en-GB"/>
        </w:rPr>
        <w:t xml:space="preserve">Distribution of Unlicensed Installed Capacity by Sources </w:t>
      </w:r>
      <w:r w:rsidR="00D232AF" w:rsidRPr="00F876CB">
        <w:rPr>
          <w:lang w:val="en-GB"/>
        </w:rPr>
        <w:t>(</w:t>
      </w:r>
      <w:proofErr w:type="spellStart"/>
      <w:r w:rsidR="00D232AF" w:rsidRPr="00F876CB">
        <w:rPr>
          <w:lang w:val="en-GB"/>
        </w:rPr>
        <w:t>MWe</w:t>
      </w:r>
      <w:proofErr w:type="spellEnd"/>
      <w:r w:rsidR="003464B5" w:rsidRPr="00F876CB">
        <w:rPr>
          <w:lang w:val="en-GB"/>
        </w:rPr>
        <w:t>-</w:t>
      </w:r>
      <w:r w:rsidR="00D232AF" w:rsidRPr="00F876CB">
        <w:rPr>
          <w:lang w:val="en-GB"/>
        </w:rPr>
        <w:t>%)</w:t>
      </w:r>
      <w:bookmarkEnd w:id="219"/>
      <w:bookmarkEnd w:id="220"/>
      <w:bookmarkEnd w:id="221"/>
    </w:p>
    <w:tbl>
      <w:tblPr>
        <w:tblW w:w="7561" w:type="dxa"/>
        <w:jc w:val="center"/>
        <w:tblCellMar>
          <w:left w:w="70" w:type="dxa"/>
          <w:right w:w="70" w:type="dxa"/>
        </w:tblCellMar>
        <w:tblLook w:val="04A0" w:firstRow="1" w:lastRow="0" w:firstColumn="1" w:lastColumn="0" w:noHBand="0" w:noVBand="1"/>
      </w:tblPr>
      <w:tblGrid>
        <w:gridCol w:w="2020"/>
        <w:gridCol w:w="1761"/>
        <w:gridCol w:w="993"/>
        <w:gridCol w:w="1701"/>
        <w:gridCol w:w="1086"/>
      </w:tblGrid>
      <w:tr w:rsidR="004A0557" w:rsidRPr="00F876CB" w:rsidTr="008C052D">
        <w:trPr>
          <w:trHeight w:val="137"/>
          <w:jc w:val="center"/>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A0557" w:rsidRPr="00F876CB" w:rsidRDefault="0020355D" w:rsidP="004A0557">
            <w:pPr>
              <w:spacing w:after="0" w:line="240" w:lineRule="auto"/>
              <w:jc w:val="center"/>
              <w:rPr>
                <w:rFonts w:ascii="Times New Roman" w:eastAsia="Times New Roman" w:hAnsi="Times New Roman" w:cs="Times New Roman"/>
                <w:b/>
                <w:bCs/>
                <w:color w:val="FFFFFF"/>
                <w:sz w:val="24"/>
                <w:szCs w:val="24"/>
                <w:lang w:val="en-GB" w:eastAsia="tr-TR" w:bidi="ar-SA"/>
              </w:rPr>
            </w:pPr>
            <w:bookmarkStart w:id="222" w:name="_Toc450307000"/>
            <w:bookmarkStart w:id="223" w:name="_Toc450307111"/>
            <w:bookmarkStart w:id="224" w:name="_Toc450307917"/>
            <w:r w:rsidRPr="00F876CB">
              <w:rPr>
                <w:rFonts w:ascii="Times New Roman" w:eastAsia="Times New Roman" w:hAnsi="Times New Roman" w:cs="Times New Roman"/>
                <w:b/>
                <w:bCs/>
                <w:color w:val="FFFFFF"/>
                <w:sz w:val="24"/>
                <w:szCs w:val="24"/>
                <w:lang w:val="en-GB" w:eastAsia="tr-TR" w:bidi="ar-SA"/>
              </w:rPr>
              <w:t>Resource Type</w:t>
            </w:r>
          </w:p>
        </w:tc>
        <w:tc>
          <w:tcPr>
            <w:tcW w:w="275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A0557" w:rsidRPr="00F876CB" w:rsidRDefault="004A0557"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278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A0557" w:rsidRPr="00F876CB" w:rsidRDefault="004A0557"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r>
      <w:tr w:rsidR="004A0557" w:rsidRPr="00F876CB" w:rsidTr="008C052D">
        <w:trPr>
          <w:trHeight w:val="496"/>
          <w:jc w:val="center"/>
        </w:trPr>
        <w:tc>
          <w:tcPr>
            <w:tcW w:w="2020" w:type="dxa"/>
            <w:vMerge/>
            <w:tcBorders>
              <w:top w:val="single" w:sz="8" w:space="0" w:color="auto"/>
              <w:left w:val="single" w:sz="8" w:space="0" w:color="auto"/>
              <w:bottom w:val="nil"/>
              <w:right w:val="single" w:sz="8" w:space="0" w:color="auto"/>
            </w:tcBorders>
            <w:vAlign w:val="center"/>
            <w:hideMark/>
          </w:tcPr>
          <w:p w:rsidR="004A0557" w:rsidRPr="00F876CB" w:rsidRDefault="004A0557" w:rsidP="004A0557">
            <w:pPr>
              <w:spacing w:after="0" w:line="240" w:lineRule="auto"/>
              <w:rPr>
                <w:rFonts w:ascii="Times New Roman" w:eastAsia="Times New Roman" w:hAnsi="Times New Roman" w:cs="Times New Roman"/>
                <w:b/>
                <w:bCs/>
                <w:color w:val="FFFFFF"/>
                <w:sz w:val="24"/>
                <w:szCs w:val="24"/>
                <w:lang w:val="en-GB" w:eastAsia="tr-TR" w:bidi="ar-SA"/>
              </w:rPr>
            </w:pPr>
          </w:p>
        </w:tc>
        <w:tc>
          <w:tcPr>
            <w:tcW w:w="1761" w:type="dxa"/>
            <w:tcBorders>
              <w:top w:val="nil"/>
              <w:left w:val="nil"/>
              <w:bottom w:val="nil"/>
              <w:right w:val="single" w:sz="8" w:space="0" w:color="auto"/>
            </w:tcBorders>
            <w:shd w:val="clear" w:color="000000" w:fill="FF0000"/>
            <w:vAlign w:val="center"/>
            <w:hideMark/>
          </w:tcPr>
          <w:p w:rsidR="004A0557" w:rsidRPr="00F876CB" w:rsidRDefault="005E364D"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Installed Capacity</w:t>
            </w:r>
            <w:r w:rsidR="004A0557" w:rsidRPr="00F876CB">
              <w:rPr>
                <w:rFonts w:ascii="Times New Roman" w:eastAsia="Times New Roman" w:hAnsi="Times New Roman" w:cs="Times New Roman"/>
                <w:b/>
                <w:bCs/>
                <w:color w:val="FFFFFF"/>
                <w:sz w:val="24"/>
                <w:szCs w:val="24"/>
                <w:lang w:val="en-GB" w:eastAsia="tr-TR" w:bidi="ar-SA"/>
              </w:rPr>
              <w:br/>
              <w:t xml:space="preserve"> (</w:t>
            </w:r>
            <w:proofErr w:type="spellStart"/>
            <w:r w:rsidR="004A0557" w:rsidRPr="00F876CB">
              <w:rPr>
                <w:rFonts w:ascii="Times New Roman" w:eastAsia="Times New Roman" w:hAnsi="Times New Roman" w:cs="Times New Roman"/>
                <w:b/>
                <w:bCs/>
                <w:color w:val="FFFFFF"/>
                <w:sz w:val="24"/>
                <w:szCs w:val="24"/>
                <w:lang w:val="en-GB" w:eastAsia="tr-TR" w:bidi="ar-SA"/>
              </w:rPr>
              <w:t>MWe</w:t>
            </w:r>
            <w:proofErr w:type="spellEnd"/>
            <w:r w:rsidR="004A0557" w:rsidRPr="00F876CB">
              <w:rPr>
                <w:rFonts w:ascii="Times New Roman" w:eastAsia="Times New Roman" w:hAnsi="Times New Roman" w:cs="Times New Roman"/>
                <w:b/>
                <w:bCs/>
                <w:color w:val="FFFFFF"/>
                <w:sz w:val="24"/>
                <w:szCs w:val="24"/>
                <w:lang w:val="en-GB" w:eastAsia="tr-TR" w:bidi="ar-SA"/>
              </w:rPr>
              <w:t>)</w:t>
            </w:r>
          </w:p>
        </w:tc>
        <w:tc>
          <w:tcPr>
            <w:tcW w:w="993" w:type="dxa"/>
            <w:tcBorders>
              <w:top w:val="nil"/>
              <w:left w:val="nil"/>
              <w:bottom w:val="nil"/>
              <w:right w:val="single" w:sz="8" w:space="0" w:color="auto"/>
            </w:tcBorders>
            <w:shd w:val="clear" w:color="000000" w:fill="FF0000"/>
            <w:vAlign w:val="center"/>
            <w:hideMark/>
          </w:tcPr>
          <w:p w:rsidR="004A0557" w:rsidRPr="00F876CB" w:rsidRDefault="005E364D"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Share</w:t>
            </w:r>
            <w:r w:rsidR="004A0557" w:rsidRPr="00F876CB">
              <w:rPr>
                <w:rFonts w:ascii="Times New Roman" w:eastAsia="Times New Roman" w:hAnsi="Times New Roman" w:cs="Times New Roman"/>
                <w:b/>
                <w:bCs/>
                <w:color w:val="FFFFFF"/>
                <w:sz w:val="24"/>
                <w:szCs w:val="24"/>
                <w:lang w:val="en-GB" w:eastAsia="tr-TR" w:bidi="ar-SA"/>
              </w:rPr>
              <w:br/>
              <w:t>(%)</w:t>
            </w:r>
          </w:p>
        </w:tc>
        <w:tc>
          <w:tcPr>
            <w:tcW w:w="1701" w:type="dxa"/>
            <w:tcBorders>
              <w:top w:val="nil"/>
              <w:left w:val="nil"/>
              <w:bottom w:val="nil"/>
              <w:right w:val="single" w:sz="8" w:space="0" w:color="auto"/>
            </w:tcBorders>
            <w:shd w:val="clear" w:color="000000" w:fill="FF0000"/>
            <w:vAlign w:val="center"/>
            <w:hideMark/>
          </w:tcPr>
          <w:p w:rsidR="004A0557" w:rsidRPr="00F876CB" w:rsidRDefault="005E364D"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Installed Capacity</w:t>
            </w:r>
            <w:r w:rsidR="004A0557" w:rsidRPr="00F876CB">
              <w:rPr>
                <w:rFonts w:ascii="Times New Roman" w:eastAsia="Times New Roman" w:hAnsi="Times New Roman" w:cs="Times New Roman"/>
                <w:b/>
                <w:bCs/>
                <w:color w:val="FFFFFF"/>
                <w:sz w:val="24"/>
                <w:szCs w:val="24"/>
                <w:lang w:val="en-GB" w:eastAsia="tr-TR" w:bidi="ar-SA"/>
              </w:rPr>
              <w:br/>
              <w:t xml:space="preserve"> (</w:t>
            </w:r>
            <w:proofErr w:type="spellStart"/>
            <w:r w:rsidR="004A0557" w:rsidRPr="00F876CB">
              <w:rPr>
                <w:rFonts w:ascii="Times New Roman" w:eastAsia="Times New Roman" w:hAnsi="Times New Roman" w:cs="Times New Roman"/>
                <w:b/>
                <w:bCs/>
                <w:color w:val="FFFFFF"/>
                <w:sz w:val="24"/>
                <w:szCs w:val="24"/>
                <w:lang w:val="en-GB" w:eastAsia="tr-TR" w:bidi="ar-SA"/>
              </w:rPr>
              <w:t>MWe</w:t>
            </w:r>
            <w:proofErr w:type="spellEnd"/>
            <w:r w:rsidR="004A0557" w:rsidRPr="00F876CB">
              <w:rPr>
                <w:rFonts w:ascii="Times New Roman" w:eastAsia="Times New Roman" w:hAnsi="Times New Roman" w:cs="Times New Roman"/>
                <w:b/>
                <w:bCs/>
                <w:color w:val="FFFFFF"/>
                <w:sz w:val="24"/>
                <w:szCs w:val="24"/>
                <w:lang w:val="en-GB" w:eastAsia="tr-TR" w:bidi="ar-SA"/>
              </w:rPr>
              <w:t>)</w:t>
            </w:r>
          </w:p>
        </w:tc>
        <w:tc>
          <w:tcPr>
            <w:tcW w:w="1086" w:type="dxa"/>
            <w:tcBorders>
              <w:top w:val="nil"/>
              <w:left w:val="nil"/>
              <w:bottom w:val="nil"/>
              <w:right w:val="single" w:sz="8" w:space="0" w:color="auto"/>
            </w:tcBorders>
            <w:shd w:val="clear" w:color="000000" w:fill="FF0000"/>
            <w:vAlign w:val="center"/>
            <w:hideMark/>
          </w:tcPr>
          <w:p w:rsidR="004A0557" w:rsidRPr="00F876CB" w:rsidRDefault="005E364D"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Share</w:t>
            </w:r>
            <w:r w:rsidR="004A0557" w:rsidRPr="00F876CB">
              <w:rPr>
                <w:rFonts w:ascii="Times New Roman" w:eastAsia="Times New Roman" w:hAnsi="Times New Roman" w:cs="Times New Roman"/>
                <w:b/>
                <w:bCs/>
                <w:color w:val="FFFFFF"/>
                <w:sz w:val="24"/>
                <w:szCs w:val="24"/>
                <w:lang w:val="en-GB" w:eastAsia="tr-TR" w:bidi="ar-SA"/>
              </w:rPr>
              <w:br/>
              <w:t>(%)</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20355D" w:rsidP="004A0557">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Solar</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5.017,49</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94,48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5.825,46</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92,33</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20355D" w:rsidP="000C4EFC">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 xml:space="preserve">Natural </w:t>
            </w:r>
            <w:r w:rsidR="000C4EFC">
              <w:rPr>
                <w:rFonts w:ascii="Times New Roman" w:eastAsia="Times New Roman" w:hAnsi="Times New Roman" w:cs="Times New Roman"/>
                <w:color w:val="FFFFFF"/>
                <w:sz w:val="24"/>
                <w:szCs w:val="24"/>
                <w:lang w:val="en-GB" w:eastAsia="tr-TR" w:bidi="ar-SA"/>
              </w:rPr>
              <w:t>g</w:t>
            </w:r>
            <w:r w:rsidRPr="00F876CB">
              <w:rPr>
                <w:rFonts w:ascii="Times New Roman" w:eastAsia="Times New Roman" w:hAnsi="Times New Roman" w:cs="Times New Roman"/>
                <w:color w:val="FFFFFF"/>
                <w:sz w:val="24"/>
                <w:szCs w:val="24"/>
                <w:lang w:val="en-GB" w:eastAsia="tr-TR" w:bidi="ar-SA"/>
              </w:rPr>
              <w:t>as</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153,04</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2,88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328,66</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5,21</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Bi</w:t>
            </w:r>
            <w:r w:rsidR="0020355D" w:rsidRPr="00F876CB">
              <w:rPr>
                <w:rFonts w:ascii="Times New Roman" w:eastAsia="Times New Roman" w:hAnsi="Times New Roman" w:cs="Times New Roman"/>
                <w:color w:val="FFFFFF"/>
                <w:sz w:val="24"/>
                <w:szCs w:val="24"/>
                <w:lang w:val="en-GB" w:eastAsia="tr-TR" w:bidi="ar-SA"/>
              </w:rPr>
              <w:t>omass</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79,18</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1,49</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75,67</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1,20</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20355D" w:rsidP="004A0557">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Wind</w:t>
            </w:r>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51,95</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0,98</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70,83</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1,12</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ind w:firstLineChars="100" w:firstLine="240"/>
              <w:rPr>
                <w:rFonts w:ascii="Times New Roman" w:eastAsia="Times New Roman" w:hAnsi="Times New Roman" w:cs="Times New Roman"/>
                <w:color w:val="FFFFFF"/>
                <w:sz w:val="24"/>
                <w:szCs w:val="24"/>
                <w:lang w:val="en-GB" w:eastAsia="tr-TR" w:bidi="ar-SA"/>
              </w:rPr>
            </w:pPr>
            <w:proofErr w:type="spellStart"/>
            <w:r w:rsidRPr="00F876CB">
              <w:rPr>
                <w:rFonts w:ascii="Times New Roman" w:eastAsia="Times New Roman" w:hAnsi="Times New Roman" w:cs="Times New Roman"/>
                <w:color w:val="FFFFFF"/>
                <w:sz w:val="24"/>
                <w:szCs w:val="24"/>
                <w:lang w:val="en-GB" w:eastAsia="tr-TR" w:bidi="ar-SA"/>
              </w:rPr>
              <w:t>H</w:t>
            </w:r>
            <w:r w:rsidR="0020355D" w:rsidRPr="00F876CB">
              <w:rPr>
                <w:rFonts w:ascii="Times New Roman" w:eastAsia="Times New Roman" w:hAnsi="Times New Roman" w:cs="Times New Roman"/>
                <w:color w:val="FFFFFF"/>
                <w:sz w:val="24"/>
                <w:szCs w:val="24"/>
                <w:lang w:val="en-GB" w:eastAsia="tr-TR" w:bidi="ar-SA"/>
              </w:rPr>
              <w:t>y</w:t>
            </w:r>
            <w:r w:rsidR="005E364D" w:rsidRPr="00F876CB">
              <w:rPr>
                <w:rFonts w:ascii="Times New Roman" w:eastAsia="Times New Roman" w:hAnsi="Times New Roman" w:cs="Times New Roman"/>
                <w:color w:val="FFFFFF"/>
                <w:sz w:val="24"/>
                <w:szCs w:val="24"/>
                <w:lang w:val="en-GB" w:eastAsia="tr-TR" w:bidi="ar-SA"/>
              </w:rPr>
              <w:t>raulic</w:t>
            </w:r>
            <w:proofErr w:type="spellEnd"/>
          </w:p>
        </w:tc>
        <w:tc>
          <w:tcPr>
            <w:tcW w:w="176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8,91</w:t>
            </w:r>
          </w:p>
        </w:tc>
        <w:tc>
          <w:tcPr>
            <w:tcW w:w="993"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0,17</w:t>
            </w:r>
          </w:p>
        </w:tc>
        <w:tc>
          <w:tcPr>
            <w:tcW w:w="1701"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8,65</w:t>
            </w:r>
          </w:p>
        </w:tc>
        <w:tc>
          <w:tcPr>
            <w:tcW w:w="1086" w:type="dxa"/>
            <w:tcBorders>
              <w:top w:val="nil"/>
              <w:left w:val="nil"/>
              <w:bottom w:val="single" w:sz="8" w:space="0" w:color="auto"/>
              <w:right w:val="single" w:sz="8" w:space="0" w:color="auto"/>
            </w:tcBorders>
            <w:shd w:val="clear" w:color="auto" w:fill="auto"/>
            <w:noWrap/>
            <w:vAlign w:val="center"/>
            <w:hideMark/>
          </w:tcPr>
          <w:p w:rsidR="004A0557" w:rsidRPr="00F876CB" w:rsidRDefault="004A0557" w:rsidP="004A0557">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0,14</w:t>
            </w:r>
          </w:p>
        </w:tc>
      </w:tr>
      <w:tr w:rsidR="004A0557" w:rsidRPr="00F876CB" w:rsidTr="004A0557">
        <w:trPr>
          <w:trHeight w:val="330"/>
          <w:jc w:val="center"/>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G</w:t>
            </w:r>
            <w:r w:rsidR="005E364D" w:rsidRPr="00F876CB">
              <w:rPr>
                <w:rFonts w:ascii="Times New Roman" w:eastAsia="Times New Roman" w:hAnsi="Times New Roman" w:cs="Times New Roman"/>
                <w:b/>
                <w:bCs/>
                <w:color w:val="FFFFFF"/>
                <w:sz w:val="24"/>
                <w:szCs w:val="24"/>
                <w:lang w:val="en-GB" w:eastAsia="tr-TR" w:bidi="ar-SA"/>
              </w:rPr>
              <w:t>rand Total</w:t>
            </w:r>
          </w:p>
        </w:tc>
        <w:tc>
          <w:tcPr>
            <w:tcW w:w="1761" w:type="dxa"/>
            <w:tcBorders>
              <w:top w:val="nil"/>
              <w:left w:val="nil"/>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5.310,57</w:t>
            </w:r>
          </w:p>
        </w:tc>
        <w:tc>
          <w:tcPr>
            <w:tcW w:w="993" w:type="dxa"/>
            <w:tcBorders>
              <w:top w:val="nil"/>
              <w:left w:val="nil"/>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6.309,27</w:t>
            </w:r>
          </w:p>
        </w:tc>
        <w:tc>
          <w:tcPr>
            <w:tcW w:w="1086" w:type="dxa"/>
            <w:tcBorders>
              <w:top w:val="nil"/>
              <w:left w:val="nil"/>
              <w:bottom w:val="single" w:sz="8" w:space="0" w:color="auto"/>
              <w:right w:val="single" w:sz="8" w:space="0" w:color="auto"/>
            </w:tcBorders>
            <w:shd w:val="clear" w:color="000000" w:fill="FF5050"/>
            <w:noWrap/>
            <w:vAlign w:val="center"/>
            <w:hideMark/>
          </w:tcPr>
          <w:p w:rsidR="004A0557" w:rsidRPr="00F876CB" w:rsidRDefault="004A0557" w:rsidP="004A0557">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r>
    </w:tbl>
    <w:p w:rsidR="00924BC7" w:rsidRPr="00F876CB" w:rsidRDefault="00924BC7" w:rsidP="004A0557">
      <w:pPr>
        <w:pStyle w:val="Balk6"/>
        <w:jc w:val="left"/>
        <w:rPr>
          <w:lang w:val="en-GB"/>
        </w:rPr>
      </w:pPr>
    </w:p>
    <w:p w:rsidR="004A0557" w:rsidRPr="00F876CB" w:rsidRDefault="004A0557" w:rsidP="004A0557">
      <w:pPr>
        <w:rPr>
          <w:lang w:val="en-GB"/>
        </w:rPr>
      </w:pPr>
    </w:p>
    <w:p w:rsidR="00D232AF" w:rsidRPr="00F876CB" w:rsidRDefault="00015994" w:rsidP="00E93600">
      <w:pPr>
        <w:pStyle w:val="Balk6"/>
        <w:rPr>
          <w:lang w:val="en-GB"/>
        </w:rPr>
      </w:pPr>
      <w:bookmarkStart w:id="225" w:name="_Toc44508373"/>
      <w:r w:rsidRPr="00F876CB">
        <w:rPr>
          <w:lang w:val="en-GB"/>
        </w:rPr>
        <w:t>Figure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E71D7E" w:rsidRPr="00F876CB">
        <w:rPr>
          <w:lang w:val="en-GB"/>
        </w:rPr>
        <w:t>1</w:t>
      </w:r>
      <w:r w:rsidR="00F41F62">
        <w:rPr>
          <w:lang w:val="en-GB"/>
        </w:rPr>
        <w:t>7</w:t>
      </w:r>
      <w:r w:rsidR="00D232AF" w:rsidRPr="00F876CB">
        <w:rPr>
          <w:lang w:val="en-GB"/>
        </w:rPr>
        <w:t xml:space="preserve">: </w:t>
      </w:r>
      <w:r w:rsidR="00DA0CA2" w:rsidRPr="00F876CB">
        <w:rPr>
          <w:lang w:val="en-GB"/>
        </w:rPr>
        <w:t xml:space="preserve">Distribution of Unlicensed Installed Capacity by Sources at the End of 2019 </w:t>
      </w:r>
      <w:r w:rsidR="00D232AF" w:rsidRPr="00F876CB">
        <w:rPr>
          <w:lang w:val="en-GB"/>
        </w:rPr>
        <w:t>(%)</w:t>
      </w:r>
      <w:bookmarkEnd w:id="222"/>
      <w:bookmarkEnd w:id="223"/>
      <w:bookmarkEnd w:id="224"/>
      <w:bookmarkEnd w:id="225"/>
    </w:p>
    <w:p w:rsidR="003464B5" w:rsidRPr="00F876CB" w:rsidRDefault="000C4EFC" w:rsidP="004A0557">
      <w:pPr>
        <w:spacing w:line="360" w:lineRule="auto"/>
        <w:ind w:firstLine="708"/>
        <w:jc w:val="center"/>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6ACBE810">
            <wp:extent cx="5255895" cy="3190875"/>
            <wp:effectExtent l="0" t="0" r="1905"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5895" cy="3190875"/>
                    </a:xfrm>
                    <a:prstGeom prst="rect">
                      <a:avLst/>
                    </a:prstGeom>
                    <a:noFill/>
                  </pic:spPr>
                </pic:pic>
              </a:graphicData>
            </a:graphic>
          </wp:inline>
        </w:drawing>
      </w:r>
    </w:p>
    <w:p w:rsidR="002B2F1D" w:rsidRPr="000C4EFC" w:rsidRDefault="002B2F1D" w:rsidP="000C4EFC">
      <w:pPr>
        <w:spacing w:line="360" w:lineRule="auto"/>
        <w:jc w:val="both"/>
        <w:rPr>
          <w:rFonts w:ascii="Times New Roman" w:eastAsiaTheme="minorEastAsia" w:hAnsi="Times New Roman" w:cs="Times New Roman"/>
          <w:sz w:val="24"/>
          <w:szCs w:val="24"/>
          <w:lang w:val="en-GB"/>
        </w:rPr>
      </w:pPr>
      <w:bookmarkStart w:id="226" w:name="_Toc450300296"/>
      <w:bookmarkStart w:id="227" w:name="_Toc450309952"/>
      <w:r w:rsidRPr="000C4EFC">
        <w:rPr>
          <w:rFonts w:ascii="Times New Roman" w:eastAsiaTheme="minorEastAsia" w:hAnsi="Times New Roman" w:cs="Times New Roman"/>
          <w:sz w:val="24"/>
          <w:szCs w:val="24"/>
          <w:lang w:val="en-GB"/>
        </w:rPr>
        <w:t xml:space="preserve">Distribution of unlicensed installed </w:t>
      </w:r>
      <w:r w:rsidR="008E15BB">
        <w:rPr>
          <w:rFonts w:ascii="Times New Roman" w:eastAsiaTheme="minorEastAsia" w:hAnsi="Times New Roman" w:cs="Times New Roman"/>
          <w:sz w:val="24"/>
          <w:szCs w:val="24"/>
          <w:lang w:val="en-GB"/>
        </w:rPr>
        <w:t>capacity</w:t>
      </w:r>
      <w:r w:rsidRPr="000C4EFC">
        <w:rPr>
          <w:rFonts w:ascii="Times New Roman" w:eastAsiaTheme="minorEastAsia" w:hAnsi="Times New Roman" w:cs="Times New Roman"/>
          <w:sz w:val="24"/>
          <w:szCs w:val="24"/>
          <w:lang w:val="en-GB"/>
        </w:rPr>
        <w:t xml:space="preserve"> by province is shown in Table 1.6. As</w:t>
      </w:r>
      <w:r w:rsidR="008E15BB">
        <w:rPr>
          <w:rFonts w:ascii="Times New Roman" w:eastAsiaTheme="minorEastAsia" w:hAnsi="Times New Roman" w:cs="Times New Roman"/>
          <w:sz w:val="24"/>
          <w:szCs w:val="24"/>
          <w:lang w:val="en-GB"/>
        </w:rPr>
        <w:t xml:space="preserve"> it was</w:t>
      </w:r>
      <w:r w:rsidRPr="000C4EFC">
        <w:rPr>
          <w:rFonts w:ascii="Times New Roman" w:eastAsiaTheme="minorEastAsia" w:hAnsi="Times New Roman" w:cs="Times New Roman"/>
          <w:sz w:val="24"/>
          <w:szCs w:val="24"/>
          <w:lang w:val="en-GB"/>
        </w:rPr>
        <w:t xml:space="preserve"> in 2018, it is located in Konya with </w:t>
      </w:r>
      <w:r w:rsidR="000C4EFC">
        <w:rPr>
          <w:rFonts w:ascii="Times New Roman" w:eastAsiaTheme="minorEastAsia" w:hAnsi="Times New Roman" w:cs="Times New Roman"/>
          <w:sz w:val="24"/>
          <w:szCs w:val="24"/>
          <w:lang w:val="en-GB"/>
        </w:rPr>
        <w:t>the highest installed power 503,</w:t>
      </w:r>
      <w:r w:rsidRPr="000C4EFC">
        <w:rPr>
          <w:rFonts w:ascii="Times New Roman" w:eastAsiaTheme="minorEastAsia" w:hAnsi="Times New Roman" w:cs="Times New Roman"/>
          <w:sz w:val="24"/>
          <w:szCs w:val="24"/>
          <w:lang w:val="en-GB"/>
        </w:rPr>
        <w:t xml:space="preserve">19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in 2019. Konya is followed by Ankara with 362</w:t>
      </w:r>
      <w:r w:rsidR="00D2266C">
        <w:rPr>
          <w:rFonts w:ascii="Times New Roman" w:eastAsiaTheme="minorEastAsia" w:hAnsi="Times New Roman" w:cs="Times New Roman"/>
          <w:sz w:val="24"/>
          <w:szCs w:val="24"/>
          <w:lang w:val="en-GB"/>
        </w:rPr>
        <w:t>,</w:t>
      </w:r>
      <w:r w:rsidRPr="000C4EFC">
        <w:rPr>
          <w:rFonts w:ascii="Times New Roman" w:eastAsiaTheme="minorEastAsia" w:hAnsi="Times New Roman" w:cs="Times New Roman"/>
          <w:sz w:val="24"/>
          <w:szCs w:val="24"/>
          <w:lang w:val="en-GB"/>
        </w:rPr>
        <w:t xml:space="preserve">29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w:t>
      </w:r>
      <w:proofErr w:type="spellStart"/>
      <w:r w:rsidRPr="000C4EFC">
        <w:rPr>
          <w:rFonts w:ascii="Times New Roman" w:eastAsiaTheme="minorEastAsia" w:hAnsi="Times New Roman" w:cs="Times New Roman"/>
          <w:sz w:val="24"/>
          <w:szCs w:val="24"/>
          <w:lang w:val="en-GB"/>
        </w:rPr>
        <w:t>Şanlıurfa</w:t>
      </w:r>
      <w:proofErr w:type="spellEnd"/>
      <w:r w:rsidRPr="000C4EFC">
        <w:rPr>
          <w:rFonts w:ascii="Times New Roman" w:eastAsiaTheme="minorEastAsia" w:hAnsi="Times New Roman" w:cs="Times New Roman"/>
          <w:sz w:val="24"/>
          <w:szCs w:val="24"/>
          <w:lang w:val="en-GB"/>
        </w:rPr>
        <w:t xml:space="preserve"> with 341,99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Kayseri with 317,72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İzmir with 274,75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w:t>
      </w:r>
      <w:proofErr w:type="spellStart"/>
      <w:r w:rsidRPr="000C4EFC">
        <w:rPr>
          <w:rFonts w:ascii="Times New Roman" w:eastAsiaTheme="minorEastAsia" w:hAnsi="Times New Roman" w:cs="Times New Roman"/>
          <w:sz w:val="24"/>
          <w:szCs w:val="24"/>
          <w:lang w:val="en-GB"/>
        </w:rPr>
        <w:t>Afyonkarahisar</w:t>
      </w:r>
      <w:proofErr w:type="spellEnd"/>
      <w:r w:rsidRPr="000C4EFC">
        <w:rPr>
          <w:rFonts w:ascii="Times New Roman" w:eastAsiaTheme="minorEastAsia" w:hAnsi="Times New Roman" w:cs="Times New Roman"/>
          <w:sz w:val="24"/>
          <w:szCs w:val="24"/>
          <w:lang w:val="en-GB"/>
        </w:rPr>
        <w:t xml:space="preserve"> with 232,15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and </w:t>
      </w:r>
      <w:proofErr w:type="spellStart"/>
      <w:r w:rsidRPr="000C4EFC">
        <w:rPr>
          <w:rFonts w:ascii="Times New Roman" w:eastAsiaTheme="minorEastAsia" w:hAnsi="Times New Roman" w:cs="Times New Roman"/>
          <w:sz w:val="24"/>
          <w:szCs w:val="24"/>
          <w:lang w:val="en-GB"/>
        </w:rPr>
        <w:t>Kahramanmaraş</w:t>
      </w:r>
      <w:proofErr w:type="spellEnd"/>
      <w:r w:rsidRPr="000C4EFC">
        <w:rPr>
          <w:rFonts w:ascii="Times New Roman" w:eastAsiaTheme="minorEastAsia" w:hAnsi="Times New Roman" w:cs="Times New Roman"/>
          <w:sz w:val="24"/>
          <w:szCs w:val="24"/>
          <w:lang w:val="en-GB"/>
        </w:rPr>
        <w:t xml:space="preserve"> with 220,19 </w:t>
      </w:r>
      <w:proofErr w:type="spellStart"/>
      <w:r w:rsidRPr="000C4EFC">
        <w:rPr>
          <w:rFonts w:ascii="Times New Roman" w:eastAsiaTheme="minorEastAsia" w:hAnsi="Times New Roman" w:cs="Times New Roman"/>
          <w:sz w:val="24"/>
          <w:szCs w:val="24"/>
          <w:lang w:val="en-GB"/>
        </w:rPr>
        <w:t>MWe</w:t>
      </w:r>
      <w:proofErr w:type="spellEnd"/>
      <w:r w:rsidRPr="000C4EFC">
        <w:rPr>
          <w:rFonts w:ascii="Times New Roman" w:eastAsiaTheme="minorEastAsia" w:hAnsi="Times New Roman" w:cs="Times New Roman"/>
          <w:sz w:val="24"/>
          <w:szCs w:val="24"/>
          <w:lang w:val="en-GB"/>
        </w:rPr>
        <w:t xml:space="preserve">. Approximately 36% of the total unlicensed installed power is in these 7 provinces. In addition, unlicensed electricity installed power started to operate in 6 additional provinces in Giresun, </w:t>
      </w:r>
      <w:proofErr w:type="spellStart"/>
      <w:r w:rsidRPr="000C4EFC">
        <w:rPr>
          <w:rFonts w:ascii="Times New Roman" w:eastAsiaTheme="minorEastAsia" w:hAnsi="Times New Roman" w:cs="Times New Roman"/>
          <w:sz w:val="24"/>
          <w:szCs w:val="24"/>
          <w:lang w:val="en-GB"/>
        </w:rPr>
        <w:t>Şırnak</w:t>
      </w:r>
      <w:proofErr w:type="spellEnd"/>
      <w:r w:rsidRPr="000C4EFC">
        <w:rPr>
          <w:rFonts w:ascii="Times New Roman" w:eastAsiaTheme="minorEastAsia" w:hAnsi="Times New Roman" w:cs="Times New Roman"/>
          <w:sz w:val="24"/>
          <w:szCs w:val="24"/>
          <w:lang w:val="en-GB"/>
        </w:rPr>
        <w:t xml:space="preserve">, </w:t>
      </w:r>
      <w:proofErr w:type="spellStart"/>
      <w:r w:rsidRPr="000C4EFC">
        <w:rPr>
          <w:rFonts w:ascii="Times New Roman" w:eastAsiaTheme="minorEastAsia" w:hAnsi="Times New Roman" w:cs="Times New Roman"/>
          <w:sz w:val="24"/>
          <w:szCs w:val="24"/>
          <w:lang w:val="en-GB"/>
        </w:rPr>
        <w:t>Ağrı</w:t>
      </w:r>
      <w:proofErr w:type="spellEnd"/>
      <w:r w:rsidRPr="000C4EFC">
        <w:rPr>
          <w:rFonts w:ascii="Times New Roman" w:eastAsiaTheme="minorEastAsia" w:hAnsi="Times New Roman" w:cs="Times New Roman"/>
          <w:sz w:val="24"/>
          <w:szCs w:val="24"/>
          <w:lang w:val="en-GB"/>
        </w:rPr>
        <w:t xml:space="preserve">, </w:t>
      </w:r>
      <w:proofErr w:type="spellStart"/>
      <w:r w:rsidRPr="000C4EFC">
        <w:rPr>
          <w:rFonts w:ascii="Times New Roman" w:eastAsiaTheme="minorEastAsia" w:hAnsi="Times New Roman" w:cs="Times New Roman"/>
          <w:sz w:val="24"/>
          <w:szCs w:val="24"/>
          <w:lang w:val="en-GB"/>
        </w:rPr>
        <w:t>Kırklareli</w:t>
      </w:r>
      <w:proofErr w:type="spellEnd"/>
      <w:r w:rsidRPr="000C4EFC">
        <w:rPr>
          <w:rFonts w:ascii="Times New Roman" w:eastAsiaTheme="minorEastAsia" w:hAnsi="Times New Roman" w:cs="Times New Roman"/>
          <w:sz w:val="24"/>
          <w:szCs w:val="24"/>
          <w:lang w:val="en-GB"/>
        </w:rPr>
        <w:t xml:space="preserve">, </w:t>
      </w:r>
      <w:proofErr w:type="spellStart"/>
      <w:r w:rsidRPr="000C4EFC">
        <w:rPr>
          <w:rFonts w:ascii="Times New Roman" w:eastAsiaTheme="minorEastAsia" w:hAnsi="Times New Roman" w:cs="Times New Roman"/>
          <w:sz w:val="24"/>
          <w:szCs w:val="24"/>
          <w:lang w:val="en-GB"/>
        </w:rPr>
        <w:t>Rize</w:t>
      </w:r>
      <w:proofErr w:type="spellEnd"/>
      <w:r w:rsidRPr="000C4EFC">
        <w:rPr>
          <w:rFonts w:ascii="Times New Roman" w:eastAsiaTheme="minorEastAsia" w:hAnsi="Times New Roman" w:cs="Times New Roman"/>
          <w:sz w:val="24"/>
          <w:szCs w:val="24"/>
          <w:lang w:val="en-GB"/>
        </w:rPr>
        <w:t xml:space="preserve"> and </w:t>
      </w:r>
      <w:proofErr w:type="spellStart"/>
      <w:r w:rsidRPr="000C4EFC">
        <w:rPr>
          <w:rFonts w:ascii="Times New Roman" w:eastAsiaTheme="minorEastAsia" w:hAnsi="Times New Roman" w:cs="Times New Roman"/>
          <w:sz w:val="24"/>
          <w:szCs w:val="24"/>
          <w:lang w:val="en-GB"/>
        </w:rPr>
        <w:t>Gümüşhane</w:t>
      </w:r>
      <w:proofErr w:type="spellEnd"/>
      <w:r w:rsidRPr="000C4EFC">
        <w:rPr>
          <w:rFonts w:ascii="Times New Roman" w:eastAsiaTheme="minorEastAsia" w:hAnsi="Times New Roman" w:cs="Times New Roman"/>
          <w:sz w:val="24"/>
          <w:szCs w:val="24"/>
          <w:lang w:val="en-GB"/>
        </w:rPr>
        <w:t xml:space="preserve"> in 2019.</w:t>
      </w:r>
    </w:p>
    <w:p w:rsidR="00D232AF" w:rsidRPr="00F876CB" w:rsidRDefault="00015994" w:rsidP="002B2F1D">
      <w:pPr>
        <w:pStyle w:val="Balk5"/>
        <w:jc w:val="left"/>
        <w:rPr>
          <w:lang w:val="en-GB"/>
        </w:rPr>
      </w:pPr>
      <w:bookmarkStart w:id="228" w:name="_Toc44508322"/>
      <w:r w:rsidRPr="00F876CB">
        <w:rPr>
          <w:lang w:val="en-GB"/>
        </w:rPr>
        <w:lastRenderedPageBreak/>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6</w:t>
      </w:r>
      <w:r w:rsidR="00D232AF" w:rsidRPr="00F876CB">
        <w:rPr>
          <w:lang w:val="en-GB"/>
        </w:rPr>
        <w:t xml:space="preserve">: </w:t>
      </w:r>
      <w:r w:rsidR="002B2F1D" w:rsidRPr="00F876CB">
        <w:rPr>
          <w:lang w:val="en-GB"/>
        </w:rPr>
        <w:t xml:space="preserve">Distribution of Unlicensed Installed Capacity by Province </w:t>
      </w:r>
      <w:r w:rsidR="00A34676" w:rsidRPr="00F876CB">
        <w:rPr>
          <w:lang w:val="en-GB"/>
        </w:rPr>
        <w:t>(</w:t>
      </w:r>
      <w:proofErr w:type="spellStart"/>
      <w:r w:rsidR="00A34676" w:rsidRPr="00F876CB">
        <w:rPr>
          <w:lang w:val="en-GB"/>
        </w:rPr>
        <w:t>MWe</w:t>
      </w:r>
      <w:proofErr w:type="spellEnd"/>
      <w:r w:rsidR="00A34676" w:rsidRPr="00F876CB">
        <w:rPr>
          <w:lang w:val="en-GB"/>
        </w:rPr>
        <w:t>-</w:t>
      </w:r>
      <w:r w:rsidR="00D232AF" w:rsidRPr="00F876CB">
        <w:rPr>
          <w:lang w:val="en-GB"/>
        </w:rPr>
        <w:t>%)</w:t>
      </w:r>
      <w:bookmarkEnd w:id="226"/>
      <w:bookmarkEnd w:id="227"/>
      <w:bookmarkEnd w:id="228"/>
    </w:p>
    <w:tbl>
      <w:tblPr>
        <w:tblW w:w="9204" w:type="dxa"/>
        <w:tblInd w:w="80" w:type="dxa"/>
        <w:tblCellMar>
          <w:left w:w="70" w:type="dxa"/>
          <w:right w:w="70" w:type="dxa"/>
        </w:tblCellMar>
        <w:tblLook w:val="04A0" w:firstRow="1" w:lastRow="0" w:firstColumn="1" w:lastColumn="0" w:noHBand="0" w:noVBand="1"/>
      </w:tblPr>
      <w:tblGrid>
        <w:gridCol w:w="2657"/>
        <w:gridCol w:w="1869"/>
        <w:gridCol w:w="1418"/>
        <w:gridCol w:w="1701"/>
        <w:gridCol w:w="1559"/>
      </w:tblGrid>
      <w:tr w:rsidR="00E82AE1" w:rsidRPr="00F876CB" w:rsidTr="00E82AE1">
        <w:trPr>
          <w:trHeight w:val="330"/>
          <w:tblHeader/>
        </w:trPr>
        <w:tc>
          <w:tcPr>
            <w:tcW w:w="265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82AE1" w:rsidRPr="00F876CB" w:rsidRDefault="002B2F1D" w:rsidP="00E82AE1">
            <w:pPr>
              <w:spacing w:after="0" w:line="240" w:lineRule="auto"/>
              <w:jc w:val="center"/>
              <w:rPr>
                <w:rFonts w:ascii="Times New Roman" w:eastAsia="Times New Roman" w:hAnsi="Times New Roman" w:cs="Times New Roman"/>
                <w:b/>
                <w:bCs/>
                <w:color w:val="FFFFFF"/>
                <w:sz w:val="24"/>
                <w:szCs w:val="24"/>
                <w:lang w:val="en-GB" w:eastAsia="tr-TR" w:bidi="ar-SA"/>
              </w:rPr>
            </w:pPr>
            <w:bookmarkStart w:id="229" w:name="_Toc450300297"/>
            <w:bookmarkStart w:id="230" w:name="_Toc450309953"/>
            <w:r w:rsidRPr="00F876CB">
              <w:rPr>
                <w:rFonts w:ascii="Times New Roman" w:eastAsia="Times New Roman" w:hAnsi="Times New Roman" w:cs="Times New Roman"/>
                <w:b/>
                <w:bCs/>
                <w:color w:val="FFFFFF"/>
                <w:sz w:val="24"/>
                <w:szCs w:val="24"/>
                <w:lang w:val="en-GB" w:eastAsia="tr-TR" w:bidi="ar-SA"/>
              </w:rPr>
              <w:t>PROVINCE</w:t>
            </w:r>
          </w:p>
        </w:tc>
        <w:tc>
          <w:tcPr>
            <w:tcW w:w="328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AE1" w:rsidRPr="00F876CB" w:rsidRDefault="00E82AE1"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AE1" w:rsidRPr="00F876CB" w:rsidRDefault="00E82AE1"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r>
      <w:tr w:rsidR="00E82AE1" w:rsidRPr="00F876CB" w:rsidTr="00E82AE1">
        <w:trPr>
          <w:trHeight w:val="362"/>
          <w:tblHeader/>
        </w:trPr>
        <w:tc>
          <w:tcPr>
            <w:tcW w:w="2657" w:type="dxa"/>
            <w:vMerge/>
            <w:tcBorders>
              <w:top w:val="single" w:sz="8" w:space="0" w:color="auto"/>
              <w:left w:val="single" w:sz="8" w:space="0" w:color="auto"/>
              <w:bottom w:val="nil"/>
              <w:right w:val="single" w:sz="8" w:space="0" w:color="auto"/>
            </w:tcBorders>
            <w:vAlign w:val="center"/>
            <w:hideMark/>
          </w:tcPr>
          <w:p w:rsidR="00E82AE1" w:rsidRPr="00F876CB" w:rsidRDefault="00E82AE1" w:rsidP="00E82AE1">
            <w:pPr>
              <w:spacing w:after="0" w:line="240" w:lineRule="auto"/>
              <w:rPr>
                <w:rFonts w:ascii="Times New Roman" w:eastAsia="Times New Roman" w:hAnsi="Times New Roman" w:cs="Times New Roman"/>
                <w:b/>
                <w:bCs/>
                <w:color w:val="FFFFFF"/>
                <w:sz w:val="24"/>
                <w:szCs w:val="24"/>
                <w:lang w:val="en-GB" w:eastAsia="tr-TR" w:bidi="ar-SA"/>
              </w:rPr>
            </w:pPr>
          </w:p>
        </w:tc>
        <w:tc>
          <w:tcPr>
            <w:tcW w:w="1869" w:type="dxa"/>
            <w:tcBorders>
              <w:top w:val="nil"/>
              <w:left w:val="nil"/>
              <w:bottom w:val="nil"/>
              <w:right w:val="single" w:sz="8" w:space="0" w:color="auto"/>
            </w:tcBorders>
            <w:shd w:val="clear" w:color="000000" w:fill="FF0000"/>
            <w:vAlign w:val="center"/>
            <w:hideMark/>
          </w:tcPr>
          <w:p w:rsidR="00E82AE1" w:rsidRPr="00F876CB" w:rsidRDefault="002B2F1D"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Installed Capacity</w:t>
            </w:r>
            <w:r w:rsidR="00E82AE1" w:rsidRPr="00F876CB">
              <w:rPr>
                <w:rFonts w:ascii="Times New Roman" w:eastAsia="Times New Roman" w:hAnsi="Times New Roman" w:cs="Times New Roman"/>
                <w:b/>
                <w:bCs/>
                <w:color w:val="FFFFFF"/>
                <w:sz w:val="24"/>
                <w:szCs w:val="24"/>
                <w:lang w:val="en-GB" w:eastAsia="tr-TR" w:bidi="ar-SA"/>
              </w:rPr>
              <w:br/>
              <w:t xml:space="preserve"> (</w:t>
            </w:r>
            <w:proofErr w:type="spellStart"/>
            <w:r w:rsidR="00E82AE1" w:rsidRPr="00F876CB">
              <w:rPr>
                <w:rFonts w:ascii="Times New Roman" w:eastAsia="Times New Roman" w:hAnsi="Times New Roman" w:cs="Times New Roman"/>
                <w:b/>
                <w:bCs/>
                <w:color w:val="FFFFFF"/>
                <w:sz w:val="24"/>
                <w:szCs w:val="24"/>
                <w:lang w:val="en-GB" w:eastAsia="tr-TR" w:bidi="ar-SA"/>
              </w:rPr>
              <w:t>MWe</w:t>
            </w:r>
            <w:proofErr w:type="spellEnd"/>
            <w:r w:rsidR="00E82AE1" w:rsidRPr="00F876CB">
              <w:rPr>
                <w:rFonts w:ascii="Times New Roman" w:eastAsia="Times New Roman" w:hAnsi="Times New Roman" w:cs="Times New Roman"/>
                <w:b/>
                <w:bCs/>
                <w:color w:val="FFFFFF"/>
                <w:sz w:val="24"/>
                <w:szCs w:val="24"/>
                <w:lang w:val="en-GB" w:eastAsia="tr-TR" w:bidi="ar-SA"/>
              </w:rPr>
              <w:t>)</w:t>
            </w:r>
          </w:p>
        </w:tc>
        <w:tc>
          <w:tcPr>
            <w:tcW w:w="1418" w:type="dxa"/>
            <w:tcBorders>
              <w:top w:val="nil"/>
              <w:left w:val="nil"/>
              <w:bottom w:val="nil"/>
              <w:right w:val="single" w:sz="8" w:space="0" w:color="auto"/>
            </w:tcBorders>
            <w:shd w:val="clear" w:color="000000" w:fill="FF0000"/>
            <w:vAlign w:val="center"/>
            <w:hideMark/>
          </w:tcPr>
          <w:p w:rsidR="00E82AE1" w:rsidRPr="00F876CB" w:rsidRDefault="002B2F1D"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Share</w:t>
            </w:r>
            <w:r w:rsidR="00E82AE1" w:rsidRPr="00F876CB">
              <w:rPr>
                <w:rFonts w:ascii="Times New Roman" w:eastAsia="Times New Roman" w:hAnsi="Times New Roman" w:cs="Times New Roman"/>
                <w:b/>
                <w:bCs/>
                <w:color w:val="FFFFFF"/>
                <w:sz w:val="24"/>
                <w:szCs w:val="24"/>
                <w:lang w:val="en-GB" w:eastAsia="tr-TR" w:bidi="ar-SA"/>
              </w:rPr>
              <w:t xml:space="preserve"> (%)</w:t>
            </w:r>
          </w:p>
        </w:tc>
        <w:tc>
          <w:tcPr>
            <w:tcW w:w="1701" w:type="dxa"/>
            <w:tcBorders>
              <w:top w:val="nil"/>
              <w:left w:val="nil"/>
              <w:bottom w:val="nil"/>
              <w:right w:val="single" w:sz="8" w:space="0" w:color="auto"/>
            </w:tcBorders>
            <w:shd w:val="clear" w:color="000000" w:fill="FF0000"/>
            <w:vAlign w:val="center"/>
            <w:hideMark/>
          </w:tcPr>
          <w:p w:rsidR="00E82AE1" w:rsidRPr="00F876CB" w:rsidRDefault="002B2F1D"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Installed Capacity</w:t>
            </w:r>
            <w:r w:rsidR="00E82AE1" w:rsidRPr="00F876CB">
              <w:rPr>
                <w:rFonts w:ascii="Times New Roman" w:eastAsia="Times New Roman" w:hAnsi="Times New Roman" w:cs="Times New Roman"/>
                <w:b/>
                <w:bCs/>
                <w:color w:val="FFFFFF"/>
                <w:sz w:val="24"/>
                <w:szCs w:val="24"/>
                <w:lang w:val="en-GB" w:eastAsia="tr-TR" w:bidi="ar-SA"/>
              </w:rPr>
              <w:br/>
              <w:t xml:space="preserve"> (</w:t>
            </w:r>
            <w:proofErr w:type="spellStart"/>
            <w:r w:rsidR="00E82AE1" w:rsidRPr="00F876CB">
              <w:rPr>
                <w:rFonts w:ascii="Times New Roman" w:eastAsia="Times New Roman" w:hAnsi="Times New Roman" w:cs="Times New Roman"/>
                <w:b/>
                <w:bCs/>
                <w:color w:val="FFFFFF"/>
                <w:sz w:val="24"/>
                <w:szCs w:val="24"/>
                <w:lang w:val="en-GB" w:eastAsia="tr-TR" w:bidi="ar-SA"/>
              </w:rPr>
              <w:t>MWe</w:t>
            </w:r>
            <w:proofErr w:type="spellEnd"/>
            <w:r w:rsidR="00E82AE1" w:rsidRPr="00F876CB">
              <w:rPr>
                <w:rFonts w:ascii="Times New Roman" w:eastAsia="Times New Roman" w:hAnsi="Times New Roman" w:cs="Times New Roman"/>
                <w:b/>
                <w:bCs/>
                <w:color w:val="FFFFFF"/>
                <w:sz w:val="24"/>
                <w:szCs w:val="24"/>
                <w:lang w:val="en-GB" w:eastAsia="tr-TR" w:bidi="ar-SA"/>
              </w:rPr>
              <w:t>)</w:t>
            </w:r>
          </w:p>
        </w:tc>
        <w:tc>
          <w:tcPr>
            <w:tcW w:w="1559" w:type="dxa"/>
            <w:tcBorders>
              <w:top w:val="nil"/>
              <w:left w:val="nil"/>
              <w:bottom w:val="nil"/>
              <w:right w:val="single" w:sz="8" w:space="0" w:color="auto"/>
            </w:tcBorders>
            <w:shd w:val="clear" w:color="000000" w:fill="FF0000"/>
            <w:vAlign w:val="center"/>
            <w:hideMark/>
          </w:tcPr>
          <w:p w:rsidR="00E82AE1" w:rsidRPr="00F876CB" w:rsidRDefault="002B2F1D"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Share</w:t>
            </w:r>
            <w:r w:rsidR="00E82AE1" w:rsidRPr="00F876CB">
              <w:rPr>
                <w:rFonts w:ascii="Times New Roman" w:eastAsia="Times New Roman" w:hAnsi="Times New Roman" w:cs="Times New Roman"/>
                <w:b/>
                <w:bCs/>
                <w:color w:val="FFFFFF"/>
                <w:sz w:val="24"/>
                <w:szCs w:val="24"/>
                <w:lang w:val="en-GB" w:eastAsia="tr-TR" w:bidi="ar-SA"/>
              </w:rPr>
              <w:t xml:space="preserve"> (%)</w:t>
            </w:r>
          </w:p>
        </w:tc>
      </w:tr>
      <w:tr w:rsidR="00E82AE1" w:rsidRPr="00F876CB" w:rsidTr="008C052D">
        <w:trPr>
          <w:trHeight w:val="2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KONYA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503,23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9,48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503,19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7,98</w:t>
            </w:r>
          </w:p>
        </w:tc>
      </w:tr>
      <w:tr w:rsidR="00E82AE1" w:rsidRPr="00F876CB" w:rsidTr="008C052D">
        <w:trPr>
          <w:trHeight w:val="22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ANKARA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307,09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5,78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362,29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5,74</w:t>
            </w:r>
          </w:p>
        </w:tc>
      </w:tr>
      <w:tr w:rsidR="00E82AE1" w:rsidRPr="00F876CB" w:rsidTr="008C052D">
        <w:trPr>
          <w:trHeight w:val="20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ŞANLIURFA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254,81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341,99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5,42</w:t>
            </w:r>
          </w:p>
        </w:tc>
      </w:tr>
      <w:tr w:rsidR="00E82AE1" w:rsidRPr="00F876CB" w:rsidTr="008C052D">
        <w:trPr>
          <w:trHeight w:val="19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KAYSERİ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310,15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5,84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317,72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5,04</w:t>
            </w:r>
          </w:p>
        </w:tc>
      </w:tr>
      <w:tr w:rsidR="00E82AE1" w:rsidRPr="00F876CB" w:rsidTr="008C052D">
        <w:trPr>
          <w:trHeight w:val="18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İZMİR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178,41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3,36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274,75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4,35</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AFYONKARAHİSAR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206,99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232,15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3,68</w:t>
            </w:r>
          </w:p>
        </w:tc>
      </w:tr>
      <w:tr w:rsidR="00E82AE1" w:rsidRPr="00F876CB" w:rsidTr="008C052D">
        <w:trPr>
          <w:trHeight w:val="16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KAHRAMANMARAŞ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207,30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220,19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3,49</w:t>
            </w:r>
          </w:p>
        </w:tc>
      </w:tr>
      <w:tr w:rsidR="00E82AE1" w:rsidRPr="00F876CB"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MANİSA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102,01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1,92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216,73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3,44</w:t>
            </w:r>
          </w:p>
        </w:tc>
      </w:tr>
      <w:tr w:rsidR="00E82AE1" w:rsidRPr="00F876CB" w:rsidTr="008C052D">
        <w:trPr>
          <w:trHeight w:val="14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MERSİN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177,70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3,35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191,60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3,04</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ESKİŞEHİR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157,11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2,96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175,12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2,78</w:t>
            </w:r>
          </w:p>
        </w:tc>
      </w:tr>
      <w:tr w:rsidR="00E82AE1" w:rsidRPr="00F876CB" w:rsidTr="008C052D">
        <w:trPr>
          <w:trHeight w:val="13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ELAZIĞ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162,61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168,61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2,67</w:t>
            </w:r>
          </w:p>
        </w:tc>
      </w:tr>
      <w:tr w:rsidR="00E82AE1" w:rsidRPr="00F876CB" w:rsidTr="008C052D">
        <w:trPr>
          <w:trHeight w:val="209"/>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DENİZLİ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145,67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2,74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165,56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2,62</w:t>
            </w:r>
          </w:p>
        </w:tc>
      </w:tr>
      <w:tr w:rsidR="00E82AE1" w:rsidRPr="00F876CB" w:rsidTr="008C052D">
        <w:trPr>
          <w:trHeight w:val="14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ANTALYA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139,43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2,63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155,66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2,47</w:t>
            </w:r>
          </w:p>
        </w:tc>
      </w:tr>
      <w:tr w:rsidR="00E82AE1" w:rsidRPr="00F876CB" w:rsidTr="008C052D">
        <w:trPr>
          <w:trHeight w:val="7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ISPARTA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108,28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152,81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2,42</w:t>
            </w:r>
          </w:p>
        </w:tc>
      </w:tr>
      <w:tr w:rsidR="00E82AE1" w:rsidRPr="00F876CB" w:rsidTr="008C052D">
        <w:trPr>
          <w:trHeight w:val="15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ADANA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122,03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151,27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2,40</w:t>
            </w:r>
          </w:p>
        </w:tc>
      </w:tr>
      <w:tr w:rsidR="00E82AE1" w:rsidRPr="00F876CB" w:rsidTr="008C052D">
        <w:trPr>
          <w:trHeight w:val="7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GAZİANTEP</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135,39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145,99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2,31</w:t>
            </w:r>
          </w:p>
        </w:tc>
      </w:tr>
      <w:tr w:rsidR="00E82AE1" w:rsidRPr="00F876CB" w:rsidTr="008C052D">
        <w:trPr>
          <w:trHeight w:val="163"/>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NEVŞEHİR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130,40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133,57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2,12</w:t>
            </w:r>
          </w:p>
        </w:tc>
      </w:tr>
      <w:tr w:rsidR="00E82AE1" w:rsidRPr="00F876CB" w:rsidTr="008C052D">
        <w:trPr>
          <w:trHeight w:val="23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AYDIN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122,90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121,52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1,93</w:t>
            </w:r>
          </w:p>
        </w:tc>
      </w:tr>
      <w:tr w:rsidR="00E82AE1" w:rsidRPr="00F876CB"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KÜTAHYA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99,37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116,64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1,85</w:t>
            </w:r>
          </w:p>
        </w:tc>
      </w:tr>
      <w:tr w:rsidR="00E82AE1" w:rsidRPr="00F876CB" w:rsidTr="008C052D">
        <w:trPr>
          <w:trHeight w:val="107"/>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BALIKESİR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89,31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110,17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1,75</w:t>
            </w:r>
          </w:p>
        </w:tc>
      </w:tr>
      <w:tr w:rsidR="00E82AE1" w:rsidRPr="00F876CB" w:rsidTr="008C052D">
        <w:trPr>
          <w:trHeight w:val="18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ADIYAMAN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98,38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109,21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ÇORUM</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76,09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104,86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1,66</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MALATYA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96,54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102,84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MUĞLA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95,51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102,73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NİĞDE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98,45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100,31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1,59</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ERZURUM</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83,37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98,13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1,56</w:t>
            </w:r>
          </w:p>
        </w:tc>
      </w:tr>
      <w:tr w:rsidR="00E82AE1" w:rsidRPr="00F876CB" w:rsidTr="008C052D">
        <w:trPr>
          <w:trHeight w:val="21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UŞAK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80,31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91,84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1,46</w:t>
            </w:r>
          </w:p>
        </w:tc>
      </w:tr>
      <w:tr w:rsidR="00E82AE1" w:rsidRPr="00F876CB" w:rsidTr="008C052D">
        <w:trPr>
          <w:trHeight w:val="13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AKSARAY</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85,65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88,82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1,41</w:t>
            </w:r>
          </w:p>
        </w:tc>
      </w:tr>
      <w:tr w:rsidR="00E82AE1" w:rsidRPr="00F876CB" w:rsidTr="008C052D">
        <w:trPr>
          <w:trHeight w:val="6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BİLECİK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47,89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77,01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1,22</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SİVAS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72,73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76,89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1,22</w:t>
            </w:r>
          </w:p>
        </w:tc>
      </w:tr>
      <w:tr w:rsidR="00E82AE1" w:rsidRPr="00F876CB" w:rsidTr="008C052D">
        <w:trPr>
          <w:trHeight w:val="15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OSMANİYE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66,83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72,01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1,14</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BURSA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48,07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70,54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1,12</w:t>
            </w:r>
          </w:p>
        </w:tc>
      </w:tr>
      <w:tr w:rsidR="00E82AE1" w:rsidRPr="00F876CB" w:rsidTr="008C052D">
        <w:trPr>
          <w:trHeight w:val="12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KARAMAN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67,13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69,18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BURDUR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64,34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1,05</w:t>
            </w:r>
          </w:p>
        </w:tc>
      </w:tr>
      <w:tr w:rsidR="00E82AE1" w:rsidRPr="00F876CB" w:rsidTr="008C052D">
        <w:trPr>
          <w:trHeight w:val="14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YOZGAT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60,25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63,65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1,01</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DİYARBAKIR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31,74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0,60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58,35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0,92</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İSTANBUL</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52,06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ÇANKIRI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48,79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51,25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0,81</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KIRIKKALE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39,93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0,75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49,15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0,78</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lastRenderedPageBreak/>
              <w:t>KIRŞEHİR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46,36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46,14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0,73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ERZİNCAN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38,67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0,73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42,24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0,67</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SAMSUN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35,41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0,67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41,84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0,66</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AMASYA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29,63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0,56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38,17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0,60</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ÇANAKKALE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21,66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0,41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31,79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0,50</w:t>
            </w:r>
          </w:p>
        </w:tc>
      </w:tr>
      <w:tr w:rsidR="00E82AE1" w:rsidRPr="00F876CB" w:rsidTr="008C052D">
        <w:trPr>
          <w:trHeight w:val="11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VAN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13,02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29,07</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0,46</w:t>
            </w:r>
          </w:p>
        </w:tc>
      </w:tr>
      <w:tr w:rsidR="00E82AE1" w:rsidRPr="00F876CB" w:rsidTr="008C052D">
        <w:trPr>
          <w:trHeight w:val="107"/>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TEKİRDAĞ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6,30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28,31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0,45</w:t>
            </w:r>
          </w:p>
        </w:tc>
      </w:tr>
      <w:tr w:rsidR="00E82AE1" w:rsidRPr="00F876CB" w:rsidTr="008C052D">
        <w:trPr>
          <w:trHeight w:val="9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TOKAT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17,82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21,85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0,35</w:t>
            </w:r>
          </w:p>
        </w:tc>
      </w:tr>
      <w:tr w:rsidR="00E82AE1" w:rsidRPr="00F876CB" w:rsidTr="008C052D">
        <w:trPr>
          <w:trHeight w:val="20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KİLİS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11,84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21,30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0,34</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BİTLİS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14,47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20,83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0,33</w:t>
            </w:r>
          </w:p>
        </w:tc>
      </w:tr>
      <w:tr w:rsidR="00E82AE1" w:rsidRPr="00F876CB" w:rsidTr="008C052D">
        <w:trPr>
          <w:trHeight w:val="12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BİNGÖL</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2,75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20,55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0,33</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BATMAN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13,04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18,78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0,30</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ŞIRNAK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18,00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0,29</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MARDİN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1,97</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0,04</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17,51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0,28</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HATAY</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17,10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17,14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0,27</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SAKARYA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10,79</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16,90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0,27</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KOCAELİ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0,28</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16,22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0,26</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KARABÜK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10,64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12,62</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0,20</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BAYBURT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12,02</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0,19</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KASTAMONU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3,55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0,07</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8,63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0,14</w:t>
            </w:r>
          </w:p>
        </w:tc>
      </w:tr>
      <w:tr w:rsidR="00E82AE1" w:rsidRPr="00F876CB" w:rsidTr="008C052D">
        <w:trPr>
          <w:trHeight w:val="20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BOLU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3,24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8,31</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0,13</w:t>
            </w:r>
          </w:p>
        </w:tc>
      </w:tr>
      <w:tr w:rsidR="00E82AE1" w:rsidRPr="00F876CB" w:rsidTr="008C052D">
        <w:trPr>
          <w:trHeight w:val="148"/>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DÜZCE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6,99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0,11</w:t>
            </w:r>
          </w:p>
        </w:tc>
      </w:tr>
      <w:tr w:rsidR="00E82AE1" w:rsidRPr="00F876CB" w:rsidTr="008C052D">
        <w:trPr>
          <w:trHeight w:val="22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SİİRT</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4,65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0,11</w:t>
            </w:r>
          </w:p>
        </w:tc>
      </w:tr>
      <w:tr w:rsidR="00E82AE1" w:rsidRPr="00F876CB" w:rsidTr="008C052D">
        <w:trPr>
          <w:trHeight w:val="144"/>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EDİRNE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1,34</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6,58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0,10</w:t>
            </w:r>
          </w:p>
        </w:tc>
      </w:tr>
      <w:tr w:rsidR="00E82AE1" w:rsidRPr="00F876CB" w:rsidTr="008C052D">
        <w:trPr>
          <w:trHeight w:val="9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KARS</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3,26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5,74</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0,09</w:t>
            </w:r>
          </w:p>
        </w:tc>
      </w:tr>
      <w:tr w:rsidR="00E82AE1" w:rsidRPr="00F876CB" w:rsidTr="008C052D">
        <w:trPr>
          <w:trHeight w:val="21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BARTIN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0,25</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5,25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0,08</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AĞRI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4,95</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0,08</w:t>
            </w:r>
          </w:p>
        </w:tc>
      </w:tr>
      <w:tr w:rsidR="00E82AE1" w:rsidRPr="00F876CB" w:rsidTr="008C052D">
        <w:trPr>
          <w:trHeight w:val="6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KIRKLARELİ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4,50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0,07</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YALOVA</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1,41</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3,83</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0,06</w:t>
            </w:r>
          </w:p>
        </w:tc>
      </w:tr>
      <w:tr w:rsidR="00E82AE1" w:rsidRPr="00F876CB" w:rsidTr="008C052D">
        <w:trPr>
          <w:trHeight w:val="7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MUŞ</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2,46</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3,30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0,05</w:t>
            </w:r>
          </w:p>
        </w:tc>
      </w:tr>
      <w:tr w:rsidR="00E82AE1" w:rsidRPr="00F876CB" w:rsidTr="008C052D">
        <w:trPr>
          <w:trHeight w:val="135"/>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ZONGULDAK</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0,05</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2,48</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0,04</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ORDU</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2,10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0,03</w:t>
            </w:r>
          </w:p>
        </w:tc>
      </w:tr>
      <w:tr w:rsidR="00E82AE1" w:rsidRPr="00F876CB" w:rsidTr="008C052D">
        <w:trPr>
          <w:trHeight w:val="62"/>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RİZE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0,03</w:t>
            </w:r>
          </w:p>
        </w:tc>
      </w:tr>
      <w:tr w:rsidR="00E82AE1" w:rsidRPr="00F876CB" w:rsidTr="008C052D">
        <w:trPr>
          <w:trHeight w:val="19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GİRESUN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r>
      <w:tr w:rsidR="00E82AE1" w:rsidRPr="00F876CB" w:rsidTr="008C052D">
        <w:trPr>
          <w:trHeight w:val="16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ARDAHAN</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r>
      <w:tr w:rsidR="00E82AE1" w:rsidRPr="00F876CB" w:rsidTr="008C052D">
        <w:trPr>
          <w:trHeight w:val="15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TUNCELİ</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0,98</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0,86</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0,01</w:t>
            </w:r>
          </w:p>
        </w:tc>
      </w:tr>
      <w:tr w:rsidR="00E82AE1" w:rsidRPr="00F876CB" w:rsidTr="008C052D">
        <w:trPr>
          <w:trHeight w:val="146"/>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GÜMÜŞHANE</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0,80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0,01</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ind w:firstLineChars="100" w:firstLine="240"/>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IĞDIR</w:t>
            </w:r>
          </w:p>
        </w:tc>
        <w:tc>
          <w:tcPr>
            <w:tcW w:w="186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0,50</w:t>
            </w:r>
          </w:p>
        </w:tc>
        <w:tc>
          <w:tcPr>
            <w:tcW w:w="1418"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0,01</w:t>
            </w:r>
          </w:p>
        </w:tc>
        <w:tc>
          <w:tcPr>
            <w:tcW w:w="1701"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rsidR="00E82AE1" w:rsidRPr="00F876CB" w:rsidRDefault="00E82AE1" w:rsidP="00E82AE1">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0,01</w:t>
            </w:r>
          </w:p>
        </w:tc>
      </w:tr>
      <w:tr w:rsidR="00E82AE1" w:rsidRPr="00F876CB" w:rsidTr="00E82AE1">
        <w:trPr>
          <w:trHeight w:val="330"/>
        </w:trPr>
        <w:tc>
          <w:tcPr>
            <w:tcW w:w="2657" w:type="dxa"/>
            <w:tcBorders>
              <w:top w:val="nil"/>
              <w:left w:val="single" w:sz="8" w:space="0" w:color="auto"/>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G</w:t>
            </w:r>
            <w:r w:rsidR="00BA1C95" w:rsidRPr="00F876CB">
              <w:rPr>
                <w:rFonts w:ascii="Times New Roman" w:eastAsia="Times New Roman" w:hAnsi="Times New Roman" w:cs="Times New Roman"/>
                <w:b/>
                <w:bCs/>
                <w:color w:val="FFFFFF"/>
                <w:sz w:val="24"/>
                <w:szCs w:val="24"/>
                <w:lang w:val="en-GB" w:eastAsia="tr-TR" w:bidi="ar-SA"/>
              </w:rPr>
              <w:t>rand Total</w:t>
            </w:r>
          </w:p>
        </w:tc>
        <w:tc>
          <w:tcPr>
            <w:tcW w:w="1869" w:type="dxa"/>
            <w:tcBorders>
              <w:top w:val="nil"/>
              <w:left w:val="nil"/>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5.310,57</w:t>
            </w:r>
          </w:p>
        </w:tc>
        <w:tc>
          <w:tcPr>
            <w:tcW w:w="1418" w:type="dxa"/>
            <w:tcBorders>
              <w:top w:val="nil"/>
              <w:left w:val="nil"/>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6.309,27</w:t>
            </w:r>
          </w:p>
        </w:tc>
        <w:tc>
          <w:tcPr>
            <w:tcW w:w="1559" w:type="dxa"/>
            <w:tcBorders>
              <w:top w:val="nil"/>
              <w:left w:val="nil"/>
              <w:bottom w:val="single" w:sz="8" w:space="0" w:color="auto"/>
              <w:right w:val="single" w:sz="8" w:space="0" w:color="auto"/>
            </w:tcBorders>
            <w:shd w:val="clear" w:color="000000" w:fill="FF5050"/>
            <w:noWrap/>
            <w:vAlign w:val="center"/>
            <w:hideMark/>
          </w:tcPr>
          <w:p w:rsidR="00E82AE1" w:rsidRPr="00F876CB" w:rsidRDefault="00E82AE1" w:rsidP="00E82AE1">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r>
    </w:tbl>
    <w:p w:rsidR="008C052D" w:rsidRPr="00F876CB" w:rsidRDefault="003E4CA1" w:rsidP="003E4CA1">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lastRenderedPageBreak/>
        <w:t>The d</w:t>
      </w:r>
      <w:r w:rsidR="008A0783" w:rsidRPr="00F876CB">
        <w:rPr>
          <w:rFonts w:asciiTheme="minorHAnsi" w:hAnsiTheme="minorHAnsi" w:cstheme="minorHAnsi"/>
          <w:sz w:val="24"/>
          <w:szCs w:val="24"/>
          <w:lang w:val="en-GB"/>
        </w:rPr>
        <w:t>istribution of unlicensed electricity generation by source is given in Table 1.7 and Figure 1.19. While the amount of energy supplied to the grid within the scope of unlicensed electricity generation in 2018 was 8.212.771</w:t>
      </w:r>
      <w:r w:rsidR="008E15BB">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44 MWh, it increased by 19</w:t>
      </w:r>
      <w:r w:rsidR="000C4EFC">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68% and reached 9.829.447</w:t>
      </w:r>
      <w:r w:rsidR="000C4EFC">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 xml:space="preserve">73 MWh in 2019. </w:t>
      </w:r>
      <w:r w:rsidR="000C4EFC">
        <w:rPr>
          <w:rFonts w:asciiTheme="minorHAnsi" w:hAnsiTheme="minorHAnsi" w:cstheme="minorHAnsi"/>
          <w:sz w:val="24"/>
          <w:szCs w:val="24"/>
          <w:lang w:val="en-GB"/>
        </w:rPr>
        <w:t xml:space="preserve"> </w:t>
      </w:r>
      <w:r w:rsidR="008A0783" w:rsidRPr="00F876CB">
        <w:rPr>
          <w:rFonts w:asciiTheme="minorHAnsi" w:hAnsiTheme="minorHAnsi" w:cstheme="minorHAnsi"/>
          <w:sz w:val="24"/>
          <w:szCs w:val="24"/>
          <w:lang w:val="en-GB"/>
        </w:rPr>
        <w:t>95</w:t>
      </w:r>
      <w:r w:rsidR="008E15BB">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90% of this was produced from the solar, 2</w:t>
      </w:r>
      <w:r w:rsidR="000C4EFC">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60% from biomass, 1</w:t>
      </w:r>
      <w:r w:rsidR="000C4EFC">
        <w:rPr>
          <w:rFonts w:asciiTheme="minorHAnsi" w:hAnsiTheme="minorHAnsi" w:cstheme="minorHAnsi"/>
          <w:sz w:val="24"/>
          <w:szCs w:val="24"/>
          <w:lang w:val="en-GB"/>
        </w:rPr>
        <w:t>,</w:t>
      </w:r>
      <w:r w:rsidR="008A0783" w:rsidRPr="00F876CB">
        <w:rPr>
          <w:rFonts w:asciiTheme="minorHAnsi" w:hAnsiTheme="minorHAnsi" w:cstheme="minorHAnsi"/>
          <w:sz w:val="24"/>
          <w:szCs w:val="24"/>
          <w:lang w:val="en-GB"/>
        </w:rPr>
        <w:t>50% from wind and hydraulic.</w:t>
      </w:r>
    </w:p>
    <w:p w:rsidR="00D232AF" w:rsidRPr="00F876CB" w:rsidRDefault="00015994" w:rsidP="00524E38">
      <w:pPr>
        <w:pStyle w:val="Balk5"/>
        <w:rPr>
          <w:lang w:val="en-GB"/>
        </w:rPr>
      </w:pPr>
      <w:bookmarkStart w:id="231" w:name="_Toc44508323"/>
      <w:r w:rsidRPr="00F876CB">
        <w:rPr>
          <w:lang w:val="en-GB"/>
        </w:rPr>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7</w:t>
      </w:r>
      <w:r w:rsidR="00D232AF" w:rsidRPr="00F876CB">
        <w:rPr>
          <w:lang w:val="en-GB"/>
        </w:rPr>
        <w:t xml:space="preserve">: </w:t>
      </w:r>
      <w:r w:rsidR="00591BCD" w:rsidRPr="00F876CB">
        <w:rPr>
          <w:lang w:val="en-GB"/>
        </w:rPr>
        <w:t xml:space="preserve">Distribution of Unlicensed Electricity Generation by Sources </w:t>
      </w:r>
      <w:r w:rsidR="00DF0FC6" w:rsidRPr="00F876CB">
        <w:rPr>
          <w:lang w:val="en-GB"/>
        </w:rPr>
        <w:t>(MWh-</w:t>
      </w:r>
      <w:r w:rsidR="00D232AF" w:rsidRPr="00F876CB">
        <w:rPr>
          <w:lang w:val="en-GB"/>
        </w:rPr>
        <w:t>%)</w:t>
      </w:r>
      <w:bookmarkEnd w:id="229"/>
      <w:bookmarkEnd w:id="230"/>
      <w:bookmarkEnd w:id="231"/>
    </w:p>
    <w:tbl>
      <w:tblPr>
        <w:tblW w:w="9080" w:type="dxa"/>
        <w:tblInd w:w="80" w:type="dxa"/>
        <w:tblCellMar>
          <w:left w:w="70" w:type="dxa"/>
          <w:right w:w="70" w:type="dxa"/>
        </w:tblCellMar>
        <w:tblLook w:val="04A0" w:firstRow="1" w:lastRow="0" w:firstColumn="1" w:lastColumn="0" w:noHBand="0" w:noVBand="1"/>
      </w:tblPr>
      <w:tblGrid>
        <w:gridCol w:w="1960"/>
        <w:gridCol w:w="2320"/>
        <w:gridCol w:w="1360"/>
        <w:gridCol w:w="2560"/>
        <w:gridCol w:w="880"/>
      </w:tblGrid>
      <w:tr w:rsidR="00571F23" w:rsidRPr="00F876CB" w:rsidTr="00571F23">
        <w:trPr>
          <w:trHeight w:val="33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71F23" w:rsidRPr="00F876CB" w:rsidRDefault="00591BCD"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Resource Type</w:t>
            </w:r>
          </w:p>
        </w:tc>
        <w:tc>
          <w:tcPr>
            <w:tcW w:w="36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1F23" w:rsidRPr="00F876CB" w:rsidRDefault="00571F23"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34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71F23" w:rsidRPr="00F876CB" w:rsidRDefault="00571F23"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r>
      <w:tr w:rsidR="00571F23" w:rsidRPr="00F876CB" w:rsidTr="00571F23">
        <w:trPr>
          <w:trHeight w:val="915"/>
        </w:trPr>
        <w:tc>
          <w:tcPr>
            <w:tcW w:w="1960" w:type="dxa"/>
            <w:vMerge/>
            <w:tcBorders>
              <w:top w:val="single" w:sz="8" w:space="0" w:color="auto"/>
              <w:left w:val="single" w:sz="8" w:space="0" w:color="auto"/>
              <w:bottom w:val="nil"/>
              <w:right w:val="single" w:sz="8" w:space="0" w:color="auto"/>
            </w:tcBorders>
            <w:vAlign w:val="center"/>
            <w:hideMark/>
          </w:tcPr>
          <w:p w:rsidR="00571F23" w:rsidRPr="00F876CB" w:rsidRDefault="00571F23" w:rsidP="00571F23">
            <w:pPr>
              <w:spacing w:after="0" w:line="240" w:lineRule="auto"/>
              <w:rPr>
                <w:rFonts w:ascii="Times New Roman" w:eastAsia="Times New Roman" w:hAnsi="Times New Roman" w:cs="Times New Roman"/>
                <w:b/>
                <w:bCs/>
                <w:color w:val="FFFFFF"/>
                <w:sz w:val="24"/>
                <w:szCs w:val="24"/>
                <w:lang w:val="en-GB" w:eastAsia="tr-TR" w:bidi="ar-SA"/>
              </w:rPr>
            </w:pPr>
          </w:p>
        </w:tc>
        <w:tc>
          <w:tcPr>
            <w:tcW w:w="2320" w:type="dxa"/>
            <w:tcBorders>
              <w:top w:val="nil"/>
              <w:left w:val="nil"/>
              <w:bottom w:val="nil"/>
              <w:right w:val="single" w:sz="8" w:space="0" w:color="auto"/>
            </w:tcBorders>
            <w:shd w:val="clear" w:color="000000" w:fill="FF0000"/>
            <w:vAlign w:val="center"/>
            <w:hideMark/>
          </w:tcPr>
          <w:p w:rsidR="00571F23" w:rsidRPr="00F876CB" w:rsidRDefault="00591BCD"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xml:space="preserve">The amount of energy supplied to the system as surplus </w:t>
            </w:r>
            <w:r w:rsidR="00571F23" w:rsidRPr="00F876CB">
              <w:rPr>
                <w:rFonts w:ascii="Times New Roman" w:eastAsia="Times New Roman" w:hAnsi="Times New Roman" w:cs="Times New Roman"/>
                <w:b/>
                <w:bCs/>
                <w:color w:val="FFFFFF"/>
                <w:sz w:val="24"/>
                <w:szCs w:val="24"/>
                <w:lang w:val="en-GB" w:eastAsia="tr-TR" w:bidi="ar-SA"/>
              </w:rPr>
              <w:t>(MWh)</w:t>
            </w:r>
          </w:p>
        </w:tc>
        <w:tc>
          <w:tcPr>
            <w:tcW w:w="1360" w:type="dxa"/>
            <w:tcBorders>
              <w:top w:val="nil"/>
              <w:left w:val="nil"/>
              <w:bottom w:val="nil"/>
              <w:right w:val="single" w:sz="8" w:space="0" w:color="auto"/>
            </w:tcBorders>
            <w:shd w:val="clear" w:color="000000" w:fill="FF0000"/>
            <w:vAlign w:val="center"/>
            <w:hideMark/>
          </w:tcPr>
          <w:p w:rsidR="00571F23" w:rsidRPr="00F876CB" w:rsidRDefault="00591BCD"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Share</w:t>
            </w:r>
            <w:r w:rsidR="00571F23" w:rsidRPr="00F876CB">
              <w:rPr>
                <w:rFonts w:ascii="Times New Roman" w:eastAsia="Times New Roman" w:hAnsi="Times New Roman" w:cs="Times New Roman"/>
                <w:b/>
                <w:bCs/>
                <w:color w:val="FFFFFF"/>
                <w:sz w:val="24"/>
                <w:szCs w:val="24"/>
                <w:lang w:val="en-GB" w:eastAsia="tr-TR" w:bidi="ar-SA"/>
              </w:rPr>
              <w:br/>
              <w:t xml:space="preserve"> (%)</w:t>
            </w:r>
          </w:p>
        </w:tc>
        <w:tc>
          <w:tcPr>
            <w:tcW w:w="2560" w:type="dxa"/>
            <w:tcBorders>
              <w:top w:val="nil"/>
              <w:left w:val="nil"/>
              <w:bottom w:val="nil"/>
              <w:right w:val="single" w:sz="8" w:space="0" w:color="auto"/>
            </w:tcBorders>
            <w:shd w:val="clear" w:color="000000" w:fill="FF0000"/>
            <w:vAlign w:val="center"/>
            <w:hideMark/>
          </w:tcPr>
          <w:p w:rsidR="00571F23" w:rsidRPr="00F876CB" w:rsidRDefault="00591BCD"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xml:space="preserve">The amount of energy supplied to the system as surplus </w:t>
            </w:r>
            <w:r w:rsidR="00571F23" w:rsidRPr="00F876CB">
              <w:rPr>
                <w:rFonts w:ascii="Times New Roman" w:eastAsia="Times New Roman" w:hAnsi="Times New Roman" w:cs="Times New Roman"/>
                <w:b/>
                <w:bCs/>
                <w:color w:val="FFFFFF"/>
                <w:sz w:val="24"/>
                <w:szCs w:val="24"/>
                <w:lang w:val="en-GB" w:eastAsia="tr-TR" w:bidi="ar-SA"/>
              </w:rPr>
              <w:t>(MWh)</w:t>
            </w:r>
          </w:p>
        </w:tc>
        <w:tc>
          <w:tcPr>
            <w:tcW w:w="880" w:type="dxa"/>
            <w:tcBorders>
              <w:top w:val="nil"/>
              <w:left w:val="nil"/>
              <w:bottom w:val="nil"/>
              <w:right w:val="single" w:sz="8" w:space="0" w:color="auto"/>
            </w:tcBorders>
            <w:shd w:val="clear" w:color="000000" w:fill="FF0000"/>
            <w:vAlign w:val="center"/>
            <w:hideMark/>
          </w:tcPr>
          <w:p w:rsidR="00571F23" w:rsidRPr="00F876CB" w:rsidRDefault="00571F23"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Oran</w:t>
            </w:r>
            <w:r w:rsidRPr="00F876CB">
              <w:rPr>
                <w:rFonts w:ascii="Times New Roman" w:eastAsia="Times New Roman" w:hAnsi="Times New Roman" w:cs="Times New Roman"/>
                <w:b/>
                <w:bCs/>
                <w:color w:val="FFFFFF"/>
                <w:sz w:val="24"/>
                <w:szCs w:val="24"/>
                <w:lang w:val="en-GB" w:eastAsia="tr-TR" w:bidi="ar-SA"/>
              </w:rPr>
              <w:br/>
              <w:t xml:space="preserve"> (%)</w:t>
            </w:r>
          </w:p>
        </w:tc>
      </w:tr>
      <w:tr w:rsidR="00571F23" w:rsidRPr="00F876CB"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F876CB" w:rsidRDefault="00591BCD" w:rsidP="00571F23">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Solar</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7.860.576,89</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95,71</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9.425.965,29</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95,90</w:t>
            </w:r>
          </w:p>
        </w:tc>
      </w:tr>
      <w:tr w:rsidR="00571F23" w:rsidRPr="00F876CB"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Bi</w:t>
            </w:r>
            <w:r w:rsidR="00591BCD" w:rsidRPr="00F876CB">
              <w:rPr>
                <w:rFonts w:ascii="Times New Roman" w:eastAsia="Times New Roman" w:hAnsi="Times New Roman" w:cs="Times New Roman"/>
                <w:color w:val="FFFFFF"/>
                <w:sz w:val="24"/>
                <w:szCs w:val="24"/>
                <w:lang w:val="en-GB" w:eastAsia="tr-TR" w:bidi="ar-SA"/>
              </w:rPr>
              <w:t>omass</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205.901,95</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2,51</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255.486,79</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2,60</w:t>
            </w:r>
          </w:p>
        </w:tc>
      </w:tr>
      <w:tr w:rsidR="00571F23" w:rsidRPr="00F876CB"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F876CB" w:rsidRDefault="00591BCD" w:rsidP="00571F23">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Wind</w:t>
            </w:r>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111.542,03</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1,36</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113.558,01</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1,16</w:t>
            </w:r>
          </w:p>
        </w:tc>
      </w:tr>
      <w:tr w:rsidR="00571F23" w:rsidRPr="00F876CB"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rPr>
                <w:rFonts w:ascii="Times New Roman" w:eastAsia="Times New Roman" w:hAnsi="Times New Roman" w:cs="Times New Roman"/>
                <w:color w:val="FFFFFF"/>
                <w:sz w:val="24"/>
                <w:szCs w:val="24"/>
                <w:lang w:val="en-GB" w:eastAsia="tr-TR" w:bidi="ar-SA"/>
              </w:rPr>
            </w:pPr>
            <w:proofErr w:type="spellStart"/>
            <w:r w:rsidRPr="00F876CB">
              <w:rPr>
                <w:rFonts w:ascii="Times New Roman" w:eastAsia="Times New Roman" w:hAnsi="Times New Roman" w:cs="Times New Roman"/>
                <w:color w:val="FFFFFF"/>
                <w:sz w:val="24"/>
                <w:szCs w:val="24"/>
                <w:lang w:val="en-GB" w:eastAsia="tr-TR" w:bidi="ar-SA"/>
              </w:rPr>
              <w:t>H</w:t>
            </w:r>
            <w:r w:rsidR="00591BCD" w:rsidRPr="00F876CB">
              <w:rPr>
                <w:rFonts w:ascii="Times New Roman" w:eastAsia="Times New Roman" w:hAnsi="Times New Roman" w:cs="Times New Roman"/>
                <w:color w:val="FFFFFF"/>
                <w:sz w:val="24"/>
                <w:szCs w:val="24"/>
                <w:lang w:val="en-GB" w:eastAsia="tr-TR" w:bidi="ar-SA"/>
              </w:rPr>
              <w:t>yraulic</w:t>
            </w:r>
            <w:proofErr w:type="spellEnd"/>
          </w:p>
        </w:tc>
        <w:tc>
          <w:tcPr>
            <w:tcW w:w="232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34.750,58</w:t>
            </w:r>
          </w:p>
        </w:tc>
        <w:tc>
          <w:tcPr>
            <w:tcW w:w="13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0,42</w:t>
            </w:r>
          </w:p>
        </w:tc>
        <w:tc>
          <w:tcPr>
            <w:tcW w:w="2560" w:type="dxa"/>
            <w:tcBorders>
              <w:top w:val="nil"/>
              <w:left w:val="nil"/>
              <w:bottom w:val="single" w:sz="8" w:space="0" w:color="auto"/>
              <w:right w:val="single" w:sz="8" w:space="0" w:color="auto"/>
            </w:tcBorders>
            <w:shd w:val="clear" w:color="auto" w:fill="auto"/>
            <w:noWrap/>
            <w:vAlign w:val="center"/>
            <w:hideMark/>
          </w:tcPr>
          <w:p w:rsidR="00571F23" w:rsidRPr="00F876CB" w:rsidRDefault="00571F23" w:rsidP="00571F23">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34.437,65</w:t>
            </w:r>
          </w:p>
        </w:tc>
        <w:tc>
          <w:tcPr>
            <w:tcW w:w="880" w:type="dxa"/>
            <w:tcBorders>
              <w:top w:val="nil"/>
              <w:left w:val="nil"/>
              <w:bottom w:val="single" w:sz="8" w:space="0" w:color="auto"/>
              <w:right w:val="single" w:sz="8" w:space="0" w:color="auto"/>
            </w:tcBorders>
            <w:shd w:val="clear" w:color="000000" w:fill="FFFFFF"/>
            <w:noWrap/>
            <w:vAlign w:val="center"/>
            <w:hideMark/>
          </w:tcPr>
          <w:p w:rsidR="00571F23" w:rsidRPr="00F876CB" w:rsidRDefault="00571F23" w:rsidP="00571F23">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0,34</w:t>
            </w:r>
          </w:p>
        </w:tc>
      </w:tr>
      <w:tr w:rsidR="00571F23" w:rsidRPr="00F876CB" w:rsidTr="00571F23">
        <w:trPr>
          <w:trHeight w:val="33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G</w:t>
            </w:r>
            <w:r w:rsidR="00591BCD" w:rsidRPr="00F876CB">
              <w:rPr>
                <w:rFonts w:ascii="Times New Roman" w:eastAsia="Times New Roman" w:hAnsi="Times New Roman" w:cs="Times New Roman"/>
                <w:color w:val="FFFFFF"/>
                <w:sz w:val="24"/>
                <w:szCs w:val="24"/>
                <w:lang w:val="en-GB" w:eastAsia="tr-TR" w:bidi="ar-SA"/>
              </w:rPr>
              <w:t>rand Total</w:t>
            </w:r>
          </w:p>
        </w:tc>
        <w:tc>
          <w:tcPr>
            <w:tcW w:w="2320" w:type="dxa"/>
            <w:tcBorders>
              <w:top w:val="nil"/>
              <w:left w:val="nil"/>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8.212.771,44</w:t>
            </w:r>
          </w:p>
        </w:tc>
        <w:tc>
          <w:tcPr>
            <w:tcW w:w="1360" w:type="dxa"/>
            <w:tcBorders>
              <w:top w:val="nil"/>
              <w:left w:val="nil"/>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c>
          <w:tcPr>
            <w:tcW w:w="2560" w:type="dxa"/>
            <w:tcBorders>
              <w:top w:val="nil"/>
              <w:left w:val="nil"/>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9.829.447,73</w:t>
            </w:r>
          </w:p>
        </w:tc>
        <w:tc>
          <w:tcPr>
            <w:tcW w:w="880" w:type="dxa"/>
            <w:tcBorders>
              <w:top w:val="nil"/>
              <w:left w:val="nil"/>
              <w:bottom w:val="single" w:sz="8" w:space="0" w:color="auto"/>
              <w:right w:val="single" w:sz="8" w:space="0" w:color="auto"/>
            </w:tcBorders>
            <w:shd w:val="clear" w:color="000000" w:fill="FF5050"/>
            <w:noWrap/>
            <w:vAlign w:val="center"/>
            <w:hideMark/>
          </w:tcPr>
          <w:p w:rsidR="00571F23" w:rsidRPr="00F876CB" w:rsidRDefault="00571F23" w:rsidP="00571F23">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100,00</w:t>
            </w:r>
          </w:p>
        </w:tc>
      </w:tr>
    </w:tbl>
    <w:p w:rsidR="00E950C1" w:rsidRPr="00F876CB" w:rsidRDefault="00E950C1" w:rsidP="00E950C1">
      <w:pPr>
        <w:rPr>
          <w:lang w:val="en-GB"/>
        </w:rPr>
      </w:pPr>
    </w:p>
    <w:p w:rsidR="00E950C1" w:rsidRPr="00F876CB" w:rsidRDefault="00E950C1" w:rsidP="00E950C1">
      <w:pPr>
        <w:rPr>
          <w:lang w:val="en-GB"/>
        </w:rPr>
      </w:pPr>
    </w:p>
    <w:p w:rsidR="008C052D" w:rsidRPr="00F876CB" w:rsidRDefault="008C052D" w:rsidP="008C052D">
      <w:pPr>
        <w:rPr>
          <w:lang w:val="en-GB"/>
        </w:rPr>
      </w:pPr>
    </w:p>
    <w:p w:rsidR="00AE72FE" w:rsidRPr="00F876CB" w:rsidRDefault="00015994" w:rsidP="00AE72FE">
      <w:pPr>
        <w:pStyle w:val="Balk6"/>
        <w:rPr>
          <w:lang w:val="en-GB"/>
        </w:rPr>
      </w:pPr>
      <w:bookmarkStart w:id="232" w:name="_Toc44508374"/>
      <w:r w:rsidRPr="00F876CB">
        <w:rPr>
          <w:lang w:val="en-GB"/>
        </w:rPr>
        <w:t>Figure</w:t>
      </w:r>
      <w:r w:rsidR="00AE72FE" w:rsidRPr="00F876CB">
        <w:rPr>
          <w:lang w:val="en-GB"/>
        </w:rPr>
        <w:t xml:space="preserve"> </w:t>
      </w:r>
      <w:r w:rsidR="00853F79" w:rsidRPr="00F876CB">
        <w:rPr>
          <w:lang w:val="en-GB"/>
        </w:rPr>
        <w:t>1</w:t>
      </w:r>
      <w:r w:rsidR="00AE72FE" w:rsidRPr="00F876CB">
        <w:rPr>
          <w:lang w:val="en-GB"/>
        </w:rPr>
        <w:fldChar w:fldCharType="begin"/>
      </w:r>
      <w:r w:rsidR="00AE72FE" w:rsidRPr="00F876CB">
        <w:rPr>
          <w:lang w:val="en-GB"/>
        </w:rPr>
        <w:instrText xml:space="preserve"> STYLEREF 1 \s </w:instrText>
      </w:r>
      <w:r w:rsidR="00AE72FE" w:rsidRPr="00F876CB">
        <w:rPr>
          <w:lang w:val="en-GB"/>
        </w:rPr>
        <w:fldChar w:fldCharType="end"/>
      </w:r>
      <w:r w:rsidR="00AE72FE" w:rsidRPr="00F876CB">
        <w:rPr>
          <w:lang w:val="en-GB"/>
        </w:rPr>
        <w:t>.</w:t>
      </w:r>
      <w:r w:rsidR="001F0F8D" w:rsidRPr="00F876CB">
        <w:rPr>
          <w:lang w:val="en-GB"/>
        </w:rPr>
        <w:t>1</w:t>
      </w:r>
      <w:r w:rsidR="00F41F62">
        <w:rPr>
          <w:lang w:val="en-GB"/>
        </w:rPr>
        <w:t>8</w:t>
      </w:r>
      <w:r w:rsidR="00AE72FE" w:rsidRPr="00F876CB">
        <w:rPr>
          <w:lang w:val="en-GB"/>
        </w:rPr>
        <w:t xml:space="preserve">: </w:t>
      </w:r>
      <w:r w:rsidR="00E950C1" w:rsidRPr="00F876CB">
        <w:rPr>
          <w:lang w:val="en-GB"/>
        </w:rPr>
        <w:t xml:space="preserve">Distribution of Unlicensed Electricity Generation by Sources in 2019 </w:t>
      </w:r>
      <w:r w:rsidR="00AE72FE" w:rsidRPr="00F876CB">
        <w:rPr>
          <w:lang w:val="en-GB"/>
        </w:rPr>
        <w:t>(%)</w:t>
      </w:r>
      <w:bookmarkEnd w:id="232"/>
    </w:p>
    <w:p w:rsidR="00AA05E6" w:rsidRPr="00F876CB" w:rsidRDefault="002A3A5D" w:rsidP="00BB6205">
      <w:pPr>
        <w:rPr>
          <w:lang w:val="en-GB"/>
        </w:rPr>
      </w:pPr>
      <w:r>
        <w:rPr>
          <w:noProof/>
          <w:lang w:eastAsia="tr-TR" w:bidi="ar-SA"/>
        </w:rPr>
        <w:drawing>
          <wp:inline distT="0" distB="0" distL="0" distR="0" wp14:anchorId="35BC3FCA">
            <wp:extent cx="5730875" cy="3432175"/>
            <wp:effectExtent l="0" t="0" r="3175"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3432175"/>
                    </a:xfrm>
                    <a:prstGeom prst="rect">
                      <a:avLst/>
                    </a:prstGeom>
                    <a:noFill/>
                  </pic:spPr>
                </pic:pic>
              </a:graphicData>
            </a:graphic>
          </wp:inline>
        </w:drawing>
      </w:r>
    </w:p>
    <w:p w:rsidR="008C052D" w:rsidRPr="00F876CB" w:rsidRDefault="007E43BF" w:rsidP="003E4CA1">
      <w:pPr>
        <w:spacing w:line="360" w:lineRule="auto"/>
        <w:jc w:val="both"/>
        <w:rPr>
          <w:rFonts w:asciiTheme="minorHAnsi" w:hAnsiTheme="minorHAnsi" w:cstheme="minorHAnsi"/>
          <w:sz w:val="24"/>
          <w:szCs w:val="24"/>
          <w:lang w:val="en-GB"/>
        </w:rPr>
      </w:pPr>
      <w:bookmarkStart w:id="233" w:name="_Toc450300298"/>
      <w:bookmarkStart w:id="234" w:name="_Toc450309954"/>
      <w:r w:rsidRPr="00F876CB">
        <w:rPr>
          <w:rFonts w:asciiTheme="minorHAnsi" w:hAnsiTheme="minorHAnsi" w:cstheme="minorHAnsi"/>
          <w:sz w:val="24"/>
          <w:szCs w:val="24"/>
          <w:lang w:val="en-GB"/>
        </w:rPr>
        <w:lastRenderedPageBreak/>
        <w:t xml:space="preserve">The distribution of unlicensed electricity generation and energy delivered to the system by provinces is given in Table 1.8, and the highest production was realized in Konya in 2019 as in 2018. Apart from Konya, </w:t>
      </w:r>
      <w:proofErr w:type="spellStart"/>
      <w:r w:rsidRPr="00F876CB">
        <w:rPr>
          <w:rFonts w:asciiTheme="minorHAnsi" w:hAnsiTheme="minorHAnsi" w:cstheme="minorHAnsi"/>
          <w:sz w:val="24"/>
          <w:szCs w:val="24"/>
          <w:lang w:val="en-GB"/>
        </w:rPr>
        <w:t>Şanlıurfa</w:t>
      </w:r>
      <w:proofErr w:type="spellEnd"/>
      <w:r w:rsidRPr="00F876CB">
        <w:rPr>
          <w:rFonts w:asciiTheme="minorHAnsi" w:hAnsiTheme="minorHAnsi" w:cstheme="minorHAnsi"/>
          <w:sz w:val="24"/>
          <w:szCs w:val="24"/>
          <w:lang w:val="en-GB"/>
        </w:rPr>
        <w:t xml:space="preserve">, Kayseri, Ankara, </w:t>
      </w:r>
      <w:proofErr w:type="spellStart"/>
      <w:r w:rsidRPr="00F876CB">
        <w:rPr>
          <w:rFonts w:asciiTheme="minorHAnsi" w:hAnsiTheme="minorHAnsi" w:cstheme="minorHAnsi"/>
          <w:sz w:val="24"/>
          <w:szCs w:val="24"/>
          <w:lang w:val="en-GB"/>
        </w:rPr>
        <w:t>Afyonkarahisar</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Kahramanmaraş</w:t>
      </w:r>
      <w:proofErr w:type="spellEnd"/>
      <w:r w:rsidRPr="00F876CB">
        <w:rPr>
          <w:rFonts w:asciiTheme="minorHAnsi" w:hAnsiTheme="minorHAnsi" w:cstheme="minorHAnsi"/>
          <w:sz w:val="24"/>
          <w:szCs w:val="24"/>
          <w:lang w:val="en-GB"/>
        </w:rPr>
        <w:t xml:space="preserve">, İzmir and </w:t>
      </w:r>
      <w:proofErr w:type="spellStart"/>
      <w:r w:rsidRPr="00F876CB">
        <w:rPr>
          <w:rFonts w:asciiTheme="minorHAnsi" w:hAnsiTheme="minorHAnsi" w:cstheme="minorHAnsi"/>
          <w:sz w:val="24"/>
          <w:szCs w:val="24"/>
          <w:lang w:val="en-GB"/>
        </w:rPr>
        <w:t>Eskişehir</w:t>
      </w:r>
      <w:proofErr w:type="spellEnd"/>
      <w:r w:rsidRPr="00F876CB">
        <w:rPr>
          <w:rFonts w:asciiTheme="minorHAnsi" w:hAnsiTheme="minorHAnsi" w:cstheme="minorHAnsi"/>
          <w:sz w:val="24"/>
          <w:szCs w:val="24"/>
          <w:lang w:val="en-GB"/>
        </w:rPr>
        <w:t xml:space="preserve"> are the provinces that rank first among unlicensed electricity generation.</w:t>
      </w:r>
    </w:p>
    <w:p w:rsidR="00D232AF" w:rsidRPr="00F876CB" w:rsidRDefault="00015994" w:rsidP="00524E38">
      <w:pPr>
        <w:pStyle w:val="Balk5"/>
        <w:rPr>
          <w:lang w:val="en-GB"/>
        </w:rPr>
      </w:pPr>
      <w:bookmarkStart w:id="235" w:name="_Toc44508324"/>
      <w:r w:rsidRPr="00F876CB">
        <w:rPr>
          <w:lang w:val="en-GB"/>
        </w:rPr>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8</w:t>
      </w:r>
      <w:r w:rsidR="00D232AF" w:rsidRPr="00F876CB">
        <w:rPr>
          <w:lang w:val="en-GB"/>
        </w:rPr>
        <w:t xml:space="preserve">: </w:t>
      </w:r>
      <w:r w:rsidR="007E43BF" w:rsidRPr="00F876CB">
        <w:rPr>
          <w:lang w:val="en-GB"/>
        </w:rPr>
        <w:t xml:space="preserve">Distribution of Unlicensed Electricity Generation by Provinces </w:t>
      </w:r>
      <w:r w:rsidR="00BB6205" w:rsidRPr="00F876CB">
        <w:rPr>
          <w:lang w:val="en-GB"/>
        </w:rPr>
        <w:t>(MW</w:t>
      </w:r>
      <w:r w:rsidR="00DF0FC6" w:rsidRPr="00F876CB">
        <w:rPr>
          <w:lang w:val="en-GB"/>
        </w:rPr>
        <w:t>h</w:t>
      </w:r>
      <w:r w:rsidR="00BB6205" w:rsidRPr="00F876CB">
        <w:rPr>
          <w:lang w:val="en-GB"/>
        </w:rPr>
        <w:t>-</w:t>
      </w:r>
      <w:r w:rsidR="00D232AF" w:rsidRPr="00F876CB">
        <w:rPr>
          <w:lang w:val="en-GB"/>
        </w:rPr>
        <w:t>%)</w:t>
      </w:r>
      <w:bookmarkEnd w:id="233"/>
      <w:bookmarkEnd w:id="234"/>
      <w:bookmarkEnd w:id="235"/>
    </w:p>
    <w:tbl>
      <w:tblPr>
        <w:tblW w:w="9072" w:type="dxa"/>
        <w:tblInd w:w="70" w:type="dxa"/>
        <w:tblCellMar>
          <w:left w:w="70" w:type="dxa"/>
          <w:right w:w="70" w:type="dxa"/>
        </w:tblCellMar>
        <w:tblLook w:val="04A0" w:firstRow="1" w:lastRow="0" w:firstColumn="1" w:lastColumn="0" w:noHBand="0" w:noVBand="1"/>
      </w:tblPr>
      <w:tblGrid>
        <w:gridCol w:w="1920"/>
        <w:gridCol w:w="2333"/>
        <w:gridCol w:w="992"/>
        <w:gridCol w:w="2552"/>
        <w:gridCol w:w="1275"/>
      </w:tblGrid>
      <w:tr w:rsidR="008C052D" w:rsidRPr="00F876CB" w:rsidTr="008C052D">
        <w:trPr>
          <w:trHeight w:val="60"/>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C052D" w:rsidRPr="00F876CB" w:rsidRDefault="007E43B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PROVINCE</w:t>
            </w:r>
          </w:p>
        </w:tc>
        <w:tc>
          <w:tcPr>
            <w:tcW w:w="332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w:t>
            </w:r>
          </w:p>
        </w:tc>
        <w:tc>
          <w:tcPr>
            <w:tcW w:w="382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2019</w:t>
            </w:r>
          </w:p>
        </w:tc>
      </w:tr>
      <w:tr w:rsidR="008C052D" w:rsidRPr="00F876CB" w:rsidTr="008C052D">
        <w:trPr>
          <w:trHeight w:val="536"/>
          <w:tblHeader/>
        </w:trPr>
        <w:tc>
          <w:tcPr>
            <w:tcW w:w="1920" w:type="dxa"/>
            <w:vMerge/>
            <w:tcBorders>
              <w:top w:val="single" w:sz="8" w:space="0" w:color="auto"/>
              <w:left w:val="single" w:sz="8" w:space="0" w:color="auto"/>
              <w:bottom w:val="nil"/>
              <w:right w:val="single" w:sz="8" w:space="0" w:color="auto"/>
            </w:tcBorders>
            <w:vAlign w:val="center"/>
            <w:hideMark/>
          </w:tcPr>
          <w:p w:rsidR="008C052D" w:rsidRPr="00F876CB" w:rsidRDefault="008C052D" w:rsidP="008C052D">
            <w:pPr>
              <w:spacing w:after="0" w:line="240" w:lineRule="auto"/>
              <w:rPr>
                <w:rFonts w:ascii="Calibri" w:eastAsia="Times New Roman" w:hAnsi="Calibri" w:cs="Calibri"/>
                <w:b/>
                <w:bCs/>
                <w:color w:val="FFFFFF"/>
                <w:lang w:val="en-GB" w:eastAsia="tr-TR" w:bidi="ar-SA"/>
              </w:rPr>
            </w:pPr>
          </w:p>
        </w:tc>
        <w:tc>
          <w:tcPr>
            <w:tcW w:w="2333" w:type="dxa"/>
            <w:tcBorders>
              <w:top w:val="nil"/>
              <w:left w:val="nil"/>
              <w:bottom w:val="nil"/>
              <w:right w:val="single" w:sz="8" w:space="0" w:color="auto"/>
            </w:tcBorders>
            <w:shd w:val="clear" w:color="000000" w:fill="FF0000"/>
            <w:vAlign w:val="center"/>
            <w:hideMark/>
          </w:tcPr>
          <w:p w:rsidR="008C052D" w:rsidRPr="00F876CB" w:rsidRDefault="007E43B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The amount of energy supplied to the system as surplus </w:t>
            </w:r>
            <w:r w:rsidR="008C052D" w:rsidRPr="00F876CB">
              <w:rPr>
                <w:rFonts w:ascii="Calibri" w:eastAsia="Times New Roman" w:hAnsi="Calibri" w:cs="Calibri"/>
                <w:b/>
                <w:bCs/>
                <w:color w:val="FFFFFF"/>
                <w:lang w:val="en-GB" w:eastAsia="tr-TR" w:bidi="ar-SA"/>
              </w:rPr>
              <w:t>(MWh)</w:t>
            </w:r>
          </w:p>
        </w:tc>
        <w:tc>
          <w:tcPr>
            <w:tcW w:w="992" w:type="dxa"/>
            <w:tcBorders>
              <w:top w:val="nil"/>
              <w:left w:val="nil"/>
              <w:bottom w:val="nil"/>
              <w:right w:val="single" w:sz="8" w:space="0" w:color="auto"/>
            </w:tcBorders>
            <w:shd w:val="clear" w:color="000000" w:fill="FF0000"/>
            <w:noWrap/>
            <w:vAlign w:val="center"/>
            <w:hideMark/>
          </w:tcPr>
          <w:p w:rsidR="008C052D" w:rsidRPr="00F876CB" w:rsidRDefault="007E43B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8C052D" w:rsidRPr="00F876CB">
              <w:rPr>
                <w:rFonts w:ascii="Calibri" w:eastAsia="Times New Roman" w:hAnsi="Calibri" w:cs="Calibri"/>
                <w:b/>
                <w:bCs/>
                <w:color w:val="FFFFFF"/>
                <w:lang w:val="en-GB" w:eastAsia="tr-TR" w:bidi="ar-SA"/>
              </w:rPr>
              <w:t xml:space="preserve"> (%)</w:t>
            </w:r>
          </w:p>
        </w:tc>
        <w:tc>
          <w:tcPr>
            <w:tcW w:w="2552" w:type="dxa"/>
            <w:tcBorders>
              <w:top w:val="nil"/>
              <w:left w:val="nil"/>
              <w:bottom w:val="nil"/>
              <w:right w:val="single" w:sz="8" w:space="0" w:color="auto"/>
            </w:tcBorders>
            <w:shd w:val="clear" w:color="000000" w:fill="FF0000"/>
            <w:vAlign w:val="center"/>
            <w:hideMark/>
          </w:tcPr>
          <w:p w:rsidR="008C052D" w:rsidRPr="00F876CB" w:rsidRDefault="007E43B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The amount of energy supplied to the system as surplus </w:t>
            </w:r>
            <w:r w:rsidR="008C052D" w:rsidRPr="00F876CB">
              <w:rPr>
                <w:rFonts w:ascii="Calibri" w:eastAsia="Times New Roman" w:hAnsi="Calibri" w:cs="Calibri"/>
                <w:b/>
                <w:bCs/>
                <w:color w:val="FFFFFF"/>
                <w:lang w:val="en-GB" w:eastAsia="tr-TR" w:bidi="ar-SA"/>
              </w:rPr>
              <w:t>(MWh)</w:t>
            </w:r>
          </w:p>
        </w:tc>
        <w:tc>
          <w:tcPr>
            <w:tcW w:w="1275" w:type="dxa"/>
            <w:tcBorders>
              <w:top w:val="nil"/>
              <w:left w:val="nil"/>
              <w:bottom w:val="nil"/>
              <w:right w:val="single" w:sz="8" w:space="0" w:color="auto"/>
            </w:tcBorders>
            <w:shd w:val="clear" w:color="000000" w:fill="FF0000"/>
            <w:noWrap/>
            <w:vAlign w:val="center"/>
            <w:hideMark/>
          </w:tcPr>
          <w:p w:rsidR="008C052D" w:rsidRPr="00F876CB" w:rsidRDefault="007E43B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8C052D" w:rsidRPr="00F876CB">
              <w:rPr>
                <w:rFonts w:ascii="Calibri" w:eastAsia="Times New Roman" w:hAnsi="Calibri" w:cs="Calibri"/>
                <w:b/>
                <w:bCs/>
                <w:color w:val="FFFFFF"/>
                <w:lang w:val="en-GB" w:eastAsia="tr-TR" w:bidi="ar-SA"/>
              </w:rPr>
              <w:t xml:space="preserve"> (%)</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ADANA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153.446,68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174.316,68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ADIYAMAN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152.986,85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173.433,60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AFYONKARAHİSAR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353.577,81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392.648,19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AĞRI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3.126,83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AKSARAY</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155.317,70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164.770,05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AMASYA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36.960,88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47.396,72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ANKARA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402.315,34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501.259,77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ANTALYA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207.955,46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224.706,12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ARDAHAN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1.437,48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1.914,49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AYDIN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199.122,76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244.196,94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BALIKESİR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144.146,86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167.088,16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BARTIN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85,28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82,00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BATMAN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12.783,57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27.919,40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BAYBURT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19.809,40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21.958,16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BİLECİK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65.846,90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106.646,38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BİNGÖL</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4.765,92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13.850,98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BİTLİS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7.965,73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28.411,53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BOLU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4.597,16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3.838,49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BURDUR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103.005,83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114.423,06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1,16</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BURSA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84.220,71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97.251,79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ÇANAKKALE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25.446,36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29.917,61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ÇANKIRI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42.539,27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84.179,08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0,86</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ÇORUM</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108.632,39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144.446,40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DENİZLİ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212.330,59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262.195,53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DİYARBAKIR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39.789,57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98.140,83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DÜZCE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389,45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403,54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EDİRNE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4.341,68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7.265,19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ELAZIĞ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226.578,79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288.706,65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ERZİNCAN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64.736,27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79.887,29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0,81</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ERZURUM</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90.065,36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144.324,24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ESKİŞEHİR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272.137,10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352.373,70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GAZİANTEP</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230.401,38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244.262,17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GİRESUN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183,73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GÜMÜŞHANE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1.661,77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1.934,08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HATAY</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27.216,01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25.684,87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0,26</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IĞDIR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96,16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ISPARTA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178.442,77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203.612,64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7.112,91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7.253,93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İZMİR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278.668,88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367.263,94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KAHRAMANMARAŞ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279.416,57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314.882,98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KARABÜK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14.646,60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14.757,35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0,15</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KARAMAN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119.868,76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124.818,84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4.545,97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6.671,85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KASTAMONU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5.170,35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11.905,09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540.201,26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566.861,17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KIRIKKALE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61.375,82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71.981,69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0,73</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KIRKLARELİ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442,12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647,04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0,01</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78.742,91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0,96</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86.398,11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KİLİS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18.692,35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24.082,42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0,25</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KOCAELİ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20.325,34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23.810,20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KONYA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888.600,28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896.102,75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KÜTAHYA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155.470,28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189.037,54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MALATYA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132.066,33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168.782,43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MANİSA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273.671,33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343.813,97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MARDİN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2.037,46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13.388,43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0,14</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MERSİN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271.346,16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294.345,92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MUĞLA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152.188,11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177.302,71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2.792,71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3.076,30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0,03</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NEVŞEHİR</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215.690,55</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232.842,69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2,37</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NİĞDE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165.216,86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175.482,54</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ORDU</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3.513,06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4.846,23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OSMANİYE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93.669,12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102.742,72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RİZE</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9.851,57</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9.144,81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151,51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166,73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SAMSUN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32.289,79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0,39</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37.439,79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SİİRT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7.934,43</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8.768,70</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SİNOP</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SİVAS</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118.887,18</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130.142,41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ŞANLIURFA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339.330,44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4,13</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569.672,72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ŞIRNAK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29.908,76</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TEKİRDAĞ</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3.978,74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6.242,69</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TOKAT</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31.448,56</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0,38</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38.956,91</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TUNCELİ</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1.785,41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1.885,08</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UŞAK</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128.761,19</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150.707,85</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1.433,22</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0,02</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18.160,17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YALOVA</w:t>
            </w:r>
          </w:p>
        </w:tc>
        <w:tc>
          <w:tcPr>
            <w:tcW w:w="2333"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5.657,31</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0,07</w:t>
            </w:r>
          </w:p>
        </w:tc>
        <w:tc>
          <w:tcPr>
            <w:tcW w:w="255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8.876,13</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YOZGAT</w:t>
            </w:r>
          </w:p>
        </w:tc>
        <w:tc>
          <w:tcPr>
            <w:tcW w:w="2333" w:type="dxa"/>
            <w:tcBorders>
              <w:top w:val="nil"/>
              <w:left w:val="nil"/>
              <w:bottom w:val="nil"/>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99.304,24</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w:t>
            </w:r>
          </w:p>
        </w:tc>
        <w:tc>
          <w:tcPr>
            <w:tcW w:w="2552" w:type="dxa"/>
            <w:tcBorders>
              <w:top w:val="nil"/>
              <w:left w:val="nil"/>
              <w:bottom w:val="nil"/>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108.463,77</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ZONGULDAK</w:t>
            </w:r>
          </w:p>
        </w:tc>
        <w:tc>
          <w:tcPr>
            <w:tcW w:w="2333" w:type="dxa"/>
            <w:tcBorders>
              <w:top w:val="single" w:sz="8" w:space="0" w:color="auto"/>
              <w:left w:val="nil"/>
              <w:bottom w:val="nil"/>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11.426,60</w:t>
            </w:r>
          </w:p>
        </w:tc>
        <w:tc>
          <w:tcPr>
            <w:tcW w:w="992"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0,14</w:t>
            </w:r>
          </w:p>
        </w:tc>
        <w:tc>
          <w:tcPr>
            <w:tcW w:w="2552" w:type="dxa"/>
            <w:tcBorders>
              <w:top w:val="single" w:sz="8" w:space="0" w:color="auto"/>
              <w:left w:val="nil"/>
              <w:bottom w:val="nil"/>
              <w:right w:val="single" w:sz="8" w:space="0" w:color="auto"/>
            </w:tcBorders>
            <w:shd w:val="clear" w:color="auto" w:fill="auto"/>
            <w:noWrap/>
            <w:vAlign w:val="center"/>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10.954,92</w:t>
            </w:r>
          </w:p>
        </w:tc>
        <w:tc>
          <w:tcPr>
            <w:tcW w:w="1275" w:type="dxa"/>
            <w:tcBorders>
              <w:top w:val="nil"/>
              <w:left w:val="nil"/>
              <w:bottom w:val="single" w:sz="8" w:space="0" w:color="auto"/>
              <w:right w:val="single" w:sz="8" w:space="0" w:color="auto"/>
            </w:tcBorders>
            <w:shd w:val="clear" w:color="auto" w:fill="auto"/>
            <w:noWrap/>
            <w:vAlign w:val="center"/>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0,11</w:t>
            </w:r>
          </w:p>
        </w:tc>
      </w:tr>
      <w:tr w:rsidR="008C052D" w:rsidRPr="00F876CB" w:rsidTr="008C05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w:t>
            </w:r>
            <w:r w:rsidR="005D6B0D" w:rsidRPr="00F876CB">
              <w:rPr>
                <w:rFonts w:ascii="Calibri" w:eastAsia="Times New Roman" w:hAnsi="Calibri" w:cs="Calibri"/>
                <w:b/>
                <w:bCs/>
                <w:color w:val="FFFFFF"/>
                <w:lang w:val="en-GB" w:eastAsia="tr-TR" w:bidi="ar-SA"/>
              </w:rPr>
              <w:t>rand Total</w:t>
            </w:r>
          </w:p>
        </w:tc>
        <w:tc>
          <w:tcPr>
            <w:tcW w:w="2333" w:type="dxa"/>
            <w:tcBorders>
              <w:top w:val="single" w:sz="8" w:space="0" w:color="auto"/>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8.212.771,44</w:t>
            </w:r>
          </w:p>
        </w:tc>
        <w:tc>
          <w:tcPr>
            <w:tcW w:w="992"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c>
          <w:tcPr>
            <w:tcW w:w="2552" w:type="dxa"/>
            <w:tcBorders>
              <w:top w:val="single" w:sz="8" w:space="0" w:color="auto"/>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9.829.447,73</w:t>
            </w:r>
          </w:p>
        </w:tc>
        <w:tc>
          <w:tcPr>
            <w:tcW w:w="1275"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r>
    </w:tbl>
    <w:p w:rsidR="00620328" w:rsidRPr="00F876CB" w:rsidRDefault="00620328" w:rsidP="00AE72FE">
      <w:pPr>
        <w:spacing w:line="360" w:lineRule="auto"/>
        <w:ind w:firstLine="708"/>
        <w:jc w:val="both"/>
        <w:rPr>
          <w:rFonts w:asciiTheme="minorHAnsi" w:hAnsiTheme="minorHAnsi" w:cstheme="minorHAnsi"/>
          <w:sz w:val="24"/>
          <w:szCs w:val="24"/>
          <w:lang w:val="en-GB"/>
        </w:rPr>
      </w:pPr>
    </w:p>
    <w:p w:rsidR="00EF59CE" w:rsidRPr="00F876CB" w:rsidRDefault="00EF59CE" w:rsidP="00D2266C">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distribution of the amount of payments made within the scope of unlicensed electricity production as of the end of 2019 by sources is shown in Table 1.9. </w:t>
      </w:r>
      <w:r w:rsidR="00D2266C">
        <w:rPr>
          <w:rFonts w:asciiTheme="minorHAnsi" w:hAnsiTheme="minorHAnsi" w:cstheme="minorHAnsi"/>
          <w:sz w:val="24"/>
          <w:szCs w:val="24"/>
          <w:lang w:val="en-GB"/>
        </w:rPr>
        <w:t xml:space="preserve"> 96,56</w:t>
      </w:r>
      <w:r w:rsidR="00D2266C" w:rsidRPr="00D2266C">
        <w:rPr>
          <w:rFonts w:asciiTheme="minorHAnsi" w:hAnsiTheme="minorHAnsi" w:cstheme="minorHAnsi"/>
          <w:sz w:val="24"/>
          <w:szCs w:val="24"/>
          <w:lang w:val="en-GB"/>
        </w:rPr>
        <w:t>% of the amount of payment was made to solar power plants.</w:t>
      </w:r>
    </w:p>
    <w:p w:rsidR="001E4C08" w:rsidRPr="00F876CB" w:rsidRDefault="00015994" w:rsidP="001E4C08">
      <w:pPr>
        <w:pStyle w:val="Balk5"/>
        <w:rPr>
          <w:lang w:val="en-GB"/>
        </w:rPr>
      </w:pPr>
      <w:bookmarkStart w:id="236" w:name="_Toc44508325"/>
      <w:r w:rsidRPr="00F876CB">
        <w:rPr>
          <w:lang w:val="en-GB"/>
        </w:rPr>
        <w:t>Table</w:t>
      </w:r>
      <w:r w:rsidR="001E4C08" w:rsidRPr="00F876CB">
        <w:rPr>
          <w:lang w:val="en-GB"/>
        </w:rPr>
        <w:t xml:space="preserve"> </w:t>
      </w:r>
      <w:r w:rsidR="00853F79" w:rsidRPr="00F876CB">
        <w:rPr>
          <w:lang w:val="en-GB"/>
        </w:rPr>
        <w:t>1</w:t>
      </w:r>
      <w:r w:rsidR="001E4C08" w:rsidRPr="00F876CB">
        <w:rPr>
          <w:lang w:val="en-GB"/>
        </w:rPr>
        <w:fldChar w:fldCharType="begin"/>
      </w:r>
      <w:r w:rsidR="001E4C08" w:rsidRPr="00F876CB">
        <w:rPr>
          <w:lang w:val="en-GB"/>
        </w:rPr>
        <w:instrText xml:space="preserve"> STYLEREF 1 \s </w:instrText>
      </w:r>
      <w:r w:rsidR="001E4C08" w:rsidRPr="00F876CB">
        <w:rPr>
          <w:lang w:val="en-GB"/>
        </w:rPr>
        <w:fldChar w:fldCharType="end"/>
      </w:r>
      <w:r w:rsidR="001E4C08" w:rsidRPr="00F876CB">
        <w:rPr>
          <w:lang w:val="en-GB"/>
        </w:rPr>
        <w:t>.</w:t>
      </w:r>
      <w:r w:rsidR="00796EB1" w:rsidRPr="00F876CB">
        <w:rPr>
          <w:lang w:val="en-GB"/>
        </w:rPr>
        <w:t>9</w:t>
      </w:r>
      <w:r w:rsidR="001E4C08" w:rsidRPr="00F876CB">
        <w:rPr>
          <w:lang w:val="en-GB"/>
        </w:rPr>
        <w:t xml:space="preserve">: </w:t>
      </w:r>
      <w:r w:rsidR="00EF59CE" w:rsidRPr="00F876CB">
        <w:rPr>
          <w:lang w:val="en-GB"/>
        </w:rPr>
        <w:t xml:space="preserve">Distribution of the Amount of Payment Made Within the Scope of Unlicensed Electricity Generation by Sources </w:t>
      </w:r>
      <w:r w:rsidR="001E4C08" w:rsidRPr="00F876CB">
        <w:rPr>
          <w:lang w:val="en-GB"/>
        </w:rPr>
        <w:t>(</w:t>
      </w:r>
      <w:r w:rsidR="00EB6C0A" w:rsidRPr="00F876CB">
        <w:rPr>
          <w:lang w:val="en-GB"/>
        </w:rPr>
        <w:t>TL</w:t>
      </w:r>
      <w:r w:rsidR="001E4C08" w:rsidRPr="00F876CB">
        <w:rPr>
          <w:lang w:val="en-GB"/>
        </w:rPr>
        <w:t>-%)</w:t>
      </w:r>
      <w:bookmarkEnd w:id="236"/>
    </w:p>
    <w:tbl>
      <w:tblPr>
        <w:tblW w:w="9639" w:type="dxa"/>
        <w:tblInd w:w="70" w:type="dxa"/>
        <w:tblCellMar>
          <w:left w:w="70" w:type="dxa"/>
          <w:right w:w="70" w:type="dxa"/>
        </w:tblCellMar>
        <w:tblLook w:val="04A0" w:firstRow="1" w:lastRow="0" w:firstColumn="1" w:lastColumn="0" w:noHBand="0" w:noVBand="1"/>
      </w:tblPr>
      <w:tblGrid>
        <w:gridCol w:w="1418"/>
        <w:gridCol w:w="2551"/>
        <w:gridCol w:w="755"/>
        <w:gridCol w:w="2667"/>
        <w:gridCol w:w="972"/>
        <w:gridCol w:w="1417"/>
      </w:tblGrid>
      <w:tr w:rsidR="008C052D" w:rsidRPr="00F876CB" w:rsidTr="008C052D">
        <w:trPr>
          <w:trHeight w:val="85"/>
        </w:trPr>
        <w:tc>
          <w:tcPr>
            <w:tcW w:w="141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C052D" w:rsidRPr="00F876CB" w:rsidRDefault="00EF59CE"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Resource Type</w:t>
            </w:r>
          </w:p>
        </w:tc>
        <w:tc>
          <w:tcPr>
            <w:tcW w:w="316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w:t>
            </w:r>
          </w:p>
        </w:tc>
        <w:tc>
          <w:tcPr>
            <w:tcW w:w="363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2019</w:t>
            </w:r>
          </w:p>
        </w:tc>
        <w:tc>
          <w:tcPr>
            <w:tcW w:w="1417"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8C052D" w:rsidRPr="00F876CB" w:rsidRDefault="00CE69C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Change</w:t>
            </w:r>
            <w:r w:rsidR="008C052D" w:rsidRPr="00F876CB">
              <w:rPr>
                <w:rFonts w:ascii="Calibri" w:eastAsia="Times New Roman" w:hAnsi="Calibri" w:cs="Calibri"/>
                <w:b/>
                <w:bCs/>
                <w:color w:val="FFFFFF"/>
                <w:lang w:val="en-GB" w:eastAsia="tr-TR" w:bidi="ar-SA"/>
              </w:rPr>
              <w:t xml:space="preserve"> (%) </w:t>
            </w:r>
            <w:r w:rsidR="008C052D" w:rsidRPr="00F876CB">
              <w:rPr>
                <w:rFonts w:ascii="Calibri" w:eastAsia="Times New Roman" w:hAnsi="Calibri" w:cs="Calibri"/>
                <w:b/>
                <w:bCs/>
                <w:color w:val="FFFFFF"/>
                <w:lang w:val="en-GB" w:eastAsia="tr-TR" w:bidi="ar-SA"/>
              </w:rPr>
              <w:br/>
              <w:t>2018→2019</w:t>
            </w:r>
          </w:p>
        </w:tc>
      </w:tr>
      <w:tr w:rsidR="008C052D" w:rsidRPr="00F876CB" w:rsidTr="008C052D">
        <w:trPr>
          <w:trHeight w:val="590"/>
        </w:trPr>
        <w:tc>
          <w:tcPr>
            <w:tcW w:w="1418" w:type="dxa"/>
            <w:vMerge/>
            <w:tcBorders>
              <w:top w:val="single" w:sz="8" w:space="0" w:color="auto"/>
              <w:left w:val="single" w:sz="8" w:space="0" w:color="auto"/>
              <w:bottom w:val="nil"/>
              <w:right w:val="single" w:sz="8" w:space="0" w:color="auto"/>
            </w:tcBorders>
            <w:vAlign w:val="center"/>
            <w:hideMark/>
          </w:tcPr>
          <w:p w:rsidR="008C052D" w:rsidRPr="00F876CB" w:rsidRDefault="008C052D" w:rsidP="008C052D">
            <w:pPr>
              <w:spacing w:after="0" w:line="240" w:lineRule="auto"/>
              <w:rPr>
                <w:rFonts w:ascii="Calibri" w:eastAsia="Times New Roman" w:hAnsi="Calibri" w:cs="Calibri"/>
                <w:b/>
                <w:bCs/>
                <w:color w:val="FFFFFF"/>
                <w:lang w:val="en-GB" w:eastAsia="tr-TR" w:bidi="ar-SA"/>
              </w:rPr>
            </w:pPr>
          </w:p>
        </w:tc>
        <w:tc>
          <w:tcPr>
            <w:tcW w:w="2551" w:type="dxa"/>
            <w:tcBorders>
              <w:top w:val="nil"/>
              <w:left w:val="nil"/>
              <w:bottom w:val="nil"/>
              <w:right w:val="single" w:sz="8" w:space="0" w:color="auto"/>
            </w:tcBorders>
            <w:shd w:val="clear" w:color="000000" w:fill="FF0000"/>
            <w:vAlign w:val="center"/>
            <w:hideMark/>
          </w:tcPr>
          <w:p w:rsidR="008C052D" w:rsidRPr="00F876CB" w:rsidRDefault="00EF59CE"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Amount of payments made for the amount of surplus energy purchased </w:t>
            </w:r>
            <w:r w:rsidR="008C052D" w:rsidRPr="00F876CB">
              <w:rPr>
                <w:rFonts w:ascii="Calibri" w:eastAsia="Times New Roman" w:hAnsi="Calibri" w:cs="Calibri"/>
                <w:b/>
                <w:bCs/>
                <w:color w:val="FFFFFF"/>
                <w:lang w:val="en-GB" w:eastAsia="tr-TR" w:bidi="ar-SA"/>
              </w:rPr>
              <w:t>(TL)</w:t>
            </w:r>
          </w:p>
        </w:tc>
        <w:tc>
          <w:tcPr>
            <w:tcW w:w="614" w:type="dxa"/>
            <w:tcBorders>
              <w:top w:val="nil"/>
              <w:left w:val="nil"/>
              <w:bottom w:val="nil"/>
              <w:right w:val="single" w:sz="8" w:space="0" w:color="auto"/>
            </w:tcBorders>
            <w:shd w:val="clear" w:color="000000" w:fill="FF0000"/>
            <w:noWrap/>
            <w:vAlign w:val="center"/>
            <w:hideMark/>
          </w:tcPr>
          <w:p w:rsidR="008C052D" w:rsidRPr="00F876CB" w:rsidRDefault="00CE69C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8C052D" w:rsidRPr="00F876CB">
              <w:rPr>
                <w:rFonts w:ascii="Calibri" w:eastAsia="Times New Roman" w:hAnsi="Calibri" w:cs="Calibri"/>
                <w:b/>
                <w:bCs/>
                <w:color w:val="FFFFFF"/>
                <w:lang w:val="en-GB" w:eastAsia="tr-TR" w:bidi="ar-SA"/>
              </w:rPr>
              <w:t xml:space="preserve"> (%)</w:t>
            </w:r>
          </w:p>
        </w:tc>
        <w:tc>
          <w:tcPr>
            <w:tcW w:w="2667" w:type="dxa"/>
            <w:tcBorders>
              <w:top w:val="nil"/>
              <w:left w:val="nil"/>
              <w:bottom w:val="nil"/>
              <w:right w:val="single" w:sz="8" w:space="0" w:color="auto"/>
            </w:tcBorders>
            <w:shd w:val="clear" w:color="000000" w:fill="FF0000"/>
            <w:vAlign w:val="center"/>
            <w:hideMark/>
          </w:tcPr>
          <w:p w:rsidR="008C052D" w:rsidRPr="00F876CB" w:rsidRDefault="00CE69CF"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Amount of payments made for the amount of surplus energy purchased </w:t>
            </w:r>
            <w:r w:rsidR="008C052D" w:rsidRPr="00F876CB">
              <w:rPr>
                <w:rFonts w:ascii="Calibri" w:eastAsia="Times New Roman" w:hAnsi="Calibri" w:cs="Calibri"/>
                <w:b/>
                <w:bCs/>
                <w:color w:val="FFFFFF"/>
                <w:lang w:val="en-GB" w:eastAsia="tr-TR" w:bidi="ar-SA"/>
              </w:rPr>
              <w:t>(TL)</w:t>
            </w:r>
          </w:p>
        </w:tc>
        <w:tc>
          <w:tcPr>
            <w:tcW w:w="972" w:type="dxa"/>
            <w:tcBorders>
              <w:top w:val="nil"/>
              <w:left w:val="nil"/>
              <w:bottom w:val="nil"/>
              <w:right w:val="single" w:sz="8" w:space="0" w:color="auto"/>
            </w:tcBorders>
            <w:shd w:val="clear" w:color="000000" w:fill="FF0000"/>
            <w:noWrap/>
            <w:vAlign w:val="center"/>
            <w:hideMark/>
          </w:tcPr>
          <w:p w:rsidR="008C052D" w:rsidRPr="00F876CB" w:rsidRDefault="00CE69CF" w:rsidP="008C052D">
            <w:pPr>
              <w:spacing w:after="0" w:line="240" w:lineRule="auto"/>
              <w:jc w:val="center"/>
              <w:rPr>
                <w:rFonts w:ascii="Calibri" w:eastAsia="Times New Roman" w:hAnsi="Calibri" w:cs="Calibri"/>
                <w:b/>
                <w:bCs/>
                <w:color w:val="FFFFFF"/>
                <w:lang w:val="en-GB" w:eastAsia="tr-TR" w:bidi="ar-SA"/>
              </w:rPr>
            </w:pPr>
            <w:proofErr w:type="gramStart"/>
            <w:r w:rsidRPr="00F876CB">
              <w:rPr>
                <w:rFonts w:ascii="Calibri" w:eastAsia="Times New Roman" w:hAnsi="Calibri" w:cs="Calibri"/>
                <w:b/>
                <w:bCs/>
                <w:color w:val="FFFFFF"/>
                <w:lang w:val="en-GB" w:eastAsia="tr-TR" w:bidi="ar-SA"/>
              </w:rPr>
              <w:t>Share</w:t>
            </w:r>
            <w:r w:rsidR="008C052D" w:rsidRPr="00F876CB">
              <w:rPr>
                <w:rFonts w:ascii="Calibri" w:eastAsia="Times New Roman" w:hAnsi="Calibri" w:cs="Calibri"/>
                <w:b/>
                <w:bCs/>
                <w:color w:val="FFFFFF"/>
                <w:lang w:val="en-GB" w:eastAsia="tr-TR" w:bidi="ar-SA"/>
              </w:rPr>
              <w:t>(</w:t>
            </w:r>
            <w:proofErr w:type="gramEnd"/>
            <w:r w:rsidR="008C052D" w:rsidRPr="00F876CB">
              <w:rPr>
                <w:rFonts w:ascii="Calibri" w:eastAsia="Times New Roman" w:hAnsi="Calibri" w:cs="Calibri"/>
                <w:b/>
                <w:bCs/>
                <w:color w:val="FFFFFF"/>
                <w:lang w:val="en-GB" w:eastAsia="tr-TR" w:bidi="ar-SA"/>
              </w:rPr>
              <w:t>%)</w:t>
            </w:r>
          </w:p>
        </w:tc>
        <w:tc>
          <w:tcPr>
            <w:tcW w:w="1417" w:type="dxa"/>
            <w:vMerge/>
            <w:tcBorders>
              <w:top w:val="single" w:sz="8" w:space="0" w:color="auto"/>
              <w:left w:val="single" w:sz="8" w:space="0" w:color="auto"/>
              <w:bottom w:val="single" w:sz="4" w:space="0" w:color="000000"/>
              <w:right w:val="single" w:sz="8" w:space="0" w:color="auto"/>
            </w:tcBorders>
            <w:vAlign w:val="center"/>
            <w:hideMark/>
          </w:tcPr>
          <w:p w:rsidR="008C052D" w:rsidRPr="00F876CB" w:rsidRDefault="008C052D" w:rsidP="008C052D">
            <w:pPr>
              <w:spacing w:after="0" w:line="240" w:lineRule="auto"/>
              <w:rPr>
                <w:rFonts w:ascii="Calibri" w:eastAsia="Times New Roman" w:hAnsi="Calibri" w:cs="Calibri"/>
                <w:b/>
                <w:bCs/>
                <w:color w:val="FFFFFF"/>
                <w:lang w:val="en-GB" w:eastAsia="tr-TR" w:bidi="ar-SA"/>
              </w:rPr>
            </w:pPr>
          </w:p>
        </w:tc>
      </w:tr>
      <w:tr w:rsidR="008C052D" w:rsidRPr="00F876CB" w:rsidTr="008C052D">
        <w:trPr>
          <w:trHeight w:val="46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CE69CF"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Solar</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5.162.235.719,38</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96,48</w:t>
            </w:r>
          </w:p>
        </w:tc>
        <w:tc>
          <w:tcPr>
            <w:tcW w:w="2667" w:type="dxa"/>
            <w:tcBorders>
              <w:top w:val="single" w:sz="4" w:space="0" w:color="auto"/>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7.149.487.954,90</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96,56</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38,50</w:t>
            </w:r>
          </w:p>
        </w:tc>
      </w:tr>
      <w:tr w:rsidR="008C052D" w:rsidRPr="00F876CB" w:rsidTr="008C052D">
        <w:trPr>
          <w:trHeight w:val="458"/>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w:t>
            </w:r>
            <w:r w:rsidR="00CE69CF" w:rsidRPr="00F876CB">
              <w:rPr>
                <w:rFonts w:ascii="Calibri" w:eastAsia="Times New Roman" w:hAnsi="Calibri" w:cs="Calibri"/>
                <w:color w:val="FFFFFF"/>
                <w:lang w:val="en-GB" w:eastAsia="tr-TR" w:bidi="ar-SA"/>
              </w:rPr>
              <w:t>omass</w:t>
            </w:r>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134.929.718,77</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2,52</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193.082.601,11</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2,61</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43,10</w:t>
            </w:r>
          </w:p>
        </w:tc>
      </w:tr>
      <w:tr w:rsidR="008C052D" w:rsidRPr="00F876CB" w:rsidTr="008C052D">
        <w:trPr>
          <w:trHeight w:val="408"/>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CE69CF" w:rsidP="008C052D">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Wind</w:t>
            </w:r>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41.137.703,88</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0,77</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47.248.620,77</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0,64</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14,85</w:t>
            </w:r>
          </w:p>
        </w:tc>
      </w:tr>
      <w:tr w:rsidR="008C052D" w:rsidRPr="00F876CB" w:rsidTr="008C052D">
        <w:trPr>
          <w:trHeight w:val="41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color w:val="FFFFFF"/>
                <w:lang w:val="en-GB" w:eastAsia="tr-TR" w:bidi="ar-SA"/>
              </w:rPr>
            </w:pPr>
            <w:proofErr w:type="spellStart"/>
            <w:r w:rsidRPr="00F876CB">
              <w:rPr>
                <w:rFonts w:ascii="Calibri" w:eastAsia="Times New Roman" w:hAnsi="Calibri" w:cs="Calibri"/>
                <w:color w:val="FFFFFF"/>
                <w:lang w:val="en-GB" w:eastAsia="tr-TR" w:bidi="ar-SA"/>
              </w:rPr>
              <w:t>H</w:t>
            </w:r>
            <w:r w:rsidR="00CE69CF" w:rsidRPr="00F876CB">
              <w:rPr>
                <w:rFonts w:ascii="Calibri" w:eastAsia="Times New Roman" w:hAnsi="Calibri" w:cs="Calibri"/>
                <w:color w:val="FFFFFF"/>
                <w:lang w:val="en-GB" w:eastAsia="tr-TR" w:bidi="ar-SA"/>
              </w:rPr>
              <w:t>yraulic</w:t>
            </w:r>
            <w:proofErr w:type="spellEnd"/>
          </w:p>
        </w:tc>
        <w:tc>
          <w:tcPr>
            <w:tcW w:w="2551" w:type="dxa"/>
            <w:tcBorders>
              <w:top w:val="nil"/>
              <w:left w:val="single" w:sz="4" w:space="0" w:color="auto"/>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12.131.327,19</w:t>
            </w:r>
          </w:p>
        </w:tc>
        <w:tc>
          <w:tcPr>
            <w:tcW w:w="614"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0,23</w:t>
            </w:r>
          </w:p>
        </w:tc>
        <w:tc>
          <w:tcPr>
            <w:tcW w:w="2667"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14.298.255,13</w:t>
            </w:r>
          </w:p>
        </w:tc>
        <w:tc>
          <w:tcPr>
            <w:tcW w:w="972" w:type="dxa"/>
            <w:tcBorders>
              <w:top w:val="nil"/>
              <w:left w:val="nil"/>
              <w:bottom w:val="single" w:sz="4" w:space="0" w:color="auto"/>
              <w:right w:val="single" w:sz="4"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0,19</w:t>
            </w:r>
          </w:p>
        </w:tc>
        <w:tc>
          <w:tcPr>
            <w:tcW w:w="1417" w:type="dxa"/>
            <w:tcBorders>
              <w:top w:val="nil"/>
              <w:left w:val="nil"/>
              <w:bottom w:val="single" w:sz="4" w:space="0" w:color="auto"/>
              <w:right w:val="single" w:sz="8" w:space="0" w:color="auto"/>
            </w:tcBorders>
            <w:shd w:val="clear" w:color="auto" w:fill="auto"/>
            <w:noWrap/>
            <w:vAlign w:val="bottom"/>
            <w:hideMark/>
          </w:tcPr>
          <w:p w:rsidR="008C052D" w:rsidRPr="00F876CB" w:rsidRDefault="008C052D" w:rsidP="008C052D">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17,86</w:t>
            </w:r>
          </w:p>
        </w:tc>
      </w:tr>
      <w:tr w:rsidR="008C052D" w:rsidRPr="00F876CB" w:rsidTr="008C052D">
        <w:trPr>
          <w:trHeight w:val="621"/>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w:t>
            </w:r>
            <w:r w:rsidR="00CE69CF" w:rsidRPr="00F876CB">
              <w:rPr>
                <w:rFonts w:ascii="Calibri" w:eastAsia="Times New Roman" w:hAnsi="Calibri" w:cs="Calibri"/>
                <w:b/>
                <w:bCs/>
                <w:color w:val="FFFFFF"/>
                <w:lang w:val="en-GB" w:eastAsia="tr-TR" w:bidi="ar-SA"/>
              </w:rPr>
              <w:t>rand Total</w:t>
            </w:r>
          </w:p>
        </w:tc>
        <w:tc>
          <w:tcPr>
            <w:tcW w:w="2551"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5.350.434.469,22</w:t>
            </w:r>
          </w:p>
        </w:tc>
        <w:tc>
          <w:tcPr>
            <w:tcW w:w="614"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c>
          <w:tcPr>
            <w:tcW w:w="2667"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7.404.117.431,91</w:t>
            </w:r>
          </w:p>
        </w:tc>
        <w:tc>
          <w:tcPr>
            <w:tcW w:w="972"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8C052D" w:rsidRPr="00F876CB" w:rsidRDefault="008C052D" w:rsidP="008C052D">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38,38</w:t>
            </w:r>
          </w:p>
        </w:tc>
      </w:tr>
    </w:tbl>
    <w:p w:rsidR="00094A61" w:rsidRPr="00F876CB" w:rsidRDefault="00094A61" w:rsidP="00EB6C0A">
      <w:pPr>
        <w:rPr>
          <w:lang w:val="en-GB"/>
        </w:rPr>
      </w:pPr>
    </w:p>
    <w:p w:rsidR="008C052D" w:rsidRPr="00F876CB" w:rsidRDefault="008C052D" w:rsidP="00EB6C0A">
      <w:pPr>
        <w:rPr>
          <w:lang w:val="en-GB"/>
        </w:rPr>
      </w:pPr>
    </w:p>
    <w:p w:rsidR="00D232AF" w:rsidRPr="00F876CB" w:rsidRDefault="00E778B8" w:rsidP="00E778B8">
      <w:pPr>
        <w:pStyle w:val="11ilebalayanlar"/>
        <w:rPr>
          <w:lang w:val="en-GB"/>
        </w:rPr>
      </w:pPr>
      <w:bookmarkStart w:id="237" w:name="_Toc44508284"/>
      <w:r w:rsidRPr="00F876CB">
        <w:rPr>
          <w:lang w:val="en-GB"/>
        </w:rPr>
        <w:lastRenderedPageBreak/>
        <w:t>1.</w:t>
      </w:r>
      <w:r w:rsidR="00A32939" w:rsidRPr="00F876CB">
        <w:rPr>
          <w:lang w:val="en-GB"/>
        </w:rPr>
        <w:t>5</w:t>
      </w:r>
      <w:r w:rsidRPr="00F876CB">
        <w:rPr>
          <w:lang w:val="en-GB"/>
        </w:rPr>
        <w:t xml:space="preserve"> </w:t>
      </w:r>
      <w:r w:rsidR="008C462E" w:rsidRPr="00F876CB">
        <w:rPr>
          <w:lang w:val="en-GB"/>
        </w:rPr>
        <w:t>Invoiced Electricity Consumption</w:t>
      </w:r>
      <w:bookmarkEnd w:id="237"/>
    </w:p>
    <w:p w:rsidR="00C1059A" w:rsidRPr="00F876CB" w:rsidRDefault="00C1059A" w:rsidP="00E778B8">
      <w:pPr>
        <w:pStyle w:val="11ilebalayanlar"/>
        <w:rPr>
          <w:lang w:val="en-GB"/>
        </w:rPr>
      </w:pPr>
    </w:p>
    <w:p w:rsidR="00780DE7" w:rsidRPr="00F876CB" w:rsidRDefault="00780DE7" w:rsidP="00E778B8">
      <w:pPr>
        <w:pStyle w:val="11ilebalayanlar"/>
        <w:rPr>
          <w:lang w:val="en-GB"/>
        </w:rPr>
      </w:pPr>
    </w:p>
    <w:p w:rsidR="00785FAE" w:rsidRPr="00F876CB" w:rsidRDefault="00785FAE" w:rsidP="003E4CA1">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This </w:t>
      </w:r>
      <w:r w:rsidR="002A3A5D">
        <w:rPr>
          <w:rFonts w:asciiTheme="minorHAnsi" w:hAnsiTheme="minorHAnsi" w:cstheme="minorHAnsi"/>
          <w:sz w:val="24"/>
          <w:szCs w:val="24"/>
          <w:lang w:val="en-GB"/>
        </w:rPr>
        <w:t>part gives</w:t>
      </w:r>
      <w:r w:rsidRPr="00F876CB">
        <w:rPr>
          <w:rFonts w:asciiTheme="minorHAnsi" w:hAnsiTheme="minorHAnsi" w:cstheme="minorHAnsi"/>
          <w:sz w:val="24"/>
          <w:szCs w:val="24"/>
          <w:lang w:val="en-GB"/>
        </w:rPr>
        <w:t xml:space="preserve"> information about the invoiced electricity consumption. In this context, the consumption that is not included in the invoice (technical and non-technical losses and the sales that are not accepted as sales) are not included in the data in this section. Therefore, as the production realized by the legal entities holding generation license within the scope of Article 7 of the Electricity Market Law without transferring the energy produced in their facilities to the transmission or distribution system, is not considered as sales to the final consumer, Electricity consumption is not included in the invoiced consumption figures. In addition, the amount of electricity generated by the generation facilities from the system for their own needs is not included in the invoiced consumption value. In addition, the actual consumption data and consumption data in this section may vary due to differences in the billing period.</w:t>
      </w:r>
    </w:p>
    <w:p w:rsidR="00785FAE" w:rsidRPr="00F876CB" w:rsidRDefault="00785FAE" w:rsidP="003E4CA1">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Data on the consumption amount invoiced in 2019 is shown in Table 1.10 below. 53</w:t>
      </w:r>
      <w:r w:rsidR="008E15BB">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69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xml:space="preserve">, which corresponds to 23,39% of the electricity sold for 229,59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xml:space="preserve">, is connected to consumers from the transmission voltage level, while 175,90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which corresponds to 76,61%, is connected to</w:t>
      </w:r>
      <w:r w:rsidR="002A3A5D">
        <w:rPr>
          <w:rFonts w:asciiTheme="minorHAnsi" w:hAnsiTheme="minorHAnsi" w:cstheme="minorHAnsi"/>
          <w:sz w:val="24"/>
          <w:szCs w:val="24"/>
          <w:lang w:val="en-GB"/>
        </w:rPr>
        <w:t xml:space="preserve"> the distribution voltage level</w:t>
      </w:r>
      <w:r w:rsidRPr="00F876CB">
        <w:rPr>
          <w:rFonts w:asciiTheme="minorHAnsi" w:hAnsiTheme="minorHAnsi" w:cstheme="minorHAnsi"/>
          <w:sz w:val="24"/>
          <w:szCs w:val="24"/>
          <w:lang w:val="en-GB"/>
        </w:rPr>
        <w:t xml:space="preserve"> sold to consumers</w:t>
      </w:r>
      <w:r w:rsidR="002A3A5D">
        <w:rPr>
          <w:rFonts w:asciiTheme="minorHAnsi" w:hAnsiTheme="minorHAnsi" w:cstheme="minorHAnsi"/>
          <w:sz w:val="24"/>
          <w:szCs w:val="24"/>
          <w:lang w:val="en-GB"/>
        </w:rPr>
        <w:t>.</w:t>
      </w:r>
    </w:p>
    <w:p w:rsidR="00706CC2" w:rsidRPr="002A3A5D" w:rsidRDefault="00706CC2" w:rsidP="003E4CA1">
      <w:pPr>
        <w:spacing w:line="360" w:lineRule="auto"/>
        <w:jc w:val="both"/>
        <w:rPr>
          <w:rFonts w:asciiTheme="minorHAnsi" w:hAnsiTheme="minorHAnsi" w:cstheme="minorHAnsi"/>
          <w:sz w:val="24"/>
          <w:szCs w:val="24"/>
          <w:lang w:val="en-GB"/>
        </w:rPr>
      </w:pPr>
      <w:bookmarkStart w:id="238" w:name="_Toc450300299"/>
      <w:bookmarkStart w:id="239" w:name="_Toc450309955"/>
      <w:r w:rsidRPr="002A3A5D">
        <w:rPr>
          <w:rFonts w:asciiTheme="minorHAnsi" w:hAnsiTheme="minorHAnsi" w:cstheme="minorHAnsi"/>
          <w:sz w:val="24"/>
          <w:szCs w:val="24"/>
          <w:lang w:val="en-GB"/>
        </w:rPr>
        <w:t>While selling 93</w:t>
      </w:r>
      <w:r w:rsidR="008E15BB">
        <w:rPr>
          <w:rFonts w:asciiTheme="minorHAnsi" w:hAnsiTheme="minorHAnsi" w:cstheme="minorHAnsi"/>
          <w:sz w:val="24"/>
          <w:szCs w:val="24"/>
          <w:lang w:val="en-GB"/>
        </w:rPr>
        <w:t>,</w:t>
      </w:r>
      <w:r w:rsidRPr="002A3A5D">
        <w:rPr>
          <w:rFonts w:asciiTheme="minorHAnsi" w:hAnsiTheme="minorHAnsi" w:cstheme="minorHAnsi"/>
          <w:sz w:val="24"/>
          <w:szCs w:val="24"/>
          <w:lang w:val="en-GB"/>
        </w:rPr>
        <w:t xml:space="preserve">91 </w:t>
      </w:r>
      <w:proofErr w:type="spellStart"/>
      <w:r w:rsidRPr="002A3A5D">
        <w:rPr>
          <w:rFonts w:asciiTheme="minorHAnsi" w:hAnsiTheme="minorHAnsi" w:cstheme="minorHAnsi"/>
          <w:sz w:val="24"/>
          <w:szCs w:val="24"/>
          <w:lang w:val="en-GB"/>
        </w:rPr>
        <w:t>TWh</w:t>
      </w:r>
      <w:proofErr w:type="spellEnd"/>
      <w:r w:rsidRPr="002A3A5D">
        <w:rPr>
          <w:rFonts w:asciiTheme="minorHAnsi" w:hAnsiTheme="minorHAnsi" w:cstheme="minorHAnsi"/>
          <w:sz w:val="24"/>
          <w:szCs w:val="24"/>
          <w:lang w:val="en-GB"/>
        </w:rPr>
        <w:t xml:space="preserve"> to eligible consumers, the consumption of subscribers (non-eligible and non-eligible consumers) was 135,69 </w:t>
      </w:r>
      <w:proofErr w:type="spellStart"/>
      <w:r w:rsidRPr="002A3A5D">
        <w:rPr>
          <w:rFonts w:asciiTheme="minorHAnsi" w:hAnsiTheme="minorHAnsi" w:cstheme="minorHAnsi"/>
          <w:sz w:val="24"/>
          <w:szCs w:val="24"/>
          <w:lang w:val="en-GB"/>
        </w:rPr>
        <w:t>TWh</w:t>
      </w:r>
      <w:proofErr w:type="spellEnd"/>
      <w:r w:rsidRPr="002A3A5D">
        <w:rPr>
          <w:rFonts w:asciiTheme="minorHAnsi" w:hAnsiTheme="minorHAnsi" w:cstheme="minorHAnsi"/>
          <w:sz w:val="24"/>
          <w:szCs w:val="24"/>
          <w:lang w:val="en-GB"/>
        </w:rPr>
        <w:t>. Accordingly, while the share of eligible consumers in invoiced consumption was 40</w:t>
      </w:r>
      <w:r w:rsidR="002A3A5D">
        <w:rPr>
          <w:rFonts w:asciiTheme="minorHAnsi" w:hAnsiTheme="minorHAnsi" w:cstheme="minorHAnsi"/>
          <w:sz w:val="24"/>
          <w:szCs w:val="24"/>
          <w:lang w:val="en-GB"/>
        </w:rPr>
        <w:t>,</w:t>
      </w:r>
      <w:r w:rsidRPr="002A3A5D">
        <w:rPr>
          <w:rFonts w:asciiTheme="minorHAnsi" w:hAnsiTheme="minorHAnsi" w:cstheme="minorHAnsi"/>
          <w:sz w:val="24"/>
          <w:szCs w:val="24"/>
          <w:lang w:val="en-GB"/>
        </w:rPr>
        <w:t>90%, the share of subscribers was 59</w:t>
      </w:r>
      <w:r w:rsidR="002A3A5D">
        <w:rPr>
          <w:rFonts w:asciiTheme="minorHAnsi" w:hAnsiTheme="minorHAnsi" w:cstheme="minorHAnsi"/>
          <w:sz w:val="24"/>
          <w:szCs w:val="24"/>
          <w:lang w:val="en-GB"/>
        </w:rPr>
        <w:t>,</w:t>
      </w:r>
      <w:r w:rsidRPr="002A3A5D">
        <w:rPr>
          <w:rFonts w:asciiTheme="minorHAnsi" w:hAnsiTheme="minorHAnsi" w:cstheme="minorHAnsi"/>
          <w:sz w:val="24"/>
          <w:szCs w:val="24"/>
          <w:lang w:val="en-GB"/>
        </w:rPr>
        <w:t>10%.</w:t>
      </w:r>
    </w:p>
    <w:p w:rsidR="00D232AF" w:rsidRPr="00F876CB" w:rsidRDefault="00015994" w:rsidP="00524E38">
      <w:pPr>
        <w:pStyle w:val="Balk5"/>
        <w:rPr>
          <w:lang w:val="en-GB"/>
        </w:rPr>
      </w:pPr>
      <w:bookmarkStart w:id="240" w:name="_Toc44508326"/>
      <w:r w:rsidRPr="00F876CB">
        <w:rPr>
          <w:lang w:val="en-GB"/>
        </w:rPr>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10</w:t>
      </w:r>
      <w:r w:rsidR="00D232AF" w:rsidRPr="00F876CB">
        <w:rPr>
          <w:lang w:val="en-GB"/>
        </w:rPr>
        <w:t>:</w:t>
      </w:r>
      <w:r w:rsidR="00CB3E58" w:rsidRPr="00F876CB">
        <w:rPr>
          <w:lang w:val="en-GB"/>
        </w:rPr>
        <w:t xml:space="preserve"> </w:t>
      </w:r>
      <w:r w:rsidR="00C03846" w:rsidRPr="00F876CB">
        <w:rPr>
          <w:lang w:val="en-GB"/>
        </w:rPr>
        <w:t xml:space="preserve">Sales to Eligible and Non-Eligible Consumers in 2019 </w:t>
      </w:r>
      <w:r w:rsidR="00D232AF" w:rsidRPr="00F876CB">
        <w:rPr>
          <w:lang w:val="en-GB"/>
        </w:rPr>
        <w:t>(MWh)</w:t>
      </w:r>
      <w:bookmarkEnd w:id="238"/>
      <w:bookmarkEnd w:id="239"/>
      <w:bookmarkEnd w:id="240"/>
    </w:p>
    <w:tbl>
      <w:tblPr>
        <w:tblW w:w="9245" w:type="dxa"/>
        <w:tblInd w:w="70" w:type="dxa"/>
        <w:tblCellMar>
          <w:left w:w="70" w:type="dxa"/>
          <w:right w:w="70" w:type="dxa"/>
        </w:tblCellMar>
        <w:tblLook w:val="04A0" w:firstRow="1" w:lastRow="0" w:firstColumn="1" w:lastColumn="0" w:noHBand="0" w:noVBand="1"/>
      </w:tblPr>
      <w:tblGrid>
        <w:gridCol w:w="2188"/>
        <w:gridCol w:w="2835"/>
        <w:gridCol w:w="2835"/>
        <w:gridCol w:w="1670"/>
      </w:tblGrid>
      <w:tr w:rsidR="00E71B49" w:rsidRPr="00F876CB" w:rsidTr="002A3A5D">
        <w:trPr>
          <w:trHeight w:val="1275"/>
        </w:trPr>
        <w:tc>
          <w:tcPr>
            <w:tcW w:w="218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71B49" w:rsidRPr="00F876CB" w:rsidRDefault="00E71B49" w:rsidP="00E71B49">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w:t>
            </w:r>
            <w:r w:rsidR="00C03846" w:rsidRPr="00F876CB">
              <w:rPr>
                <w:rFonts w:ascii="Times New Roman" w:eastAsia="Times New Roman" w:hAnsi="Times New Roman" w:cs="Times New Roman"/>
                <w:b/>
                <w:bCs/>
                <w:color w:val="FFFFFF"/>
                <w:sz w:val="24"/>
                <w:szCs w:val="24"/>
                <w:lang w:val="en-GB" w:eastAsia="tr-TR" w:bidi="ar-SA"/>
              </w:rPr>
              <w:t>Consumer Type</w:t>
            </w:r>
          </w:p>
        </w:tc>
        <w:tc>
          <w:tcPr>
            <w:tcW w:w="2835" w:type="dxa"/>
            <w:tcBorders>
              <w:top w:val="single" w:sz="8" w:space="0" w:color="auto"/>
              <w:left w:val="nil"/>
              <w:bottom w:val="single" w:sz="8" w:space="0" w:color="auto"/>
              <w:right w:val="single" w:sz="8" w:space="0" w:color="auto"/>
            </w:tcBorders>
            <w:shd w:val="clear" w:color="000000" w:fill="FF0000"/>
            <w:vAlign w:val="center"/>
            <w:hideMark/>
          </w:tcPr>
          <w:p w:rsidR="00E71B49" w:rsidRPr="00F876CB" w:rsidRDefault="005A485A" w:rsidP="00E71B49">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themeColor="background1"/>
                <w:sz w:val="24"/>
                <w:szCs w:val="24"/>
                <w:lang w:val="en-GB" w:eastAsia="tr-TR"/>
              </w:rPr>
              <w:t xml:space="preserve">Consumption </w:t>
            </w:r>
            <w:proofErr w:type="gramStart"/>
            <w:r w:rsidRPr="00F876CB">
              <w:rPr>
                <w:rFonts w:ascii="Times New Roman" w:eastAsia="Times New Roman" w:hAnsi="Times New Roman" w:cs="Times New Roman"/>
                <w:b/>
                <w:bCs/>
                <w:color w:val="FFFFFF" w:themeColor="background1"/>
                <w:sz w:val="24"/>
                <w:szCs w:val="24"/>
                <w:lang w:val="en-GB" w:eastAsia="tr-TR"/>
              </w:rPr>
              <w:t>Amount</w:t>
            </w:r>
            <w:proofErr w:type="gramEnd"/>
            <w:r w:rsidRPr="00F876CB">
              <w:rPr>
                <w:rFonts w:ascii="Times New Roman" w:eastAsia="Times New Roman" w:hAnsi="Times New Roman" w:cs="Times New Roman"/>
                <w:b/>
                <w:bCs/>
                <w:color w:val="FFFFFF" w:themeColor="background1"/>
                <w:sz w:val="24"/>
                <w:szCs w:val="24"/>
                <w:lang w:val="en-GB" w:eastAsia="tr-TR"/>
              </w:rPr>
              <w:t xml:space="preserve"> of Consumers Connected to the Distribution Voltage Level </w:t>
            </w:r>
            <w:r w:rsidR="00E71B49" w:rsidRPr="00F876CB">
              <w:rPr>
                <w:rFonts w:ascii="Times New Roman" w:eastAsia="Times New Roman" w:hAnsi="Times New Roman" w:cs="Times New Roman"/>
                <w:b/>
                <w:bCs/>
                <w:color w:val="FFFFFF"/>
                <w:sz w:val="24"/>
                <w:szCs w:val="24"/>
                <w:lang w:val="en-GB" w:eastAsia="tr-TR" w:bidi="ar-SA"/>
              </w:rPr>
              <w:t>(MWh)</w:t>
            </w:r>
          </w:p>
        </w:tc>
        <w:tc>
          <w:tcPr>
            <w:tcW w:w="2835" w:type="dxa"/>
            <w:tcBorders>
              <w:top w:val="single" w:sz="8" w:space="0" w:color="auto"/>
              <w:left w:val="nil"/>
              <w:bottom w:val="single" w:sz="8" w:space="0" w:color="auto"/>
              <w:right w:val="single" w:sz="8" w:space="0" w:color="auto"/>
            </w:tcBorders>
            <w:shd w:val="clear" w:color="000000" w:fill="FF0000"/>
            <w:vAlign w:val="center"/>
            <w:hideMark/>
          </w:tcPr>
          <w:p w:rsidR="00E71B49" w:rsidRPr="00F876CB" w:rsidRDefault="005A485A" w:rsidP="00E71B49">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themeColor="background1"/>
                <w:sz w:val="24"/>
                <w:szCs w:val="24"/>
                <w:lang w:val="en-GB" w:eastAsia="tr-TR"/>
              </w:rPr>
              <w:t xml:space="preserve">Consumption </w:t>
            </w:r>
            <w:proofErr w:type="gramStart"/>
            <w:r w:rsidRPr="00F876CB">
              <w:rPr>
                <w:rFonts w:ascii="Times New Roman" w:eastAsia="Times New Roman" w:hAnsi="Times New Roman" w:cs="Times New Roman"/>
                <w:b/>
                <w:bCs/>
                <w:color w:val="FFFFFF" w:themeColor="background1"/>
                <w:sz w:val="24"/>
                <w:szCs w:val="24"/>
                <w:lang w:val="en-GB" w:eastAsia="tr-TR"/>
              </w:rPr>
              <w:t>Amount</w:t>
            </w:r>
            <w:proofErr w:type="gramEnd"/>
            <w:r w:rsidRPr="00F876CB">
              <w:rPr>
                <w:rFonts w:ascii="Times New Roman" w:eastAsia="Times New Roman" w:hAnsi="Times New Roman" w:cs="Times New Roman"/>
                <w:b/>
                <w:bCs/>
                <w:color w:val="FFFFFF" w:themeColor="background1"/>
                <w:sz w:val="24"/>
                <w:szCs w:val="24"/>
                <w:lang w:val="en-GB" w:eastAsia="tr-TR"/>
              </w:rPr>
              <w:t xml:space="preserve"> of Consumers Connected to the Transmission Voltage Level </w:t>
            </w:r>
            <w:r w:rsidR="00E71B49" w:rsidRPr="00F876CB">
              <w:rPr>
                <w:rFonts w:ascii="Times New Roman" w:eastAsia="Times New Roman" w:hAnsi="Times New Roman" w:cs="Times New Roman"/>
                <w:b/>
                <w:bCs/>
                <w:color w:val="FFFFFF"/>
                <w:sz w:val="24"/>
                <w:szCs w:val="24"/>
                <w:lang w:val="en-GB" w:eastAsia="tr-TR" w:bidi="ar-SA"/>
              </w:rPr>
              <w:t>(MWh)</w:t>
            </w:r>
          </w:p>
        </w:tc>
        <w:tc>
          <w:tcPr>
            <w:tcW w:w="1387" w:type="dxa"/>
            <w:tcBorders>
              <w:top w:val="single" w:sz="8" w:space="0" w:color="auto"/>
              <w:left w:val="nil"/>
              <w:bottom w:val="single" w:sz="8" w:space="0" w:color="auto"/>
              <w:right w:val="single" w:sz="8" w:space="0" w:color="auto"/>
            </w:tcBorders>
            <w:shd w:val="clear" w:color="000000" w:fill="FF0000"/>
            <w:noWrap/>
            <w:vAlign w:val="center"/>
            <w:hideMark/>
          </w:tcPr>
          <w:p w:rsidR="00E71B49" w:rsidRPr="00F876CB" w:rsidRDefault="00E71B49" w:rsidP="00E71B49">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To</w:t>
            </w:r>
            <w:r w:rsidR="005A485A" w:rsidRPr="00F876CB">
              <w:rPr>
                <w:rFonts w:ascii="Times New Roman" w:eastAsia="Times New Roman" w:hAnsi="Times New Roman" w:cs="Times New Roman"/>
                <w:b/>
                <w:bCs/>
                <w:color w:val="FFFFFF"/>
                <w:sz w:val="24"/>
                <w:szCs w:val="24"/>
                <w:lang w:val="en-GB" w:eastAsia="tr-TR" w:bidi="ar-SA"/>
              </w:rPr>
              <w:t>tal</w:t>
            </w:r>
            <w:r w:rsidRPr="00F876CB">
              <w:rPr>
                <w:rFonts w:ascii="Times New Roman" w:eastAsia="Times New Roman" w:hAnsi="Times New Roman" w:cs="Times New Roman"/>
                <w:b/>
                <w:bCs/>
                <w:color w:val="FFFFFF"/>
                <w:sz w:val="24"/>
                <w:szCs w:val="24"/>
                <w:lang w:val="en-GB" w:eastAsia="tr-TR" w:bidi="ar-SA"/>
              </w:rPr>
              <w:t xml:space="preserve"> (MWh)</w:t>
            </w:r>
          </w:p>
        </w:tc>
      </w:tr>
      <w:tr w:rsidR="00E71B49" w:rsidRPr="00F876CB" w:rsidTr="002A3A5D">
        <w:trPr>
          <w:trHeight w:val="428"/>
        </w:trPr>
        <w:tc>
          <w:tcPr>
            <w:tcW w:w="2188"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F876CB" w:rsidRDefault="005A485A" w:rsidP="00E71B49">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Non-Eligible Consumer</w:t>
            </w:r>
          </w:p>
        </w:tc>
        <w:tc>
          <w:tcPr>
            <w:tcW w:w="2835"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134.409.689,21</w:t>
            </w:r>
          </w:p>
        </w:tc>
        <w:tc>
          <w:tcPr>
            <w:tcW w:w="2835"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1.278.906,46</w:t>
            </w:r>
          </w:p>
        </w:tc>
        <w:tc>
          <w:tcPr>
            <w:tcW w:w="1387"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135.688.595,67</w:t>
            </w:r>
          </w:p>
        </w:tc>
      </w:tr>
      <w:tr w:rsidR="00E71B49" w:rsidRPr="00F876CB" w:rsidTr="002A3A5D">
        <w:trPr>
          <w:trHeight w:val="330"/>
        </w:trPr>
        <w:tc>
          <w:tcPr>
            <w:tcW w:w="2188"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F876CB" w:rsidRDefault="005A485A" w:rsidP="00E71B49">
            <w:pPr>
              <w:spacing w:after="0" w:line="240" w:lineRule="auto"/>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Eligible Consumer</w:t>
            </w:r>
          </w:p>
        </w:tc>
        <w:tc>
          <w:tcPr>
            <w:tcW w:w="2835"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41.494.792,25</w:t>
            </w:r>
          </w:p>
        </w:tc>
        <w:tc>
          <w:tcPr>
            <w:tcW w:w="2835"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52.414.525,73</w:t>
            </w:r>
          </w:p>
        </w:tc>
        <w:tc>
          <w:tcPr>
            <w:tcW w:w="1387" w:type="dxa"/>
            <w:tcBorders>
              <w:top w:val="nil"/>
              <w:left w:val="nil"/>
              <w:bottom w:val="single" w:sz="8" w:space="0" w:color="auto"/>
              <w:right w:val="single" w:sz="8" w:space="0" w:color="auto"/>
            </w:tcBorders>
            <w:shd w:val="clear" w:color="auto" w:fill="auto"/>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93.909.317,98</w:t>
            </w:r>
          </w:p>
        </w:tc>
      </w:tr>
      <w:tr w:rsidR="00E71B49" w:rsidRPr="00F876CB" w:rsidTr="002A3A5D">
        <w:trPr>
          <w:trHeight w:val="330"/>
        </w:trPr>
        <w:tc>
          <w:tcPr>
            <w:tcW w:w="2188" w:type="dxa"/>
            <w:tcBorders>
              <w:top w:val="nil"/>
              <w:left w:val="single" w:sz="8" w:space="0" w:color="auto"/>
              <w:bottom w:val="single" w:sz="8" w:space="0" w:color="auto"/>
              <w:right w:val="single" w:sz="8" w:space="0" w:color="auto"/>
            </w:tcBorders>
            <w:shd w:val="clear" w:color="000000" w:fill="FF5050"/>
            <w:noWrap/>
            <w:vAlign w:val="center"/>
            <w:hideMark/>
          </w:tcPr>
          <w:p w:rsidR="00E71B49" w:rsidRPr="00F876CB" w:rsidRDefault="00E71B49" w:rsidP="00E71B49">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G</w:t>
            </w:r>
            <w:r w:rsidR="005A485A" w:rsidRPr="00F876CB">
              <w:rPr>
                <w:rFonts w:ascii="Times New Roman" w:eastAsia="Times New Roman" w:hAnsi="Times New Roman" w:cs="Times New Roman"/>
                <w:b/>
                <w:bCs/>
                <w:color w:val="FFFFFF"/>
                <w:sz w:val="24"/>
                <w:szCs w:val="24"/>
                <w:lang w:val="en-GB" w:eastAsia="tr-TR" w:bidi="ar-SA"/>
              </w:rPr>
              <w:t>rand</w:t>
            </w:r>
            <w:r w:rsidRPr="00F876CB">
              <w:rPr>
                <w:rFonts w:ascii="Times New Roman" w:eastAsia="Times New Roman" w:hAnsi="Times New Roman" w:cs="Times New Roman"/>
                <w:b/>
                <w:bCs/>
                <w:color w:val="FFFFFF"/>
                <w:sz w:val="24"/>
                <w:szCs w:val="24"/>
                <w:lang w:val="en-GB" w:eastAsia="tr-TR" w:bidi="ar-SA"/>
              </w:rPr>
              <w:t xml:space="preserve"> To</w:t>
            </w:r>
            <w:r w:rsidR="005A485A" w:rsidRPr="00F876CB">
              <w:rPr>
                <w:rFonts w:ascii="Times New Roman" w:eastAsia="Times New Roman" w:hAnsi="Times New Roman" w:cs="Times New Roman"/>
                <w:b/>
                <w:bCs/>
                <w:color w:val="FFFFFF"/>
                <w:sz w:val="24"/>
                <w:szCs w:val="24"/>
                <w:lang w:val="en-GB" w:eastAsia="tr-TR" w:bidi="ar-SA"/>
              </w:rPr>
              <w:t>tal</w:t>
            </w:r>
          </w:p>
        </w:tc>
        <w:tc>
          <w:tcPr>
            <w:tcW w:w="2835" w:type="dxa"/>
            <w:tcBorders>
              <w:top w:val="nil"/>
              <w:left w:val="nil"/>
              <w:bottom w:val="single" w:sz="8" w:space="0" w:color="auto"/>
              <w:right w:val="single" w:sz="8" w:space="0" w:color="auto"/>
            </w:tcBorders>
            <w:shd w:val="clear" w:color="000000" w:fill="FF5050"/>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175.904.481,46</w:t>
            </w:r>
          </w:p>
        </w:tc>
        <w:tc>
          <w:tcPr>
            <w:tcW w:w="2835" w:type="dxa"/>
            <w:tcBorders>
              <w:top w:val="nil"/>
              <w:left w:val="nil"/>
              <w:bottom w:val="single" w:sz="8" w:space="0" w:color="auto"/>
              <w:right w:val="single" w:sz="8" w:space="0" w:color="auto"/>
            </w:tcBorders>
            <w:shd w:val="clear" w:color="000000" w:fill="FF5050"/>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53.693.432,19</w:t>
            </w:r>
          </w:p>
        </w:tc>
        <w:tc>
          <w:tcPr>
            <w:tcW w:w="1387" w:type="dxa"/>
            <w:tcBorders>
              <w:top w:val="nil"/>
              <w:left w:val="nil"/>
              <w:bottom w:val="single" w:sz="8" w:space="0" w:color="auto"/>
              <w:right w:val="single" w:sz="8" w:space="0" w:color="auto"/>
            </w:tcBorders>
            <w:shd w:val="clear" w:color="000000" w:fill="FF5050"/>
            <w:noWrap/>
            <w:vAlign w:val="center"/>
            <w:hideMark/>
          </w:tcPr>
          <w:p w:rsidR="00E71B49" w:rsidRPr="00F876CB" w:rsidRDefault="00E71B49" w:rsidP="00E71B49">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229.597.913,65</w:t>
            </w:r>
          </w:p>
        </w:tc>
      </w:tr>
    </w:tbl>
    <w:p w:rsidR="002A3A5D" w:rsidRDefault="002A3A5D" w:rsidP="007348E1">
      <w:pPr>
        <w:spacing w:line="360" w:lineRule="auto"/>
        <w:ind w:firstLine="708"/>
        <w:jc w:val="both"/>
        <w:rPr>
          <w:rFonts w:asciiTheme="minorHAnsi" w:hAnsiTheme="minorHAnsi" w:cstheme="minorHAnsi"/>
          <w:sz w:val="24"/>
          <w:szCs w:val="24"/>
          <w:lang w:val="en-GB"/>
        </w:rPr>
      </w:pPr>
    </w:p>
    <w:p w:rsidR="007348E1" w:rsidRPr="00F876CB" w:rsidRDefault="001C14B5" w:rsidP="003E4CA1">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distribution of consumption to distribution regions is given in Table 1.11. In 2019, the highest consumption occurred in </w:t>
      </w:r>
      <w:proofErr w:type="spellStart"/>
      <w:r w:rsidRPr="00F876CB">
        <w:rPr>
          <w:rFonts w:asciiTheme="minorHAnsi" w:hAnsiTheme="minorHAnsi" w:cstheme="minorHAnsi"/>
          <w:sz w:val="24"/>
          <w:szCs w:val="24"/>
          <w:lang w:val="en-GB"/>
        </w:rPr>
        <w:t>Toroslar</w:t>
      </w:r>
      <w:proofErr w:type="spellEnd"/>
      <w:r w:rsidRPr="00F876CB">
        <w:rPr>
          <w:rFonts w:asciiTheme="minorHAnsi" w:hAnsiTheme="minorHAnsi" w:cstheme="minorHAnsi"/>
          <w:sz w:val="24"/>
          <w:szCs w:val="24"/>
          <w:lang w:val="en-GB"/>
        </w:rPr>
        <w:t xml:space="preserve"> EDAŞ region with 27</w:t>
      </w:r>
      <w:r w:rsidR="002A3A5D">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72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xml:space="preserve">, and the lowest consumption was in </w:t>
      </w:r>
      <w:proofErr w:type="spellStart"/>
      <w:r w:rsidRPr="00F876CB">
        <w:rPr>
          <w:rFonts w:asciiTheme="minorHAnsi" w:hAnsiTheme="minorHAnsi" w:cstheme="minorHAnsi"/>
          <w:sz w:val="24"/>
          <w:szCs w:val="24"/>
          <w:lang w:val="en-GB"/>
        </w:rPr>
        <w:t>Vangölü</w:t>
      </w:r>
      <w:proofErr w:type="spellEnd"/>
      <w:r w:rsidRPr="00F876CB">
        <w:rPr>
          <w:rFonts w:asciiTheme="minorHAnsi" w:hAnsiTheme="minorHAnsi" w:cstheme="minorHAnsi"/>
          <w:sz w:val="24"/>
          <w:szCs w:val="24"/>
          <w:lang w:val="en-GB"/>
        </w:rPr>
        <w:t xml:space="preserve"> EDAŞ region with 2</w:t>
      </w:r>
      <w:r w:rsidR="002A3A5D">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01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xml:space="preserve">. The region with the highest consumption from distribution was </w:t>
      </w:r>
      <w:proofErr w:type="spellStart"/>
      <w:r w:rsidRPr="00F876CB">
        <w:rPr>
          <w:rFonts w:asciiTheme="minorHAnsi" w:hAnsiTheme="minorHAnsi" w:cstheme="minorHAnsi"/>
          <w:sz w:val="24"/>
          <w:szCs w:val="24"/>
          <w:lang w:val="en-GB"/>
        </w:rPr>
        <w:t>Boğaziçi</w:t>
      </w:r>
      <w:proofErr w:type="spellEnd"/>
      <w:r w:rsidRPr="00F876CB">
        <w:rPr>
          <w:rFonts w:asciiTheme="minorHAnsi" w:hAnsiTheme="minorHAnsi" w:cstheme="minorHAnsi"/>
          <w:sz w:val="24"/>
          <w:szCs w:val="24"/>
          <w:lang w:val="en-GB"/>
        </w:rPr>
        <w:t xml:space="preserve"> EDAŞ, the region with the lowest was </w:t>
      </w:r>
      <w:proofErr w:type="spellStart"/>
      <w:r w:rsidRPr="00F876CB">
        <w:rPr>
          <w:rFonts w:asciiTheme="minorHAnsi" w:hAnsiTheme="minorHAnsi" w:cstheme="minorHAnsi"/>
          <w:sz w:val="24"/>
          <w:szCs w:val="24"/>
          <w:lang w:val="en-GB"/>
        </w:rPr>
        <w:t>Vangölü</w:t>
      </w:r>
      <w:proofErr w:type="spellEnd"/>
      <w:r w:rsidRPr="00F876CB">
        <w:rPr>
          <w:rFonts w:asciiTheme="minorHAnsi" w:hAnsiTheme="minorHAnsi" w:cstheme="minorHAnsi"/>
          <w:sz w:val="24"/>
          <w:szCs w:val="24"/>
          <w:lang w:val="en-GB"/>
        </w:rPr>
        <w:t xml:space="preserve"> </w:t>
      </w:r>
      <w:r w:rsidRPr="00F876CB">
        <w:rPr>
          <w:rFonts w:asciiTheme="minorHAnsi" w:hAnsiTheme="minorHAnsi" w:cstheme="minorHAnsi"/>
          <w:sz w:val="24"/>
          <w:szCs w:val="24"/>
          <w:lang w:val="en-GB"/>
        </w:rPr>
        <w:lastRenderedPageBreak/>
        <w:t xml:space="preserve">EDAŞ, the region with the highest consumption from transmission was </w:t>
      </w:r>
      <w:proofErr w:type="spellStart"/>
      <w:r w:rsidRPr="00F876CB">
        <w:rPr>
          <w:rFonts w:asciiTheme="minorHAnsi" w:hAnsiTheme="minorHAnsi" w:cstheme="minorHAnsi"/>
          <w:sz w:val="24"/>
          <w:szCs w:val="24"/>
          <w:lang w:val="en-GB"/>
        </w:rPr>
        <w:t>Toroslar</w:t>
      </w:r>
      <w:proofErr w:type="spellEnd"/>
      <w:r w:rsidRPr="00F876CB">
        <w:rPr>
          <w:rFonts w:asciiTheme="minorHAnsi" w:hAnsiTheme="minorHAnsi" w:cstheme="minorHAnsi"/>
          <w:sz w:val="24"/>
          <w:szCs w:val="24"/>
          <w:lang w:val="en-GB"/>
        </w:rPr>
        <w:t xml:space="preserve">, and the region with the lowest was </w:t>
      </w:r>
      <w:proofErr w:type="spellStart"/>
      <w:r w:rsidRPr="00F876CB">
        <w:rPr>
          <w:rFonts w:asciiTheme="minorHAnsi" w:hAnsiTheme="minorHAnsi" w:cstheme="minorHAnsi"/>
          <w:sz w:val="24"/>
          <w:szCs w:val="24"/>
          <w:lang w:val="en-GB"/>
        </w:rPr>
        <w:t>Çoruh</w:t>
      </w:r>
      <w:proofErr w:type="spellEnd"/>
      <w:r w:rsidRPr="00F876CB">
        <w:rPr>
          <w:rFonts w:asciiTheme="minorHAnsi" w:hAnsiTheme="minorHAnsi" w:cstheme="minorHAnsi"/>
          <w:sz w:val="24"/>
          <w:szCs w:val="24"/>
          <w:lang w:val="en-GB"/>
        </w:rPr>
        <w:t xml:space="preserve"> EDAŞ.</w:t>
      </w:r>
    </w:p>
    <w:p w:rsidR="00D232AF" w:rsidRPr="00F876CB" w:rsidRDefault="00015994" w:rsidP="004A65F5">
      <w:pPr>
        <w:pStyle w:val="Balk5"/>
        <w:rPr>
          <w:lang w:val="en-GB"/>
        </w:rPr>
      </w:pPr>
      <w:bookmarkStart w:id="241" w:name="_Toc44508327"/>
      <w:r w:rsidRPr="00F876CB">
        <w:rPr>
          <w:lang w:val="en-GB"/>
        </w:rPr>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11</w:t>
      </w:r>
      <w:r w:rsidR="00D232AF" w:rsidRPr="00F876CB">
        <w:rPr>
          <w:lang w:val="en-GB"/>
        </w:rPr>
        <w:t xml:space="preserve">: </w:t>
      </w:r>
      <w:r w:rsidR="00222B11" w:rsidRPr="00F876CB">
        <w:rPr>
          <w:lang w:val="en-GB"/>
        </w:rPr>
        <w:t xml:space="preserve">Distribution of Invoiced Consumption by Distribution Regions in 2019 </w:t>
      </w:r>
      <w:r w:rsidR="00DF0FC6" w:rsidRPr="00F876CB">
        <w:rPr>
          <w:lang w:val="en-GB"/>
        </w:rPr>
        <w:t>(MWh-</w:t>
      </w:r>
      <w:r w:rsidR="00D232AF" w:rsidRPr="00F876CB">
        <w:rPr>
          <w:lang w:val="en-GB"/>
        </w:rPr>
        <w:t>%)</w:t>
      </w:r>
      <w:bookmarkEnd w:id="241"/>
    </w:p>
    <w:tbl>
      <w:tblPr>
        <w:tblW w:w="9480" w:type="dxa"/>
        <w:tblInd w:w="70" w:type="dxa"/>
        <w:tblCellMar>
          <w:left w:w="70" w:type="dxa"/>
          <w:right w:w="70" w:type="dxa"/>
        </w:tblCellMar>
        <w:tblLook w:val="04A0" w:firstRow="1" w:lastRow="0" w:firstColumn="1" w:lastColumn="0" w:noHBand="0" w:noVBand="1"/>
      </w:tblPr>
      <w:tblGrid>
        <w:gridCol w:w="2268"/>
        <w:gridCol w:w="2268"/>
        <w:gridCol w:w="2224"/>
        <w:gridCol w:w="1760"/>
        <w:gridCol w:w="960"/>
      </w:tblGrid>
      <w:tr w:rsidR="007348E1" w:rsidRPr="00F876CB" w:rsidTr="007348E1">
        <w:trPr>
          <w:trHeight w:val="963"/>
        </w:trPr>
        <w:tc>
          <w:tcPr>
            <w:tcW w:w="226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348E1" w:rsidRPr="00F876CB" w:rsidRDefault="007348E1" w:rsidP="007348E1">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D</w:t>
            </w:r>
            <w:r w:rsidR="00222B11" w:rsidRPr="00F876CB">
              <w:rPr>
                <w:rFonts w:ascii="Arial" w:eastAsia="Times New Roman" w:hAnsi="Arial" w:cs="Arial"/>
                <w:b/>
                <w:bCs/>
                <w:color w:val="FFFFFF"/>
                <w:sz w:val="20"/>
                <w:szCs w:val="20"/>
                <w:lang w:val="en-GB" w:eastAsia="tr-TR" w:bidi="ar-SA"/>
              </w:rPr>
              <w:t>istribution Regions</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7348E1" w:rsidRPr="00F876CB" w:rsidRDefault="00222B11" w:rsidP="007348E1">
            <w:pPr>
              <w:spacing w:after="0" w:line="240" w:lineRule="auto"/>
              <w:jc w:val="center"/>
              <w:rPr>
                <w:rFonts w:ascii="Arial" w:eastAsia="Times New Roman" w:hAnsi="Arial" w:cs="Arial"/>
                <w:b/>
                <w:bCs/>
                <w:color w:val="FFFFFF"/>
                <w:sz w:val="20"/>
                <w:szCs w:val="20"/>
                <w:lang w:val="en-GB" w:eastAsia="tr-TR" w:bidi="ar-SA"/>
              </w:rPr>
            </w:pPr>
            <w:r w:rsidRPr="00F876CB">
              <w:rPr>
                <w:rFonts w:ascii="Times New Roman" w:eastAsia="Times New Roman" w:hAnsi="Times New Roman" w:cs="Times New Roman"/>
                <w:b/>
                <w:bCs/>
                <w:color w:val="FFFFFF"/>
                <w:sz w:val="20"/>
                <w:szCs w:val="20"/>
                <w:lang w:val="en-GB" w:eastAsia="tr-TR"/>
              </w:rPr>
              <w:t xml:space="preserve">Consumption of Consumers Connected to Distribution </w:t>
            </w:r>
            <w:r w:rsidR="007348E1" w:rsidRPr="00F876CB">
              <w:rPr>
                <w:rFonts w:ascii="Arial" w:eastAsia="Times New Roman" w:hAnsi="Arial" w:cs="Arial"/>
                <w:b/>
                <w:bCs/>
                <w:color w:val="FFFFFF"/>
                <w:sz w:val="20"/>
                <w:szCs w:val="20"/>
                <w:lang w:val="en-GB" w:eastAsia="tr-TR" w:bidi="ar-SA"/>
              </w:rPr>
              <w:t>(MWh)</w:t>
            </w:r>
          </w:p>
        </w:tc>
        <w:tc>
          <w:tcPr>
            <w:tcW w:w="2224" w:type="dxa"/>
            <w:tcBorders>
              <w:top w:val="single" w:sz="8" w:space="0" w:color="auto"/>
              <w:left w:val="nil"/>
              <w:bottom w:val="single" w:sz="8" w:space="0" w:color="auto"/>
              <w:right w:val="single" w:sz="8" w:space="0" w:color="auto"/>
            </w:tcBorders>
            <w:shd w:val="clear" w:color="000000" w:fill="FF0000"/>
            <w:vAlign w:val="center"/>
            <w:hideMark/>
          </w:tcPr>
          <w:p w:rsidR="007348E1" w:rsidRPr="00F876CB" w:rsidRDefault="00222B11" w:rsidP="007348E1">
            <w:pPr>
              <w:spacing w:after="0" w:line="240" w:lineRule="auto"/>
              <w:jc w:val="center"/>
              <w:rPr>
                <w:rFonts w:ascii="Arial" w:eastAsia="Times New Roman" w:hAnsi="Arial" w:cs="Arial"/>
                <w:b/>
                <w:bCs/>
                <w:color w:val="FFFFFF"/>
                <w:sz w:val="20"/>
                <w:szCs w:val="20"/>
                <w:lang w:val="en-GB" w:eastAsia="tr-TR" w:bidi="ar-SA"/>
              </w:rPr>
            </w:pPr>
            <w:r w:rsidRPr="00F876CB">
              <w:rPr>
                <w:rFonts w:ascii="Times New Roman" w:eastAsia="Times New Roman" w:hAnsi="Times New Roman" w:cs="Times New Roman"/>
                <w:b/>
                <w:bCs/>
                <w:color w:val="FFFFFF"/>
                <w:sz w:val="20"/>
                <w:szCs w:val="20"/>
                <w:lang w:val="en-GB" w:eastAsia="tr-TR"/>
              </w:rPr>
              <w:t xml:space="preserve">Consumption of Consumers Connected to Transmission </w:t>
            </w:r>
            <w:r w:rsidR="007348E1" w:rsidRPr="00F876CB">
              <w:rPr>
                <w:rFonts w:ascii="Arial" w:eastAsia="Times New Roman" w:hAnsi="Arial" w:cs="Arial"/>
                <w:b/>
                <w:bCs/>
                <w:color w:val="FFFFFF"/>
                <w:sz w:val="20"/>
                <w:szCs w:val="20"/>
                <w:lang w:val="en-GB" w:eastAsia="tr-TR" w:bidi="ar-SA"/>
              </w:rPr>
              <w:t>(MWh)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rsidR="007348E1" w:rsidRPr="00F876CB" w:rsidRDefault="007348E1" w:rsidP="007348E1">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To</w:t>
            </w:r>
            <w:r w:rsidR="00222B11" w:rsidRPr="00F876CB">
              <w:rPr>
                <w:rFonts w:ascii="Arial" w:eastAsia="Times New Roman" w:hAnsi="Arial" w:cs="Arial"/>
                <w:b/>
                <w:bCs/>
                <w:color w:val="FFFFFF"/>
                <w:sz w:val="20"/>
                <w:szCs w:val="20"/>
                <w:lang w:val="en-GB" w:eastAsia="tr-TR" w:bidi="ar-SA"/>
              </w:rPr>
              <w:t>tal</w:t>
            </w:r>
            <w:r w:rsidRPr="00F876CB">
              <w:rPr>
                <w:rFonts w:ascii="Arial" w:eastAsia="Times New Roman" w:hAnsi="Arial" w:cs="Arial"/>
                <w:b/>
                <w:bCs/>
                <w:color w:val="FFFFFF"/>
                <w:sz w:val="20"/>
                <w:szCs w:val="20"/>
                <w:lang w:val="en-GB" w:eastAsia="tr-TR" w:bidi="ar-SA"/>
              </w:rPr>
              <w:t xml:space="preserve">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7348E1" w:rsidRPr="00F876CB" w:rsidRDefault="00222B11" w:rsidP="007348E1">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Share</w:t>
            </w:r>
            <w:r w:rsidR="007348E1" w:rsidRPr="00F876CB">
              <w:rPr>
                <w:rFonts w:ascii="Arial" w:eastAsia="Times New Roman" w:hAnsi="Arial" w:cs="Arial"/>
                <w:b/>
                <w:bCs/>
                <w:color w:val="FFFFFF"/>
                <w:sz w:val="20"/>
                <w:szCs w:val="20"/>
                <w:lang w:val="en-GB" w:eastAsia="tr-TR" w:bidi="ar-SA"/>
              </w:rPr>
              <w:t xml:space="preserve"> (%)</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proofErr w:type="gramStart"/>
            <w:r w:rsidRPr="00F876CB">
              <w:rPr>
                <w:rFonts w:ascii="Arial" w:eastAsia="Times New Roman" w:hAnsi="Arial" w:cs="Arial"/>
                <w:color w:val="FFFFFF"/>
                <w:sz w:val="20"/>
                <w:szCs w:val="20"/>
                <w:lang w:val="en-GB" w:eastAsia="tr-TR" w:bidi="ar-SA"/>
              </w:rPr>
              <w:t>TOROSLAR  EDAŞ</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15.491.122,23</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12.230.979,06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27.722.101,29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12,07</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BOĞAZİÇİ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24.776.729,50</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1.709.701,28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26.486.430,78</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11,54</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proofErr w:type="gramStart"/>
            <w:r w:rsidRPr="00F876CB">
              <w:rPr>
                <w:rFonts w:ascii="Arial" w:eastAsia="Times New Roman" w:hAnsi="Arial" w:cs="Arial"/>
                <w:color w:val="FFFFFF"/>
                <w:sz w:val="20"/>
                <w:szCs w:val="20"/>
                <w:lang w:val="en-GB" w:eastAsia="tr-TR" w:bidi="ar-SA"/>
              </w:rPr>
              <w:t>GDZ  EDAŞ</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14.562.324,07</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5.308.340,48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19.870.664,55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8,65</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proofErr w:type="gramStart"/>
            <w:r w:rsidRPr="00F876CB">
              <w:rPr>
                <w:rFonts w:ascii="Arial" w:eastAsia="Times New Roman" w:hAnsi="Arial" w:cs="Arial"/>
                <w:color w:val="FFFFFF"/>
                <w:sz w:val="20"/>
                <w:szCs w:val="20"/>
                <w:lang w:val="en-GB" w:eastAsia="tr-TR" w:bidi="ar-SA"/>
              </w:rPr>
              <w:t>ULUDAĞ  EDAŞ</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12.205.877,63</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6.314.848,58</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18.520.726,21</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8,07</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proofErr w:type="gramStart"/>
            <w:r w:rsidRPr="00F876CB">
              <w:rPr>
                <w:rFonts w:ascii="Arial" w:eastAsia="Times New Roman" w:hAnsi="Arial" w:cs="Arial"/>
                <w:color w:val="FFFFFF"/>
                <w:sz w:val="20"/>
                <w:szCs w:val="20"/>
                <w:lang w:val="en-GB" w:eastAsia="tr-TR" w:bidi="ar-SA"/>
              </w:rPr>
              <w:t>BAŞKENT  EDAŞ</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14.931.034,90</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3.296.137,24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18.227.172,14</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7,94</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SAKARYA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8.943.945,22</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6.654.818,81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15.598.764,03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6,79</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İST. AND. YAK.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11.736.923,31</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1.295.148,53</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13.032.071,84</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5,68</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DİCLE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9.877.577,99</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1.107.841,16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10.985.419,15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4,78</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AKDENİZ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9.374.702,77</w:t>
            </w:r>
          </w:p>
        </w:tc>
        <w:tc>
          <w:tcPr>
            <w:tcW w:w="2224" w:type="dxa"/>
            <w:tcBorders>
              <w:top w:val="nil"/>
              <w:left w:val="nil"/>
              <w:bottom w:val="single" w:sz="8" w:space="0" w:color="auto"/>
              <w:right w:val="single" w:sz="8" w:space="0" w:color="auto"/>
            </w:tcBorders>
            <w:shd w:val="clear" w:color="000000" w:fill="FFFFFF"/>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1.035.324,16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10.410.026,93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4,53</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MERAM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8.812.615,72</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1.494.693,11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10.307.308,83</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4,49</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TRAKYA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6.746.166,74</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3.279.420,94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10.025.587,68</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4,37</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OSMANGAZİ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6.230.047,96</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3.524.052,84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9.754.100,80</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4,25</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ADM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8.888.744,26</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705.462,64</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9.594.206,90</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4,18</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YEŞİLIRMAK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4.809.911,38</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1.218.791,49</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6.028.702,87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2,63</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AKEDAŞ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3.459.645,44</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1.576.099,22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5.035.744,66</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2,19</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ÇORUH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3.628.642,45</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75.413,72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3.704.056,17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1,61</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KAYSERİ VE CİVARI ETAŞ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2.266.135,08</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1.356.199,61</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3.622.334,69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1,58</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FIRAT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2.513.933,20</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727.689,59</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3.241.622,79</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1,41</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ÇAMLIBEL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2.379.867,35</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356.045,42</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2.735.912,77</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1,19</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ARAS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2.355.985,59</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330.706,16</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2.686.691,75</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1,17</w:t>
            </w:r>
          </w:p>
        </w:tc>
      </w:tr>
      <w:tr w:rsidR="007348E1" w:rsidRPr="00F876CB" w:rsidTr="007348E1">
        <w:trPr>
          <w:trHeight w:val="3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color w:val="FFFFFF"/>
                <w:sz w:val="20"/>
                <w:szCs w:val="20"/>
                <w:lang w:val="en-GB" w:eastAsia="tr-TR" w:bidi="ar-SA"/>
              </w:rPr>
            </w:pPr>
            <w:r w:rsidRPr="00F876CB">
              <w:rPr>
                <w:rFonts w:ascii="Arial" w:eastAsia="Times New Roman" w:hAnsi="Arial" w:cs="Arial"/>
                <w:color w:val="FFFFFF"/>
                <w:sz w:val="20"/>
                <w:szCs w:val="20"/>
                <w:lang w:val="en-GB" w:eastAsia="tr-TR" w:bidi="ar-SA"/>
              </w:rPr>
              <w:t>VANGÖLÜ EDAŞ</w:t>
            </w:r>
          </w:p>
        </w:tc>
        <w:tc>
          <w:tcPr>
            <w:tcW w:w="2268"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1.912.548,67</w:t>
            </w:r>
          </w:p>
        </w:tc>
        <w:tc>
          <w:tcPr>
            <w:tcW w:w="2224"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95.718,15</w:t>
            </w:r>
          </w:p>
        </w:tc>
        <w:tc>
          <w:tcPr>
            <w:tcW w:w="17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2.008.266,82</w:t>
            </w:r>
          </w:p>
        </w:tc>
        <w:tc>
          <w:tcPr>
            <w:tcW w:w="960" w:type="dxa"/>
            <w:tcBorders>
              <w:top w:val="nil"/>
              <w:left w:val="nil"/>
              <w:bottom w:val="single" w:sz="8" w:space="0" w:color="auto"/>
              <w:right w:val="single" w:sz="8" w:space="0" w:color="auto"/>
            </w:tcBorders>
            <w:shd w:val="clear" w:color="auto" w:fill="auto"/>
            <w:noWrap/>
            <w:vAlign w:val="center"/>
            <w:hideMark/>
          </w:tcPr>
          <w:p w:rsidR="007348E1" w:rsidRPr="00F876CB" w:rsidRDefault="007348E1" w:rsidP="007348E1">
            <w:pPr>
              <w:spacing w:after="0" w:line="240" w:lineRule="auto"/>
              <w:jc w:val="center"/>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0,87</w:t>
            </w:r>
          </w:p>
        </w:tc>
      </w:tr>
      <w:tr w:rsidR="007348E1" w:rsidRPr="00F876CB" w:rsidTr="007348E1">
        <w:trPr>
          <w:trHeight w:val="60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G</w:t>
            </w:r>
            <w:r w:rsidR="00222B11" w:rsidRPr="00F876CB">
              <w:rPr>
                <w:rFonts w:ascii="Arial" w:eastAsia="Times New Roman" w:hAnsi="Arial" w:cs="Arial"/>
                <w:b/>
                <w:bCs/>
                <w:color w:val="FFFFFF"/>
                <w:lang w:val="en-GB" w:eastAsia="tr-TR" w:bidi="ar-SA"/>
              </w:rPr>
              <w:t>rand Total</w:t>
            </w:r>
          </w:p>
        </w:tc>
        <w:tc>
          <w:tcPr>
            <w:tcW w:w="2268" w:type="dxa"/>
            <w:tcBorders>
              <w:top w:val="nil"/>
              <w:left w:val="nil"/>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175.904.481,46</w:t>
            </w:r>
          </w:p>
        </w:tc>
        <w:tc>
          <w:tcPr>
            <w:tcW w:w="2224" w:type="dxa"/>
            <w:tcBorders>
              <w:top w:val="nil"/>
              <w:left w:val="nil"/>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53.693.432,19</w:t>
            </w:r>
          </w:p>
        </w:tc>
        <w:tc>
          <w:tcPr>
            <w:tcW w:w="1760" w:type="dxa"/>
            <w:tcBorders>
              <w:top w:val="nil"/>
              <w:left w:val="nil"/>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229.597.913,65</w:t>
            </w:r>
          </w:p>
        </w:tc>
        <w:tc>
          <w:tcPr>
            <w:tcW w:w="960" w:type="dxa"/>
            <w:tcBorders>
              <w:top w:val="nil"/>
              <w:left w:val="nil"/>
              <w:bottom w:val="single" w:sz="8" w:space="0" w:color="auto"/>
              <w:right w:val="single" w:sz="8" w:space="0" w:color="auto"/>
            </w:tcBorders>
            <w:shd w:val="clear" w:color="000000" w:fill="FF5050"/>
            <w:noWrap/>
            <w:vAlign w:val="center"/>
            <w:hideMark/>
          </w:tcPr>
          <w:p w:rsidR="007348E1" w:rsidRPr="00F876CB" w:rsidRDefault="007348E1" w:rsidP="007348E1">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100,00</w:t>
            </w:r>
          </w:p>
        </w:tc>
      </w:tr>
    </w:tbl>
    <w:p w:rsidR="00C1059A" w:rsidRPr="00F876CB" w:rsidRDefault="00C1059A" w:rsidP="00D232AF">
      <w:pPr>
        <w:spacing w:line="360" w:lineRule="auto"/>
        <w:ind w:firstLine="432"/>
        <w:jc w:val="both"/>
        <w:rPr>
          <w:rFonts w:asciiTheme="minorHAnsi" w:hAnsiTheme="minorHAnsi" w:cstheme="minorHAnsi"/>
          <w:sz w:val="24"/>
          <w:szCs w:val="24"/>
          <w:lang w:val="en-GB"/>
        </w:rPr>
      </w:pPr>
    </w:p>
    <w:p w:rsidR="00AD2A49" w:rsidRPr="00F876CB" w:rsidRDefault="00AD2A49" w:rsidP="00D232AF">
      <w:pPr>
        <w:spacing w:line="360" w:lineRule="auto"/>
        <w:ind w:firstLine="432"/>
        <w:jc w:val="both"/>
        <w:rPr>
          <w:rFonts w:asciiTheme="minorHAnsi" w:hAnsiTheme="minorHAnsi" w:cstheme="minorHAnsi"/>
          <w:sz w:val="24"/>
          <w:szCs w:val="24"/>
          <w:lang w:val="en-GB"/>
        </w:rPr>
      </w:pPr>
    </w:p>
    <w:p w:rsidR="000045FF" w:rsidRPr="002A3A5D" w:rsidRDefault="00222B11" w:rsidP="003E4CA1">
      <w:pPr>
        <w:spacing w:line="360" w:lineRule="auto"/>
        <w:jc w:val="both"/>
        <w:rPr>
          <w:rFonts w:asciiTheme="minorHAnsi" w:hAnsiTheme="minorHAnsi" w:cstheme="minorHAnsi"/>
          <w:sz w:val="24"/>
          <w:szCs w:val="24"/>
          <w:lang w:val="en-GB"/>
        </w:rPr>
      </w:pPr>
      <w:bookmarkStart w:id="242" w:name="_Toc450300301"/>
      <w:bookmarkStart w:id="243" w:name="_Toc450309957"/>
      <w:r w:rsidRPr="002A3A5D">
        <w:rPr>
          <w:rFonts w:asciiTheme="minorHAnsi" w:hAnsiTheme="minorHAnsi" w:cstheme="minorHAnsi"/>
          <w:sz w:val="24"/>
          <w:szCs w:val="24"/>
          <w:lang w:val="en-GB"/>
        </w:rPr>
        <w:t>Distribution of invoiced consumption by consumer type is shown in Table 1.12 and Figure 1.20, and the industry consumption has the highest share with 41</w:t>
      </w:r>
      <w:r w:rsidR="008E15BB">
        <w:rPr>
          <w:rFonts w:asciiTheme="minorHAnsi" w:hAnsiTheme="minorHAnsi" w:cstheme="minorHAnsi"/>
          <w:sz w:val="24"/>
          <w:szCs w:val="24"/>
          <w:lang w:val="en-GB"/>
        </w:rPr>
        <w:t>,</w:t>
      </w:r>
      <w:r w:rsidRPr="002A3A5D">
        <w:rPr>
          <w:rFonts w:asciiTheme="minorHAnsi" w:hAnsiTheme="minorHAnsi" w:cstheme="minorHAnsi"/>
          <w:sz w:val="24"/>
          <w:szCs w:val="24"/>
          <w:lang w:val="en-GB"/>
        </w:rPr>
        <w:t xml:space="preserve">14%. Commercial consumption </w:t>
      </w:r>
      <w:r w:rsidR="008E15BB">
        <w:rPr>
          <w:rFonts w:asciiTheme="minorHAnsi" w:hAnsiTheme="minorHAnsi" w:cstheme="minorHAnsi"/>
          <w:sz w:val="24"/>
          <w:szCs w:val="24"/>
          <w:lang w:val="en-GB"/>
        </w:rPr>
        <w:t>was</w:t>
      </w:r>
      <w:r w:rsidRPr="002A3A5D">
        <w:rPr>
          <w:rFonts w:asciiTheme="minorHAnsi" w:hAnsiTheme="minorHAnsi" w:cstheme="minorHAnsi"/>
          <w:sz w:val="24"/>
          <w:szCs w:val="24"/>
          <w:lang w:val="en-GB"/>
        </w:rPr>
        <w:t xml:space="preserve"> </w:t>
      </w:r>
      <w:r w:rsidR="008E15BB">
        <w:rPr>
          <w:rFonts w:asciiTheme="minorHAnsi" w:hAnsiTheme="minorHAnsi" w:cstheme="minorHAnsi"/>
          <w:sz w:val="24"/>
          <w:szCs w:val="24"/>
          <w:lang w:val="en-GB"/>
        </w:rPr>
        <w:t>the</w:t>
      </w:r>
      <w:r w:rsidRPr="002A3A5D">
        <w:rPr>
          <w:rFonts w:asciiTheme="minorHAnsi" w:hAnsiTheme="minorHAnsi" w:cstheme="minorHAnsi"/>
          <w:sz w:val="24"/>
          <w:szCs w:val="24"/>
          <w:lang w:val="en-GB"/>
        </w:rPr>
        <w:t xml:space="preserve"> second with 28</w:t>
      </w:r>
      <w:r w:rsidR="002A3A5D">
        <w:rPr>
          <w:rFonts w:asciiTheme="minorHAnsi" w:hAnsiTheme="minorHAnsi" w:cstheme="minorHAnsi"/>
          <w:sz w:val="24"/>
          <w:szCs w:val="24"/>
          <w:lang w:val="en-GB"/>
        </w:rPr>
        <w:t>,</w:t>
      </w:r>
      <w:r w:rsidRPr="002A3A5D">
        <w:rPr>
          <w:rFonts w:asciiTheme="minorHAnsi" w:hAnsiTheme="minorHAnsi" w:cstheme="minorHAnsi"/>
          <w:sz w:val="24"/>
          <w:szCs w:val="24"/>
          <w:lang w:val="en-GB"/>
        </w:rPr>
        <w:t xml:space="preserve">38% and </w:t>
      </w:r>
      <w:r w:rsidR="008E15BB">
        <w:rPr>
          <w:rFonts w:asciiTheme="minorHAnsi" w:hAnsiTheme="minorHAnsi" w:cstheme="minorHAnsi"/>
          <w:sz w:val="24"/>
          <w:szCs w:val="24"/>
          <w:lang w:val="en-GB"/>
        </w:rPr>
        <w:t>household</w:t>
      </w:r>
      <w:r w:rsidRPr="002A3A5D">
        <w:rPr>
          <w:rFonts w:asciiTheme="minorHAnsi" w:hAnsiTheme="minorHAnsi" w:cstheme="minorHAnsi"/>
          <w:sz w:val="24"/>
          <w:szCs w:val="24"/>
          <w:lang w:val="en-GB"/>
        </w:rPr>
        <w:t xml:space="preserve"> consumption </w:t>
      </w:r>
      <w:r w:rsidR="008E15BB">
        <w:rPr>
          <w:rFonts w:asciiTheme="minorHAnsi" w:hAnsiTheme="minorHAnsi" w:cstheme="minorHAnsi"/>
          <w:sz w:val="24"/>
          <w:szCs w:val="24"/>
          <w:lang w:val="en-GB"/>
        </w:rPr>
        <w:t>was</w:t>
      </w:r>
      <w:r w:rsidRPr="002A3A5D">
        <w:rPr>
          <w:rFonts w:asciiTheme="minorHAnsi" w:hAnsiTheme="minorHAnsi" w:cstheme="minorHAnsi"/>
          <w:sz w:val="24"/>
          <w:szCs w:val="24"/>
          <w:lang w:val="en-GB"/>
        </w:rPr>
        <w:t xml:space="preserve"> </w:t>
      </w:r>
      <w:r w:rsidR="008E15BB">
        <w:rPr>
          <w:rFonts w:asciiTheme="minorHAnsi" w:hAnsiTheme="minorHAnsi" w:cstheme="minorHAnsi"/>
          <w:sz w:val="24"/>
          <w:szCs w:val="24"/>
          <w:lang w:val="en-GB"/>
        </w:rPr>
        <w:t>the</w:t>
      </w:r>
      <w:r w:rsidRPr="002A3A5D">
        <w:rPr>
          <w:rFonts w:asciiTheme="minorHAnsi" w:hAnsiTheme="minorHAnsi" w:cstheme="minorHAnsi"/>
          <w:sz w:val="24"/>
          <w:szCs w:val="24"/>
          <w:lang w:val="en-GB"/>
        </w:rPr>
        <w:t xml:space="preserve"> third with 24</w:t>
      </w:r>
      <w:r w:rsidR="002A3A5D">
        <w:rPr>
          <w:rFonts w:asciiTheme="minorHAnsi" w:hAnsiTheme="minorHAnsi" w:cstheme="minorHAnsi"/>
          <w:sz w:val="24"/>
          <w:szCs w:val="24"/>
          <w:lang w:val="en-GB"/>
        </w:rPr>
        <w:t>,</w:t>
      </w:r>
      <w:r w:rsidRPr="002A3A5D">
        <w:rPr>
          <w:rFonts w:asciiTheme="minorHAnsi" w:hAnsiTheme="minorHAnsi" w:cstheme="minorHAnsi"/>
          <w:sz w:val="24"/>
          <w:szCs w:val="24"/>
          <w:lang w:val="en-GB"/>
        </w:rPr>
        <w:t>56%. The total electricity consumption used in lighting and agricultural irrigation was 5</w:t>
      </w:r>
      <w:r w:rsidR="002A3A5D">
        <w:rPr>
          <w:rFonts w:asciiTheme="minorHAnsi" w:hAnsiTheme="minorHAnsi" w:cstheme="minorHAnsi"/>
          <w:sz w:val="24"/>
          <w:szCs w:val="24"/>
          <w:lang w:val="en-GB"/>
        </w:rPr>
        <w:t>,</w:t>
      </w:r>
      <w:r w:rsidRPr="002A3A5D">
        <w:rPr>
          <w:rFonts w:asciiTheme="minorHAnsi" w:hAnsiTheme="minorHAnsi" w:cstheme="minorHAnsi"/>
          <w:sz w:val="24"/>
          <w:szCs w:val="24"/>
          <w:lang w:val="en-GB"/>
        </w:rPr>
        <w:t>92%.</w:t>
      </w:r>
    </w:p>
    <w:p w:rsidR="00222B11" w:rsidRPr="00F876CB" w:rsidRDefault="00222B11" w:rsidP="00222B11">
      <w:pPr>
        <w:rPr>
          <w:lang w:val="en-GB"/>
        </w:rPr>
      </w:pPr>
    </w:p>
    <w:p w:rsidR="00D232AF" w:rsidRPr="00F876CB" w:rsidRDefault="00015994" w:rsidP="00524E38">
      <w:pPr>
        <w:pStyle w:val="Balk5"/>
        <w:rPr>
          <w:lang w:val="en-GB"/>
        </w:rPr>
      </w:pPr>
      <w:bookmarkStart w:id="244" w:name="_Toc44508328"/>
      <w:r w:rsidRPr="00F876CB">
        <w:rPr>
          <w:lang w:val="en-GB"/>
        </w:rPr>
        <w:lastRenderedPageBreak/>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796EB1" w:rsidRPr="00F876CB">
        <w:rPr>
          <w:lang w:val="en-GB"/>
        </w:rPr>
        <w:t>12</w:t>
      </w:r>
      <w:r w:rsidR="00D232AF" w:rsidRPr="00F876CB">
        <w:rPr>
          <w:lang w:val="en-GB"/>
        </w:rPr>
        <w:t xml:space="preserve">: </w:t>
      </w:r>
      <w:r w:rsidR="00222B11" w:rsidRPr="00F876CB">
        <w:rPr>
          <w:lang w:val="en-GB"/>
        </w:rPr>
        <w:t xml:space="preserve">Distribution of Invoiced Consumption by Consumer Type as Eligible and Non-Eligible Consumers in 2019 </w:t>
      </w:r>
      <w:r w:rsidR="00D232AF" w:rsidRPr="00F876CB">
        <w:rPr>
          <w:lang w:val="en-GB"/>
        </w:rPr>
        <w:t>(MWh)</w:t>
      </w:r>
      <w:bookmarkEnd w:id="242"/>
      <w:bookmarkEnd w:id="243"/>
      <w:bookmarkEnd w:id="244"/>
    </w:p>
    <w:tbl>
      <w:tblPr>
        <w:tblW w:w="10021" w:type="dxa"/>
        <w:tblInd w:w="70" w:type="dxa"/>
        <w:tblCellMar>
          <w:left w:w="70" w:type="dxa"/>
          <w:right w:w="70" w:type="dxa"/>
        </w:tblCellMar>
        <w:tblLook w:val="04A0" w:firstRow="1" w:lastRow="0" w:firstColumn="1" w:lastColumn="0" w:noHBand="0" w:noVBand="1"/>
      </w:tblPr>
      <w:tblGrid>
        <w:gridCol w:w="1526"/>
        <w:gridCol w:w="1824"/>
        <w:gridCol w:w="1045"/>
        <w:gridCol w:w="1842"/>
        <w:gridCol w:w="1134"/>
        <w:gridCol w:w="1809"/>
        <w:gridCol w:w="982"/>
      </w:tblGrid>
      <w:tr w:rsidR="007331D2" w:rsidRPr="00F876CB" w:rsidTr="007331D2">
        <w:trPr>
          <w:trHeight w:val="216"/>
        </w:trPr>
        <w:tc>
          <w:tcPr>
            <w:tcW w:w="152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Consumer Type</w:t>
            </w:r>
          </w:p>
        </w:tc>
        <w:tc>
          <w:tcPr>
            <w:tcW w:w="8495"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Consumption Amount</w:t>
            </w:r>
            <w:r w:rsidR="007331D2" w:rsidRPr="00F876CB">
              <w:rPr>
                <w:rFonts w:ascii="Arial" w:eastAsia="Times New Roman" w:hAnsi="Arial" w:cs="Arial"/>
                <w:b/>
                <w:bCs/>
                <w:color w:val="FFFFFF"/>
                <w:sz w:val="24"/>
                <w:szCs w:val="24"/>
                <w:lang w:val="en-GB" w:eastAsia="tr-TR" w:bidi="ar-SA"/>
              </w:rPr>
              <w:t xml:space="preserve"> (MWh)</w:t>
            </w:r>
          </w:p>
        </w:tc>
      </w:tr>
      <w:tr w:rsidR="007331D2" w:rsidRPr="00F876CB" w:rsidTr="007331D2">
        <w:trPr>
          <w:trHeight w:val="423"/>
        </w:trPr>
        <w:tc>
          <w:tcPr>
            <w:tcW w:w="1526" w:type="dxa"/>
            <w:vMerge/>
            <w:tcBorders>
              <w:top w:val="single" w:sz="8" w:space="0" w:color="auto"/>
              <w:left w:val="single" w:sz="8" w:space="0" w:color="auto"/>
              <w:bottom w:val="single" w:sz="8" w:space="0" w:color="000000"/>
              <w:right w:val="single" w:sz="8" w:space="0" w:color="auto"/>
            </w:tcBorders>
            <w:vAlign w:val="center"/>
            <w:hideMark/>
          </w:tcPr>
          <w:p w:rsidR="007331D2" w:rsidRPr="00F876CB" w:rsidRDefault="007331D2" w:rsidP="007331D2">
            <w:pPr>
              <w:spacing w:after="0" w:line="240" w:lineRule="auto"/>
              <w:rPr>
                <w:rFonts w:ascii="Arial" w:eastAsia="Times New Roman" w:hAnsi="Arial" w:cs="Arial"/>
                <w:b/>
                <w:bCs/>
                <w:color w:val="FFFFFF"/>
                <w:sz w:val="24"/>
                <w:szCs w:val="24"/>
                <w:lang w:val="en-GB" w:eastAsia="tr-TR" w:bidi="ar-SA"/>
              </w:rPr>
            </w:pPr>
          </w:p>
        </w:tc>
        <w:tc>
          <w:tcPr>
            <w:tcW w:w="1824" w:type="dxa"/>
            <w:tcBorders>
              <w:top w:val="nil"/>
              <w:left w:val="nil"/>
              <w:bottom w:val="single" w:sz="8" w:space="0" w:color="auto"/>
              <w:right w:val="single" w:sz="8" w:space="0" w:color="auto"/>
            </w:tcBorders>
            <w:shd w:val="clear" w:color="000000" w:fill="FF0000"/>
            <w:noWrap/>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Non-Eligible Consumer</w:t>
            </w:r>
          </w:p>
        </w:tc>
        <w:tc>
          <w:tcPr>
            <w:tcW w:w="1045" w:type="dxa"/>
            <w:tcBorders>
              <w:top w:val="nil"/>
              <w:left w:val="nil"/>
              <w:bottom w:val="single" w:sz="8" w:space="0" w:color="auto"/>
              <w:right w:val="single" w:sz="8" w:space="0" w:color="auto"/>
            </w:tcBorders>
            <w:shd w:val="clear" w:color="000000" w:fill="FF0000"/>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Share</w:t>
            </w:r>
            <w:r w:rsidR="007331D2" w:rsidRPr="00F876CB">
              <w:rPr>
                <w:rFonts w:ascii="Arial" w:eastAsia="Times New Roman" w:hAnsi="Arial" w:cs="Arial"/>
                <w:b/>
                <w:bCs/>
                <w:color w:val="FFFFFF"/>
                <w:sz w:val="24"/>
                <w:szCs w:val="24"/>
                <w:lang w:val="en-GB" w:eastAsia="tr-TR" w:bidi="ar-SA"/>
              </w:rPr>
              <w:t xml:space="preserve"> </w:t>
            </w:r>
            <w:r w:rsidR="007331D2" w:rsidRPr="00F876CB">
              <w:rPr>
                <w:rFonts w:ascii="Arial" w:eastAsia="Times New Roman" w:hAnsi="Arial" w:cs="Arial"/>
                <w:b/>
                <w:bCs/>
                <w:color w:val="FFFFFF"/>
                <w:sz w:val="24"/>
                <w:szCs w:val="24"/>
                <w:lang w:val="en-GB" w:eastAsia="tr-TR" w:bidi="ar-SA"/>
              </w:rPr>
              <w:br/>
              <w:t>(%)</w:t>
            </w:r>
          </w:p>
        </w:tc>
        <w:tc>
          <w:tcPr>
            <w:tcW w:w="1842" w:type="dxa"/>
            <w:tcBorders>
              <w:top w:val="nil"/>
              <w:left w:val="nil"/>
              <w:bottom w:val="single" w:sz="8" w:space="0" w:color="auto"/>
              <w:right w:val="single" w:sz="8" w:space="0" w:color="auto"/>
            </w:tcBorders>
            <w:shd w:val="clear" w:color="000000" w:fill="FF0000"/>
            <w:noWrap/>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Eligible Consumer</w:t>
            </w:r>
          </w:p>
        </w:tc>
        <w:tc>
          <w:tcPr>
            <w:tcW w:w="1134" w:type="dxa"/>
            <w:tcBorders>
              <w:top w:val="nil"/>
              <w:left w:val="nil"/>
              <w:bottom w:val="single" w:sz="8" w:space="0" w:color="auto"/>
              <w:right w:val="single" w:sz="8" w:space="0" w:color="auto"/>
            </w:tcBorders>
            <w:shd w:val="clear" w:color="000000" w:fill="FF0000"/>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Share</w:t>
            </w:r>
            <w:r w:rsidR="007331D2" w:rsidRPr="00F876CB">
              <w:rPr>
                <w:rFonts w:ascii="Arial" w:eastAsia="Times New Roman" w:hAnsi="Arial" w:cs="Arial"/>
                <w:b/>
                <w:bCs/>
                <w:color w:val="FFFFFF"/>
                <w:sz w:val="24"/>
                <w:szCs w:val="24"/>
                <w:lang w:val="en-GB" w:eastAsia="tr-TR" w:bidi="ar-SA"/>
              </w:rPr>
              <w:t xml:space="preserve"> </w:t>
            </w:r>
            <w:r w:rsidR="007331D2" w:rsidRPr="00F876CB">
              <w:rPr>
                <w:rFonts w:ascii="Arial" w:eastAsia="Times New Roman" w:hAnsi="Arial" w:cs="Arial"/>
                <w:b/>
                <w:bCs/>
                <w:color w:val="FFFFFF"/>
                <w:sz w:val="24"/>
                <w:szCs w:val="24"/>
                <w:lang w:val="en-GB" w:eastAsia="tr-TR" w:bidi="ar-SA"/>
              </w:rPr>
              <w:br/>
              <w:t>(%)</w:t>
            </w:r>
          </w:p>
        </w:tc>
        <w:tc>
          <w:tcPr>
            <w:tcW w:w="1668" w:type="dxa"/>
            <w:tcBorders>
              <w:top w:val="nil"/>
              <w:left w:val="nil"/>
              <w:bottom w:val="single" w:sz="8" w:space="0" w:color="auto"/>
              <w:right w:val="single" w:sz="8" w:space="0" w:color="auto"/>
            </w:tcBorders>
            <w:shd w:val="clear" w:color="000000" w:fill="FF0000"/>
            <w:noWrap/>
            <w:vAlign w:val="center"/>
            <w:hideMark/>
          </w:tcPr>
          <w:p w:rsidR="007331D2" w:rsidRPr="00F876CB" w:rsidRDefault="007331D2"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T</w:t>
            </w:r>
            <w:r w:rsidR="00222B11" w:rsidRPr="00F876CB">
              <w:rPr>
                <w:rFonts w:ascii="Arial" w:eastAsia="Times New Roman" w:hAnsi="Arial" w:cs="Arial"/>
                <w:b/>
                <w:bCs/>
                <w:color w:val="FFFFFF"/>
                <w:sz w:val="24"/>
                <w:szCs w:val="24"/>
                <w:lang w:val="en-GB" w:eastAsia="tr-TR" w:bidi="ar-SA"/>
              </w:rPr>
              <w:t>otal</w:t>
            </w:r>
          </w:p>
        </w:tc>
        <w:tc>
          <w:tcPr>
            <w:tcW w:w="982" w:type="dxa"/>
            <w:tcBorders>
              <w:top w:val="nil"/>
              <w:left w:val="nil"/>
              <w:bottom w:val="single" w:sz="8" w:space="0" w:color="auto"/>
              <w:right w:val="single" w:sz="8" w:space="0" w:color="auto"/>
            </w:tcBorders>
            <w:shd w:val="clear" w:color="000000" w:fill="FF0000"/>
            <w:vAlign w:val="center"/>
            <w:hideMark/>
          </w:tcPr>
          <w:p w:rsidR="007331D2" w:rsidRPr="00F876CB" w:rsidRDefault="00222B11"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Share</w:t>
            </w:r>
            <w:r w:rsidR="007331D2" w:rsidRPr="00F876CB">
              <w:rPr>
                <w:rFonts w:ascii="Arial" w:eastAsia="Times New Roman" w:hAnsi="Arial" w:cs="Arial"/>
                <w:b/>
                <w:bCs/>
                <w:color w:val="FFFFFF"/>
                <w:sz w:val="24"/>
                <w:szCs w:val="24"/>
                <w:lang w:val="en-GB" w:eastAsia="tr-TR" w:bidi="ar-SA"/>
              </w:rPr>
              <w:t xml:space="preserve"> </w:t>
            </w:r>
            <w:r w:rsidR="007331D2" w:rsidRPr="00F876CB">
              <w:rPr>
                <w:rFonts w:ascii="Arial" w:eastAsia="Times New Roman" w:hAnsi="Arial" w:cs="Arial"/>
                <w:b/>
                <w:bCs/>
                <w:color w:val="FFFFFF"/>
                <w:sz w:val="24"/>
                <w:szCs w:val="24"/>
                <w:lang w:val="en-GB" w:eastAsia="tr-TR" w:bidi="ar-SA"/>
              </w:rPr>
              <w:br/>
              <w:t>(%)</w:t>
            </w:r>
          </w:p>
        </w:tc>
      </w:tr>
      <w:tr w:rsidR="007331D2" w:rsidRPr="00F876CB"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222B11" w:rsidP="007331D2">
            <w:pPr>
              <w:spacing w:after="0" w:line="240" w:lineRule="auto"/>
              <w:rPr>
                <w:rFonts w:ascii="Arial" w:eastAsia="Times New Roman" w:hAnsi="Arial" w:cs="Arial"/>
                <w:color w:val="FFFFFF"/>
                <w:sz w:val="24"/>
                <w:szCs w:val="24"/>
                <w:lang w:val="en-GB" w:eastAsia="tr-TR" w:bidi="ar-SA"/>
              </w:rPr>
            </w:pPr>
            <w:r w:rsidRPr="00F876CB">
              <w:rPr>
                <w:rFonts w:ascii="Arial" w:eastAsia="Times New Roman" w:hAnsi="Arial" w:cs="Arial"/>
                <w:color w:val="FFFFFF"/>
                <w:sz w:val="24"/>
                <w:szCs w:val="24"/>
                <w:lang w:val="en-GB" w:eastAsia="tr-TR" w:bidi="ar-SA"/>
              </w:rPr>
              <w:t>Industry</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22.006.655,22</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16,22</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72.456.043,56</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77,16</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94.462.698,78</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41,14</w:t>
            </w:r>
          </w:p>
        </w:tc>
      </w:tr>
      <w:tr w:rsidR="007331D2" w:rsidRPr="00F876CB"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222B11" w:rsidP="007331D2">
            <w:pPr>
              <w:spacing w:after="0" w:line="240" w:lineRule="auto"/>
              <w:rPr>
                <w:rFonts w:ascii="Arial" w:eastAsia="Times New Roman" w:hAnsi="Arial" w:cs="Arial"/>
                <w:color w:val="FFFFFF"/>
                <w:sz w:val="24"/>
                <w:szCs w:val="24"/>
                <w:lang w:val="en-GB" w:eastAsia="tr-TR" w:bidi="ar-SA"/>
              </w:rPr>
            </w:pPr>
            <w:r w:rsidRPr="00F876CB">
              <w:rPr>
                <w:rFonts w:ascii="Arial" w:eastAsia="Times New Roman" w:hAnsi="Arial" w:cs="Arial"/>
                <w:color w:val="FFFFFF"/>
                <w:sz w:val="24"/>
                <w:szCs w:val="24"/>
                <w:lang w:val="en-GB" w:eastAsia="tr-TR" w:bidi="ar-SA"/>
              </w:rPr>
              <w:t>Commercial</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44.486.226,14</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32,79</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20.664.163,12</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22,00</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65.150.389,26</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28,38</w:t>
            </w:r>
          </w:p>
        </w:tc>
      </w:tr>
      <w:tr w:rsidR="007331D2" w:rsidRPr="00F876CB"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222B11" w:rsidP="007331D2">
            <w:pPr>
              <w:spacing w:after="0" w:line="240" w:lineRule="auto"/>
              <w:rPr>
                <w:rFonts w:ascii="Arial" w:eastAsia="Times New Roman" w:hAnsi="Arial" w:cs="Arial"/>
                <w:color w:val="FFFFFF"/>
                <w:sz w:val="24"/>
                <w:szCs w:val="24"/>
                <w:lang w:val="en-GB" w:eastAsia="tr-TR" w:bidi="ar-SA"/>
              </w:rPr>
            </w:pPr>
            <w:r w:rsidRPr="00F876CB">
              <w:rPr>
                <w:rFonts w:ascii="Arial" w:eastAsia="Times New Roman" w:hAnsi="Arial" w:cs="Arial"/>
                <w:color w:val="FFFFFF"/>
                <w:sz w:val="24"/>
                <w:szCs w:val="24"/>
                <w:lang w:val="en-GB" w:eastAsia="tr-TR" w:bidi="ar-SA"/>
              </w:rPr>
              <w:t>Household</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56.219.053,60</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41,43</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170.721,62</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0,18</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56.389.775,22</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24,56</w:t>
            </w:r>
          </w:p>
        </w:tc>
      </w:tr>
      <w:tr w:rsidR="007331D2" w:rsidRPr="00F876CB"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222B11" w:rsidP="007331D2">
            <w:pPr>
              <w:spacing w:after="0" w:line="240" w:lineRule="auto"/>
              <w:rPr>
                <w:rFonts w:ascii="Arial" w:eastAsia="Times New Roman" w:hAnsi="Arial" w:cs="Arial"/>
                <w:color w:val="FFFFFF"/>
                <w:sz w:val="24"/>
                <w:szCs w:val="24"/>
                <w:lang w:val="en-GB" w:eastAsia="tr-TR" w:bidi="ar-SA"/>
              </w:rPr>
            </w:pPr>
            <w:r w:rsidRPr="00F876CB">
              <w:rPr>
                <w:rFonts w:ascii="Arial" w:eastAsia="Times New Roman" w:hAnsi="Arial" w:cs="Arial"/>
                <w:color w:val="FFFFFF"/>
                <w:sz w:val="24"/>
                <w:szCs w:val="24"/>
                <w:lang w:val="en-GB" w:eastAsia="tr-TR" w:bidi="ar-SA"/>
              </w:rPr>
              <w:t>Irrigation</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7.949.887,45</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5,86</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603.479,99</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0,64</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8.553.367,43</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3,72</w:t>
            </w:r>
          </w:p>
        </w:tc>
      </w:tr>
      <w:tr w:rsidR="007331D2" w:rsidRPr="00F876CB" w:rsidTr="007331D2">
        <w:trPr>
          <w:trHeight w:val="207"/>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222B11" w:rsidP="007331D2">
            <w:pPr>
              <w:spacing w:after="0" w:line="240" w:lineRule="auto"/>
              <w:rPr>
                <w:rFonts w:ascii="Arial" w:eastAsia="Times New Roman" w:hAnsi="Arial" w:cs="Arial"/>
                <w:color w:val="FFFFFF"/>
                <w:sz w:val="24"/>
                <w:szCs w:val="24"/>
                <w:lang w:val="en-GB" w:eastAsia="tr-TR" w:bidi="ar-SA"/>
              </w:rPr>
            </w:pPr>
            <w:r w:rsidRPr="00F876CB">
              <w:rPr>
                <w:rFonts w:ascii="Arial" w:eastAsia="Times New Roman" w:hAnsi="Arial" w:cs="Arial"/>
                <w:color w:val="FFFFFF"/>
                <w:sz w:val="24"/>
                <w:szCs w:val="24"/>
                <w:lang w:val="en-GB" w:eastAsia="tr-TR" w:bidi="ar-SA"/>
              </w:rPr>
              <w:t>Lighting</w:t>
            </w:r>
          </w:p>
        </w:tc>
        <w:tc>
          <w:tcPr>
            <w:tcW w:w="182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5.026.773,26</w:t>
            </w:r>
          </w:p>
        </w:tc>
        <w:tc>
          <w:tcPr>
            <w:tcW w:w="1045"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3,70</w:t>
            </w:r>
          </w:p>
        </w:tc>
        <w:tc>
          <w:tcPr>
            <w:tcW w:w="184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14.909,70</w:t>
            </w:r>
          </w:p>
        </w:tc>
        <w:tc>
          <w:tcPr>
            <w:tcW w:w="1134"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0,02</w:t>
            </w:r>
          </w:p>
        </w:tc>
        <w:tc>
          <w:tcPr>
            <w:tcW w:w="1668"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right"/>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5.041.682,96</w:t>
            </w:r>
          </w:p>
        </w:tc>
        <w:tc>
          <w:tcPr>
            <w:tcW w:w="982" w:type="dxa"/>
            <w:tcBorders>
              <w:top w:val="nil"/>
              <w:left w:val="nil"/>
              <w:bottom w:val="single" w:sz="8" w:space="0" w:color="auto"/>
              <w:right w:val="single" w:sz="8" w:space="0" w:color="auto"/>
            </w:tcBorders>
            <w:shd w:val="clear" w:color="auto" w:fill="auto"/>
            <w:noWrap/>
            <w:vAlign w:val="center"/>
            <w:hideMark/>
          </w:tcPr>
          <w:p w:rsidR="007331D2" w:rsidRPr="00F876CB" w:rsidRDefault="007331D2" w:rsidP="007331D2">
            <w:pPr>
              <w:spacing w:after="0" w:line="240" w:lineRule="auto"/>
              <w:jc w:val="center"/>
              <w:rPr>
                <w:rFonts w:ascii="Arial" w:eastAsia="Times New Roman" w:hAnsi="Arial" w:cs="Arial"/>
                <w:color w:val="000000"/>
                <w:sz w:val="24"/>
                <w:szCs w:val="24"/>
                <w:lang w:val="en-GB" w:eastAsia="tr-TR" w:bidi="ar-SA"/>
              </w:rPr>
            </w:pPr>
            <w:r w:rsidRPr="00F876CB">
              <w:rPr>
                <w:rFonts w:ascii="Arial" w:eastAsia="Times New Roman" w:hAnsi="Arial" w:cs="Arial"/>
                <w:color w:val="000000"/>
                <w:sz w:val="24"/>
                <w:szCs w:val="24"/>
                <w:lang w:val="en-GB" w:eastAsia="tr-TR" w:bidi="ar-SA"/>
              </w:rPr>
              <w:t>2,20</w:t>
            </w:r>
          </w:p>
        </w:tc>
      </w:tr>
      <w:tr w:rsidR="007331D2" w:rsidRPr="00F876CB" w:rsidTr="007331D2">
        <w:trPr>
          <w:trHeight w:val="216"/>
        </w:trPr>
        <w:tc>
          <w:tcPr>
            <w:tcW w:w="1526" w:type="dxa"/>
            <w:tcBorders>
              <w:top w:val="nil"/>
              <w:left w:val="single" w:sz="8" w:space="0" w:color="auto"/>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G</w:t>
            </w:r>
            <w:r w:rsidR="00222B11" w:rsidRPr="00F876CB">
              <w:rPr>
                <w:rFonts w:ascii="Arial" w:eastAsia="Times New Roman" w:hAnsi="Arial" w:cs="Arial"/>
                <w:b/>
                <w:bCs/>
                <w:color w:val="FFFFFF"/>
                <w:sz w:val="24"/>
                <w:szCs w:val="24"/>
                <w:lang w:val="en-GB" w:eastAsia="tr-TR" w:bidi="ar-SA"/>
              </w:rPr>
              <w:t>rand Total</w:t>
            </w:r>
          </w:p>
        </w:tc>
        <w:tc>
          <w:tcPr>
            <w:tcW w:w="1824"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right"/>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135.688.595,67</w:t>
            </w:r>
          </w:p>
        </w:tc>
        <w:tc>
          <w:tcPr>
            <w:tcW w:w="1045"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right"/>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93.909.317,98</w:t>
            </w:r>
          </w:p>
        </w:tc>
        <w:tc>
          <w:tcPr>
            <w:tcW w:w="1134"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100,00</w:t>
            </w:r>
          </w:p>
        </w:tc>
        <w:tc>
          <w:tcPr>
            <w:tcW w:w="1668"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229.597.913,65</w:t>
            </w:r>
          </w:p>
        </w:tc>
        <w:tc>
          <w:tcPr>
            <w:tcW w:w="982" w:type="dxa"/>
            <w:tcBorders>
              <w:top w:val="nil"/>
              <w:left w:val="nil"/>
              <w:bottom w:val="single" w:sz="8" w:space="0" w:color="auto"/>
              <w:right w:val="single" w:sz="8" w:space="0" w:color="auto"/>
            </w:tcBorders>
            <w:shd w:val="clear" w:color="000000" w:fill="FF5050"/>
            <w:noWrap/>
            <w:vAlign w:val="center"/>
            <w:hideMark/>
          </w:tcPr>
          <w:p w:rsidR="007331D2" w:rsidRPr="00F876CB" w:rsidRDefault="007331D2" w:rsidP="007331D2">
            <w:pPr>
              <w:spacing w:after="0" w:line="240" w:lineRule="auto"/>
              <w:jc w:val="center"/>
              <w:rPr>
                <w:rFonts w:ascii="Arial" w:eastAsia="Times New Roman" w:hAnsi="Arial" w:cs="Arial"/>
                <w:b/>
                <w:bCs/>
                <w:color w:val="FFFFFF"/>
                <w:sz w:val="24"/>
                <w:szCs w:val="24"/>
                <w:lang w:val="en-GB" w:eastAsia="tr-TR" w:bidi="ar-SA"/>
              </w:rPr>
            </w:pPr>
            <w:r w:rsidRPr="00F876CB">
              <w:rPr>
                <w:rFonts w:ascii="Arial" w:eastAsia="Times New Roman" w:hAnsi="Arial" w:cs="Arial"/>
                <w:b/>
                <w:bCs/>
                <w:color w:val="FFFFFF"/>
                <w:sz w:val="24"/>
                <w:szCs w:val="24"/>
                <w:lang w:val="en-GB" w:eastAsia="tr-TR" w:bidi="ar-SA"/>
              </w:rPr>
              <w:t>100,00</w:t>
            </w:r>
          </w:p>
        </w:tc>
      </w:tr>
    </w:tbl>
    <w:p w:rsidR="004F78F8" w:rsidRPr="00F876CB" w:rsidRDefault="004F78F8" w:rsidP="004F78F8">
      <w:pPr>
        <w:rPr>
          <w:lang w:val="en-GB"/>
        </w:rPr>
      </w:pPr>
    </w:p>
    <w:p w:rsidR="001F0F8D" w:rsidRPr="00F876CB" w:rsidRDefault="001F0F8D" w:rsidP="00E93600">
      <w:pPr>
        <w:pStyle w:val="Balk6"/>
        <w:rPr>
          <w:lang w:val="en-GB"/>
        </w:rPr>
      </w:pPr>
      <w:bookmarkStart w:id="245" w:name="_Toc450307001"/>
      <w:bookmarkStart w:id="246" w:name="_Toc450307112"/>
      <w:bookmarkStart w:id="247" w:name="_Toc450307918"/>
    </w:p>
    <w:p w:rsidR="0070464F" w:rsidRPr="00F876CB" w:rsidRDefault="0070464F" w:rsidP="0070464F">
      <w:pPr>
        <w:rPr>
          <w:lang w:val="en-GB"/>
        </w:rPr>
      </w:pPr>
    </w:p>
    <w:p w:rsidR="00222B11" w:rsidRPr="00F876CB" w:rsidRDefault="00222B11" w:rsidP="00222B11">
      <w:pPr>
        <w:rPr>
          <w:lang w:val="en-GB"/>
        </w:rPr>
      </w:pPr>
    </w:p>
    <w:p w:rsidR="00222B11" w:rsidRPr="00F876CB" w:rsidRDefault="00222B11" w:rsidP="00222B11">
      <w:pPr>
        <w:rPr>
          <w:lang w:val="en-GB"/>
        </w:rPr>
      </w:pPr>
    </w:p>
    <w:p w:rsidR="00D232AF" w:rsidRPr="00F876CB" w:rsidRDefault="00015994" w:rsidP="00E93600">
      <w:pPr>
        <w:pStyle w:val="Balk6"/>
        <w:rPr>
          <w:lang w:val="en-GB"/>
        </w:rPr>
      </w:pPr>
      <w:bookmarkStart w:id="248" w:name="_Toc44508375"/>
      <w:r w:rsidRPr="00F876CB">
        <w:rPr>
          <w:lang w:val="en-GB"/>
        </w:rPr>
        <w:t>Figure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F41F62">
        <w:rPr>
          <w:lang w:val="en-GB"/>
        </w:rPr>
        <w:t>19</w:t>
      </w:r>
      <w:r w:rsidR="00D232AF" w:rsidRPr="00F876CB">
        <w:rPr>
          <w:lang w:val="en-GB"/>
        </w:rPr>
        <w:t xml:space="preserve">: </w:t>
      </w:r>
      <w:r w:rsidR="00611D62" w:rsidRPr="00F876CB">
        <w:rPr>
          <w:lang w:val="en-GB"/>
        </w:rPr>
        <w:t xml:space="preserve">Distribution of Invoiced Consumption by Consumer Type in 2019 </w:t>
      </w:r>
      <w:r w:rsidR="00D232AF" w:rsidRPr="00F876CB">
        <w:rPr>
          <w:lang w:val="en-GB"/>
        </w:rPr>
        <w:t>(%)</w:t>
      </w:r>
      <w:bookmarkEnd w:id="245"/>
      <w:bookmarkEnd w:id="246"/>
      <w:bookmarkEnd w:id="247"/>
      <w:bookmarkEnd w:id="248"/>
    </w:p>
    <w:p w:rsidR="00D232AF" w:rsidRPr="00F876CB" w:rsidRDefault="002A3A5D" w:rsidP="00D232AF">
      <w:pPr>
        <w:jc w:val="center"/>
        <w:rPr>
          <w:lang w:val="en-GB"/>
        </w:rPr>
      </w:pPr>
      <w:r>
        <w:rPr>
          <w:noProof/>
          <w:lang w:eastAsia="tr-TR" w:bidi="ar-SA"/>
        </w:rPr>
        <w:drawing>
          <wp:inline distT="0" distB="0" distL="0" distR="0" wp14:anchorId="7460021F">
            <wp:extent cx="5949950" cy="390779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9950" cy="3907790"/>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lang w:val="en-GB"/>
        </w:rPr>
      </w:pPr>
    </w:p>
    <w:p w:rsidR="003E4CA1" w:rsidRPr="00F876CB" w:rsidRDefault="003E4CA1" w:rsidP="00D232AF">
      <w:pPr>
        <w:spacing w:line="360" w:lineRule="auto"/>
        <w:ind w:firstLine="708"/>
        <w:jc w:val="both"/>
        <w:rPr>
          <w:rFonts w:asciiTheme="minorHAnsi" w:eastAsiaTheme="minorEastAsia" w:hAnsiTheme="minorHAnsi" w:cstheme="minorHAnsi"/>
          <w:sz w:val="24"/>
          <w:szCs w:val="24"/>
          <w:lang w:val="en-GB"/>
        </w:rPr>
      </w:pPr>
    </w:p>
    <w:p w:rsidR="000C7E45" w:rsidRPr="00F876CB" w:rsidRDefault="00015994" w:rsidP="000C7E45">
      <w:pPr>
        <w:pStyle w:val="Balk5"/>
        <w:rPr>
          <w:lang w:val="en-GB"/>
        </w:rPr>
      </w:pPr>
      <w:bookmarkStart w:id="249" w:name="_Toc44508329"/>
      <w:r w:rsidRPr="00F876CB">
        <w:rPr>
          <w:lang w:val="en-GB"/>
        </w:rPr>
        <w:lastRenderedPageBreak/>
        <w:t>Table</w:t>
      </w:r>
      <w:r w:rsidR="000C7E45" w:rsidRPr="00F876CB">
        <w:rPr>
          <w:lang w:val="en-GB"/>
        </w:rPr>
        <w:t xml:space="preserve"> 1</w:t>
      </w:r>
      <w:r w:rsidR="000C7E45" w:rsidRPr="00F876CB">
        <w:rPr>
          <w:lang w:val="en-GB"/>
        </w:rPr>
        <w:fldChar w:fldCharType="begin"/>
      </w:r>
      <w:r w:rsidR="000C7E45" w:rsidRPr="00F876CB">
        <w:rPr>
          <w:lang w:val="en-GB"/>
        </w:rPr>
        <w:instrText xml:space="preserve"> STYLEREF 1 \s </w:instrText>
      </w:r>
      <w:r w:rsidR="000C7E45" w:rsidRPr="00F876CB">
        <w:rPr>
          <w:lang w:val="en-GB"/>
        </w:rPr>
        <w:fldChar w:fldCharType="end"/>
      </w:r>
      <w:r w:rsidR="000C7E45" w:rsidRPr="00F876CB">
        <w:rPr>
          <w:lang w:val="en-GB"/>
        </w:rPr>
        <w:t xml:space="preserve">.13: </w:t>
      </w:r>
      <w:r w:rsidR="00AE10F9" w:rsidRPr="00F876CB">
        <w:rPr>
          <w:lang w:val="en-GB"/>
        </w:rPr>
        <w:t xml:space="preserve">Development of Invoiced Consumption by Consumer Type by Years </w:t>
      </w:r>
      <w:r w:rsidR="000C7E45" w:rsidRPr="00F876CB">
        <w:rPr>
          <w:lang w:val="en-GB"/>
        </w:rPr>
        <w:t>(MWh)</w:t>
      </w:r>
      <w:bookmarkEnd w:id="249"/>
    </w:p>
    <w:tbl>
      <w:tblPr>
        <w:tblW w:w="8789" w:type="dxa"/>
        <w:tblInd w:w="70" w:type="dxa"/>
        <w:tblCellMar>
          <w:left w:w="70" w:type="dxa"/>
          <w:right w:w="70" w:type="dxa"/>
        </w:tblCellMar>
        <w:tblLook w:val="04A0" w:firstRow="1" w:lastRow="0" w:firstColumn="1" w:lastColumn="0" w:noHBand="0" w:noVBand="1"/>
      </w:tblPr>
      <w:tblGrid>
        <w:gridCol w:w="2120"/>
        <w:gridCol w:w="2179"/>
        <w:gridCol w:w="2222"/>
        <w:gridCol w:w="2268"/>
      </w:tblGrid>
      <w:tr w:rsidR="00EF1EB2" w:rsidRPr="00F876CB" w:rsidTr="00EF1EB2">
        <w:trPr>
          <w:trHeight w:val="315"/>
        </w:trPr>
        <w:tc>
          <w:tcPr>
            <w:tcW w:w="21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F1EB2" w:rsidRPr="00F876CB" w:rsidRDefault="00AE10F9" w:rsidP="00EF1EB2">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Consumer Type</w:t>
            </w:r>
          </w:p>
        </w:tc>
        <w:tc>
          <w:tcPr>
            <w:tcW w:w="6669" w:type="dxa"/>
            <w:gridSpan w:val="3"/>
            <w:tcBorders>
              <w:top w:val="single" w:sz="8" w:space="0" w:color="auto"/>
              <w:left w:val="nil"/>
              <w:bottom w:val="single" w:sz="8" w:space="0" w:color="auto"/>
              <w:right w:val="nil"/>
            </w:tcBorders>
            <w:shd w:val="clear" w:color="000000" w:fill="FF0000"/>
            <w:noWrap/>
            <w:vAlign w:val="center"/>
            <w:hideMark/>
          </w:tcPr>
          <w:p w:rsidR="00EF1EB2" w:rsidRPr="00F876CB" w:rsidRDefault="00AE10F9" w:rsidP="00EF1EB2">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Consumption Amount</w:t>
            </w:r>
            <w:r w:rsidR="00EF1EB2" w:rsidRPr="00F876CB">
              <w:rPr>
                <w:rFonts w:ascii="Arial" w:eastAsia="Times New Roman" w:hAnsi="Arial" w:cs="Arial"/>
                <w:b/>
                <w:bCs/>
                <w:color w:val="FFFFFF"/>
                <w:lang w:val="en-GB" w:eastAsia="tr-TR" w:bidi="ar-SA"/>
              </w:rPr>
              <w:t xml:space="preserve"> (MWh)</w:t>
            </w:r>
          </w:p>
        </w:tc>
      </w:tr>
      <w:tr w:rsidR="00EF1EB2" w:rsidRPr="00F876CB" w:rsidTr="00EF1EB2">
        <w:trPr>
          <w:trHeight w:val="466"/>
        </w:trPr>
        <w:tc>
          <w:tcPr>
            <w:tcW w:w="2120" w:type="dxa"/>
            <w:vMerge/>
            <w:tcBorders>
              <w:top w:val="single" w:sz="8" w:space="0" w:color="auto"/>
              <w:left w:val="single" w:sz="8" w:space="0" w:color="auto"/>
              <w:bottom w:val="single" w:sz="8" w:space="0" w:color="000000"/>
              <w:right w:val="single" w:sz="8" w:space="0" w:color="auto"/>
            </w:tcBorders>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p>
        </w:tc>
        <w:tc>
          <w:tcPr>
            <w:tcW w:w="2179"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F876CB" w:rsidRDefault="00EF1EB2" w:rsidP="00EF1EB2">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2017</w:t>
            </w:r>
          </w:p>
        </w:tc>
        <w:tc>
          <w:tcPr>
            <w:tcW w:w="2222"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F876CB" w:rsidRDefault="00EF1EB2" w:rsidP="00EF1EB2">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2018</w:t>
            </w:r>
          </w:p>
        </w:tc>
        <w:tc>
          <w:tcPr>
            <w:tcW w:w="2268"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rsidR="00EF1EB2" w:rsidRPr="00F876CB" w:rsidRDefault="00EF1EB2" w:rsidP="00EF1EB2">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2019</w:t>
            </w:r>
          </w:p>
        </w:tc>
      </w:tr>
      <w:tr w:rsidR="00EF1EB2" w:rsidRPr="00F876CB" w:rsidTr="00EF1EB2">
        <w:trPr>
          <w:trHeight w:val="466"/>
        </w:trPr>
        <w:tc>
          <w:tcPr>
            <w:tcW w:w="2120" w:type="dxa"/>
            <w:vMerge/>
            <w:tcBorders>
              <w:top w:val="single" w:sz="8" w:space="0" w:color="auto"/>
              <w:left w:val="single" w:sz="8" w:space="0" w:color="auto"/>
              <w:bottom w:val="single" w:sz="8" w:space="0" w:color="000000"/>
              <w:right w:val="single" w:sz="8" w:space="0" w:color="auto"/>
            </w:tcBorders>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p>
        </w:tc>
        <w:tc>
          <w:tcPr>
            <w:tcW w:w="2179" w:type="dxa"/>
            <w:vMerge/>
            <w:tcBorders>
              <w:top w:val="nil"/>
              <w:left w:val="single" w:sz="8" w:space="0" w:color="auto"/>
              <w:bottom w:val="single" w:sz="8" w:space="0" w:color="000000"/>
              <w:right w:val="single" w:sz="8" w:space="0" w:color="auto"/>
            </w:tcBorders>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p>
        </w:tc>
        <w:tc>
          <w:tcPr>
            <w:tcW w:w="2222" w:type="dxa"/>
            <w:vMerge/>
            <w:tcBorders>
              <w:top w:val="nil"/>
              <w:left w:val="single" w:sz="8" w:space="0" w:color="auto"/>
              <w:bottom w:val="single" w:sz="8" w:space="0" w:color="000000"/>
              <w:right w:val="single" w:sz="8" w:space="0" w:color="auto"/>
            </w:tcBorders>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p>
        </w:tc>
        <w:tc>
          <w:tcPr>
            <w:tcW w:w="2268" w:type="dxa"/>
            <w:vMerge/>
            <w:tcBorders>
              <w:top w:val="nil"/>
              <w:left w:val="single" w:sz="8" w:space="0" w:color="auto"/>
              <w:bottom w:val="single" w:sz="8" w:space="0" w:color="000000"/>
              <w:right w:val="single" w:sz="8" w:space="0" w:color="auto"/>
            </w:tcBorders>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AE10F9" w:rsidP="00EF1EB2">
            <w:pPr>
              <w:spacing w:after="0" w:line="240" w:lineRule="auto"/>
              <w:rPr>
                <w:rFonts w:ascii="Arial" w:eastAsia="Times New Roman" w:hAnsi="Arial" w:cs="Arial"/>
                <w:color w:val="FFFFFF"/>
                <w:lang w:val="en-GB" w:eastAsia="tr-TR" w:bidi="ar-SA"/>
              </w:rPr>
            </w:pPr>
            <w:r w:rsidRPr="00F876CB">
              <w:rPr>
                <w:rFonts w:ascii="Arial" w:eastAsia="Times New Roman" w:hAnsi="Arial" w:cs="Arial"/>
                <w:color w:val="FFFFFF"/>
                <w:lang w:val="en-GB" w:eastAsia="tr-TR" w:bidi="ar-SA"/>
              </w:rPr>
              <w:t>Industry</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94.965.625,60</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96.995.848,19</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94.462.698,78</w:t>
            </w: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AE10F9" w:rsidP="00EF1EB2">
            <w:pPr>
              <w:spacing w:after="0" w:line="240" w:lineRule="auto"/>
              <w:rPr>
                <w:rFonts w:ascii="Arial" w:eastAsia="Times New Roman" w:hAnsi="Arial" w:cs="Arial"/>
                <w:color w:val="FFFFFF"/>
                <w:lang w:val="en-GB" w:eastAsia="tr-TR" w:bidi="ar-SA"/>
              </w:rPr>
            </w:pPr>
            <w:r w:rsidRPr="00F876CB">
              <w:rPr>
                <w:rFonts w:ascii="Arial" w:eastAsia="Times New Roman" w:hAnsi="Arial" w:cs="Arial"/>
                <w:color w:val="FFFFFF"/>
                <w:lang w:val="en-GB" w:eastAsia="tr-TR" w:bidi="ar-SA"/>
              </w:rPr>
              <w:t>Commercial</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66.454.453,03</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68.289.253,67</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65.150.389,26</w:t>
            </w: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AE10F9" w:rsidP="00EF1EB2">
            <w:pPr>
              <w:spacing w:after="0" w:line="240" w:lineRule="auto"/>
              <w:rPr>
                <w:rFonts w:ascii="Arial" w:eastAsia="Times New Roman" w:hAnsi="Arial" w:cs="Arial"/>
                <w:color w:val="FFFFFF"/>
                <w:lang w:val="en-GB" w:eastAsia="tr-TR" w:bidi="ar-SA"/>
              </w:rPr>
            </w:pPr>
            <w:r w:rsidRPr="00F876CB">
              <w:rPr>
                <w:rFonts w:ascii="Arial" w:eastAsia="Times New Roman" w:hAnsi="Arial" w:cs="Arial"/>
                <w:color w:val="FFFFFF"/>
                <w:lang w:val="en-GB" w:eastAsia="tr-TR" w:bidi="ar-SA"/>
              </w:rPr>
              <w:t>Household</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53.531.710,78</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54.769.979,56</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56.389.775,22</w:t>
            </w: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AE10F9" w:rsidP="00EF1EB2">
            <w:pPr>
              <w:spacing w:after="0" w:line="240" w:lineRule="auto"/>
              <w:rPr>
                <w:rFonts w:ascii="Arial" w:eastAsia="Times New Roman" w:hAnsi="Arial" w:cs="Arial"/>
                <w:color w:val="FFFFFF"/>
                <w:lang w:val="en-GB" w:eastAsia="tr-TR" w:bidi="ar-SA"/>
              </w:rPr>
            </w:pPr>
            <w:r w:rsidRPr="00F876CB">
              <w:rPr>
                <w:rFonts w:ascii="Arial" w:eastAsia="Times New Roman" w:hAnsi="Arial" w:cs="Arial"/>
                <w:color w:val="FFFFFF"/>
                <w:lang w:val="en-GB" w:eastAsia="tr-TR" w:bidi="ar-SA"/>
              </w:rPr>
              <w:t>Irrigation</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6.537.064,52</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8.799.145,22</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8.553.367,43</w:t>
            </w: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AE10F9" w:rsidP="00EF1EB2">
            <w:pPr>
              <w:spacing w:after="0" w:line="240" w:lineRule="auto"/>
              <w:rPr>
                <w:rFonts w:ascii="Arial" w:eastAsia="Times New Roman" w:hAnsi="Arial" w:cs="Arial"/>
                <w:color w:val="FFFFFF"/>
                <w:lang w:val="en-GB" w:eastAsia="tr-TR" w:bidi="ar-SA"/>
              </w:rPr>
            </w:pPr>
            <w:r w:rsidRPr="00F876CB">
              <w:rPr>
                <w:rFonts w:ascii="Arial" w:eastAsia="Times New Roman" w:hAnsi="Arial" w:cs="Arial"/>
                <w:color w:val="FFFFFF"/>
                <w:lang w:val="en-GB" w:eastAsia="tr-TR" w:bidi="ar-SA"/>
              </w:rPr>
              <w:t>Lighting</w:t>
            </w:r>
          </w:p>
        </w:tc>
        <w:tc>
          <w:tcPr>
            <w:tcW w:w="2179"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4.341.372,83</w:t>
            </w:r>
          </w:p>
        </w:tc>
        <w:tc>
          <w:tcPr>
            <w:tcW w:w="2222"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4.755.802,89</w:t>
            </w:r>
          </w:p>
        </w:tc>
        <w:tc>
          <w:tcPr>
            <w:tcW w:w="2268" w:type="dxa"/>
            <w:tcBorders>
              <w:top w:val="nil"/>
              <w:left w:val="nil"/>
              <w:bottom w:val="single" w:sz="8" w:space="0" w:color="auto"/>
              <w:right w:val="single" w:sz="8" w:space="0" w:color="auto"/>
            </w:tcBorders>
            <w:shd w:val="clear" w:color="auto" w:fill="auto"/>
            <w:noWrap/>
            <w:vAlign w:val="center"/>
            <w:hideMark/>
          </w:tcPr>
          <w:p w:rsidR="00EF1EB2" w:rsidRPr="00F876CB" w:rsidRDefault="00EF1EB2" w:rsidP="00EF1EB2">
            <w:pPr>
              <w:spacing w:after="0" w:line="240" w:lineRule="auto"/>
              <w:jc w:val="right"/>
              <w:rPr>
                <w:rFonts w:ascii="Arial" w:eastAsia="Times New Roman" w:hAnsi="Arial" w:cs="Arial"/>
                <w:color w:val="000000"/>
                <w:lang w:val="en-GB" w:eastAsia="tr-TR" w:bidi="ar-SA"/>
              </w:rPr>
            </w:pPr>
            <w:r w:rsidRPr="00F876CB">
              <w:rPr>
                <w:rFonts w:ascii="Arial" w:eastAsia="Times New Roman" w:hAnsi="Arial" w:cs="Arial"/>
                <w:color w:val="000000"/>
                <w:lang w:val="en-GB" w:eastAsia="tr-TR" w:bidi="ar-SA"/>
              </w:rPr>
              <w:t>5.041.682,96</w:t>
            </w:r>
          </w:p>
        </w:tc>
      </w:tr>
      <w:tr w:rsidR="00EF1EB2" w:rsidRPr="00F876CB" w:rsidTr="00EF1EB2">
        <w:trPr>
          <w:trHeight w:val="315"/>
        </w:trPr>
        <w:tc>
          <w:tcPr>
            <w:tcW w:w="2120" w:type="dxa"/>
            <w:tcBorders>
              <w:top w:val="nil"/>
              <w:left w:val="single" w:sz="8" w:space="0" w:color="auto"/>
              <w:bottom w:val="single" w:sz="8" w:space="0" w:color="auto"/>
              <w:right w:val="single" w:sz="8" w:space="0" w:color="auto"/>
            </w:tcBorders>
            <w:shd w:val="clear" w:color="000000" w:fill="FF5050"/>
            <w:noWrap/>
            <w:vAlign w:val="center"/>
            <w:hideMark/>
          </w:tcPr>
          <w:p w:rsidR="00EF1EB2" w:rsidRPr="00F876CB" w:rsidRDefault="00EF1EB2" w:rsidP="00EF1EB2">
            <w:pPr>
              <w:spacing w:after="0" w:line="240" w:lineRule="auto"/>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G</w:t>
            </w:r>
            <w:r w:rsidR="00AE10F9" w:rsidRPr="00F876CB">
              <w:rPr>
                <w:rFonts w:ascii="Arial" w:eastAsia="Times New Roman" w:hAnsi="Arial" w:cs="Arial"/>
                <w:b/>
                <w:bCs/>
                <w:color w:val="FFFFFF"/>
                <w:lang w:val="en-GB" w:eastAsia="tr-TR" w:bidi="ar-SA"/>
              </w:rPr>
              <w:t>rand</w:t>
            </w:r>
            <w:r w:rsidRPr="00F876CB">
              <w:rPr>
                <w:rFonts w:ascii="Arial" w:eastAsia="Times New Roman" w:hAnsi="Arial" w:cs="Arial"/>
                <w:b/>
                <w:bCs/>
                <w:color w:val="FFFFFF"/>
                <w:lang w:val="en-GB" w:eastAsia="tr-TR" w:bidi="ar-SA"/>
              </w:rPr>
              <w:t xml:space="preserve"> To</w:t>
            </w:r>
            <w:r w:rsidR="00AE10F9" w:rsidRPr="00F876CB">
              <w:rPr>
                <w:rFonts w:ascii="Arial" w:eastAsia="Times New Roman" w:hAnsi="Arial" w:cs="Arial"/>
                <w:b/>
                <w:bCs/>
                <w:color w:val="FFFFFF"/>
                <w:lang w:val="en-GB" w:eastAsia="tr-TR" w:bidi="ar-SA"/>
              </w:rPr>
              <w:t>tal</w:t>
            </w:r>
          </w:p>
        </w:tc>
        <w:tc>
          <w:tcPr>
            <w:tcW w:w="2179" w:type="dxa"/>
            <w:tcBorders>
              <w:top w:val="nil"/>
              <w:left w:val="nil"/>
              <w:bottom w:val="single" w:sz="8" w:space="0" w:color="auto"/>
              <w:right w:val="single" w:sz="8" w:space="0" w:color="auto"/>
            </w:tcBorders>
            <w:shd w:val="clear" w:color="000000" w:fill="FF5050"/>
            <w:noWrap/>
            <w:vAlign w:val="center"/>
            <w:hideMark/>
          </w:tcPr>
          <w:p w:rsidR="00EF1EB2" w:rsidRPr="00F876CB" w:rsidRDefault="00EF1EB2" w:rsidP="00EF1EB2">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225.830.226,76</w:t>
            </w:r>
          </w:p>
        </w:tc>
        <w:tc>
          <w:tcPr>
            <w:tcW w:w="2222" w:type="dxa"/>
            <w:tcBorders>
              <w:top w:val="nil"/>
              <w:left w:val="nil"/>
              <w:bottom w:val="single" w:sz="8" w:space="0" w:color="auto"/>
              <w:right w:val="single" w:sz="8" w:space="0" w:color="auto"/>
            </w:tcBorders>
            <w:shd w:val="clear" w:color="000000" w:fill="FF5050"/>
            <w:noWrap/>
            <w:vAlign w:val="center"/>
            <w:hideMark/>
          </w:tcPr>
          <w:p w:rsidR="00EF1EB2" w:rsidRPr="00F876CB" w:rsidRDefault="00EF1EB2" w:rsidP="00EF1EB2">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233.610.029,54</w:t>
            </w:r>
          </w:p>
        </w:tc>
        <w:tc>
          <w:tcPr>
            <w:tcW w:w="2268" w:type="dxa"/>
            <w:tcBorders>
              <w:top w:val="nil"/>
              <w:left w:val="nil"/>
              <w:bottom w:val="single" w:sz="8" w:space="0" w:color="auto"/>
              <w:right w:val="single" w:sz="8" w:space="0" w:color="auto"/>
            </w:tcBorders>
            <w:shd w:val="clear" w:color="000000" w:fill="FF5050"/>
            <w:noWrap/>
            <w:vAlign w:val="center"/>
            <w:hideMark/>
          </w:tcPr>
          <w:p w:rsidR="00EF1EB2" w:rsidRPr="00F876CB" w:rsidRDefault="00EF1EB2" w:rsidP="00EF1EB2">
            <w:pPr>
              <w:spacing w:after="0" w:line="240" w:lineRule="auto"/>
              <w:jc w:val="right"/>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229.597.913,65</w:t>
            </w:r>
          </w:p>
        </w:tc>
      </w:tr>
    </w:tbl>
    <w:p w:rsidR="000C7E45" w:rsidRPr="00F876CB" w:rsidRDefault="000C7E45" w:rsidP="00D232AF">
      <w:pPr>
        <w:spacing w:line="360" w:lineRule="auto"/>
        <w:ind w:firstLine="432"/>
        <w:jc w:val="both"/>
        <w:rPr>
          <w:rFonts w:asciiTheme="minorHAnsi" w:hAnsiTheme="minorHAnsi" w:cstheme="minorHAnsi"/>
          <w:sz w:val="24"/>
          <w:szCs w:val="24"/>
          <w:lang w:val="en-GB"/>
        </w:rPr>
      </w:pPr>
    </w:p>
    <w:p w:rsidR="00A200E2" w:rsidRDefault="00961F1A" w:rsidP="00D232AF">
      <w:pPr>
        <w:spacing w:line="360" w:lineRule="auto"/>
        <w:ind w:firstLine="432"/>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Distribution of invoiced consumption by provinces is shown in Table 1.14. The highest consumption was realized in Istanbul with 39</w:t>
      </w:r>
      <w:r w:rsidR="008E15BB">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52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xml:space="preserve"> and corresponds to 17,21% of the total consumption. İzmir is followed by İzmir with a share of 6</w:t>
      </w:r>
      <w:r w:rsidR="002A3A5D">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76%, Ankara with a share of 6,14%, Bursa with a share of 5,15% and </w:t>
      </w:r>
      <w:proofErr w:type="spellStart"/>
      <w:r w:rsidRPr="00F876CB">
        <w:rPr>
          <w:rFonts w:asciiTheme="minorHAnsi" w:hAnsiTheme="minorHAnsi" w:cstheme="minorHAnsi"/>
          <w:sz w:val="24"/>
          <w:szCs w:val="24"/>
          <w:lang w:val="en-GB"/>
        </w:rPr>
        <w:t>Kocaeli</w:t>
      </w:r>
      <w:proofErr w:type="spellEnd"/>
      <w:r w:rsidRPr="00F876CB">
        <w:rPr>
          <w:rFonts w:asciiTheme="minorHAnsi" w:hAnsiTheme="minorHAnsi" w:cstheme="minorHAnsi"/>
          <w:sz w:val="24"/>
          <w:szCs w:val="24"/>
          <w:lang w:val="en-GB"/>
        </w:rPr>
        <w:t xml:space="preserve"> with a share of 4,34%.</w:t>
      </w:r>
    </w:p>
    <w:p w:rsidR="002A3A5D" w:rsidRPr="00F876CB" w:rsidRDefault="002A3A5D" w:rsidP="00D232AF">
      <w:pPr>
        <w:spacing w:line="360" w:lineRule="auto"/>
        <w:ind w:firstLine="432"/>
        <w:jc w:val="both"/>
        <w:rPr>
          <w:rFonts w:asciiTheme="minorHAnsi" w:hAnsiTheme="minorHAnsi" w:cstheme="minorHAnsi"/>
          <w:sz w:val="24"/>
          <w:szCs w:val="24"/>
          <w:lang w:val="en-GB"/>
        </w:rPr>
      </w:pPr>
    </w:p>
    <w:p w:rsidR="00D232AF" w:rsidRPr="00F876CB" w:rsidRDefault="00015994" w:rsidP="00524E38">
      <w:pPr>
        <w:pStyle w:val="Balk5"/>
        <w:rPr>
          <w:lang w:val="en-GB"/>
        </w:rPr>
      </w:pPr>
      <w:bookmarkStart w:id="250" w:name="_Toc450300302"/>
      <w:bookmarkStart w:id="251" w:name="_Toc450309958"/>
      <w:bookmarkStart w:id="252" w:name="_Toc44508330"/>
      <w:r w:rsidRPr="00F876CB">
        <w:rPr>
          <w:lang w:val="en-GB"/>
        </w:rPr>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0C7E45" w:rsidRPr="00F876CB">
        <w:rPr>
          <w:lang w:val="en-GB"/>
        </w:rPr>
        <w:t>14</w:t>
      </w:r>
      <w:r w:rsidR="00D232AF" w:rsidRPr="00F876CB">
        <w:rPr>
          <w:lang w:val="en-GB"/>
        </w:rPr>
        <w:t xml:space="preserve">: </w:t>
      </w:r>
      <w:r w:rsidR="008C6F89" w:rsidRPr="00F876CB">
        <w:rPr>
          <w:lang w:val="en-GB"/>
        </w:rPr>
        <w:t xml:space="preserve">Distribution of Invoiced Consumption by Province </w:t>
      </w:r>
      <w:r w:rsidR="00D232AF" w:rsidRPr="00F876CB">
        <w:rPr>
          <w:lang w:val="en-GB"/>
        </w:rPr>
        <w:t>(MWh - %)</w:t>
      </w:r>
      <w:bookmarkEnd w:id="250"/>
      <w:bookmarkEnd w:id="251"/>
      <w:bookmarkEnd w:id="252"/>
    </w:p>
    <w:tbl>
      <w:tblPr>
        <w:tblW w:w="9639" w:type="dxa"/>
        <w:tblInd w:w="70" w:type="dxa"/>
        <w:tblCellMar>
          <w:left w:w="70" w:type="dxa"/>
          <w:right w:w="70" w:type="dxa"/>
        </w:tblCellMar>
        <w:tblLook w:val="04A0" w:firstRow="1" w:lastRow="0" w:firstColumn="1" w:lastColumn="0" w:noHBand="0" w:noVBand="1"/>
      </w:tblPr>
      <w:tblGrid>
        <w:gridCol w:w="2160"/>
        <w:gridCol w:w="2140"/>
        <w:gridCol w:w="2260"/>
        <w:gridCol w:w="1804"/>
        <w:gridCol w:w="1275"/>
      </w:tblGrid>
      <w:tr w:rsidR="00A92E16" w:rsidRPr="00F876CB" w:rsidTr="00A92E16">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92E16" w:rsidRPr="00F876CB" w:rsidRDefault="001C7626" w:rsidP="00A92E16">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PROVINCE</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rsidR="00A92E16" w:rsidRPr="00F876CB" w:rsidRDefault="008C6F89" w:rsidP="00A92E16">
            <w:pPr>
              <w:spacing w:after="0" w:line="240" w:lineRule="auto"/>
              <w:jc w:val="center"/>
              <w:rPr>
                <w:rFonts w:ascii="Arial" w:eastAsia="Times New Roman" w:hAnsi="Arial" w:cs="Arial"/>
                <w:b/>
                <w:bCs/>
                <w:color w:val="FFFFFF"/>
                <w:sz w:val="20"/>
                <w:szCs w:val="20"/>
                <w:lang w:val="en-GB" w:eastAsia="tr-TR" w:bidi="ar-SA"/>
              </w:rPr>
            </w:pPr>
            <w:r w:rsidRPr="00F876CB">
              <w:rPr>
                <w:rFonts w:ascii="Times New Roman" w:eastAsia="Times New Roman" w:hAnsi="Times New Roman" w:cs="Times New Roman"/>
                <w:b/>
                <w:bCs/>
                <w:color w:val="FFFFFF" w:themeColor="background1"/>
                <w:sz w:val="20"/>
                <w:szCs w:val="20"/>
                <w:lang w:val="en-GB" w:eastAsia="tr-TR"/>
              </w:rPr>
              <w:t xml:space="preserve">Consumption of Consumers Connected to Dist. Vol. </w:t>
            </w:r>
            <w:r w:rsidR="00A92E16" w:rsidRPr="00F876CB">
              <w:rPr>
                <w:rFonts w:ascii="Arial" w:eastAsia="Times New Roman" w:hAnsi="Arial" w:cs="Arial"/>
                <w:b/>
                <w:bCs/>
                <w:color w:val="FFFFFF"/>
                <w:sz w:val="20"/>
                <w:szCs w:val="20"/>
                <w:lang w:val="en-GB" w:eastAsia="tr-TR" w:bidi="ar-SA"/>
              </w:rPr>
              <w:t>(MWh)</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A92E16" w:rsidRPr="00F876CB" w:rsidRDefault="001C7626" w:rsidP="00A92E16">
            <w:pPr>
              <w:spacing w:after="0" w:line="240" w:lineRule="auto"/>
              <w:jc w:val="center"/>
              <w:rPr>
                <w:rFonts w:ascii="Arial" w:eastAsia="Times New Roman" w:hAnsi="Arial" w:cs="Arial"/>
                <w:b/>
                <w:bCs/>
                <w:color w:val="FFFFFF"/>
                <w:sz w:val="20"/>
                <w:szCs w:val="20"/>
                <w:lang w:val="en-GB" w:eastAsia="tr-TR" w:bidi="ar-SA"/>
              </w:rPr>
            </w:pPr>
            <w:r w:rsidRPr="00F876CB">
              <w:rPr>
                <w:rFonts w:ascii="Times New Roman" w:eastAsia="Times New Roman" w:hAnsi="Times New Roman" w:cs="Times New Roman"/>
                <w:b/>
                <w:bCs/>
                <w:color w:val="FFFFFF" w:themeColor="background1"/>
                <w:sz w:val="20"/>
                <w:szCs w:val="20"/>
                <w:lang w:val="en-GB" w:eastAsia="tr-TR"/>
              </w:rPr>
              <w:t xml:space="preserve">Consumption of Consumers Connected to </w:t>
            </w:r>
            <w:proofErr w:type="spellStart"/>
            <w:r w:rsidRPr="00F876CB">
              <w:rPr>
                <w:rFonts w:ascii="Times New Roman" w:eastAsia="Times New Roman" w:hAnsi="Times New Roman" w:cs="Times New Roman"/>
                <w:b/>
                <w:bCs/>
                <w:color w:val="FFFFFF" w:themeColor="background1"/>
                <w:sz w:val="20"/>
                <w:szCs w:val="20"/>
                <w:lang w:val="en-GB" w:eastAsia="tr-TR"/>
              </w:rPr>
              <w:t>Trans.Vol</w:t>
            </w:r>
            <w:proofErr w:type="spellEnd"/>
            <w:r w:rsidRPr="00F876CB">
              <w:rPr>
                <w:rFonts w:ascii="Times New Roman" w:eastAsia="Times New Roman" w:hAnsi="Times New Roman" w:cs="Times New Roman"/>
                <w:b/>
                <w:bCs/>
                <w:color w:val="FFFFFF" w:themeColor="background1"/>
                <w:sz w:val="20"/>
                <w:szCs w:val="20"/>
                <w:lang w:val="en-GB" w:eastAsia="tr-TR"/>
              </w:rPr>
              <w:t>.</w:t>
            </w:r>
            <w:r w:rsidRPr="00F876CB">
              <w:rPr>
                <w:rFonts w:ascii="Times New Roman" w:eastAsia="Times New Roman" w:hAnsi="Times New Roman" w:cs="Times New Roman"/>
                <w:b/>
                <w:bCs/>
                <w:color w:val="FFFFFF"/>
                <w:sz w:val="20"/>
                <w:szCs w:val="20"/>
                <w:lang w:val="en-GB" w:eastAsia="tr-TR"/>
              </w:rPr>
              <w:t xml:space="preserve"> </w:t>
            </w:r>
            <w:r w:rsidR="00A92E16" w:rsidRPr="00F876CB">
              <w:rPr>
                <w:rFonts w:ascii="Arial" w:eastAsia="Times New Roman" w:hAnsi="Arial" w:cs="Arial"/>
                <w:b/>
                <w:bCs/>
                <w:color w:val="FFFFFF"/>
                <w:sz w:val="20"/>
                <w:szCs w:val="20"/>
                <w:lang w:val="en-GB" w:eastAsia="tr-TR" w:bidi="ar-SA"/>
              </w:rPr>
              <w:t>(MWh)</w:t>
            </w:r>
          </w:p>
        </w:tc>
        <w:tc>
          <w:tcPr>
            <w:tcW w:w="1804" w:type="dxa"/>
            <w:tcBorders>
              <w:top w:val="single" w:sz="8" w:space="0" w:color="auto"/>
              <w:left w:val="nil"/>
              <w:bottom w:val="single" w:sz="8" w:space="0" w:color="auto"/>
              <w:right w:val="single" w:sz="8" w:space="0" w:color="auto"/>
            </w:tcBorders>
            <w:shd w:val="clear" w:color="000000" w:fill="FF0000"/>
            <w:noWrap/>
            <w:vAlign w:val="center"/>
            <w:hideMark/>
          </w:tcPr>
          <w:p w:rsidR="00A92E16" w:rsidRPr="00F876CB" w:rsidRDefault="00A92E16" w:rsidP="00A92E16">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To</w:t>
            </w:r>
            <w:r w:rsidR="001C7626" w:rsidRPr="00F876CB">
              <w:rPr>
                <w:rFonts w:ascii="Arial" w:eastAsia="Times New Roman" w:hAnsi="Arial" w:cs="Arial"/>
                <w:b/>
                <w:bCs/>
                <w:color w:val="FFFFFF"/>
                <w:sz w:val="20"/>
                <w:szCs w:val="20"/>
                <w:lang w:val="en-GB" w:eastAsia="tr-TR" w:bidi="ar-SA"/>
              </w:rPr>
              <w:t>tal</w:t>
            </w:r>
            <w:r w:rsidRPr="00F876CB">
              <w:rPr>
                <w:rFonts w:ascii="Arial" w:eastAsia="Times New Roman" w:hAnsi="Arial" w:cs="Arial"/>
                <w:b/>
                <w:bCs/>
                <w:color w:val="FFFFFF"/>
                <w:sz w:val="20"/>
                <w:szCs w:val="20"/>
                <w:lang w:val="en-GB" w:eastAsia="tr-TR" w:bidi="ar-SA"/>
              </w:rPr>
              <w:t xml:space="preserve"> (MWh)</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A92E16" w:rsidRPr="00F876CB" w:rsidRDefault="001C7626" w:rsidP="00A92E16">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Share</w:t>
            </w:r>
            <w:r w:rsidR="00A92E16" w:rsidRPr="00F876CB">
              <w:rPr>
                <w:rFonts w:ascii="Arial" w:eastAsia="Times New Roman" w:hAnsi="Arial" w:cs="Arial"/>
                <w:b/>
                <w:bCs/>
                <w:color w:val="FFFFFF"/>
                <w:sz w:val="20"/>
                <w:szCs w:val="20"/>
                <w:lang w:val="en-GB" w:eastAsia="tr-TR" w:bidi="ar-SA"/>
              </w:rPr>
              <w:t xml:space="preserve"> (%)</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 (T</w:t>
            </w:r>
            <w:r w:rsidR="001C7626" w:rsidRPr="00F876CB">
              <w:rPr>
                <w:rFonts w:ascii="Calibri" w:eastAsia="Times New Roman" w:hAnsi="Calibri" w:cs="Calibri"/>
                <w:color w:val="FFFFFF"/>
                <w:lang w:val="en-GB" w:eastAsia="tr-TR" w:bidi="ar-SA"/>
              </w:rPr>
              <w:t>OTAL</w:t>
            </w:r>
            <w:r w:rsidRPr="00F876CB">
              <w:rPr>
                <w:rFonts w:ascii="Calibri" w:eastAsia="Times New Roman" w:hAnsi="Calibri" w:cs="Calibri"/>
                <w:color w:val="FFFFFF"/>
                <w:lang w:val="en-GB" w:eastAsia="tr-TR" w:bidi="ar-SA"/>
              </w:rPr>
              <w: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36.513.652,81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3.004.849,81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39.518.502,62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 (</w:t>
            </w:r>
            <w:r w:rsidR="001C7626" w:rsidRPr="00F876CB">
              <w:rPr>
                <w:rFonts w:ascii="Calibri" w:eastAsia="Times New Roman" w:hAnsi="Calibri" w:cs="Calibri"/>
                <w:color w:val="FFFFFF"/>
                <w:lang w:val="en-GB" w:eastAsia="tr-TR" w:bidi="ar-SA"/>
              </w:rPr>
              <w:t>EUROPEAN SIDE</w:t>
            </w:r>
            <w:r w:rsidRPr="00F876CB">
              <w:rPr>
                <w:rFonts w:ascii="Calibri" w:eastAsia="Times New Roman" w:hAnsi="Calibri" w:cs="Calibri"/>
                <w:color w:val="FFFFFF"/>
                <w:lang w:val="en-GB" w:eastAsia="tr-TR" w:bidi="ar-SA"/>
              </w:rPr>
              <w: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24.776.729,50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1.709.701,28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26.486.430,78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11,54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11.432.868,20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4.078.226,26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15.511.094,46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11.471.015,29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2.622.211,89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14.093.227,18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 (AN</w:t>
            </w:r>
            <w:r w:rsidR="001C7626" w:rsidRPr="00F876CB">
              <w:rPr>
                <w:rFonts w:ascii="Calibri" w:eastAsia="Times New Roman" w:hAnsi="Calibri" w:cs="Calibri"/>
                <w:color w:val="FFFFFF"/>
                <w:lang w:val="en-GB" w:eastAsia="tr-TR" w:bidi="ar-SA"/>
              </w:rPr>
              <w:t>ATOLIAN SIDE</w:t>
            </w:r>
            <w:r w:rsidRPr="00F876CB">
              <w:rPr>
                <w:rFonts w:ascii="Calibri" w:eastAsia="Times New Roman" w:hAnsi="Calibri" w:cs="Calibri"/>
                <w:color w:val="FFFFFF"/>
                <w:lang w:val="en-GB" w:eastAsia="tr-TR" w:bidi="ar-SA"/>
              </w:rPr>
              <w: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11.736.923,31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1.295.148,53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13.032.071,84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7.281.420,28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4.532.129,00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11.813.549,28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5.038.637,59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4.931.762,58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9.970.400,17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7.906.461,17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702.477,85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8.608.939,02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3.136.072,10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4.821.684,16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7.957.756,26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3,47</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4.071.557,09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2.802.395,04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6.873.952,13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4.695.223,47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2.059.571,93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6.754.795,40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5.346.598,46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836.320,68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6.182.919,14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4.316.692,50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379.491,60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4.696.184,10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MERSİN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3.936.827,88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668.682,16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4.605.510,04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HATAY</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2.768.678,71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1.621.377,76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4.390.056,47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3.129.455,87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1.230.114,22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4.359.570,09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2.664.246,50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1.238.617,36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3.902.863,86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702.091,50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3.007.638,90</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3.709.730,40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2.273.108,51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1363303,49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3.636.412,00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2.260.093,11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1.356.199,61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3.616.292,72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3.431.535,57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26.409,14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3.457.944,71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2.962.491,85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475.084,79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3.437.576,64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2.940.513,78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437.062,17</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3.377.575,95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1,47</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2.011.389,59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1.021.283,44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3.032.673,03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1.899.141,35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1.109.691,58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3.008.832,93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2.494.716,85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203.968,71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2.698.685,56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2.224.058,86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372.371,69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2.596.430,55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1.242.704,83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1.345.657,41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2.588.362,24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1.534.744,60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473.037,46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2.007.782,06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0,87</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AFYONKARAHİSAR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1.542.386,63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266.045,52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1.808.432,15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997.197,16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799.036,57</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1.796.233,73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1.570.708,74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161.198,29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1.731.907,03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795.120,30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861.277,68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1.656.397,98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1.132.100,22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498.878,21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1.630.978,43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1.436.659,37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48801,4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1.485.460,77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996.202,52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488001,49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1.484.204,01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1.014.283,02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233411,93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1.247.694,95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1.181.496,54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49.891,59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1.231.388,13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949.607,24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228.811,38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1.178.418,62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1.004.405,41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165.156,86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1.169.562,27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1.139.865,05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3.988,44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1.143.853,49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795.398,94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337.481,86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1.132.880,80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818.820,23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290.711,31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1.109.531,54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890.888,87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160.182,05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1.051.070,92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ISPARTA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932.072,33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75.138,19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1.007.210,52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835.751,39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162.006,36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997.757,75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978.509,69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17.224,96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995.734,65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796.447,73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197.746,38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994.194,11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727.647,61</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241.260,42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968.908,03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890.031,38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890.031,38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694.038,62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182.730,54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876.769,16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KARAMAN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627.734,64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195.023,16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822.757,80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ÇORUM</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731.235,26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80.048,82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811.284,08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715.588,68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92.896,61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808.485,29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536.169,26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257.708,12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793.877,38</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741.238,74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741.238,74</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736.909,16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736.909,16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734.986,27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734.986,27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0,32</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656.037,62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29.736,88</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685.774,50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684.198,37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684.198,37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319.653,94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292.350,23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612.004,17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0,27</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592.328,55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592.328,55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542.992,80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46.550,89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589.543,69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465.385,44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98.313,16</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563.698,60</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487.468,04</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69.649,63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557.117,67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479.750,73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12.049,04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491.799,77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370.268,77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85.140,14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455.408,91</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452.895,29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452.895,29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409.817,53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38.355,93</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448.173,46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0,20</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404.844,32</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14.405,14</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419.249,46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393.587,25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12.455,91</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406.043,16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0,18</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312.891,88</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78.493,19</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391.385,07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0,17</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342.797,20</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21.016,75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363.813,95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360.460,45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360.460,45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317.980,25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26.612,32</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344.592,57</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308.077,29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308.077,29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305.989,05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305.989,05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KİLİS</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252.228,57</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52.024,15</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304.252,72</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0,13</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260.686,65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260.686,65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0,11</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199.596,15</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199.596,15</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0,09</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128.263,76</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128.263,76</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0,06</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126.236,69</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126.236,69</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0,05</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100.545,53</w:t>
            </w:r>
          </w:p>
        </w:tc>
        <w:tc>
          <w:tcPr>
            <w:tcW w:w="2260"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 </w:t>
            </w:r>
          </w:p>
        </w:tc>
        <w:tc>
          <w:tcPr>
            <w:tcW w:w="1804"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100.545,53</w:t>
            </w:r>
          </w:p>
        </w:tc>
        <w:tc>
          <w:tcPr>
            <w:tcW w:w="1275" w:type="dxa"/>
            <w:tcBorders>
              <w:top w:val="nil"/>
              <w:left w:val="nil"/>
              <w:bottom w:val="single" w:sz="8" w:space="0" w:color="auto"/>
              <w:right w:val="single" w:sz="8" w:space="0" w:color="auto"/>
            </w:tcBorders>
            <w:shd w:val="clear" w:color="auto" w:fill="auto"/>
            <w:noWrap/>
            <w:vAlign w:val="center"/>
            <w:hideMark/>
          </w:tcPr>
          <w:p w:rsidR="00A92E16" w:rsidRPr="00F876CB" w:rsidRDefault="00A92E16" w:rsidP="00A92E16">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0,04</w:t>
            </w:r>
          </w:p>
        </w:tc>
      </w:tr>
      <w:tr w:rsidR="00A92E16" w:rsidRPr="00F876CB" w:rsidTr="00A92E1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w:t>
            </w:r>
            <w:r w:rsidR="001C7626" w:rsidRPr="00F876CB">
              <w:rPr>
                <w:rFonts w:ascii="Calibri" w:eastAsia="Times New Roman" w:hAnsi="Calibri" w:cs="Calibri"/>
                <w:b/>
                <w:bCs/>
                <w:color w:val="FFFFFF"/>
                <w:lang w:val="en-GB" w:eastAsia="tr-TR" w:bidi="ar-SA"/>
              </w:rPr>
              <w:t>rand Total</w:t>
            </w:r>
          </w:p>
        </w:tc>
        <w:tc>
          <w:tcPr>
            <w:tcW w:w="2140" w:type="dxa"/>
            <w:tcBorders>
              <w:top w:val="nil"/>
              <w:left w:val="nil"/>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175.904.481,46</w:t>
            </w:r>
          </w:p>
        </w:tc>
        <w:tc>
          <w:tcPr>
            <w:tcW w:w="2260" w:type="dxa"/>
            <w:tcBorders>
              <w:top w:val="nil"/>
              <w:left w:val="nil"/>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53.693.432,19</w:t>
            </w:r>
          </w:p>
        </w:tc>
        <w:tc>
          <w:tcPr>
            <w:tcW w:w="1804" w:type="dxa"/>
            <w:tcBorders>
              <w:top w:val="nil"/>
              <w:left w:val="nil"/>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229.597.913,65</w:t>
            </w:r>
          </w:p>
        </w:tc>
        <w:tc>
          <w:tcPr>
            <w:tcW w:w="1275" w:type="dxa"/>
            <w:tcBorders>
              <w:top w:val="nil"/>
              <w:left w:val="nil"/>
              <w:bottom w:val="single" w:sz="8" w:space="0" w:color="auto"/>
              <w:right w:val="single" w:sz="8" w:space="0" w:color="auto"/>
            </w:tcBorders>
            <w:shd w:val="clear" w:color="000000" w:fill="FF5050"/>
            <w:noWrap/>
            <w:vAlign w:val="center"/>
            <w:hideMark/>
          </w:tcPr>
          <w:p w:rsidR="00A92E16" w:rsidRPr="00F876CB" w:rsidRDefault="00A92E16" w:rsidP="00A92E16">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r>
    </w:tbl>
    <w:p w:rsidR="00D232AF" w:rsidRPr="00F876CB" w:rsidRDefault="00D232AF" w:rsidP="00D232AF">
      <w:pPr>
        <w:spacing w:line="360" w:lineRule="auto"/>
        <w:ind w:firstLine="432"/>
        <w:jc w:val="both"/>
        <w:rPr>
          <w:rFonts w:asciiTheme="minorHAnsi" w:hAnsiTheme="minorHAnsi" w:cstheme="minorHAnsi"/>
          <w:sz w:val="24"/>
          <w:szCs w:val="24"/>
          <w:lang w:val="en-GB"/>
        </w:rPr>
      </w:pPr>
    </w:p>
    <w:p w:rsidR="00A200E2" w:rsidRPr="00F876CB" w:rsidRDefault="00A200E2" w:rsidP="00524E38">
      <w:pPr>
        <w:pStyle w:val="Balk5"/>
        <w:rPr>
          <w:lang w:val="en-GB"/>
        </w:rPr>
      </w:pPr>
      <w:bookmarkStart w:id="253" w:name="_Toc450300303"/>
      <w:bookmarkStart w:id="254" w:name="_Toc450309959"/>
    </w:p>
    <w:p w:rsidR="00A200E2" w:rsidRPr="00F876CB" w:rsidRDefault="00A200E2" w:rsidP="00524E38">
      <w:pPr>
        <w:pStyle w:val="Balk5"/>
        <w:rPr>
          <w:lang w:val="en-GB"/>
        </w:rPr>
      </w:pPr>
    </w:p>
    <w:p w:rsidR="00D232AF" w:rsidRPr="00F876CB" w:rsidRDefault="00015994" w:rsidP="00524E38">
      <w:pPr>
        <w:pStyle w:val="Balk5"/>
        <w:rPr>
          <w:lang w:val="en-GB"/>
        </w:rPr>
      </w:pPr>
      <w:bookmarkStart w:id="255" w:name="_Toc44508331"/>
      <w:r w:rsidRPr="00F876CB">
        <w:rPr>
          <w:lang w:val="en-GB"/>
        </w:rPr>
        <w:lastRenderedPageBreak/>
        <w:t>Table</w:t>
      </w:r>
      <w:r w:rsidR="00D232AF" w:rsidRPr="00F876CB">
        <w:rPr>
          <w:lang w:val="en-GB"/>
        </w:rPr>
        <w:t xml:space="preserve"> </w:t>
      </w:r>
      <w:r w:rsidR="00853F79" w:rsidRPr="00F876CB">
        <w:rPr>
          <w:lang w:val="en-GB"/>
        </w:rPr>
        <w:t>1</w:t>
      </w:r>
      <w:r w:rsidR="00D232AF" w:rsidRPr="00F876CB">
        <w:rPr>
          <w:lang w:val="en-GB"/>
        </w:rPr>
        <w:fldChar w:fldCharType="begin"/>
      </w:r>
      <w:r w:rsidR="00D232AF" w:rsidRPr="00F876CB">
        <w:rPr>
          <w:lang w:val="en-GB"/>
        </w:rPr>
        <w:instrText xml:space="preserve"> STYLEREF 1 \s </w:instrText>
      </w:r>
      <w:r w:rsidR="00D232AF" w:rsidRPr="00F876CB">
        <w:rPr>
          <w:lang w:val="en-GB"/>
        </w:rPr>
        <w:fldChar w:fldCharType="end"/>
      </w:r>
      <w:r w:rsidR="00780DE7" w:rsidRPr="00F876CB">
        <w:rPr>
          <w:lang w:val="en-GB"/>
        </w:rPr>
        <w:t>.</w:t>
      </w:r>
      <w:r w:rsidR="000C7E45" w:rsidRPr="00F876CB">
        <w:rPr>
          <w:lang w:val="en-GB"/>
        </w:rPr>
        <w:t>15</w:t>
      </w:r>
      <w:r w:rsidR="00D232AF" w:rsidRPr="00F876CB">
        <w:rPr>
          <w:lang w:val="en-GB"/>
        </w:rPr>
        <w:t xml:space="preserve">: </w:t>
      </w:r>
      <w:r w:rsidR="007F514A" w:rsidRPr="00F876CB">
        <w:rPr>
          <w:lang w:val="en-GB"/>
        </w:rPr>
        <w:t xml:space="preserve">Distribution of Invoiced Consumption by Province and Consumer </w:t>
      </w:r>
      <w:r w:rsidR="00DF0FC6" w:rsidRPr="00F876CB">
        <w:rPr>
          <w:lang w:val="en-GB"/>
        </w:rPr>
        <w:t>(MWh</w:t>
      </w:r>
      <w:r w:rsidR="00D232AF" w:rsidRPr="00F876CB">
        <w:rPr>
          <w:lang w:val="en-GB"/>
        </w:rPr>
        <w:t>)</w:t>
      </w:r>
      <w:bookmarkEnd w:id="253"/>
      <w:bookmarkEnd w:id="254"/>
      <w:bookmarkEnd w:id="255"/>
    </w:p>
    <w:tbl>
      <w:tblPr>
        <w:tblW w:w="10065" w:type="dxa"/>
        <w:tblInd w:w="70" w:type="dxa"/>
        <w:tblLayout w:type="fixed"/>
        <w:tblCellMar>
          <w:left w:w="70" w:type="dxa"/>
          <w:right w:w="70" w:type="dxa"/>
        </w:tblCellMar>
        <w:tblLook w:val="04A0" w:firstRow="1" w:lastRow="0" w:firstColumn="1" w:lastColumn="0" w:noHBand="0" w:noVBand="1"/>
      </w:tblPr>
      <w:tblGrid>
        <w:gridCol w:w="1560"/>
        <w:gridCol w:w="1134"/>
        <w:gridCol w:w="1417"/>
        <w:gridCol w:w="1276"/>
        <w:gridCol w:w="1276"/>
        <w:gridCol w:w="1275"/>
        <w:gridCol w:w="1418"/>
        <w:gridCol w:w="709"/>
      </w:tblGrid>
      <w:tr w:rsidR="00403A63" w:rsidRPr="00F876CB" w:rsidTr="00403A63">
        <w:trPr>
          <w:trHeight w:val="297"/>
          <w:tblHeader/>
        </w:trPr>
        <w:tc>
          <w:tcPr>
            <w:tcW w:w="15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PROVINCE</w:t>
            </w:r>
          </w:p>
        </w:tc>
        <w:tc>
          <w:tcPr>
            <w:tcW w:w="11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Lighting</w:t>
            </w:r>
          </w:p>
        </w:tc>
        <w:tc>
          <w:tcPr>
            <w:tcW w:w="141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Household</w:t>
            </w:r>
          </w:p>
        </w:tc>
        <w:tc>
          <w:tcPr>
            <w:tcW w:w="127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Industry</w:t>
            </w:r>
          </w:p>
        </w:tc>
        <w:tc>
          <w:tcPr>
            <w:tcW w:w="1276" w:type="dxa"/>
            <w:vMerge w:val="restart"/>
            <w:tcBorders>
              <w:top w:val="single" w:sz="8" w:space="0" w:color="auto"/>
              <w:left w:val="single" w:sz="8" w:space="0" w:color="auto"/>
              <w:bottom w:val="nil"/>
              <w:right w:val="single" w:sz="8" w:space="0" w:color="auto"/>
            </w:tcBorders>
            <w:shd w:val="clear" w:color="000000" w:fill="FF0000"/>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Agricultural Irrigation</w:t>
            </w:r>
          </w:p>
        </w:tc>
        <w:tc>
          <w:tcPr>
            <w:tcW w:w="127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Commerce</w:t>
            </w:r>
          </w:p>
        </w:tc>
        <w:tc>
          <w:tcPr>
            <w:tcW w:w="1418" w:type="dxa"/>
            <w:tcBorders>
              <w:top w:val="single" w:sz="8" w:space="0" w:color="auto"/>
              <w:left w:val="nil"/>
              <w:bottom w:val="nil"/>
              <w:right w:val="single" w:sz="8" w:space="0" w:color="auto"/>
            </w:tcBorders>
            <w:shd w:val="clear" w:color="000000" w:fill="FF0000"/>
            <w:vAlign w:val="center"/>
            <w:hideMark/>
          </w:tcPr>
          <w:p w:rsidR="00403A63" w:rsidRPr="00F876CB" w:rsidRDefault="00403A63"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G</w:t>
            </w:r>
            <w:r w:rsidR="000A2C87" w:rsidRPr="00F876CB">
              <w:rPr>
                <w:rFonts w:ascii="Arial" w:eastAsia="Times New Roman" w:hAnsi="Arial" w:cs="Arial"/>
                <w:b/>
                <w:bCs/>
                <w:color w:val="FFFFFF"/>
                <w:sz w:val="18"/>
                <w:szCs w:val="18"/>
                <w:lang w:val="en-GB" w:eastAsia="tr-TR" w:bidi="ar-SA"/>
              </w:rPr>
              <w:t>rand Total</w:t>
            </w:r>
          </w:p>
        </w:tc>
        <w:tc>
          <w:tcPr>
            <w:tcW w:w="7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03A63" w:rsidRPr="00F876CB" w:rsidRDefault="000A2C87"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Share</w:t>
            </w:r>
          </w:p>
          <w:p w:rsidR="00403A63" w:rsidRPr="00F876CB" w:rsidRDefault="00403A63" w:rsidP="00403A63">
            <w:pPr>
              <w:spacing w:after="0" w:line="240" w:lineRule="auto"/>
              <w:jc w:val="center"/>
              <w:rPr>
                <w:rFonts w:ascii="Arial" w:eastAsia="Times New Roman" w:hAnsi="Arial" w:cs="Arial"/>
                <w:b/>
                <w:bCs/>
                <w:color w:val="FFFFFF"/>
                <w:sz w:val="18"/>
                <w:szCs w:val="18"/>
                <w:lang w:val="en-GB" w:eastAsia="tr-TR" w:bidi="ar-SA"/>
              </w:rPr>
            </w:pPr>
            <w:r w:rsidRPr="00F876CB">
              <w:rPr>
                <w:rFonts w:ascii="Arial" w:eastAsia="Times New Roman" w:hAnsi="Arial" w:cs="Arial"/>
                <w:b/>
                <w:bCs/>
                <w:color w:val="FFFFFF"/>
                <w:sz w:val="18"/>
                <w:szCs w:val="18"/>
                <w:lang w:val="en-GB" w:eastAsia="tr-TR" w:bidi="ar-SA"/>
              </w:rPr>
              <w:t xml:space="preserve"> (%)</w:t>
            </w:r>
          </w:p>
        </w:tc>
      </w:tr>
      <w:tr w:rsidR="00403A63" w:rsidRPr="00F876CB" w:rsidTr="00403A63">
        <w:trPr>
          <w:trHeight w:val="60"/>
        </w:trPr>
        <w:tc>
          <w:tcPr>
            <w:tcW w:w="1560"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134"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417"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276"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276"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275"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c>
          <w:tcPr>
            <w:tcW w:w="1418" w:type="dxa"/>
            <w:tcBorders>
              <w:top w:val="nil"/>
              <w:left w:val="nil"/>
              <w:bottom w:val="nil"/>
              <w:right w:val="single" w:sz="8" w:space="0" w:color="auto"/>
            </w:tcBorders>
            <w:shd w:val="clear" w:color="000000" w:fill="FF0000"/>
            <w:vAlign w:val="center"/>
            <w:hideMark/>
          </w:tcPr>
          <w:p w:rsidR="00403A63" w:rsidRPr="00F876CB" w:rsidRDefault="00403A63" w:rsidP="000A2C87">
            <w:pPr>
              <w:spacing w:after="0" w:line="240" w:lineRule="auto"/>
              <w:rPr>
                <w:rFonts w:ascii="Arial" w:eastAsia="Times New Roman" w:hAnsi="Arial" w:cs="Arial"/>
                <w:b/>
                <w:bCs/>
                <w:color w:val="FFFFFF"/>
                <w:sz w:val="18"/>
                <w:szCs w:val="18"/>
                <w:lang w:val="en-GB" w:eastAsia="tr-TR" w:bidi="ar-SA"/>
              </w:rPr>
            </w:pPr>
          </w:p>
        </w:tc>
        <w:tc>
          <w:tcPr>
            <w:tcW w:w="709" w:type="dxa"/>
            <w:vMerge/>
            <w:tcBorders>
              <w:top w:val="single" w:sz="8" w:space="0" w:color="auto"/>
              <w:left w:val="single" w:sz="8" w:space="0" w:color="auto"/>
              <w:bottom w:val="nil"/>
              <w:right w:val="single" w:sz="8" w:space="0" w:color="auto"/>
            </w:tcBorders>
            <w:vAlign w:val="center"/>
            <w:hideMark/>
          </w:tcPr>
          <w:p w:rsidR="00403A63" w:rsidRPr="00F876CB" w:rsidRDefault="00403A63" w:rsidP="00403A63">
            <w:pPr>
              <w:spacing w:after="0" w:line="240" w:lineRule="auto"/>
              <w:rPr>
                <w:rFonts w:ascii="Arial" w:eastAsia="Times New Roman" w:hAnsi="Arial" w:cs="Arial"/>
                <w:b/>
                <w:bCs/>
                <w:color w:val="FFFFFF"/>
                <w:sz w:val="18"/>
                <w:szCs w:val="18"/>
                <w:lang w:val="en-GB" w:eastAsia="tr-TR" w:bidi="ar-SA"/>
              </w:rPr>
            </w:pP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ADANA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122.793,47</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1.798.730,97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3.090.183,06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160.591,73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1.582.496,17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6.754.795,40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ADIYAMAN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31.479,37</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476.826,21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417.591,92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18.539,80</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188.443,50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1.132.880,80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0,49</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4"/>
                <w:szCs w:val="14"/>
                <w:lang w:val="en-GB" w:eastAsia="tr-TR" w:bidi="ar-SA"/>
              </w:rPr>
            </w:pPr>
            <w:r w:rsidRPr="00F876CB">
              <w:rPr>
                <w:rFonts w:ascii="Arial" w:eastAsia="Times New Roman" w:hAnsi="Arial" w:cs="Arial"/>
                <w:color w:val="FFFFFF"/>
                <w:sz w:val="14"/>
                <w:szCs w:val="14"/>
                <w:lang w:val="en-GB" w:eastAsia="tr-TR" w:bidi="ar-SA"/>
              </w:rPr>
              <w:t>AFYONKARAHİSAR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63.539,57</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390.732,52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698.134,76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182.559,94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473.465,35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1.808.432,15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0,79</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AĞRI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34.357,71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198.170,07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52.192,68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82,03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163.370,97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448.173,46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0,20</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AKSARAY</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30.127,02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220.070,77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267.759,16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274.714,09</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258.399,89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1.051.070,92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AMASYA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29.465,12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203.974,00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159.074,86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21.995,99</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175.033,72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589.543,69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ANKARA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295.387,58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4.057.097,57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4.276.587,76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174.251,22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5.289.903,06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14.093.227,18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6,14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ANTALYA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186.214,15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2.594.769,55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1.112.640,20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180.281,31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4.535.033,82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8.608.939,02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ARDAHAN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12.292,76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44.341,10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1.787,44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69.838,30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128.263,76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0,06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ARTVİN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34.829,65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122.825,18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159.732,30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156,51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135.351,65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452.895,29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0,20</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AYDIN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83.798,33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970.413,22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618.438,34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78.761,94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947.273,72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2.698.685,56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1,18</w:t>
            </w:r>
          </w:p>
        </w:tc>
      </w:tr>
      <w:tr w:rsidR="00403A63" w:rsidRPr="00F876CB" w:rsidTr="00403A63">
        <w:trPr>
          <w:trHeight w:val="7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BALIKESİR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100.140,62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924.598,87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1.306.243,02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93.030,93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953.562,51</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3.377.575,95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1,47</w:t>
            </w:r>
          </w:p>
        </w:tc>
      </w:tr>
      <w:tr w:rsidR="00403A63" w:rsidRPr="00F876CB" w:rsidTr="00403A63">
        <w:trPr>
          <w:trHeight w:val="11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BARTIN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25.738,51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126.710,64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165.290,86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1.380,29</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100.129,17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419.249,46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0,18</w:t>
            </w:r>
          </w:p>
        </w:tc>
      </w:tr>
      <w:tr w:rsidR="00403A63" w:rsidRPr="00F876CB" w:rsidTr="00403A63">
        <w:trPr>
          <w:trHeight w:val="6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BATMAN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26.105,52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291.050,77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278.231,50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5.304,15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276.077,22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876.769,16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BAYBURT</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12.364,74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41.429,76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3.725,73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224,24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42.801,07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100.545,53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0,04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BİLECİK</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21.825,15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121.720,67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1.513.125,85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12.268,52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127.293,54</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1.796.233,73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0,78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BİNGÖL</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14.632,61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122.600,32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49.228,01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780,83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118.747,27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305.989,05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0,13</w:t>
            </w:r>
          </w:p>
        </w:tc>
      </w:tr>
      <w:tr w:rsidR="00403A63" w:rsidRPr="00F876CB" w:rsidTr="00403A63">
        <w:trPr>
          <w:trHeight w:val="9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BİTLİS</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27.677,52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128.350,36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23.933,67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46.238,55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134.260,36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360.460,45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BOLU</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28.957,27</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186.081,66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449.640,36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46.753,68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282.761,15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994.194,11</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0,43</w:t>
            </w:r>
          </w:p>
        </w:tc>
      </w:tr>
      <w:tr w:rsidR="00403A63" w:rsidRPr="00F876CB" w:rsidTr="00403A63">
        <w:trPr>
          <w:trHeight w:val="10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BURDUR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27.695,26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152.929,43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405.310,10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46.426,56</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161.516,03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793.877,38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0,35</w:t>
            </w:r>
          </w:p>
        </w:tc>
      </w:tr>
      <w:tr w:rsidR="00403A63" w:rsidRPr="00F876CB" w:rsidTr="00403A63">
        <w:trPr>
          <w:trHeight w:val="1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BURSA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126.061,66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1.969.089,31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7.260.805,16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125.251,54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2.332.341,62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11.813.549,28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5,15</w:t>
            </w:r>
          </w:p>
        </w:tc>
      </w:tr>
      <w:tr w:rsidR="00403A63" w:rsidRPr="00F876CB" w:rsidTr="00403A63">
        <w:trPr>
          <w:trHeight w:val="21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ÇANAKKALE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34.685,06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365.223,93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1.651.600,43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46.279,37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490.573,45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2.588.362,24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1,13</w:t>
            </w:r>
          </w:p>
        </w:tc>
      </w:tr>
      <w:tr w:rsidR="00403A63" w:rsidRPr="00F876CB" w:rsidTr="00403A63">
        <w:trPr>
          <w:trHeight w:val="1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ÇANKIRI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23.523,85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106.680,54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225.357,73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2.896,00</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96.950,80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455.408,91</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0,20</w:t>
            </w:r>
          </w:p>
        </w:tc>
      </w:tr>
      <w:tr w:rsidR="00403A63" w:rsidRPr="00F876CB" w:rsidTr="00403A63">
        <w:trPr>
          <w:trHeight w:val="18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ÇORUM</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42.660,33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299.888,94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200.482,02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24.054,87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244.197,91</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811.284,08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DENİZLİ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82.967,45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691.710,49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1.814.825,91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93.738,77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754.334,02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3.437.576,64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1,50</w:t>
            </w:r>
          </w:p>
        </w:tc>
      </w:tr>
      <w:tr w:rsidR="00403A63" w:rsidRPr="00F876CB" w:rsidTr="00403A63">
        <w:trPr>
          <w:trHeight w:val="19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DİYARBAKIR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47.337,66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826.460,05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673.676,15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256.951,55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792.005,15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2.596.430,55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1,13</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DÜZCE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30.307,59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231.951,40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494.192,39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6.248,00</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235.058,38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997.757,75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0,43</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EDİRNE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34.613,74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259.817,34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352.135,19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117.755,31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379.531,92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1.143.853,49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0,50</w:t>
            </w:r>
          </w:p>
        </w:tc>
      </w:tr>
      <w:tr w:rsidR="00403A63" w:rsidRPr="00F876CB" w:rsidTr="00403A63">
        <w:trPr>
          <w:trHeight w:val="15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ELAZIĞ</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38.591,69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292.762,27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368.886,87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40.748,83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437.428,96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1.178.418,62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0,51</w:t>
            </w:r>
          </w:p>
        </w:tc>
      </w:tr>
      <w:tr w:rsidR="00403A63" w:rsidRPr="00F876CB" w:rsidTr="00403A63">
        <w:trPr>
          <w:trHeight w:val="1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ERZİNCAN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24.348,68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119.210,51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311.947,13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10.419,62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146.078,23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612.004,17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0,27</w:t>
            </w:r>
          </w:p>
        </w:tc>
      </w:tr>
      <w:tr w:rsidR="00403A63" w:rsidRPr="00F876CB"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ERZURUM</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66.129,02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368.187,78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58.379,86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3.642,54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393.692,18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890.031,38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0,39</w:t>
            </w:r>
          </w:p>
        </w:tc>
      </w:tr>
      <w:tr w:rsidR="00403A63" w:rsidRPr="00F876CB" w:rsidTr="00403A63">
        <w:trPr>
          <w:trHeight w:val="15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ESKİŞEHİR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50.864,11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576.454,09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1.548.147,70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210.463,48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622.903,54</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3.008.832,93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1,31</w:t>
            </w:r>
          </w:p>
        </w:tc>
      </w:tr>
      <w:tr w:rsidR="00403A63" w:rsidRPr="00F876CB" w:rsidTr="00403A63">
        <w:trPr>
          <w:trHeight w:val="1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GAZİANTEP</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87.018,09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1.242.754,60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5.349.676,81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109.909,46</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1.168.397,30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7.957.756,26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3,47</w:t>
            </w:r>
          </w:p>
        </w:tc>
      </w:tr>
      <w:tr w:rsidR="00403A63" w:rsidRPr="00F876CB" w:rsidTr="00403A63">
        <w:trPr>
          <w:trHeight w:val="17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GİRESUN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66.125,81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305.010,23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74.024,54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257,47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238.780,32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684.198,37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0,30</w:t>
            </w:r>
          </w:p>
        </w:tc>
      </w:tr>
      <w:tr w:rsidR="00403A63" w:rsidRPr="00F876CB" w:rsidTr="00403A63">
        <w:trPr>
          <w:trHeight w:val="13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GÜMÜŞHANE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22.417,76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70.267,03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186.668,17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566,38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64.673,23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344.592,57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0,15</w:t>
            </w:r>
          </w:p>
        </w:tc>
      </w:tr>
      <w:tr w:rsidR="00403A63" w:rsidRPr="00F876CB" w:rsidTr="00403A63">
        <w:trPr>
          <w:trHeight w:val="2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HAKKARİ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12.764,32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114.743,16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2.788,93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41,04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130.349,20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260.686,65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0,11</w:t>
            </w:r>
          </w:p>
        </w:tc>
      </w:tr>
      <w:tr w:rsidR="00403A63" w:rsidRPr="00F876CB"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HATAY</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98.083,78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1.227.820,28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1.941.193,73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176.141,14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946.817,54</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4.390.056,47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1,91</w:t>
            </w:r>
          </w:p>
        </w:tc>
      </w:tr>
      <w:tr w:rsidR="00403A63" w:rsidRPr="00F876CB" w:rsidTr="00403A63">
        <w:trPr>
          <w:trHeight w:val="13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IĞDIR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16.717,20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83.812,36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7.551,89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969,93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90.544,76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199.596,15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0,09</w:t>
            </w:r>
          </w:p>
        </w:tc>
      </w:tr>
      <w:tr w:rsidR="00403A63" w:rsidRPr="00F876CB" w:rsidTr="00403A63">
        <w:trPr>
          <w:trHeight w:val="8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ISPARTA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39.471,02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273.296,41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301.603,35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59.458,65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333.381,09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1.007.210,52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0,44</w:t>
            </w:r>
          </w:p>
        </w:tc>
      </w:tr>
      <w:tr w:rsidR="00403A63" w:rsidRPr="00F876CB" w:rsidTr="00403A63">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İSTANBUL</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534.736,61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11.624.263,93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10.838.820,91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9.516,25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16.511.164,92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6"/>
                <w:szCs w:val="16"/>
                <w:lang w:val="en-GB" w:eastAsia="tr-TR" w:bidi="ar-SA"/>
              </w:rPr>
            </w:pPr>
            <w:r w:rsidRPr="00F876CB">
              <w:rPr>
                <w:rFonts w:ascii="Arial" w:eastAsia="Times New Roman" w:hAnsi="Arial" w:cs="Arial"/>
                <w:color w:val="333333"/>
                <w:sz w:val="16"/>
                <w:szCs w:val="16"/>
                <w:lang w:val="en-GB" w:eastAsia="tr-TR" w:bidi="ar-SA"/>
              </w:rPr>
              <w:t>39.518.502,62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17,21</w:t>
            </w:r>
          </w:p>
        </w:tc>
      </w:tr>
      <w:tr w:rsidR="00403A63" w:rsidRPr="00F876CB" w:rsidTr="00403A63">
        <w:trPr>
          <w:trHeight w:val="20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İZMİR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227.812,64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4.165.095,53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6.643.921,07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393.409,08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4.080.856,14</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15.511.094,46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6,76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4"/>
                <w:szCs w:val="14"/>
                <w:lang w:val="en-GB" w:eastAsia="tr-TR" w:bidi="ar-SA"/>
              </w:rPr>
            </w:pPr>
            <w:r w:rsidRPr="00F876CB">
              <w:rPr>
                <w:rFonts w:ascii="Arial" w:eastAsia="Times New Roman" w:hAnsi="Arial" w:cs="Arial"/>
                <w:color w:val="FFFFFF"/>
                <w:sz w:val="14"/>
                <w:szCs w:val="14"/>
                <w:lang w:val="en-GB" w:eastAsia="tr-TR" w:bidi="ar-SA"/>
              </w:rPr>
              <w:t>KAHRAMANMARAŞ</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74.633,83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780.196,15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2.514.049,09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38.622,56</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495.362,22</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3.902.863,86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1,70</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KARABÜK</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25.935,90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147.046,97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241.150,37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2.837,71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146.727,64</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563.698,60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KARAMAN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18.712,54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135.940,29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278.234,55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215.908,31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173.962,10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822.757,80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KARS</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18.900,33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108.311,77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40.524,31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261,43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140.079,45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308.077,29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0,13</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lastRenderedPageBreak/>
              <w:t>KASTAMONU</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49.174,65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229.594,42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480.230,82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4.009,77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205.898,36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968.908,03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KAYSERİ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115.760,69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804.754,07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1.801.990,13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168.033,05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725.754,78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3.616.292,72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KIRIKKALE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24.009,28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165.501,84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195.861,17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4.562,91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167.182,48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557.117,67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KIRKLARELİ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26.939,39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221.790,01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1.389.995,83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11.607,43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357.449,40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2.007.782,06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0,87</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KIRŞEHİR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23.146,63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134.735,59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84.259,34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26.570,81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137.330,79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406.043,16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KİLİS</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11.154,39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112.674,64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61.158,76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17.892,44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101.372,48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304.252,72</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0,13</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KOCAELİ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93.420,54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1.275.678,25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7.058.809,05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13.638,37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1.528.853,97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9.970.400,17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4,34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KONYA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161.868,51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1.281.967,02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1.942.076,34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1.317.439,81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1.479.567,46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6.182.919,14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2,69</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KÜTAHYA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48.241,55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309.333,13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826.539,25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9.412,22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290.677,86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1.484.204,01</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0,65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MALATYA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53.792,30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420.335,92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620.578,48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83.269,95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453.001,79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1.630.978,43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0,71</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MANİSA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84.549,42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940.759,68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2.065.479,58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333.805,92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934.975,49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4.359.570,09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1,90</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MARDİN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37.335,25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374.054,32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409.054,89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541.303,17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370.159,40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1.731.907,03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0,75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MERSİN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116.228,95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1.488.495,14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1.405.073,74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185.305,63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1.410.406,57</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4.605.510,04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2,01</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MUĞLA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82.055,40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1.089.164,01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529.029,48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45.071,70</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1.712.624,13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3.457.944,71</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1,51</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MUŞ</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23.209,49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144.927,22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90.713,00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2.379,93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130.155,43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391.385,07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0,17</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NEVŞEHİR</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35.984,16</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188.138,12</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127.127,73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146.466,07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237.270,18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734.986,27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NİĞDE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35.535,65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189.492,97</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505.724,16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166.942,85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211.835,91</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1.109.531,54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ORDU</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75.165,25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477.554,14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314.335,08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498,37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363.835,30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1.231.388,13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0,54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OSMANİYE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31.501,50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333.455,11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3.067.824,20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16.302,51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260.647,09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3.709.730,40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RİZE</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49.697,52</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244.260,59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222.768,79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15,38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220.166,88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736.909,16</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SAKARYA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66.848,04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704.597,03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2.105.124,15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38.154,37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721.688,41</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3.636.412,00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1,58</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SAMSUN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104.380,65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858.115,23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1.277.994,35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33.047,77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759.135,03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3.032.673,03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SİİRT</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19.979,09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133.248,35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217.537,58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7.162,35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113.872,40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491.799,77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0,21</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SİNOP</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25.251,91</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153.073,28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76.249,14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1.091,14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108.148,49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363.813,95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0,16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SİVAS</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66.498,28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329.537,04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491.614,81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38.678,52</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321.366,30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1.247.694,95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0,54</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ŞANLIURFA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52.702,24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1.044.945,00</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797.346,34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1.864.579,03</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936.611,49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4.696.184,10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ŞIRNAK</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16.416,99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184.199,89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26.906,65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26.765,09</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338.039,93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592.328,55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0,26</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TEKİRDAĞ</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57.999,24</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555.736,11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5.351.576,68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18.396,75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890.243,35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6.873.952,13</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2,99</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TOKAT</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56.009,39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318.406,49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178.193,39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6.723,24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249.152,78</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808.485,29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TRABZON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97.805,85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628.460,21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212.949,26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938,06</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545.307,39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1.485.460,77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0,65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TUNCELİ</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10.359,55</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45.059,96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8.917,91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1.208,38</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60.690,89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126.236,69</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0,05</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UŞAK</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32.619,23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220.086,68</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1.160.107,81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31.412,60</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212.171,65</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1.656.397,98</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0,72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VAN</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58.895,78</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427.153,19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102.079,61</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3.053,07</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404.553,00</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995.734,65</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0,43</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YALOVA</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14.327,23</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207.552,56</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294.584,75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6.742,91</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218.031,29</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741.238,74</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0,32</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YOZGAT</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51.985,59</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212.725,84</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128.505,89</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87.879,65</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204.677,53</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685.774,50</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0,30</w:t>
            </w:r>
          </w:p>
        </w:tc>
      </w:tr>
      <w:tr w:rsidR="00403A63" w:rsidRPr="00F876CB" w:rsidTr="00403A63">
        <w:trPr>
          <w:trHeight w:val="3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ZONGULDAK</w:t>
            </w:r>
          </w:p>
        </w:tc>
        <w:tc>
          <w:tcPr>
            <w:tcW w:w="1134"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75.990,80</w:t>
            </w:r>
          </w:p>
        </w:tc>
        <w:tc>
          <w:tcPr>
            <w:tcW w:w="1417"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380.793,15</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404.884,83</w:t>
            </w:r>
          </w:p>
        </w:tc>
        <w:tc>
          <w:tcPr>
            <w:tcW w:w="1276"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2.310,44</w:t>
            </w:r>
          </w:p>
        </w:tc>
        <w:tc>
          <w:tcPr>
            <w:tcW w:w="1275"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305.583,06</w:t>
            </w:r>
          </w:p>
        </w:tc>
        <w:tc>
          <w:tcPr>
            <w:tcW w:w="1418"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right"/>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1.169.562,27</w:t>
            </w:r>
          </w:p>
        </w:tc>
        <w:tc>
          <w:tcPr>
            <w:tcW w:w="709" w:type="dxa"/>
            <w:tcBorders>
              <w:top w:val="nil"/>
              <w:left w:val="nil"/>
              <w:bottom w:val="single" w:sz="8" w:space="0" w:color="auto"/>
              <w:right w:val="single" w:sz="8" w:space="0" w:color="auto"/>
            </w:tcBorders>
            <w:shd w:val="clear" w:color="auto" w:fill="auto"/>
            <w:vAlign w:val="center"/>
            <w:hideMark/>
          </w:tcPr>
          <w:p w:rsidR="00403A63" w:rsidRPr="00F876CB" w:rsidRDefault="00403A63" w:rsidP="00403A63">
            <w:pPr>
              <w:spacing w:after="0" w:line="240" w:lineRule="auto"/>
              <w:jc w:val="center"/>
              <w:rPr>
                <w:rFonts w:ascii="Arial" w:eastAsia="Times New Roman" w:hAnsi="Arial" w:cs="Arial"/>
                <w:color w:val="333333"/>
                <w:sz w:val="18"/>
                <w:szCs w:val="18"/>
                <w:lang w:val="en-GB" w:eastAsia="tr-TR" w:bidi="ar-SA"/>
              </w:rPr>
            </w:pPr>
            <w:r w:rsidRPr="00F876CB">
              <w:rPr>
                <w:rFonts w:ascii="Arial" w:eastAsia="Times New Roman" w:hAnsi="Arial" w:cs="Arial"/>
                <w:color w:val="333333"/>
                <w:sz w:val="18"/>
                <w:szCs w:val="18"/>
                <w:lang w:val="en-GB" w:eastAsia="tr-TR" w:bidi="ar-SA"/>
              </w:rPr>
              <w:t>0,51</w:t>
            </w:r>
          </w:p>
        </w:tc>
      </w:tr>
      <w:tr w:rsidR="00403A63" w:rsidRPr="00F876CB" w:rsidTr="00403A63">
        <w:trPr>
          <w:trHeight w:val="4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rPr>
                <w:rFonts w:ascii="Arial" w:eastAsia="Times New Roman" w:hAnsi="Arial" w:cs="Arial"/>
                <w:color w:val="FFFFFF"/>
                <w:sz w:val="16"/>
                <w:szCs w:val="16"/>
                <w:lang w:val="en-GB" w:eastAsia="tr-TR" w:bidi="ar-SA"/>
              </w:rPr>
            </w:pPr>
            <w:r w:rsidRPr="00F876CB">
              <w:rPr>
                <w:rFonts w:ascii="Arial" w:eastAsia="Times New Roman" w:hAnsi="Arial" w:cs="Arial"/>
                <w:color w:val="FFFFFF"/>
                <w:sz w:val="16"/>
                <w:szCs w:val="16"/>
                <w:lang w:val="en-GB" w:eastAsia="tr-TR" w:bidi="ar-SA"/>
              </w:rPr>
              <w:t>G</w:t>
            </w:r>
            <w:r w:rsidR="00AE3999" w:rsidRPr="00F876CB">
              <w:rPr>
                <w:rFonts w:ascii="Arial" w:eastAsia="Times New Roman" w:hAnsi="Arial" w:cs="Arial"/>
                <w:color w:val="FFFFFF"/>
                <w:sz w:val="16"/>
                <w:szCs w:val="16"/>
                <w:lang w:val="en-GB" w:eastAsia="tr-TR" w:bidi="ar-SA"/>
              </w:rPr>
              <w:t>rand Total</w:t>
            </w:r>
          </w:p>
        </w:tc>
        <w:tc>
          <w:tcPr>
            <w:tcW w:w="1134"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5.041.682,96</w:t>
            </w:r>
          </w:p>
        </w:tc>
        <w:tc>
          <w:tcPr>
            <w:tcW w:w="1417"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56.389.775,22</w:t>
            </w:r>
          </w:p>
        </w:tc>
        <w:tc>
          <w:tcPr>
            <w:tcW w:w="1276"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94.462.698,78</w:t>
            </w:r>
          </w:p>
        </w:tc>
        <w:tc>
          <w:tcPr>
            <w:tcW w:w="1276"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8.553.367,43</w:t>
            </w:r>
          </w:p>
        </w:tc>
        <w:tc>
          <w:tcPr>
            <w:tcW w:w="1275"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65.150.389,26</w:t>
            </w:r>
          </w:p>
        </w:tc>
        <w:tc>
          <w:tcPr>
            <w:tcW w:w="1418"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right"/>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229.597.913,65</w:t>
            </w:r>
          </w:p>
        </w:tc>
        <w:tc>
          <w:tcPr>
            <w:tcW w:w="709" w:type="dxa"/>
            <w:tcBorders>
              <w:top w:val="nil"/>
              <w:left w:val="nil"/>
              <w:bottom w:val="single" w:sz="8" w:space="0" w:color="auto"/>
              <w:right w:val="single" w:sz="8" w:space="0" w:color="auto"/>
            </w:tcBorders>
            <w:shd w:val="clear" w:color="000000" w:fill="FF5050"/>
            <w:noWrap/>
            <w:vAlign w:val="center"/>
            <w:hideMark/>
          </w:tcPr>
          <w:p w:rsidR="00403A63" w:rsidRPr="00F876CB" w:rsidRDefault="00403A63" w:rsidP="00403A63">
            <w:pPr>
              <w:spacing w:after="0" w:line="240" w:lineRule="auto"/>
              <w:jc w:val="center"/>
              <w:rPr>
                <w:rFonts w:ascii="Arial" w:eastAsia="Times New Roman" w:hAnsi="Arial" w:cs="Arial"/>
                <w:b/>
                <w:bCs/>
                <w:color w:val="FFFFFF"/>
                <w:sz w:val="16"/>
                <w:szCs w:val="16"/>
                <w:lang w:val="en-GB" w:eastAsia="tr-TR" w:bidi="ar-SA"/>
              </w:rPr>
            </w:pPr>
            <w:r w:rsidRPr="00F876CB">
              <w:rPr>
                <w:rFonts w:ascii="Arial" w:eastAsia="Times New Roman" w:hAnsi="Arial" w:cs="Arial"/>
                <w:b/>
                <w:bCs/>
                <w:color w:val="FFFFFF"/>
                <w:sz w:val="16"/>
                <w:szCs w:val="16"/>
                <w:lang w:val="en-GB" w:eastAsia="tr-TR" w:bidi="ar-SA"/>
              </w:rPr>
              <w:t>100,00</w:t>
            </w:r>
          </w:p>
        </w:tc>
      </w:tr>
    </w:tbl>
    <w:p w:rsidR="007603C9" w:rsidRPr="00F876CB" w:rsidRDefault="007603C9" w:rsidP="00891CF1">
      <w:pPr>
        <w:rPr>
          <w:lang w:val="en-GB"/>
        </w:rPr>
      </w:pPr>
    </w:p>
    <w:p w:rsidR="00CB2DB1" w:rsidRPr="00F876CB" w:rsidRDefault="00CB2DB1" w:rsidP="004A65F5">
      <w:pPr>
        <w:spacing w:line="360" w:lineRule="auto"/>
        <w:ind w:firstLine="432"/>
        <w:jc w:val="both"/>
        <w:rPr>
          <w:rFonts w:asciiTheme="minorHAnsi" w:hAnsiTheme="minorHAnsi" w:cstheme="minorHAnsi"/>
          <w:sz w:val="24"/>
          <w:szCs w:val="24"/>
          <w:lang w:val="en-GB"/>
        </w:rPr>
      </w:pPr>
      <w:bookmarkStart w:id="256" w:name="_Toc450307919"/>
    </w:p>
    <w:p w:rsidR="00CB2DB1" w:rsidRPr="007A6D8F" w:rsidRDefault="003E4CA1" w:rsidP="003E4CA1">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lastRenderedPageBreak/>
        <w:t>The d</w:t>
      </w:r>
      <w:r w:rsidR="00F44547" w:rsidRPr="007A6D8F">
        <w:rPr>
          <w:rFonts w:asciiTheme="minorHAnsi" w:hAnsiTheme="minorHAnsi" w:cstheme="minorHAnsi"/>
          <w:sz w:val="24"/>
          <w:szCs w:val="24"/>
          <w:lang w:val="en-GB"/>
        </w:rPr>
        <w:t xml:space="preserve">istribution of invoiced consumption by months is shown in Figure 1.21. The highest consumption </w:t>
      </w:r>
      <w:r w:rsidR="008E15BB">
        <w:rPr>
          <w:rFonts w:asciiTheme="minorHAnsi" w:hAnsiTheme="minorHAnsi" w:cstheme="minorHAnsi"/>
          <w:sz w:val="24"/>
          <w:szCs w:val="24"/>
          <w:lang w:val="en-GB"/>
        </w:rPr>
        <w:t>was</w:t>
      </w:r>
      <w:r w:rsidR="00F44547" w:rsidRPr="007A6D8F">
        <w:rPr>
          <w:rFonts w:asciiTheme="minorHAnsi" w:hAnsiTheme="minorHAnsi" w:cstheme="minorHAnsi"/>
          <w:sz w:val="24"/>
          <w:szCs w:val="24"/>
          <w:lang w:val="en-GB"/>
        </w:rPr>
        <w:t xml:space="preserve"> in July, the lowest consumption </w:t>
      </w:r>
      <w:r w:rsidR="008E15BB">
        <w:rPr>
          <w:rFonts w:asciiTheme="minorHAnsi" w:hAnsiTheme="minorHAnsi" w:cstheme="minorHAnsi"/>
          <w:sz w:val="24"/>
          <w:szCs w:val="24"/>
          <w:lang w:val="en-GB"/>
        </w:rPr>
        <w:t xml:space="preserve">was </w:t>
      </w:r>
      <w:r w:rsidR="00F44547" w:rsidRPr="007A6D8F">
        <w:rPr>
          <w:rFonts w:asciiTheme="minorHAnsi" w:hAnsiTheme="minorHAnsi" w:cstheme="minorHAnsi"/>
          <w:sz w:val="24"/>
          <w:szCs w:val="24"/>
          <w:lang w:val="en-GB"/>
        </w:rPr>
        <w:t xml:space="preserve">in </w:t>
      </w:r>
      <w:r w:rsidR="00F41F62">
        <w:rPr>
          <w:rFonts w:asciiTheme="minorHAnsi" w:hAnsiTheme="minorHAnsi" w:cstheme="minorHAnsi"/>
          <w:sz w:val="24"/>
          <w:szCs w:val="24"/>
          <w:lang w:val="en-GB"/>
        </w:rPr>
        <w:t>February</w:t>
      </w:r>
      <w:r w:rsidR="00F44547" w:rsidRPr="007A6D8F">
        <w:rPr>
          <w:rFonts w:asciiTheme="minorHAnsi" w:hAnsiTheme="minorHAnsi" w:cstheme="minorHAnsi"/>
          <w:sz w:val="24"/>
          <w:szCs w:val="24"/>
          <w:lang w:val="en-GB"/>
        </w:rPr>
        <w:t>.</w:t>
      </w:r>
    </w:p>
    <w:p w:rsidR="00F44547" w:rsidRPr="00F876CB" w:rsidRDefault="00F44547" w:rsidP="00F44547">
      <w:pPr>
        <w:rPr>
          <w:lang w:val="en-GB"/>
        </w:rPr>
      </w:pPr>
    </w:p>
    <w:p w:rsidR="00891CF1" w:rsidRPr="00F876CB" w:rsidRDefault="00015994" w:rsidP="00E93600">
      <w:pPr>
        <w:pStyle w:val="Balk6"/>
        <w:rPr>
          <w:lang w:val="en-GB"/>
        </w:rPr>
      </w:pPr>
      <w:bookmarkStart w:id="257" w:name="_Toc44508376"/>
      <w:r w:rsidRPr="00F876CB">
        <w:rPr>
          <w:lang w:val="en-GB"/>
        </w:rPr>
        <w:t>Figure</w:t>
      </w:r>
      <w:r w:rsidR="00AF5438" w:rsidRPr="00F876CB">
        <w:rPr>
          <w:lang w:val="en-GB"/>
        </w:rPr>
        <w:t xml:space="preserve"> </w:t>
      </w:r>
      <w:r w:rsidR="00853F79" w:rsidRPr="00F876CB">
        <w:rPr>
          <w:lang w:val="en-GB"/>
        </w:rPr>
        <w:t>1</w:t>
      </w:r>
      <w:r w:rsidR="00AF5438" w:rsidRPr="00F876CB">
        <w:rPr>
          <w:caps/>
          <w:lang w:val="en-GB"/>
        </w:rPr>
        <w:fldChar w:fldCharType="begin"/>
      </w:r>
      <w:r w:rsidR="00AF5438" w:rsidRPr="00F876CB">
        <w:rPr>
          <w:caps/>
          <w:lang w:val="en-GB"/>
        </w:rPr>
        <w:instrText xml:space="preserve"> STYLEREF 1 \s </w:instrText>
      </w:r>
      <w:r w:rsidR="00AF5438" w:rsidRPr="00F876CB">
        <w:rPr>
          <w:caps/>
          <w:lang w:val="en-GB"/>
        </w:rPr>
        <w:fldChar w:fldCharType="end"/>
      </w:r>
      <w:r w:rsidR="00FA6849" w:rsidRPr="00F876CB">
        <w:rPr>
          <w:lang w:val="en-GB"/>
        </w:rPr>
        <w:t>.</w:t>
      </w:r>
      <w:r w:rsidR="00F41F62">
        <w:rPr>
          <w:lang w:val="en-GB"/>
        </w:rPr>
        <w:t>20</w:t>
      </w:r>
      <w:r w:rsidR="00AF5438" w:rsidRPr="00F876CB">
        <w:rPr>
          <w:lang w:val="en-GB"/>
        </w:rPr>
        <w:t xml:space="preserve">: </w:t>
      </w:r>
      <w:r w:rsidR="00F44547" w:rsidRPr="00F876CB">
        <w:rPr>
          <w:lang w:val="en-GB"/>
        </w:rPr>
        <w:t xml:space="preserve">Distribution of Invoiced Consumption by Months </w:t>
      </w:r>
      <w:r w:rsidR="00AF5438" w:rsidRPr="00F876CB">
        <w:rPr>
          <w:lang w:val="en-GB"/>
        </w:rPr>
        <w:t>(MWh)</w:t>
      </w:r>
      <w:bookmarkEnd w:id="256"/>
      <w:bookmarkEnd w:id="257"/>
    </w:p>
    <w:p w:rsidR="00AF5438" w:rsidRPr="00F876CB" w:rsidRDefault="007A6D8F" w:rsidP="00AF5438">
      <w:pPr>
        <w:jc w:val="center"/>
        <w:rPr>
          <w:sz w:val="24"/>
          <w:szCs w:val="24"/>
          <w:lang w:val="en-GB"/>
        </w:rPr>
      </w:pPr>
      <w:r>
        <w:rPr>
          <w:noProof/>
          <w:sz w:val="24"/>
          <w:szCs w:val="24"/>
          <w:lang w:eastAsia="tr-TR" w:bidi="ar-SA"/>
        </w:rPr>
        <w:drawing>
          <wp:inline distT="0" distB="0" distL="0" distR="0" wp14:anchorId="5E3D7827">
            <wp:extent cx="5444490" cy="2705100"/>
            <wp:effectExtent l="0" t="0" r="381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44490" cy="2705100"/>
                    </a:xfrm>
                    <a:prstGeom prst="rect">
                      <a:avLst/>
                    </a:prstGeom>
                    <a:noFill/>
                  </pic:spPr>
                </pic:pic>
              </a:graphicData>
            </a:graphic>
          </wp:inline>
        </w:drawing>
      </w:r>
    </w:p>
    <w:p w:rsidR="007A6D8F" w:rsidRDefault="007A6D8F" w:rsidP="004A65F5">
      <w:pPr>
        <w:spacing w:line="360" w:lineRule="auto"/>
        <w:ind w:firstLine="432"/>
        <w:jc w:val="both"/>
        <w:rPr>
          <w:rFonts w:asciiTheme="minorHAnsi" w:hAnsiTheme="minorHAnsi" w:cstheme="minorHAnsi"/>
          <w:sz w:val="24"/>
          <w:szCs w:val="24"/>
          <w:lang w:val="en-GB"/>
        </w:rPr>
      </w:pPr>
    </w:p>
    <w:p w:rsidR="009F27A8" w:rsidRDefault="008E15BB" w:rsidP="003E4CA1">
      <w:pPr>
        <w:spacing w:line="360" w:lineRule="auto"/>
        <w:jc w:val="both"/>
        <w:rPr>
          <w:rFonts w:asciiTheme="minorHAnsi" w:hAnsiTheme="minorHAnsi" w:cstheme="minorHAnsi"/>
          <w:sz w:val="24"/>
          <w:szCs w:val="24"/>
          <w:lang w:val="en-GB"/>
        </w:rPr>
      </w:pPr>
      <w:r w:rsidRPr="008E15BB">
        <w:rPr>
          <w:rFonts w:asciiTheme="minorHAnsi" w:hAnsiTheme="minorHAnsi" w:cstheme="minorHAnsi"/>
          <w:sz w:val="24"/>
          <w:szCs w:val="24"/>
          <w:lang w:val="en-GB"/>
        </w:rPr>
        <w:t xml:space="preserve">The development of consumption over years is shown in Figure 1.22. </w:t>
      </w:r>
      <w:r>
        <w:rPr>
          <w:rFonts w:asciiTheme="minorHAnsi" w:hAnsiTheme="minorHAnsi" w:cstheme="minorHAnsi"/>
          <w:sz w:val="24"/>
          <w:szCs w:val="24"/>
          <w:lang w:val="en-GB"/>
        </w:rPr>
        <w:t xml:space="preserve"> The</w:t>
      </w:r>
      <w:r w:rsidR="00811CEC" w:rsidRPr="00F876CB">
        <w:rPr>
          <w:rFonts w:asciiTheme="minorHAnsi" w:hAnsiTheme="minorHAnsi" w:cstheme="minorHAnsi"/>
          <w:sz w:val="24"/>
          <w:szCs w:val="24"/>
          <w:lang w:val="en-GB"/>
        </w:rPr>
        <w:t xml:space="preserve"> consumption decreased in the last 20 years in 2001, 2009 and 2019 compared to the previous year. The decrease rate in 2019 compared to the previous year was 0</w:t>
      </w:r>
      <w:r w:rsidR="00A32C40">
        <w:rPr>
          <w:rFonts w:asciiTheme="minorHAnsi" w:hAnsiTheme="minorHAnsi" w:cstheme="minorHAnsi"/>
          <w:sz w:val="24"/>
          <w:szCs w:val="24"/>
          <w:lang w:val="en-GB"/>
        </w:rPr>
        <w:t>,</w:t>
      </w:r>
      <w:r w:rsidR="00811CEC" w:rsidRPr="00F876CB">
        <w:rPr>
          <w:rFonts w:asciiTheme="minorHAnsi" w:hAnsiTheme="minorHAnsi" w:cstheme="minorHAnsi"/>
          <w:sz w:val="24"/>
          <w:szCs w:val="24"/>
          <w:lang w:val="en-GB"/>
        </w:rPr>
        <w:t>26%.</w:t>
      </w:r>
    </w:p>
    <w:p w:rsidR="007A6D8F" w:rsidRPr="00F876CB" w:rsidRDefault="007A6D8F" w:rsidP="004A65F5">
      <w:pPr>
        <w:spacing w:line="360" w:lineRule="auto"/>
        <w:ind w:firstLine="432"/>
        <w:jc w:val="both"/>
        <w:rPr>
          <w:lang w:val="en-GB"/>
        </w:rPr>
      </w:pPr>
    </w:p>
    <w:p w:rsidR="00762B64" w:rsidRPr="00F876CB" w:rsidRDefault="00015994" w:rsidP="00762B64">
      <w:pPr>
        <w:pStyle w:val="Balk6"/>
        <w:rPr>
          <w:lang w:val="en-GB"/>
        </w:rPr>
      </w:pPr>
      <w:bookmarkStart w:id="258" w:name="_Toc44508377"/>
      <w:r w:rsidRPr="00F876CB">
        <w:rPr>
          <w:lang w:val="en-GB"/>
        </w:rPr>
        <w:t>Figure</w:t>
      </w:r>
      <w:r w:rsidR="00762B64" w:rsidRPr="00F876CB">
        <w:rPr>
          <w:lang w:val="en-GB"/>
        </w:rPr>
        <w:t xml:space="preserve"> </w:t>
      </w:r>
      <w:r w:rsidR="00853F79" w:rsidRPr="00F876CB">
        <w:rPr>
          <w:lang w:val="en-GB"/>
        </w:rPr>
        <w:t>1</w:t>
      </w:r>
      <w:r w:rsidR="00762B64" w:rsidRPr="00F876CB">
        <w:rPr>
          <w:caps/>
          <w:lang w:val="en-GB"/>
        </w:rPr>
        <w:fldChar w:fldCharType="begin"/>
      </w:r>
      <w:r w:rsidR="00762B64" w:rsidRPr="00F876CB">
        <w:rPr>
          <w:caps/>
          <w:lang w:val="en-GB"/>
        </w:rPr>
        <w:instrText xml:space="preserve"> STYLEREF 1 \s </w:instrText>
      </w:r>
      <w:r w:rsidR="00762B64" w:rsidRPr="00F876CB">
        <w:rPr>
          <w:caps/>
          <w:lang w:val="en-GB"/>
        </w:rPr>
        <w:fldChar w:fldCharType="end"/>
      </w:r>
      <w:r w:rsidR="00762B64" w:rsidRPr="00F876CB">
        <w:rPr>
          <w:lang w:val="en-GB"/>
        </w:rPr>
        <w:t>.</w:t>
      </w:r>
      <w:r w:rsidR="00F41F62">
        <w:rPr>
          <w:lang w:val="en-GB"/>
        </w:rPr>
        <w:t>21</w:t>
      </w:r>
      <w:r w:rsidR="00762B64" w:rsidRPr="00F876CB">
        <w:rPr>
          <w:lang w:val="en-GB"/>
        </w:rPr>
        <w:t xml:space="preserve">: </w:t>
      </w:r>
      <w:r w:rsidR="00811CEC" w:rsidRPr="00F876CB">
        <w:rPr>
          <w:lang w:val="en-GB"/>
        </w:rPr>
        <w:t xml:space="preserve">Development of Gross Consumption by Years </w:t>
      </w:r>
      <w:r w:rsidR="00C91AB7" w:rsidRPr="00F876CB">
        <w:rPr>
          <w:lang w:val="en-GB"/>
        </w:rPr>
        <w:t>(GWh)</w:t>
      </w:r>
      <w:bookmarkEnd w:id="258"/>
    </w:p>
    <w:p w:rsidR="00B5686E" w:rsidRPr="00F876CB" w:rsidRDefault="0081668F" w:rsidP="007B770A">
      <w:pPr>
        <w:rPr>
          <w:lang w:val="en-GB"/>
        </w:rPr>
      </w:pPr>
      <w:r w:rsidRPr="00F876CB">
        <w:rPr>
          <w:noProof/>
          <w:lang w:eastAsia="tr-TR" w:bidi="ar-SA"/>
        </w:rPr>
        <w:drawing>
          <wp:inline distT="0" distB="0" distL="0" distR="0" wp14:anchorId="578F0912">
            <wp:extent cx="5438775" cy="2800350"/>
            <wp:effectExtent l="0" t="0" r="952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38775" cy="2800350"/>
                    </a:xfrm>
                    <a:prstGeom prst="rect">
                      <a:avLst/>
                    </a:prstGeom>
                    <a:noFill/>
                  </pic:spPr>
                </pic:pic>
              </a:graphicData>
            </a:graphic>
          </wp:inline>
        </w:drawing>
      </w:r>
    </w:p>
    <w:p w:rsidR="00A32939" w:rsidRPr="00F876CB" w:rsidRDefault="00A32939" w:rsidP="00A32939">
      <w:pPr>
        <w:pStyle w:val="11ilebalayanlar"/>
        <w:rPr>
          <w:lang w:val="en-GB"/>
        </w:rPr>
      </w:pPr>
      <w:bookmarkStart w:id="259" w:name="_Toc44508285"/>
      <w:r w:rsidRPr="00F876CB">
        <w:rPr>
          <w:lang w:val="en-GB"/>
        </w:rPr>
        <w:lastRenderedPageBreak/>
        <w:t xml:space="preserve">1.6 </w:t>
      </w:r>
      <w:r w:rsidR="00D911BB" w:rsidRPr="00F876CB">
        <w:rPr>
          <w:lang w:val="en-GB"/>
        </w:rPr>
        <w:t>Import and Export</w:t>
      </w:r>
      <w:bookmarkEnd w:id="259"/>
    </w:p>
    <w:p w:rsidR="0046425D" w:rsidRPr="00F876CB" w:rsidRDefault="00A32939" w:rsidP="00A32939">
      <w:pPr>
        <w:pStyle w:val="Tablo1"/>
        <w:rPr>
          <w:lang w:val="en-GB"/>
        </w:rPr>
      </w:pPr>
      <w:r w:rsidRPr="00F876CB">
        <w:rPr>
          <w:lang w:val="en-GB"/>
        </w:rPr>
        <w:t xml:space="preserve"> </w:t>
      </w:r>
      <w:bookmarkStart w:id="260" w:name="_Toc478406115"/>
    </w:p>
    <w:p w:rsidR="003A32C3" w:rsidRPr="00F876CB" w:rsidRDefault="003A32C3" w:rsidP="00A32939">
      <w:pPr>
        <w:pStyle w:val="Tablo1"/>
        <w:rPr>
          <w:sz w:val="24"/>
          <w:szCs w:val="24"/>
          <w:lang w:val="en-GB"/>
        </w:rPr>
      </w:pPr>
      <w:r w:rsidRPr="00F876CB">
        <w:rPr>
          <w:sz w:val="24"/>
          <w:szCs w:val="24"/>
          <w:lang w:val="en-GB"/>
        </w:rPr>
        <w:t xml:space="preserve">1.6.1 </w:t>
      </w:r>
      <w:r w:rsidR="00D911BB" w:rsidRPr="00F876CB">
        <w:rPr>
          <w:sz w:val="24"/>
          <w:szCs w:val="24"/>
          <w:lang w:val="en-GB"/>
        </w:rPr>
        <w:t>Import</w:t>
      </w:r>
    </w:p>
    <w:p w:rsidR="007B770A" w:rsidRPr="00F876CB" w:rsidRDefault="007B770A" w:rsidP="00A32939">
      <w:pPr>
        <w:pStyle w:val="Tablo1"/>
        <w:rPr>
          <w:sz w:val="24"/>
          <w:szCs w:val="24"/>
          <w:lang w:val="en-GB"/>
        </w:rPr>
      </w:pPr>
    </w:p>
    <w:p w:rsidR="002651D6" w:rsidRPr="00F876CB" w:rsidRDefault="00A32C40" w:rsidP="00FC14D5">
      <w:pPr>
        <w:pStyle w:val="Tablo1"/>
        <w:spacing w:line="360" w:lineRule="auto"/>
        <w:rPr>
          <w:b w:val="0"/>
          <w:sz w:val="24"/>
          <w:szCs w:val="24"/>
          <w:lang w:val="en-GB"/>
        </w:rPr>
      </w:pPr>
      <w:r w:rsidRPr="00A32C40">
        <w:rPr>
          <w:b w:val="0"/>
          <w:sz w:val="24"/>
          <w:szCs w:val="24"/>
          <w:lang w:val="en-GB"/>
        </w:rPr>
        <w:t>The dat</w:t>
      </w:r>
      <w:r>
        <w:rPr>
          <w:b w:val="0"/>
          <w:sz w:val="24"/>
          <w:szCs w:val="24"/>
          <w:lang w:val="en-GB"/>
        </w:rPr>
        <w:t>a on electricity imports in 2019</w:t>
      </w:r>
      <w:r w:rsidRPr="00A32C40">
        <w:rPr>
          <w:b w:val="0"/>
          <w:sz w:val="24"/>
          <w:szCs w:val="24"/>
          <w:lang w:val="en-GB"/>
        </w:rPr>
        <w:t xml:space="preserve"> by months is shown in Figure 1.23. </w:t>
      </w:r>
      <w:r>
        <w:rPr>
          <w:b w:val="0"/>
          <w:sz w:val="24"/>
          <w:szCs w:val="24"/>
          <w:lang w:val="en-GB"/>
        </w:rPr>
        <w:t xml:space="preserve"> </w:t>
      </w:r>
      <w:r w:rsidR="00D911BB" w:rsidRPr="00F876CB">
        <w:rPr>
          <w:b w:val="0"/>
          <w:sz w:val="24"/>
          <w:szCs w:val="24"/>
          <w:lang w:val="en-GB"/>
        </w:rPr>
        <w:t>88</w:t>
      </w:r>
      <w:r>
        <w:rPr>
          <w:b w:val="0"/>
          <w:sz w:val="24"/>
          <w:szCs w:val="24"/>
          <w:lang w:val="en-GB"/>
        </w:rPr>
        <w:t>,</w:t>
      </w:r>
      <w:r w:rsidR="00D911BB" w:rsidRPr="00F876CB">
        <w:rPr>
          <w:b w:val="0"/>
          <w:sz w:val="24"/>
          <w:szCs w:val="24"/>
          <w:lang w:val="en-GB"/>
        </w:rPr>
        <w:t>66% of the total 2</w:t>
      </w:r>
      <w:r w:rsidR="007A6D8F">
        <w:rPr>
          <w:b w:val="0"/>
          <w:sz w:val="24"/>
          <w:szCs w:val="24"/>
          <w:lang w:val="en-GB"/>
        </w:rPr>
        <w:t>.</w:t>
      </w:r>
      <w:r w:rsidR="00D911BB" w:rsidRPr="00F876CB">
        <w:rPr>
          <w:b w:val="0"/>
          <w:sz w:val="24"/>
          <w:szCs w:val="24"/>
          <w:lang w:val="en-GB"/>
        </w:rPr>
        <w:t>211</w:t>
      </w:r>
      <w:r w:rsidR="007A6D8F">
        <w:rPr>
          <w:b w:val="0"/>
          <w:sz w:val="24"/>
          <w:szCs w:val="24"/>
          <w:lang w:val="en-GB"/>
        </w:rPr>
        <w:t>.</w:t>
      </w:r>
      <w:r w:rsidR="00D911BB" w:rsidRPr="00F876CB">
        <w:rPr>
          <w:b w:val="0"/>
          <w:sz w:val="24"/>
          <w:szCs w:val="24"/>
          <w:lang w:val="en-GB"/>
        </w:rPr>
        <w:t>506</w:t>
      </w:r>
      <w:r w:rsidR="007A6D8F">
        <w:rPr>
          <w:b w:val="0"/>
          <w:sz w:val="24"/>
          <w:szCs w:val="24"/>
          <w:lang w:val="en-GB"/>
        </w:rPr>
        <w:t>,</w:t>
      </w:r>
      <w:r w:rsidR="00D911BB" w:rsidRPr="00F876CB">
        <w:rPr>
          <w:b w:val="0"/>
          <w:sz w:val="24"/>
          <w:szCs w:val="24"/>
          <w:lang w:val="en-GB"/>
        </w:rPr>
        <w:t>39 MWh electricity imports in 2019 were from Bulgaria, 11</w:t>
      </w:r>
      <w:r w:rsidR="007A6D8F">
        <w:rPr>
          <w:b w:val="0"/>
          <w:sz w:val="24"/>
          <w:szCs w:val="24"/>
          <w:lang w:val="en-GB"/>
        </w:rPr>
        <w:t>,</w:t>
      </w:r>
      <w:r w:rsidR="00D911BB" w:rsidRPr="00F876CB">
        <w:rPr>
          <w:b w:val="0"/>
          <w:sz w:val="24"/>
          <w:szCs w:val="24"/>
          <w:lang w:val="en-GB"/>
        </w:rPr>
        <w:t>17% from Georgia and 0</w:t>
      </w:r>
      <w:r w:rsidR="007A6D8F">
        <w:rPr>
          <w:b w:val="0"/>
          <w:sz w:val="24"/>
          <w:szCs w:val="24"/>
          <w:lang w:val="en-GB"/>
        </w:rPr>
        <w:t>,</w:t>
      </w:r>
      <w:r w:rsidR="00D911BB" w:rsidRPr="00F876CB">
        <w:rPr>
          <w:b w:val="0"/>
          <w:sz w:val="24"/>
          <w:szCs w:val="24"/>
          <w:lang w:val="en-GB"/>
        </w:rPr>
        <w:t>17% from Greece. On a monthly basis, the highest electricity import was in November, while the lowest electricity import was in April.</w:t>
      </w:r>
    </w:p>
    <w:p w:rsidR="007A6D8F" w:rsidRDefault="007A6D8F" w:rsidP="00A200E2">
      <w:pPr>
        <w:pStyle w:val="Balk6"/>
        <w:rPr>
          <w:lang w:val="en-GB"/>
        </w:rPr>
      </w:pPr>
    </w:p>
    <w:p w:rsidR="00A200E2" w:rsidRPr="00F876CB" w:rsidRDefault="00015994" w:rsidP="00A200E2">
      <w:pPr>
        <w:pStyle w:val="Balk6"/>
        <w:rPr>
          <w:lang w:val="en-GB"/>
        </w:rPr>
      </w:pPr>
      <w:bookmarkStart w:id="261" w:name="_Toc44508378"/>
      <w:r w:rsidRPr="00F876CB">
        <w:rPr>
          <w:lang w:val="en-GB"/>
        </w:rPr>
        <w:t>Figure</w:t>
      </w:r>
      <w:r w:rsidR="003A32C3" w:rsidRPr="00F876CB">
        <w:rPr>
          <w:lang w:val="en-GB"/>
        </w:rPr>
        <w:t xml:space="preserve"> </w:t>
      </w:r>
      <w:r w:rsidR="00853F79" w:rsidRPr="00F876CB">
        <w:rPr>
          <w:lang w:val="en-GB"/>
        </w:rPr>
        <w:t>1</w:t>
      </w:r>
      <w:r w:rsidR="003A32C3" w:rsidRPr="00F876CB">
        <w:rPr>
          <w:lang w:val="en-GB"/>
        </w:rPr>
        <w:fldChar w:fldCharType="begin"/>
      </w:r>
      <w:r w:rsidR="003A32C3" w:rsidRPr="00F876CB">
        <w:rPr>
          <w:lang w:val="en-GB"/>
        </w:rPr>
        <w:instrText xml:space="preserve"> STYLEREF 1 \s </w:instrText>
      </w:r>
      <w:r w:rsidR="003A32C3" w:rsidRPr="00F876CB">
        <w:rPr>
          <w:lang w:val="en-GB"/>
        </w:rPr>
        <w:fldChar w:fldCharType="end"/>
      </w:r>
      <w:r w:rsidR="003A32C3" w:rsidRPr="00F876CB">
        <w:rPr>
          <w:lang w:val="en-GB"/>
        </w:rPr>
        <w:t>.</w:t>
      </w:r>
      <w:r w:rsidR="00F41F62">
        <w:rPr>
          <w:lang w:val="en-GB"/>
        </w:rPr>
        <w:t>22</w:t>
      </w:r>
      <w:r w:rsidR="003A32C3" w:rsidRPr="00F876CB">
        <w:rPr>
          <w:lang w:val="en-GB"/>
        </w:rPr>
        <w:t xml:space="preserve">: </w:t>
      </w:r>
      <w:r w:rsidR="00D911BB" w:rsidRPr="00F876CB">
        <w:rPr>
          <w:lang w:val="en-GB"/>
        </w:rPr>
        <w:t xml:space="preserve">Electricity Imports in </w:t>
      </w:r>
      <w:r w:rsidR="00D911BB" w:rsidRPr="00F876CB">
        <w:rPr>
          <w:szCs w:val="24"/>
          <w:lang w:val="en-GB"/>
        </w:rPr>
        <w:t>2019 by Months</w:t>
      </w:r>
      <w:r w:rsidR="00D911BB" w:rsidRPr="00F876CB">
        <w:rPr>
          <w:lang w:val="en-GB"/>
        </w:rPr>
        <w:t xml:space="preserve"> </w:t>
      </w:r>
      <w:r w:rsidR="003A32C3" w:rsidRPr="00F876CB">
        <w:rPr>
          <w:lang w:val="en-GB"/>
        </w:rPr>
        <w:t>(MWh)</w:t>
      </w:r>
      <w:bookmarkEnd w:id="261"/>
    </w:p>
    <w:p w:rsidR="003A32C3" w:rsidRPr="00F876CB" w:rsidRDefault="00F41F62" w:rsidP="009D51CA">
      <w:pPr>
        <w:rPr>
          <w:lang w:val="en-GB"/>
        </w:rPr>
      </w:pPr>
      <w:r>
        <w:rPr>
          <w:noProof/>
          <w:lang w:eastAsia="tr-TR" w:bidi="ar-SA"/>
        </w:rPr>
        <w:drawing>
          <wp:inline distT="0" distB="0" distL="0" distR="0" wp14:anchorId="060D6A9C">
            <wp:extent cx="5925820" cy="3481070"/>
            <wp:effectExtent l="0" t="0" r="0"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5820" cy="3481070"/>
                    </a:xfrm>
                    <a:prstGeom prst="rect">
                      <a:avLst/>
                    </a:prstGeom>
                    <a:noFill/>
                  </pic:spPr>
                </pic:pic>
              </a:graphicData>
            </a:graphic>
          </wp:inline>
        </w:drawing>
      </w:r>
    </w:p>
    <w:bookmarkEnd w:id="260"/>
    <w:p w:rsidR="00A32939" w:rsidRPr="00F876CB" w:rsidRDefault="00A32939" w:rsidP="00A32939">
      <w:pPr>
        <w:pStyle w:val="11ilebalayanlar"/>
        <w:rPr>
          <w:lang w:val="en-GB"/>
        </w:rPr>
      </w:pPr>
    </w:p>
    <w:p w:rsidR="007B770A" w:rsidRPr="00F876CB" w:rsidRDefault="007B770A" w:rsidP="00A32939">
      <w:pPr>
        <w:pStyle w:val="11ilebalayanlar"/>
        <w:rPr>
          <w:lang w:val="en-GB"/>
        </w:rPr>
      </w:pPr>
    </w:p>
    <w:p w:rsidR="006C1587" w:rsidRPr="00F876CB" w:rsidRDefault="006C1587" w:rsidP="006C1587">
      <w:pPr>
        <w:pStyle w:val="Tablo1"/>
        <w:rPr>
          <w:sz w:val="24"/>
          <w:szCs w:val="24"/>
          <w:lang w:val="en-GB"/>
        </w:rPr>
      </w:pPr>
      <w:r w:rsidRPr="00F876CB">
        <w:rPr>
          <w:sz w:val="24"/>
          <w:szCs w:val="24"/>
          <w:lang w:val="en-GB"/>
        </w:rPr>
        <w:t xml:space="preserve">1.6.2 </w:t>
      </w:r>
      <w:r w:rsidR="000603D9" w:rsidRPr="00F876CB">
        <w:rPr>
          <w:sz w:val="24"/>
          <w:szCs w:val="24"/>
          <w:lang w:val="en-GB"/>
        </w:rPr>
        <w:t>Export</w:t>
      </w:r>
    </w:p>
    <w:p w:rsidR="007B770A" w:rsidRPr="00F876CB" w:rsidRDefault="007B770A" w:rsidP="006C1587">
      <w:pPr>
        <w:pStyle w:val="Tablo1"/>
        <w:spacing w:line="360" w:lineRule="auto"/>
        <w:rPr>
          <w:b w:val="0"/>
          <w:sz w:val="24"/>
          <w:szCs w:val="24"/>
          <w:lang w:val="en-GB"/>
        </w:rPr>
      </w:pPr>
    </w:p>
    <w:p w:rsidR="000603D9" w:rsidRPr="007A6D8F" w:rsidRDefault="00A32C40" w:rsidP="007A6D8F">
      <w:pPr>
        <w:pStyle w:val="Tablo1"/>
        <w:spacing w:line="360" w:lineRule="auto"/>
        <w:rPr>
          <w:b w:val="0"/>
          <w:sz w:val="24"/>
          <w:szCs w:val="24"/>
          <w:lang w:val="en-GB"/>
        </w:rPr>
      </w:pPr>
      <w:bookmarkStart w:id="262" w:name="_Toc487101634"/>
      <w:r w:rsidRPr="00A32C40">
        <w:rPr>
          <w:b w:val="0"/>
          <w:sz w:val="24"/>
          <w:szCs w:val="24"/>
          <w:lang w:val="en-GB"/>
        </w:rPr>
        <w:t xml:space="preserve">The data on electricity exports in </w:t>
      </w:r>
      <w:r>
        <w:rPr>
          <w:b w:val="0"/>
          <w:sz w:val="24"/>
          <w:szCs w:val="24"/>
          <w:lang w:val="en-GB"/>
        </w:rPr>
        <w:t>2019</w:t>
      </w:r>
      <w:r w:rsidRPr="00A32C40">
        <w:rPr>
          <w:b w:val="0"/>
          <w:sz w:val="24"/>
          <w:szCs w:val="24"/>
          <w:lang w:val="en-GB"/>
        </w:rPr>
        <w:t xml:space="preserve"> by months is shown in Figure 1.24. </w:t>
      </w:r>
      <w:r>
        <w:rPr>
          <w:b w:val="0"/>
          <w:sz w:val="24"/>
          <w:szCs w:val="24"/>
          <w:lang w:val="en-GB"/>
        </w:rPr>
        <w:t xml:space="preserve"> </w:t>
      </w:r>
      <w:r w:rsidR="000603D9" w:rsidRPr="007A6D8F">
        <w:rPr>
          <w:b w:val="0"/>
          <w:sz w:val="24"/>
          <w:szCs w:val="24"/>
          <w:lang w:val="en-GB"/>
        </w:rPr>
        <w:t>95</w:t>
      </w:r>
      <w:r>
        <w:rPr>
          <w:b w:val="0"/>
          <w:sz w:val="24"/>
          <w:szCs w:val="24"/>
          <w:lang w:val="en-GB"/>
        </w:rPr>
        <w:t>,</w:t>
      </w:r>
      <w:r w:rsidR="000603D9" w:rsidRPr="007A6D8F">
        <w:rPr>
          <w:b w:val="0"/>
          <w:sz w:val="24"/>
          <w:szCs w:val="24"/>
          <w:lang w:val="en-GB"/>
        </w:rPr>
        <w:t>66% of the total 2</w:t>
      </w:r>
      <w:r w:rsidR="007A6D8F">
        <w:rPr>
          <w:b w:val="0"/>
          <w:sz w:val="24"/>
          <w:szCs w:val="24"/>
          <w:lang w:val="en-GB"/>
        </w:rPr>
        <w:t>.</w:t>
      </w:r>
      <w:r w:rsidR="000603D9" w:rsidRPr="007A6D8F">
        <w:rPr>
          <w:b w:val="0"/>
          <w:sz w:val="24"/>
          <w:szCs w:val="24"/>
          <w:lang w:val="en-GB"/>
        </w:rPr>
        <w:t>788</w:t>
      </w:r>
      <w:r w:rsidR="007A6D8F">
        <w:rPr>
          <w:b w:val="0"/>
          <w:sz w:val="24"/>
          <w:szCs w:val="24"/>
          <w:lang w:val="en-GB"/>
        </w:rPr>
        <w:t>.</w:t>
      </w:r>
      <w:r w:rsidR="000603D9" w:rsidRPr="007A6D8F">
        <w:rPr>
          <w:b w:val="0"/>
          <w:sz w:val="24"/>
          <w:szCs w:val="24"/>
          <w:lang w:val="en-GB"/>
        </w:rPr>
        <w:t>667</w:t>
      </w:r>
      <w:r w:rsidR="007A6D8F">
        <w:rPr>
          <w:b w:val="0"/>
          <w:sz w:val="24"/>
          <w:szCs w:val="24"/>
          <w:lang w:val="en-GB"/>
        </w:rPr>
        <w:t>,</w:t>
      </w:r>
      <w:r w:rsidR="000603D9" w:rsidRPr="007A6D8F">
        <w:rPr>
          <w:b w:val="0"/>
          <w:sz w:val="24"/>
          <w:szCs w:val="24"/>
          <w:lang w:val="en-GB"/>
        </w:rPr>
        <w:t>28 MWh electricity exports in 2019 was made to Greece, and the remaining 4,34% to Bulgaria and Georgia. On a monthly basis, the highest electricity export was realized in May, while the lowest electricity import was realized in June.</w:t>
      </w:r>
    </w:p>
    <w:p w:rsidR="000603D9" w:rsidRPr="00F876CB" w:rsidRDefault="000603D9" w:rsidP="000603D9">
      <w:pPr>
        <w:rPr>
          <w:lang w:val="en-GB" w:bidi="ar-SA"/>
        </w:rPr>
      </w:pPr>
    </w:p>
    <w:p w:rsidR="000603D9" w:rsidRPr="00F876CB" w:rsidRDefault="000603D9" w:rsidP="000603D9">
      <w:pPr>
        <w:rPr>
          <w:lang w:val="en-GB" w:bidi="ar-SA"/>
        </w:rPr>
      </w:pPr>
    </w:p>
    <w:p w:rsidR="006C1587" w:rsidRPr="00F876CB" w:rsidRDefault="00015994" w:rsidP="006C1587">
      <w:pPr>
        <w:pStyle w:val="Balk6"/>
        <w:rPr>
          <w:lang w:val="en-GB"/>
        </w:rPr>
      </w:pPr>
      <w:bookmarkStart w:id="263" w:name="_Toc44508379"/>
      <w:r w:rsidRPr="00F876CB">
        <w:rPr>
          <w:lang w:val="en-GB"/>
        </w:rPr>
        <w:t>Figure</w:t>
      </w:r>
      <w:r w:rsidR="006C1587" w:rsidRPr="00F876CB">
        <w:rPr>
          <w:lang w:val="en-GB"/>
        </w:rPr>
        <w:t xml:space="preserve"> </w:t>
      </w:r>
      <w:r w:rsidR="00853F79" w:rsidRPr="00F876CB">
        <w:rPr>
          <w:lang w:val="en-GB"/>
        </w:rPr>
        <w:t>1</w:t>
      </w:r>
      <w:r w:rsidR="006C1587" w:rsidRPr="00F876CB">
        <w:rPr>
          <w:caps/>
          <w:lang w:val="en-GB"/>
        </w:rPr>
        <w:fldChar w:fldCharType="begin"/>
      </w:r>
      <w:r w:rsidR="006C1587" w:rsidRPr="00F876CB">
        <w:rPr>
          <w:caps/>
          <w:lang w:val="en-GB"/>
        </w:rPr>
        <w:instrText xml:space="preserve"> STYLEREF 1 \s </w:instrText>
      </w:r>
      <w:r w:rsidR="006C1587" w:rsidRPr="00F876CB">
        <w:rPr>
          <w:caps/>
          <w:lang w:val="en-GB"/>
        </w:rPr>
        <w:fldChar w:fldCharType="end"/>
      </w:r>
      <w:r w:rsidR="006C1587" w:rsidRPr="00F876CB">
        <w:rPr>
          <w:lang w:val="en-GB"/>
        </w:rPr>
        <w:t>.</w:t>
      </w:r>
      <w:r w:rsidR="00F41F62">
        <w:rPr>
          <w:lang w:val="en-GB"/>
        </w:rPr>
        <w:t>23</w:t>
      </w:r>
      <w:r w:rsidR="006C1587" w:rsidRPr="00F876CB">
        <w:rPr>
          <w:lang w:val="en-GB"/>
        </w:rPr>
        <w:t xml:space="preserve">: </w:t>
      </w:r>
      <w:r w:rsidR="000603D9" w:rsidRPr="00F876CB">
        <w:rPr>
          <w:lang w:val="en-GB"/>
        </w:rPr>
        <w:t xml:space="preserve">Electricity Exports in </w:t>
      </w:r>
      <w:r w:rsidR="000603D9" w:rsidRPr="00F876CB">
        <w:rPr>
          <w:szCs w:val="24"/>
          <w:lang w:val="en-GB"/>
        </w:rPr>
        <w:t>2019 by Months</w:t>
      </w:r>
      <w:r w:rsidR="000603D9" w:rsidRPr="00F876CB">
        <w:rPr>
          <w:lang w:val="en-GB"/>
        </w:rPr>
        <w:t xml:space="preserve"> </w:t>
      </w:r>
      <w:r w:rsidR="006C1587" w:rsidRPr="00F876CB">
        <w:rPr>
          <w:lang w:val="en-GB"/>
        </w:rPr>
        <w:t>(MWh)</w:t>
      </w:r>
      <w:bookmarkEnd w:id="262"/>
      <w:bookmarkEnd w:id="263"/>
    </w:p>
    <w:p w:rsidR="006C1587" w:rsidRPr="00F876CB" w:rsidRDefault="00F41F62" w:rsidP="006C1587">
      <w:pPr>
        <w:rPr>
          <w:lang w:val="en-GB"/>
        </w:rPr>
      </w:pPr>
      <w:r>
        <w:rPr>
          <w:noProof/>
          <w:lang w:eastAsia="tr-TR" w:bidi="ar-SA"/>
        </w:rPr>
        <w:drawing>
          <wp:inline distT="0" distB="0" distL="0" distR="0" wp14:anchorId="11EF4520">
            <wp:extent cx="5925820" cy="3590925"/>
            <wp:effectExtent l="0" t="0" r="0"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25820" cy="3590925"/>
                    </a:xfrm>
                    <a:prstGeom prst="rect">
                      <a:avLst/>
                    </a:prstGeom>
                    <a:noFill/>
                  </pic:spPr>
                </pic:pic>
              </a:graphicData>
            </a:graphic>
          </wp:inline>
        </w:drawing>
      </w:r>
    </w:p>
    <w:p w:rsidR="00CB2DB1" w:rsidRPr="00F876CB" w:rsidRDefault="00CB2DB1" w:rsidP="00CB2DB1">
      <w:pPr>
        <w:pStyle w:val="AnaBalklar"/>
        <w:ind w:left="720"/>
        <w:rPr>
          <w:lang w:val="en-GB"/>
        </w:rPr>
      </w:pPr>
      <w:bookmarkStart w:id="264" w:name="_Toc483831847"/>
      <w:bookmarkStart w:id="265" w:name="_Toc512430791"/>
      <w:bookmarkStart w:id="266" w:name="_Toc514767704"/>
      <w:bookmarkStart w:id="267" w:name="_Toc326331442"/>
      <w:bookmarkEnd w:id="25"/>
    </w:p>
    <w:p w:rsidR="00CB2DB1" w:rsidRPr="00F876CB" w:rsidRDefault="00CB2DB1">
      <w:pPr>
        <w:rPr>
          <w:rFonts w:ascii="Times New Roman" w:hAnsi="Times New Roman"/>
          <w:b/>
          <w:sz w:val="24"/>
          <w:szCs w:val="32"/>
          <w:lang w:val="en-GB" w:bidi="ar-SA"/>
        </w:rPr>
      </w:pPr>
      <w:r w:rsidRPr="00F876CB">
        <w:rPr>
          <w:lang w:val="en-GB"/>
        </w:rPr>
        <w:br w:type="page"/>
      </w:r>
    </w:p>
    <w:p w:rsidR="00767AED" w:rsidRPr="00F876CB" w:rsidRDefault="00767AED" w:rsidP="00767AED">
      <w:pPr>
        <w:pStyle w:val="AnaBalklar"/>
        <w:numPr>
          <w:ilvl w:val="0"/>
          <w:numId w:val="34"/>
        </w:numPr>
        <w:rPr>
          <w:lang w:val="en-GB"/>
        </w:rPr>
      </w:pPr>
      <w:bookmarkStart w:id="268" w:name="_Toc44508286"/>
      <w:bookmarkEnd w:id="264"/>
      <w:bookmarkEnd w:id="265"/>
      <w:bookmarkEnd w:id="266"/>
      <w:r w:rsidRPr="00F876CB">
        <w:rPr>
          <w:lang w:val="en-GB"/>
        </w:rPr>
        <w:lastRenderedPageBreak/>
        <w:t>WHOLESALE MARKET</w:t>
      </w:r>
      <w:bookmarkEnd w:id="268"/>
    </w:p>
    <w:p w:rsidR="00767AED" w:rsidRPr="00F876CB" w:rsidRDefault="00767AED" w:rsidP="00767AED">
      <w:pPr>
        <w:pStyle w:val="AnaBalklar"/>
        <w:ind w:left="720"/>
        <w:rPr>
          <w:lang w:val="en-GB"/>
        </w:rPr>
      </w:pP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In this section, the developments that occurred in the wholesale market were examined in the year 201</w:t>
      </w:r>
      <w:r>
        <w:rPr>
          <w:rFonts w:ascii="Times New Roman" w:hAnsi="Times New Roman" w:cs="Times New Roman"/>
          <w:sz w:val="24"/>
          <w:szCs w:val="24"/>
          <w:shd w:val="clear" w:color="auto" w:fill="FFFFFF"/>
          <w:lang w:val="en-GB"/>
        </w:rPr>
        <w:t>9</w:t>
      </w:r>
      <w:r w:rsidRPr="00F876CB">
        <w:rPr>
          <w:rFonts w:ascii="Times New Roman" w:hAnsi="Times New Roman" w:cs="Times New Roman"/>
          <w:sz w:val="24"/>
          <w:szCs w:val="24"/>
          <w:shd w:val="clear" w:color="auto" w:fill="FFFFFF"/>
          <w:lang w:val="en-GB"/>
        </w:rPr>
        <w:t>. In this context; the prices of the Day-Ahead Market (DAM), the Intra-Day Market (IDM) and the Balancing Power Market (BPM) are presented with the volumes and the orders given. Moreover, the changes that occurred in the market structure are explained.</w:t>
      </w: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Primary Frequency Control (PFC) brings the system frequency to a new equilibrium point by automatically increasing or decreasing the unit active power with the speed regulator in response to the decrease or rise of the system frequency. PFK reserve is obtained from production facilities determined to be capable of providing PFK services as a result of PFK performance tests in Electricity Network Regulation.</w:t>
      </w: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 xml:space="preserve">Secondary Frequency Control (SFK) brings the system frequency to the nominal value and to the programmed value of the total electrical energy exchange with </w:t>
      </w:r>
      <w:proofErr w:type="spellStart"/>
      <w:r w:rsidRPr="00F876CB">
        <w:rPr>
          <w:rFonts w:ascii="Times New Roman" w:hAnsi="Times New Roman" w:cs="Times New Roman"/>
          <w:sz w:val="24"/>
          <w:szCs w:val="24"/>
          <w:shd w:val="clear" w:color="auto" w:fill="FFFFFF"/>
          <w:lang w:val="en-GB"/>
        </w:rPr>
        <w:t>neighboring</w:t>
      </w:r>
      <w:proofErr w:type="spellEnd"/>
      <w:r w:rsidRPr="00F876CB">
        <w:rPr>
          <w:rFonts w:ascii="Times New Roman" w:hAnsi="Times New Roman" w:cs="Times New Roman"/>
          <w:sz w:val="24"/>
          <w:szCs w:val="24"/>
          <w:shd w:val="clear" w:color="auto" w:fill="FFFFFF"/>
          <w:lang w:val="en-GB"/>
        </w:rPr>
        <w:t xml:space="preserve"> country electricity networks by increasing or decreasing the active power output of the production facilities participating in the SFK service by the signals sent automatically from the National Load Dispatch </w:t>
      </w:r>
      <w:proofErr w:type="spellStart"/>
      <w:r w:rsidRPr="00F876CB">
        <w:rPr>
          <w:rFonts w:ascii="Times New Roman" w:hAnsi="Times New Roman" w:cs="Times New Roman"/>
          <w:sz w:val="24"/>
          <w:szCs w:val="24"/>
          <w:shd w:val="clear" w:color="auto" w:fill="FFFFFF"/>
          <w:lang w:val="en-GB"/>
        </w:rPr>
        <w:t>Center</w:t>
      </w:r>
      <w:proofErr w:type="spellEnd"/>
      <w:r w:rsidRPr="00F876CB">
        <w:rPr>
          <w:rFonts w:ascii="Times New Roman" w:hAnsi="Times New Roman" w:cs="Times New Roman"/>
          <w:sz w:val="24"/>
          <w:szCs w:val="24"/>
          <w:shd w:val="clear" w:color="auto" w:fill="FFFFFF"/>
          <w:lang w:val="en-GB"/>
        </w:rPr>
        <w:t>. SFK reserve is provided by the production facilities which are determined to be capable of providing SFK services as a result of the SFK performance tests in the Electricity Network Regulation.</w:t>
      </w: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Pursuant to the Electricity Market Ancillary Services Regulation published on the Official Gazette dated 26 November 2017 and numbered 30252, participation in PFK and SFK services has ceased to be compulsory and PFK and SFK reserves have been procured on a voluntary basis. Currently, between 200-300 MW PFK reserve and 700-1100 MW SFK reserve are kept at different times of the day.</w:t>
      </w:r>
    </w:p>
    <w:p w:rsidR="00767AED" w:rsidRPr="00F876CB" w:rsidRDefault="00767AED" w:rsidP="00767AED">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lang w:val="en-GB"/>
        </w:rPr>
      </w:pPr>
      <w:bookmarkStart w:id="269" w:name="_Toc326855608"/>
      <w:bookmarkStart w:id="270" w:name="_Toc326855653"/>
      <w:bookmarkStart w:id="271" w:name="_Toc326855700"/>
      <w:bookmarkStart w:id="272" w:name="_Toc326855746"/>
      <w:bookmarkStart w:id="273" w:name="_Toc326855790"/>
      <w:bookmarkStart w:id="274" w:name="_Toc326855867"/>
      <w:bookmarkStart w:id="275" w:name="_Toc326855911"/>
      <w:bookmarkStart w:id="276" w:name="_Toc326856042"/>
      <w:bookmarkStart w:id="277" w:name="_Toc326856100"/>
      <w:bookmarkStart w:id="278" w:name="_Toc326856174"/>
      <w:bookmarkStart w:id="279" w:name="_Toc326856231"/>
      <w:bookmarkStart w:id="280" w:name="_Toc326856364"/>
      <w:bookmarkStart w:id="281" w:name="_Toc327285612"/>
      <w:bookmarkStart w:id="282" w:name="_Toc327285649"/>
      <w:bookmarkStart w:id="283" w:name="_Toc327285687"/>
      <w:bookmarkStart w:id="284" w:name="_Toc332123276"/>
      <w:bookmarkStart w:id="285" w:name="_Toc333488651"/>
      <w:bookmarkStart w:id="286" w:name="_Toc333488780"/>
      <w:bookmarkStart w:id="287" w:name="_Toc333488853"/>
      <w:bookmarkStart w:id="288" w:name="_Toc333488899"/>
      <w:bookmarkStart w:id="289" w:name="_Toc333488968"/>
      <w:bookmarkStart w:id="290" w:name="_Toc333501276"/>
      <w:bookmarkStart w:id="291" w:name="_Toc335986561"/>
      <w:bookmarkStart w:id="292" w:name="_Toc336004557"/>
      <w:bookmarkStart w:id="293" w:name="_Toc400527915"/>
      <w:bookmarkStart w:id="294" w:name="_Toc400527974"/>
      <w:bookmarkStart w:id="295" w:name="_Toc401766147"/>
      <w:bookmarkStart w:id="296" w:name="_Toc401766202"/>
      <w:bookmarkStart w:id="297" w:name="_Toc402451211"/>
      <w:bookmarkStart w:id="298" w:name="_Toc402512341"/>
      <w:bookmarkStart w:id="299" w:name="_Toc402512381"/>
      <w:bookmarkStart w:id="300" w:name="_Toc402770667"/>
      <w:bookmarkStart w:id="301" w:name="_Toc402780569"/>
      <w:bookmarkStart w:id="302" w:name="_Toc402796268"/>
      <w:bookmarkStart w:id="303" w:name="_Toc402798362"/>
      <w:bookmarkStart w:id="304" w:name="_Toc402798415"/>
      <w:bookmarkStart w:id="305" w:name="_Toc404347598"/>
      <w:bookmarkStart w:id="306" w:name="_Toc404588137"/>
      <w:bookmarkStart w:id="307" w:name="_Toc404863962"/>
      <w:bookmarkStart w:id="308" w:name="_Toc404864366"/>
      <w:bookmarkStart w:id="309" w:name="_Toc404864521"/>
      <w:bookmarkStart w:id="310" w:name="_Toc404864631"/>
      <w:bookmarkStart w:id="311" w:name="_Toc404865480"/>
      <w:bookmarkStart w:id="312" w:name="_Toc405476951"/>
      <w:bookmarkStart w:id="313" w:name="_Toc405817126"/>
      <w:bookmarkStart w:id="314" w:name="_Toc423946983"/>
      <w:bookmarkStart w:id="315" w:name="_Toc428360323"/>
      <w:bookmarkStart w:id="316" w:name="_Toc428422426"/>
      <w:bookmarkStart w:id="317" w:name="_Toc428456306"/>
      <w:bookmarkStart w:id="318" w:name="_Toc428709035"/>
      <w:bookmarkStart w:id="319" w:name="_Toc428709076"/>
      <w:bookmarkStart w:id="320" w:name="_Toc428709707"/>
      <w:bookmarkStart w:id="321" w:name="_Toc428716819"/>
      <w:bookmarkStart w:id="322" w:name="_Toc428716853"/>
      <w:bookmarkStart w:id="323" w:name="_Toc428786935"/>
      <w:bookmarkStart w:id="324" w:name="_Toc429402380"/>
      <w:bookmarkStart w:id="325" w:name="_Toc429469223"/>
      <w:bookmarkStart w:id="326" w:name="_Toc429475742"/>
      <w:bookmarkStart w:id="327" w:name="_Toc432164545"/>
      <w:bookmarkStart w:id="328" w:name="_Toc449713764"/>
      <w:bookmarkStart w:id="329" w:name="_Toc450223266"/>
      <w:bookmarkStart w:id="330" w:name="_Toc450300227"/>
      <w:bookmarkStart w:id="331" w:name="_Toc450300266"/>
      <w:bookmarkStart w:id="332" w:name="_Toc450309723"/>
      <w:bookmarkStart w:id="333" w:name="_Toc450309798"/>
      <w:bookmarkStart w:id="334" w:name="_Toc450309911"/>
      <w:bookmarkStart w:id="335" w:name="_Toc450314129"/>
      <w:bookmarkStart w:id="336" w:name="_Toc450319856"/>
      <w:bookmarkStart w:id="337" w:name="_Toc450555900"/>
      <w:bookmarkStart w:id="338" w:name="_Toc452044459"/>
      <w:bookmarkStart w:id="339" w:name="_Toc452044873"/>
      <w:bookmarkStart w:id="340" w:name="_Toc452106903"/>
      <w:bookmarkStart w:id="341" w:name="_Toc452111703"/>
      <w:bookmarkStart w:id="342" w:name="_Toc480375586"/>
      <w:bookmarkStart w:id="343" w:name="_Toc480451666"/>
      <w:bookmarkStart w:id="344" w:name="_Toc480534986"/>
      <w:bookmarkStart w:id="345" w:name="_Toc480899349"/>
      <w:bookmarkStart w:id="346" w:name="_Toc480991761"/>
      <w:bookmarkStart w:id="347" w:name="_Toc481497632"/>
      <w:bookmarkStart w:id="348" w:name="_Toc482801118"/>
      <w:bookmarkStart w:id="349" w:name="_Toc483791435"/>
      <w:bookmarkStart w:id="350" w:name="_Toc483791688"/>
      <w:bookmarkStart w:id="351" w:name="_Toc483831848"/>
      <w:bookmarkStart w:id="352" w:name="_Toc511123171"/>
      <w:bookmarkStart w:id="353" w:name="_Toc511123210"/>
      <w:bookmarkStart w:id="354" w:name="_Toc511221793"/>
      <w:bookmarkStart w:id="355" w:name="_Toc512429790"/>
      <w:bookmarkStart w:id="356" w:name="_Toc512430792"/>
      <w:bookmarkStart w:id="357" w:name="_Toc512431628"/>
      <w:bookmarkStart w:id="358" w:name="_Toc512431667"/>
      <w:bookmarkStart w:id="359" w:name="_Toc514767705"/>
      <w:bookmarkStart w:id="360" w:name="_Toc7172743"/>
      <w:bookmarkStart w:id="361" w:name="_Toc7172783"/>
      <w:bookmarkStart w:id="362" w:name="_Toc7181372"/>
      <w:bookmarkStart w:id="363" w:name="_Toc7431164"/>
      <w:bookmarkStart w:id="364" w:name="_Toc8987858"/>
      <w:bookmarkStart w:id="365" w:name="_Toc37374473"/>
      <w:bookmarkStart w:id="366" w:name="_Toc40103306"/>
      <w:bookmarkStart w:id="367" w:name="_Toc40103774"/>
      <w:bookmarkStart w:id="368" w:name="_Toc40142153"/>
      <w:bookmarkStart w:id="369" w:name="_Toc40956358"/>
      <w:bookmarkStart w:id="370" w:name="_Toc40961405"/>
      <w:bookmarkStart w:id="371" w:name="_Toc40965986"/>
      <w:bookmarkStart w:id="372" w:name="_Toc44073368"/>
      <w:bookmarkStart w:id="373" w:name="_Toc44073407"/>
      <w:bookmarkStart w:id="374" w:name="_Toc44073446"/>
      <w:bookmarkStart w:id="375" w:name="_Toc44508287"/>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767AED" w:rsidRPr="00F876CB" w:rsidRDefault="00767AED" w:rsidP="00767AED">
      <w:pPr>
        <w:pStyle w:val="11ilebalayanlar"/>
        <w:numPr>
          <w:ilvl w:val="1"/>
          <w:numId w:val="3"/>
        </w:numPr>
        <w:rPr>
          <w:lang w:val="en-GB"/>
        </w:rPr>
      </w:pPr>
      <w:bookmarkStart w:id="376" w:name="_Toc44508288"/>
      <w:r w:rsidRPr="00F876CB">
        <w:rPr>
          <w:lang w:val="en-GB"/>
        </w:rPr>
        <w:t>Day-Ahead Market</w:t>
      </w:r>
      <w:bookmarkEnd w:id="376"/>
    </w:p>
    <w:p w:rsidR="00767AED" w:rsidRPr="00F876CB" w:rsidRDefault="00767AED" w:rsidP="00767AED">
      <w:pPr>
        <w:pStyle w:val="11ilebalayanlar"/>
        <w:ind w:left="576"/>
        <w:rPr>
          <w:lang w:val="en-GB"/>
        </w:rPr>
      </w:pPr>
    </w:p>
    <w:p w:rsidR="00767AED" w:rsidRPr="00F876CB" w:rsidRDefault="00767AED" w:rsidP="00767AED">
      <w:pPr>
        <w:pStyle w:val="NormalWeb"/>
        <w:shd w:val="clear" w:color="auto" w:fill="FFFFFF"/>
        <w:spacing w:line="360" w:lineRule="auto"/>
        <w:jc w:val="both"/>
        <w:rPr>
          <w:rFonts w:asciiTheme="minorHAnsi" w:hAnsiTheme="minorHAnsi" w:cstheme="minorHAnsi"/>
          <w:lang w:val="en-GB"/>
        </w:rPr>
      </w:pPr>
      <w:r w:rsidRPr="00F876CB">
        <w:rPr>
          <w:rFonts w:asciiTheme="minorHAnsi" w:hAnsiTheme="minorHAnsi" w:cstheme="minorHAnsi"/>
          <w:lang w:val="en-GB"/>
        </w:rPr>
        <w:t>In the process that started with the Electricity Market Law, it was aimed to create an electricity market that is transparent, reliable, competitive and integrated with the electricity markets of other countries. In line with this goal, many planned steps have been taken, and significant progress has been made in each step taken to make the electricity market stronger and more dynamic, for market participants to take a more active role in the electricity market, and for those who operate the market to manage and follow the market in the best way.</w:t>
      </w:r>
    </w:p>
    <w:p w:rsidR="00767AED" w:rsidRPr="00F876CB" w:rsidRDefault="00767AED" w:rsidP="00767AED">
      <w:pPr>
        <w:spacing w:line="360" w:lineRule="auto"/>
        <w:jc w:val="both"/>
        <w:textAlignment w:val="top"/>
        <w:rPr>
          <w:rFonts w:ascii="Times New Roman" w:eastAsia="Times New Roman" w:hAnsi="Times New Roman" w:cs="Times New Roman"/>
          <w:color w:val="555555"/>
          <w:sz w:val="24"/>
          <w:szCs w:val="24"/>
          <w:lang w:val="en-GB"/>
        </w:rPr>
      </w:pPr>
      <w:r w:rsidRPr="00F876CB">
        <w:rPr>
          <w:rFonts w:ascii="Times New Roman" w:hAnsi="Times New Roman" w:cs="Times New Roman"/>
          <w:color w:val="060606"/>
          <w:sz w:val="24"/>
          <w:szCs w:val="24"/>
          <w:shd w:val="clear" w:color="auto" w:fill="FFFFFF"/>
          <w:lang w:val="en-GB"/>
        </w:rPr>
        <w:lastRenderedPageBreak/>
        <w:t>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w:t>
      </w:r>
      <w:r>
        <w:rPr>
          <w:rFonts w:ascii="Times New Roman" w:hAnsi="Times New Roman" w:cs="Times New Roman"/>
          <w:color w:val="060606"/>
          <w:sz w:val="24"/>
          <w:szCs w:val="24"/>
          <w:shd w:val="clear" w:color="auto" w:fill="FFFFFF"/>
          <w:lang w:val="en-GB"/>
        </w:rPr>
        <w:t xml:space="preserve">m has been established which is </w:t>
      </w:r>
      <w:r w:rsidRPr="00F876CB">
        <w:rPr>
          <w:rFonts w:ascii="Times New Roman" w:hAnsi="Times New Roman" w:cs="Times New Roman"/>
          <w:color w:val="060606"/>
          <w:sz w:val="24"/>
          <w:szCs w:val="24"/>
          <w:shd w:val="clear" w:color="auto" w:fill="FFFFFF"/>
          <w:lang w:val="en-GB"/>
        </w:rPr>
        <w:t>deemed as biggest step towards formation of targeted electricity market structure. Establishment of Day-Ahead Market stimulated a new dynamism and vision for Turkish Electricity Market and allowed formation of market structure based on values of competition.</w:t>
      </w:r>
    </w:p>
    <w:p w:rsidR="00767AED" w:rsidRPr="00F876CB" w:rsidRDefault="00767AED" w:rsidP="00767AED">
      <w:pPr>
        <w:shd w:val="clear" w:color="auto" w:fill="FFFFFF"/>
        <w:spacing w:line="360" w:lineRule="auto"/>
        <w:jc w:val="both"/>
        <w:rPr>
          <w:rFonts w:ascii="Times New Roman" w:eastAsia="Times New Roman" w:hAnsi="Times New Roman" w:cs="Times New Roman"/>
          <w:sz w:val="24"/>
          <w:szCs w:val="24"/>
          <w:lang w:val="en-GB"/>
        </w:rPr>
      </w:pPr>
      <w:r w:rsidRPr="00F876CB">
        <w:rPr>
          <w:rFonts w:ascii="Times New Roman" w:eastAsia="Times New Roman" w:hAnsi="Times New Roman" w:cs="Times New Roman"/>
          <w:sz w:val="24"/>
          <w:szCs w:val="24"/>
          <w:lang w:val="en-GB"/>
        </w:rPr>
        <w:t xml:space="preserve">With the new market structure, the collateral mechanism has been implemented </w:t>
      </w:r>
      <w:proofErr w:type="gramStart"/>
      <w:r w:rsidRPr="00F876CB">
        <w:rPr>
          <w:rFonts w:ascii="Times New Roman" w:eastAsia="Times New Roman" w:hAnsi="Times New Roman" w:cs="Times New Roman"/>
          <w:sz w:val="24"/>
          <w:szCs w:val="24"/>
          <w:lang w:val="en-GB"/>
        </w:rPr>
        <w:t>and in this context</w:t>
      </w:r>
      <w:proofErr w:type="gramEnd"/>
      <w:r w:rsidRPr="00F876CB">
        <w:rPr>
          <w:rFonts w:ascii="Times New Roman" w:eastAsia="Times New Roman" w:hAnsi="Times New Roman" w:cs="Times New Roman"/>
          <w:sz w:val="24"/>
          <w:szCs w:val="24"/>
          <w:lang w:val="en-GB"/>
        </w:rPr>
        <w:t>, the market participants registered with MFSC must provide a guarantee to the market operator for the transactions they have made in DAM. In addition to this arrangement, it is possible for participants to create portfolios. Lastly, in the event that system constraints continue systematically, TEİAŞ is given the opportunity to switch to regional pricing by considering the constraints.</w:t>
      </w:r>
    </w:p>
    <w:p w:rsidR="00767AED" w:rsidRPr="00F876CB" w:rsidRDefault="00767AED" w:rsidP="00767AED">
      <w:pPr>
        <w:spacing w:line="360" w:lineRule="auto"/>
        <w:jc w:val="both"/>
        <w:rPr>
          <w:rFonts w:ascii="Times New Roman" w:hAnsi="Times New Roman" w:cs="Times New Roman"/>
          <w:color w:val="555555"/>
          <w:sz w:val="20"/>
          <w:szCs w:val="20"/>
          <w:shd w:val="clear" w:color="auto" w:fill="FFFFFF"/>
          <w:lang w:val="en-GB"/>
        </w:rPr>
      </w:pPr>
      <w:r w:rsidRPr="00F876CB">
        <w:rPr>
          <w:rFonts w:ascii="Times New Roman" w:hAnsi="Times New Roman" w:cs="Times New Roman"/>
          <w:sz w:val="24"/>
          <w:szCs w:val="24"/>
          <w:shd w:val="clear" w:color="auto" w:fill="FFFFFF"/>
          <w:lang w:val="en-GB"/>
        </w:rPr>
        <w:t>Following the completion of the registration process on 18 March 2015, the Energy Exchange Istanbul (EXIST) was formally established, under the provisions of the Turkish Commercial Code of the 14.03.2013 dated and numbered 6446 with the Electricity Market Act of 6102</w:t>
      </w:r>
      <w:r w:rsidRPr="00F876CB">
        <w:rPr>
          <w:rFonts w:ascii="Times New Roman" w:hAnsi="Times New Roman" w:cs="Times New Roman"/>
          <w:color w:val="555555"/>
          <w:sz w:val="20"/>
          <w:szCs w:val="20"/>
          <w:shd w:val="clear" w:color="auto" w:fill="FFFFFF"/>
          <w:lang w:val="en-GB"/>
        </w:rPr>
        <w:t>.</w:t>
      </w: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In accordance with the proposals offered by the market participants in the Day-Ahead Market operated by EXIST, the market exchange prices and the purchase and sales quantities are announced.</w:t>
      </w:r>
    </w:p>
    <w:p w:rsidR="00767AED" w:rsidRPr="00F876CB" w:rsidRDefault="00767AED" w:rsidP="00767AED">
      <w:pPr>
        <w:tabs>
          <w:tab w:val="left" w:pos="1103"/>
        </w:tabs>
        <w:spacing w:line="360" w:lineRule="auto"/>
        <w:jc w:val="both"/>
        <w:rPr>
          <w:rFonts w:ascii="Times New Roman" w:hAnsi="Times New Roman" w:cs="Times New Roman"/>
          <w:sz w:val="24"/>
          <w:lang w:val="en-GB"/>
        </w:rPr>
      </w:pPr>
      <w:r w:rsidRPr="00F876CB">
        <w:rPr>
          <w:rFonts w:ascii="Times New Roman" w:hAnsi="Times New Roman" w:cs="Times New Roman"/>
          <w:sz w:val="24"/>
          <w:lang w:val="en-GB"/>
        </w:rPr>
        <w:t>For the year 2019, prices of DAM are given in Figure 2.1.1 and 2.1.2.</w:t>
      </w:r>
    </w:p>
    <w:p w:rsidR="00767AED" w:rsidRPr="00F876CB" w:rsidRDefault="00767AED" w:rsidP="00767AED">
      <w:pPr>
        <w:pStyle w:val="Balk6"/>
        <w:rPr>
          <w:lang w:val="en-GB"/>
        </w:rPr>
      </w:pPr>
    </w:p>
    <w:p w:rsidR="00767AED" w:rsidRPr="00F876CB" w:rsidRDefault="00767AED" w:rsidP="00767AED">
      <w:pPr>
        <w:pStyle w:val="Balk6"/>
        <w:rPr>
          <w:lang w:val="en-GB"/>
        </w:rPr>
      </w:pPr>
    </w:p>
    <w:p w:rsidR="00767AED" w:rsidRPr="00F876CB" w:rsidRDefault="00767AED" w:rsidP="00767AED">
      <w:pPr>
        <w:pStyle w:val="Balk6"/>
        <w:rPr>
          <w:lang w:val="en-GB"/>
        </w:rPr>
      </w:pPr>
    </w:p>
    <w:p w:rsidR="00767AED" w:rsidRPr="00F876CB" w:rsidRDefault="00767AED" w:rsidP="00767AED">
      <w:pPr>
        <w:pStyle w:val="Balk6"/>
        <w:rPr>
          <w:lang w:val="en-GB"/>
        </w:rPr>
      </w:pPr>
    </w:p>
    <w:p w:rsidR="00767AED" w:rsidRPr="00F876CB" w:rsidRDefault="00767AED" w:rsidP="00767AED">
      <w:pPr>
        <w:rPr>
          <w:lang w:val="en-GB"/>
        </w:rPr>
      </w:pPr>
    </w:p>
    <w:p w:rsidR="00767AED" w:rsidRPr="00F876CB" w:rsidRDefault="00767AED" w:rsidP="00767AED">
      <w:pPr>
        <w:pStyle w:val="Balk6"/>
        <w:rPr>
          <w:lang w:val="en-GB"/>
        </w:rPr>
      </w:pPr>
    </w:p>
    <w:p w:rsidR="00767AED" w:rsidRPr="00F876CB" w:rsidRDefault="00767AED" w:rsidP="00767AED">
      <w:pPr>
        <w:pStyle w:val="Balk6"/>
        <w:rPr>
          <w:lang w:val="en-GB"/>
        </w:rPr>
      </w:pPr>
      <w:bookmarkStart w:id="377" w:name="_Toc487101635"/>
      <w:bookmarkStart w:id="378" w:name="_Toc512430975"/>
      <w:bookmarkStart w:id="379" w:name="_Toc12535999"/>
      <w:bookmarkStart w:id="380" w:name="_Toc40966079"/>
      <w:bookmarkStart w:id="381" w:name="_Toc44508380"/>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Şekil \* ARABIC \s 1 </w:instrText>
      </w:r>
      <w:r w:rsidRPr="00F876CB">
        <w:rPr>
          <w:lang w:val="en-GB"/>
        </w:rPr>
        <w:fldChar w:fldCharType="separate"/>
      </w:r>
      <w:r w:rsidRPr="00F876CB">
        <w:rPr>
          <w:noProof/>
          <w:lang w:val="en-GB"/>
        </w:rPr>
        <w:t>1</w:t>
      </w:r>
      <w:r w:rsidRPr="00F876CB">
        <w:rPr>
          <w:lang w:val="en-GB"/>
        </w:rPr>
        <w:fldChar w:fldCharType="end"/>
      </w:r>
      <w:r w:rsidRPr="00F876CB">
        <w:rPr>
          <w:lang w:val="en-GB"/>
        </w:rPr>
        <w:t>.1: Hourly Development of Weighted Average Market Clearing Price in 2019 (TL/MWh)</w:t>
      </w:r>
      <w:bookmarkEnd w:id="377"/>
      <w:bookmarkEnd w:id="378"/>
      <w:bookmarkEnd w:id="379"/>
      <w:bookmarkEnd w:id="380"/>
      <w:bookmarkEnd w:id="381"/>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09BCC3B1" wp14:editId="29AC1F04">
            <wp:extent cx="5419725" cy="2974975"/>
            <wp:effectExtent l="0" t="0" r="952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19725" cy="2974975"/>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382" w:name="_Toc512430976"/>
      <w:bookmarkStart w:id="383" w:name="_Toc12536000"/>
      <w:bookmarkStart w:id="384" w:name="_Toc40966080"/>
      <w:bookmarkStart w:id="385" w:name="_Toc44508381"/>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Şekil \* ARABIC \s 1 </w:instrText>
      </w:r>
      <w:r w:rsidRPr="00F876CB">
        <w:rPr>
          <w:lang w:val="en-GB"/>
        </w:rPr>
        <w:fldChar w:fldCharType="separate"/>
      </w:r>
      <w:r w:rsidRPr="00F876CB">
        <w:rPr>
          <w:noProof/>
          <w:lang w:val="en-GB"/>
        </w:rPr>
        <w:t>1</w:t>
      </w:r>
      <w:r w:rsidRPr="00F876CB">
        <w:rPr>
          <w:lang w:val="en-GB"/>
        </w:rPr>
        <w:fldChar w:fldCharType="end"/>
      </w:r>
      <w:r w:rsidRPr="00F876CB">
        <w:rPr>
          <w:lang w:val="en-GB"/>
        </w:rPr>
        <w:t xml:space="preserve">.2: Organized </w:t>
      </w:r>
      <w:r>
        <w:rPr>
          <w:lang w:val="en-GB"/>
        </w:rPr>
        <w:t xml:space="preserve">and </w:t>
      </w:r>
      <w:r w:rsidRPr="00F876CB">
        <w:rPr>
          <w:lang w:val="en-GB"/>
        </w:rPr>
        <w:t>Weighted Average MCP in 2019 (TL/MWh)</w:t>
      </w:r>
      <w:bookmarkEnd w:id="382"/>
      <w:bookmarkEnd w:id="383"/>
      <w:bookmarkEnd w:id="384"/>
      <w:bookmarkEnd w:id="385"/>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4B2E9B64" wp14:editId="560C3B58">
            <wp:extent cx="5410200" cy="3005455"/>
            <wp:effectExtent l="0" t="0" r="0" b="444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10200" cy="3005455"/>
                    </a:xfrm>
                    <a:prstGeom prst="rect">
                      <a:avLst/>
                    </a:prstGeom>
                    <a:noFill/>
                  </pic:spPr>
                </pic:pic>
              </a:graphicData>
            </a:graphic>
          </wp:inline>
        </w:drawing>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bookmarkStart w:id="386" w:name="_Toc432165735"/>
      <w:bookmarkStart w:id="387" w:name="_Toc450307921"/>
      <w:r w:rsidRPr="00F876CB">
        <w:rPr>
          <w:rFonts w:asciiTheme="minorHAnsi" w:eastAsiaTheme="minorEastAsia" w:hAnsiTheme="minorHAnsi" w:cstheme="minorHAnsi"/>
          <w:sz w:val="24"/>
          <w:szCs w:val="24"/>
          <w:lang w:val="en-GB"/>
        </w:rPr>
        <w:t xml:space="preserve">As seen in the figures, prices have generally been in the range of 150-350 TL / MWh. The price reached its highest value of 500.00 TL / MWh on June 27, 2019 at 15:00. In 2019, </w:t>
      </w:r>
      <w:r>
        <w:rPr>
          <w:rFonts w:asciiTheme="minorHAnsi" w:eastAsiaTheme="minorEastAsia" w:hAnsiTheme="minorHAnsi" w:cstheme="minorHAnsi"/>
          <w:sz w:val="24"/>
          <w:szCs w:val="24"/>
          <w:lang w:val="en-GB"/>
        </w:rPr>
        <w:t>MCP</w:t>
      </w:r>
      <w:r w:rsidRPr="00F876CB">
        <w:rPr>
          <w:rFonts w:asciiTheme="minorHAnsi" w:eastAsiaTheme="minorEastAsia" w:hAnsiTheme="minorHAnsi" w:cstheme="minorHAnsi"/>
          <w:sz w:val="24"/>
          <w:szCs w:val="24"/>
          <w:lang w:val="en-GB"/>
        </w:rPr>
        <w:t xml:space="preserve"> was 0 TL / MWh for a total of 52 hours.</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388" w:name="_Toc487101636"/>
      <w:bookmarkStart w:id="389" w:name="_Toc512430977"/>
      <w:bookmarkStart w:id="390" w:name="_Toc12536001"/>
      <w:bookmarkStart w:id="391" w:name="_Toc40966081"/>
      <w:r w:rsidRPr="00F876CB">
        <w:rPr>
          <w:rFonts w:ascii="Times New Roman" w:eastAsia="Times New Roman" w:hAnsi="Times New Roman" w:cs="Times New Roman"/>
          <w:sz w:val="24"/>
          <w:szCs w:val="24"/>
          <w:lang w:val="en-GB"/>
        </w:rPr>
        <w:lastRenderedPageBreak/>
        <w:t xml:space="preserve">In Figure 2.1.3, the weighted average MCP is given in Day-Ahead Market by years. In 2019, the weighted average of the MCP increased by 15,18% compared to 2018 and reached </w:t>
      </w:r>
      <w:r w:rsidRPr="00F876CB">
        <w:rPr>
          <w:rFonts w:ascii="Times New Roman" w:eastAsiaTheme="minorEastAsia" w:hAnsi="Times New Roman" w:cs="Times New Roman"/>
          <w:sz w:val="24"/>
          <w:szCs w:val="24"/>
          <w:lang w:val="en-GB"/>
        </w:rPr>
        <w:t>268,48 TL/MWh.</w:t>
      </w:r>
    </w:p>
    <w:p w:rsidR="00767AED" w:rsidRPr="00F876CB" w:rsidRDefault="00767AED" w:rsidP="00767AED">
      <w:pPr>
        <w:pStyle w:val="Balk6"/>
        <w:jc w:val="left"/>
        <w:rPr>
          <w:rFonts w:asciiTheme="minorHAnsi" w:eastAsiaTheme="minorEastAsia" w:hAnsiTheme="minorHAnsi" w:cstheme="minorHAnsi"/>
          <w:b w:val="0"/>
          <w:spacing w:val="0"/>
          <w:szCs w:val="24"/>
          <w:lang w:val="en-GB"/>
        </w:rPr>
      </w:pPr>
    </w:p>
    <w:p w:rsidR="00767AED" w:rsidRPr="00F876CB" w:rsidRDefault="00767AED" w:rsidP="00767AED">
      <w:pPr>
        <w:pStyle w:val="Balk6"/>
        <w:rPr>
          <w:rFonts w:cstheme="minorBidi"/>
          <w:caps/>
          <w:sz w:val="16"/>
          <w:szCs w:val="18"/>
          <w:lang w:val="en-GB"/>
        </w:rPr>
      </w:pPr>
      <w:bookmarkStart w:id="392" w:name="_Toc44508382"/>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.1.3: </w:t>
      </w:r>
      <w:bookmarkEnd w:id="386"/>
      <w:bookmarkEnd w:id="387"/>
      <w:r w:rsidRPr="00F876CB">
        <w:rPr>
          <w:lang w:val="en-GB"/>
        </w:rPr>
        <w:t>Weighted Average MCP by Years (TL/MWh)</w:t>
      </w:r>
      <w:bookmarkEnd w:id="388"/>
      <w:bookmarkEnd w:id="389"/>
      <w:bookmarkEnd w:id="390"/>
      <w:bookmarkEnd w:id="391"/>
      <w:bookmarkEnd w:id="392"/>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bookmarkStart w:id="393" w:name="_Toc432165736"/>
      <w:r w:rsidRPr="00F876CB">
        <w:rPr>
          <w:rFonts w:asciiTheme="minorHAnsi" w:eastAsiaTheme="minorEastAsia" w:hAnsiTheme="minorHAnsi" w:cstheme="minorHAnsi"/>
          <w:noProof/>
          <w:sz w:val="24"/>
          <w:szCs w:val="24"/>
          <w:lang w:eastAsia="tr-TR" w:bidi="ar-SA"/>
        </w:rPr>
        <w:drawing>
          <wp:inline distT="0" distB="0" distL="0" distR="0" wp14:anchorId="2E4D8E04" wp14:editId="704DEA45">
            <wp:extent cx="4706520" cy="2755631"/>
            <wp:effectExtent l="0" t="0" r="0" b="6985"/>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06520" cy="2755631"/>
                    </a:xfrm>
                    <a:prstGeom prst="rect">
                      <a:avLst/>
                    </a:prstGeom>
                  </pic:spPr>
                </pic:pic>
              </a:graphicData>
            </a:graphic>
          </wp:inline>
        </w:drawing>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bookmarkStart w:id="394" w:name="_Toc450307922"/>
      <w:r w:rsidRPr="00F876CB">
        <w:rPr>
          <w:rFonts w:asciiTheme="minorHAnsi" w:eastAsiaTheme="minorEastAsia" w:hAnsiTheme="minorHAnsi" w:cstheme="minorHAnsi"/>
          <w:sz w:val="24"/>
          <w:szCs w:val="24"/>
          <w:lang w:val="en-GB"/>
        </w:rPr>
        <w:t xml:space="preserve">In Figure 2.1.4 below, monthly weighted average Day-Ahead Market prices for the last two years are shown. In 2019, the highest value was seen in </w:t>
      </w:r>
      <w:r>
        <w:rPr>
          <w:rFonts w:asciiTheme="minorHAnsi" w:eastAsiaTheme="minorEastAsia" w:hAnsiTheme="minorHAnsi" w:cstheme="minorHAnsi"/>
          <w:sz w:val="24"/>
          <w:szCs w:val="24"/>
          <w:lang w:val="en-GB"/>
        </w:rPr>
        <w:t>July</w:t>
      </w:r>
      <w:r w:rsidRPr="00F876CB">
        <w:rPr>
          <w:rFonts w:asciiTheme="minorHAnsi" w:eastAsiaTheme="minorEastAsia" w:hAnsiTheme="minorHAnsi" w:cstheme="minorHAnsi"/>
          <w:sz w:val="24"/>
          <w:szCs w:val="24"/>
          <w:lang w:val="en-GB"/>
        </w:rPr>
        <w:t xml:space="preserve"> with 307,986 TL / MWh and the lowest value was in April with 195,023 TL / MWh.</w:t>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sidRPr="00F876CB">
        <w:rPr>
          <w:rFonts w:asciiTheme="minorHAnsi" w:eastAsiaTheme="minorEastAsia" w:hAnsiTheme="minorHAnsi" w:cstheme="minorHAnsi"/>
          <w:sz w:val="24"/>
          <w:szCs w:val="24"/>
          <w:lang w:val="en-GB"/>
        </w:rPr>
        <w:t>Electricity consumption on a monthly basis decreases in the spring and autumn months with the temperate climate. In addition, the water revenues of hydroelectric power plants increase with the high precipitation especially in spring, and the lowest prices of the year are generally in spring.</w:t>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sidRPr="00F876CB">
        <w:rPr>
          <w:rFonts w:asciiTheme="minorHAnsi" w:eastAsiaTheme="minorEastAsia" w:hAnsiTheme="minorHAnsi" w:cstheme="minorHAnsi"/>
          <w:sz w:val="24"/>
          <w:szCs w:val="24"/>
          <w:lang w:val="en-GB"/>
        </w:rPr>
        <w:t>On the other hand, due to the consumption of air conditioning and agricultural irrigation in the summer months, the need for warming and enlightenment in the winter months, electricity demand increases and in parallel with the increase in consumption, the average prices also increase.</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395" w:name="_Toc487101637"/>
      <w:bookmarkStart w:id="396" w:name="_Toc512430978"/>
      <w:bookmarkStart w:id="397" w:name="_Toc12536002"/>
      <w:bookmarkStart w:id="398" w:name="_Toc40966082"/>
    </w:p>
    <w:p w:rsidR="00767AED" w:rsidRPr="00F876CB" w:rsidRDefault="00767AED" w:rsidP="00767AED">
      <w:pPr>
        <w:pStyle w:val="Balk6"/>
        <w:rPr>
          <w:lang w:val="en-GB"/>
        </w:rPr>
      </w:pPr>
      <w:r w:rsidRPr="00F876CB">
        <w:rPr>
          <w:lang w:val="en-GB"/>
        </w:rPr>
        <w:lastRenderedPageBreak/>
        <w:t xml:space="preserve"> </w:t>
      </w:r>
      <w:bookmarkStart w:id="399" w:name="_Toc44508383"/>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.1.4: Monthly Weighted Average MCP of the Last Two Years (TL/MWh)</w:t>
      </w:r>
      <w:bookmarkEnd w:id="393"/>
      <w:bookmarkEnd w:id="394"/>
      <w:bookmarkEnd w:id="395"/>
      <w:bookmarkEnd w:id="396"/>
      <w:bookmarkEnd w:id="397"/>
      <w:bookmarkEnd w:id="398"/>
      <w:bookmarkEnd w:id="399"/>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78214975" wp14:editId="300BF907">
            <wp:extent cx="5553710" cy="2993390"/>
            <wp:effectExtent l="0" t="0" r="889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53710" cy="2993390"/>
                    </a:xfrm>
                    <a:prstGeom prst="rect">
                      <a:avLst/>
                    </a:prstGeom>
                    <a:noFill/>
                  </pic:spPr>
                </pic:pic>
              </a:graphicData>
            </a:graphic>
          </wp:inline>
        </w:drawing>
      </w: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bookmarkStart w:id="400" w:name="_Ref402772237"/>
      <w:bookmarkStart w:id="401" w:name="_Toc432165738"/>
      <w:bookmarkStart w:id="402" w:name="_Toc450307923"/>
      <w:bookmarkStart w:id="403" w:name="_Toc487101638"/>
      <w:bookmarkStart w:id="404" w:name="_Toc512430979"/>
      <w:bookmarkStart w:id="405" w:name="_Toc12536003"/>
      <w:bookmarkStart w:id="406" w:name="_Toc40966083"/>
      <w:r w:rsidRPr="00F876CB">
        <w:rPr>
          <w:rFonts w:ascii="Times New Roman" w:hAnsi="Times New Roman" w:cs="Times New Roman"/>
          <w:sz w:val="24"/>
          <w:szCs w:val="24"/>
          <w:shd w:val="clear" w:color="auto" w:fill="FFFFFF"/>
          <w:lang w:val="en-GB"/>
        </w:rPr>
        <w:t>The following figure 2.1.5 shows the trading volume in the DAM by months, the distribution of the quantities of DAM buying in Figure 2.1.6 and the share of the top 10 companies, the distribution of sales quantities in Figure 2.1.7 and the share of the top 10 company.</w:t>
      </w:r>
    </w:p>
    <w:p w:rsidR="00767AED" w:rsidRPr="00F876CB" w:rsidRDefault="00767AED" w:rsidP="00767AED">
      <w:pPr>
        <w:pStyle w:val="Balk6"/>
        <w:rPr>
          <w:lang w:val="en-GB"/>
        </w:rPr>
      </w:pPr>
      <w:bookmarkStart w:id="407" w:name="_Toc44508384"/>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.1</w:t>
      </w:r>
      <w:bookmarkEnd w:id="400"/>
      <w:r w:rsidRPr="00F876CB">
        <w:rPr>
          <w:lang w:val="en-GB"/>
        </w:rPr>
        <w:t>.5: Monthly Day-Ahead Market Trading Volume (MWh)</w:t>
      </w:r>
      <w:bookmarkEnd w:id="401"/>
      <w:bookmarkEnd w:id="402"/>
      <w:bookmarkEnd w:id="403"/>
      <w:bookmarkEnd w:id="404"/>
      <w:bookmarkEnd w:id="405"/>
      <w:bookmarkEnd w:id="406"/>
      <w:bookmarkEnd w:id="407"/>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565D4E32" wp14:editId="548DA709">
            <wp:extent cx="5381625" cy="3234938"/>
            <wp:effectExtent l="0" t="0" r="0" b="381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5938" cy="3243542"/>
                    </a:xfrm>
                    <a:prstGeom prst="rect">
                      <a:avLst/>
                    </a:prstGeom>
                    <a:noFill/>
                  </pic:spPr>
                </pic:pic>
              </a:graphicData>
            </a:graphic>
          </wp:inline>
        </w:drawing>
      </w:r>
    </w:p>
    <w:p w:rsidR="00767AED" w:rsidRDefault="00767AED" w:rsidP="00767AED">
      <w:pPr>
        <w:spacing w:line="360" w:lineRule="auto"/>
        <w:jc w:val="center"/>
        <w:rPr>
          <w:rFonts w:asciiTheme="minorHAnsi" w:eastAsiaTheme="minorEastAsia" w:hAnsiTheme="minorHAnsi" w:cstheme="minorHAnsi"/>
          <w:sz w:val="24"/>
          <w:szCs w:val="24"/>
          <w:lang w:val="en-GB"/>
        </w:rPr>
      </w:pPr>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408" w:name="_Toc487101639"/>
      <w:bookmarkStart w:id="409" w:name="_Toc512430980"/>
      <w:bookmarkStart w:id="410" w:name="_Toc12536004"/>
      <w:bookmarkStart w:id="411" w:name="_Toc40966084"/>
      <w:bookmarkStart w:id="412" w:name="_Toc44508385"/>
      <w:bookmarkStart w:id="413" w:name="_Toc432164547"/>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.1.6: The Share of Top 10 Buyer Companies in Day-Ahead Market (%)</w:t>
      </w:r>
      <w:bookmarkEnd w:id="408"/>
      <w:bookmarkEnd w:id="409"/>
      <w:bookmarkEnd w:id="410"/>
      <w:bookmarkEnd w:id="411"/>
      <w:bookmarkEnd w:id="412"/>
    </w:p>
    <w:p w:rsidR="00767AED" w:rsidRPr="00F876CB" w:rsidRDefault="00767AED" w:rsidP="00767AED">
      <w:pPr>
        <w:rPr>
          <w:lang w:val="en-GB"/>
        </w:rPr>
      </w:pPr>
      <w:r>
        <w:rPr>
          <w:noProof/>
          <w:lang w:eastAsia="tr-TR" w:bidi="ar-SA"/>
        </w:rPr>
        <w:drawing>
          <wp:inline distT="0" distB="0" distL="0" distR="0" wp14:anchorId="594DDA10" wp14:editId="1AB370D4">
            <wp:extent cx="5819775" cy="3105150"/>
            <wp:effectExtent l="0" t="0" r="9525"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19775" cy="3105150"/>
                    </a:xfrm>
                    <a:prstGeom prst="rect">
                      <a:avLst/>
                    </a:prstGeom>
                    <a:noFill/>
                  </pic:spPr>
                </pic:pic>
              </a:graphicData>
            </a:graphic>
          </wp:inline>
        </w:drawing>
      </w: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pStyle w:val="Balk6"/>
        <w:rPr>
          <w:lang w:val="en-GB"/>
        </w:rPr>
      </w:pPr>
      <w:bookmarkStart w:id="414" w:name="_Toc487101640"/>
      <w:bookmarkStart w:id="415" w:name="_Toc512430981"/>
      <w:bookmarkStart w:id="416" w:name="_Toc12536005"/>
      <w:bookmarkStart w:id="417" w:name="_Toc40966085"/>
      <w:bookmarkStart w:id="418" w:name="_Toc44508386"/>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.1.7: The Share of Top 10 Seller Companies in Day-Ahead Market (%)</w:t>
      </w:r>
      <w:bookmarkEnd w:id="414"/>
      <w:bookmarkEnd w:id="415"/>
      <w:bookmarkEnd w:id="416"/>
      <w:bookmarkEnd w:id="417"/>
      <w:bookmarkEnd w:id="418"/>
    </w:p>
    <w:p w:rsidR="00767AED" w:rsidRPr="00F876CB" w:rsidRDefault="00767AED" w:rsidP="00767AED">
      <w:pPr>
        <w:rPr>
          <w:lang w:val="en-GB"/>
        </w:rPr>
      </w:pPr>
      <w:r>
        <w:rPr>
          <w:noProof/>
          <w:lang w:eastAsia="tr-TR" w:bidi="ar-SA"/>
        </w:rPr>
        <w:drawing>
          <wp:inline distT="0" distB="0" distL="0" distR="0" wp14:anchorId="70FC46C2" wp14:editId="19338733">
            <wp:extent cx="6076950" cy="35433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76950" cy="3543300"/>
                    </a:xfrm>
                    <a:prstGeom prst="rect">
                      <a:avLst/>
                    </a:prstGeom>
                    <a:noFill/>
                  </pic:spPr>
                </pic:pic>
              </a:graphicData>
            </a:graphic>
          </wp:inline>
        </w:drawing>
      </w:r>
    </w:p>
    <w:p w:rsidR="00767AED" w:rsidRDefault="00767AED" w:rsidP="00767AED">
      <w:pPr>
        <w:pStyle w:val="11ilebalayanlar"/>
        <w:rPr>
          <w:rFonts w:asciiTheme="majorHAnsi" w:hAnsiTheme="majorHAnsi" w:cstheme="majorBidi"/>
          <w:b w:val="0"/>
          <w:color w:val="auto"/>
          <w:spacing w:val="0"/>
          <w:sz w:val="22"/>
          <w:szCs w:val="22"/>
          <w:lang w:val="en-GB" w:bidi="en-US"/>
        </w:rPr>
      </w:pPr>
      <w:bookmarkStart w:id="419" w:name="_Toc483831850"/>
      <w:bookmarkStart w:id="420" w:name="_Toc512430794"/>
      <w:bookmarkStart w:id="421" w:name="_Toc514767707"/>
    </w:p>
    <w:p w:rsidR="00767AED" w:rsidRDefault="00767AED" w:rsidP="00767AED">
      <w:pPr>
        <w:pStyle w:val="11ilebalayanlar"/>
        <w:rPr>
          <w:rFonts w:asciiTheme="majorHAnsi" w:hAnsiTheme="majorHAnsi" w:cstheme="majorBidi"/>
          <w:b w:val="0"/>
          <w:color w:val="auto"/>
          <w:spacing w:val="0"/>
          <w:sz w:val="22"/>
          <w:szCs w:val="22"/>
          <w:lang w:val="en-GB" w:bidi="en-US"/>
        </w:rPr>
      </w:pPr>
    </w:p>
    <w:p w:rsidR="00767AED" w:rsidRDefault="00767AED" w:rsidP="00767AED">
      <w:pPr>
        <w:pStyle w:val="11ilebalayanlar"/>
        <w:rPr>
          <w:lang w:val="en-GB"/>
        </w:rPr>
      </w:pPr>
      <w:bookmarkStart w:id="422" w:name="_Toc40965988"/>
    </w:p>
    <w:p w:rsidR="00767AED" w:rsidRPr="00F876CB" w:rsidRDefault="00767AED" w:rsidP="00767AED">
      <w:pPr>
        <w:pStyle w:val="11ilebalayanlar"/>
        <w:rPr>
          <w:lang w:val="en-GB"/>
        </w:rPr>
      </w:pPr>
      <w:bookmarkStart w:id="423" w:name="_Toc44508289"/>
      <w:r w:rsidRPr="00F876CB">
        <w:rPr>
          <w:lang w:val="en-GB"/>
        </w:rPr>
        <w:t xml:space="preserve">2.2 </w:t>
      </w:r>
      <w:bookmarkEnd w:id="413"/>
      <w:bookmarkEnd w:id="419"/>
      <w:bookmarkEnd w:id="420"/>
      <w:bookmarkEnd w:id="421"/>
      <w:bookmarkEnd w:id="422"/>
      <w:r w:rsidRPr="00F876CB">
        <w:rPr>
          <w:lang w:val="en-GB"/>
        </w:rPr>
        <w:t>Balancing Power Market</w:t>
      </w:r>
      <w:bookmarkEnd w:id="423"/>
      <w:r w:rsidRPr="00F876CB">
        <w:rPr>
          <w:lang w:val="en-GB"/>
        </w:rPr>
        <w:t xml:space="preserve"> </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bookmarkStart w:id="424" w:name="_Toc432165739"/>
      <w:bookmarkStart w:id="425" w:name="_Toc450307924"/>
      <w:bookmarkStart w:id="426" w:name="_Toc487101641"/>
      <w:bookmarkStart w:id="427" w:name="_Toc512430982"/>
      <w:bookmarkStart w:id="428" w:name="_Toc12536006"/>
      <w:bookmarkStart w:id="429" w:name="_Toc40966086"/>
      <w:r w:rsidRPr="00F876CB">
        <w:rPr>
          <w:rFonts w:ascii="Times New Roman" w:hAnsi="Times New Roman" w:cs="Times New Roman"/>
          <w:sz w:val="24"/>
          <w:szCs w:val="24"/>
          <w:shd w:val="clear" w:color="auto" w:fill="FFFFFF"/>
          <w:lang w:val="en-GB"/>
        </w:rPr>
        <w:t>Balancing Power Market is operated in real time by TEİAŞ. This section provides data on the development of prices and volumes in the BPM. In 2019, the system marginal prices (real time price) at the BPM are shown at Figure 2.2.1 on a per-hour basis. Also, Figure 2.2.2 provides the organized system marginal prices.</w:t>
      </w:r>
    </w:p>
    <w:p w:rsidR="00767AED" w:rsidRPr="00F876CB" w:rsidRDefault="00767AED" w:rsidP="00767AED">
      <w:pPr>
        <w:pStyle w:val="Balk6"/>
        <w:rPr>
          <w:lang w:val="en-GB"/>
        </w:rPr>
      </w:pPr>
      <w:bookmarkStart w:id="430" w:name="_Toc44508387"/>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.2.1: Per-Hour Based Development of System Marginal Price (TL/MWh)</w:t>
      </w:r>
      <w:bookmarkEnd w:id="424"/>
      <w:bookmarkEnd w:id="425"/>
      <w:bookmarkEnd w:id="426"/>
      <w:bookmarkEnd w:id="427"/>
      <w:bookmarkEnd w:id="428"/>
      <w:bookmarkEnd w:id="429"/>
      <w:bookmarkEnd w:id="430"/>
    </w:p>
    <w:p w:rsidR="00767AED" w:rsidRPr="00F876CB" w:rsidRDefault="00767AED" w:rsidP="00767AED">
      <w:pPr>
        <w:rPr>
          <w:rFonts w:asciiTheme="minorHAnsi" w:eastAsiaTheme="minorEastAsia" w:hAnsiTheme="minorHAnsi" w:cstheme="minorHAnsi"/>
          <w:szCs w:val="24"/>
          <w:lang w:val="en-GB"/>
        </w:rPr>
      </w:pPr>
      <w:r>
        <w:rPr>
          <w:rFonts w:asciiTheme="minorHAnsi" w:eastAsiaTheme="minorEastAsia" w:hAnsiTheme="minorHAnsi" w:cstheme="minorHAnsi"/>
          <w:noProof/>
          <w:szCs w:val="24"/>
          <w:lang w:eastAsia="tr-TR" w:bidi="ar-SA"/>
        </w:rPr>
        <w:drawing>
          <wp:inline distT="0" distB="0" distL="0" distR="0" wp14:anchorId="68D679C7" wp14:editId="070AC7B9">
            <wp:extent cx="5753100" cy="265747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3100" cy="2657475"/>
                    </a:xfrm>
                    <a:prstGeom prst="rect">
                      <a:avLst/>
                    </a:prstGeom>
                    <a:noFill/>
                  </pic:spPr>
                </pic:pic>
              </a:graphicData>
            </a:graphic>
          </wp:inline>
        </w:drawing>
      </w:r>
    </w:p>
    <w:p w:rsidR="00767AED" w:rsidRPr="00F876CB" w:rsidRDefault="00767AED" w:rsidP="00767AED">
      <w:pPr>
        <w:pStyle w:val="Balk6"/>
        <w:rPr>
          <w:lang w:val="en-GB"/>
        </w:rPr>
      </w:pPr>
      <w:bookmarkStart w:id="431" w:name="_Toc512430983"/>
      <w:bookmarkStart w:id="432" w:name="_Toc12536007"/>
      <w:bookmarkStart w:id="433" w:name="_Toc40966087"/>
      <w:bookmarkStart w:id="434" w:name="_Toc44508388"/>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.2.2: Organized </w:t>
      </w:r>
      <w:proofErr w:type="spellStart"/>
      <w:r w:rsidRPr="00F876CB">
        <w:rPr>
          <w:lang w:val="en-GB"/>
        </w:rPr>
        <w:t>Sytem</w:t>
      </w:r>
      <w:proofErr w:type="spellEnd"/>
      <w:r w:rsidRPr="00F876CB">
        <w:rPr>
          <w:lang w:val="en-GB"/>
        </w:rPr>
        <w:t xml:space="preserve"> Marginal Price (TL/MWh)</w:t>
      </w:r>
      <w:bookmarkEnd w:id="431"/>
      <w:bookmarkEnd w:id="432"/>
      <w:bookmarkEnd w:id="433"/>
      <w:bookmarkEnd w:id="434"/>
    </w:p>
    <w:p w:rsidR="00767AED" w:rsidRPr="00F876CB" w:rsidRDefault="00767AED" w:rsidP="00767AED">
      <w:pPr>
        <w:rPr>
          <w:lang w:val="en-GB"/>
        </w:rPr>
      </w:pPr>
      <w:r>
        <w:rPr>
          <w:noProof/>
          <w:lang w:eastAsia="tr-TR" w:bidi="ar-SA"/>
        </w:rPr>
        <w:drawing>
          <wp:inline distT="0" distB="0" distL="0" distR="0" wp14:anchorId="439CC46C" wp14:editId="70283042">
            <wp:extent cx="5772150" cy="28575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2150" cy="2857500"/>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hd w:val="clear" w:color="auto" w:fill="FFFFFF"/>
        <w:spacing w:after="0" w:line="360" w:lineRule="auto"/>
        <w:jc w:val="both"/>
        <w:rPr>
          <w:rFonts w:ascii="Times New Roman" w:eastAsia="Times New Roman" w:hAnsi="Times New Roman" w:cs="Times New Roman"/>
          <w:sz w:val="24"/>
          <w:szCs w:val="24"/>
          <w:lang w:val="en-GB" w:bidi="ar-SA"/>
        </w:rPr>
      </w:pPr>
      <w:r w:rsidRPr="00F876CB">
        <w:rPr>
          <w:rFonts w:ascii="Times New Roman" w:eastAsia="Times New Roman" w:hAnsi="Times New Roman" w:cs="Times New Roman"/>
          <w:sz w:val="24"/>
          <w:szCs w:val="24"/>
          <w:lang w:val="en-GB" w:bidi="ar-SA"/>
        </w:rPr>
        <w:lastRenderedPageBreak/>
        <w:t xml:space="preserve">Similar to the prices of the DAM, the prices in the BPM were generally between 150 and 350 TL/MWh. The price was highest on 11 November 2019 at 18:00 with </w:t>
      </w:r>
      <w:r w:rsidRPr="00F876CB">
        <w:rPr>
          <w:rFonts w:ascii="Times New Roman" w:eastAsiaTheme="minorEastAsia" w:hAnsi="Times New Roman" w:cs="Times New Roman"/>
          <w:sz w:val="24"/>
          <w:szCs w:val="24"/>
          <w:lang w:val="en-GB"/>
        </w:rPr>
        <w:t xml:space="preserve">487,15 </w:t>
      </w:r>
      <w:r w:rsidRPr="00F876CB">
        <w:rPr>
          <w:rFonts w:ascii="Times New Roman" w:eastAsia="Times New Roman" w:hAnsi="Times New Roman" w:cs="Times New Roman"/>
          <w:sz w:val="24"/>
          <w:szCs w:val="24"/>
          <w:lang w:val="en-GB" w:bidi="ar-SA"/>
        </w:rPr>
        <w:t>TL/MWh, and it was over 400 TL/MWh for 86 hours. At the BPM, the price was 0 TL/MWh for 365 hours during 2019.</w:t>
      </w:r>
    </w:p>
    <w:p w:rsidR="00767AED" w:rsidRPr="00F876CB" w:rsidRDefault="00767AED" w:rsidP="00767AED">
      <w:pPr>
        <w:shd w:val="clear" w:color="auto" w:fill="FFFFFF"/>
        <w:spacing w:after="0" w:line="360" w:lineRule="auto"/>
        <w:jc w:val="both"/>
        <w:rPr>
          <w:rFonts w:ascii="Times New Roman" w:eastAsia="Times New Roman" w:hAnsi="Times New Roman" w:cs="Times New Roman"/>
          <w:sz w:val="24"/>
          <w:szCs w:val="24"/>
          <w:lang w:val="en-GB" w:bidi="ar-SA"/>
        </w:rPr>
      </w:pPr>
    </w:p>
    <w:p w:rsidR="00767AED" w:rsidRPr="00F876CB" w:rsidRDefault="00767AED" w:rsidP="00767AED">
      <w:pPr>
        <w:spacing w:line="360" w:lineRule="auto"/>
        <w:jc w:val="both"/>
        <w:rPr>
          <w:rFonts w:ascii="Times New Roman" w:hAnsi="Times New Roman" w:cs="Times New Roman"/>
          <w:sz w:val="24"/>
          <w:szCs w:val="24"/>
          <w:shd w:val="clear" w:color="auto" w:fill="FFFFFF"/>
          <w:lang w:val="en-GB"/>
        </w:rPr>
      </w:pPr>
      <w:r w:rsidRPr="00F876CB">
        <w:rPr>
          <w:rFonts w:ascii="Times New Roman" w:hAnsi="Times New Roman" w:cs="Times New Roman"/>
          <w:sz w:val="24"/>
          <w:szCs w:val="24"/>
          <w:shd w:val="clear" w:color="auto" w:fill="FFFFFF"/>
          <w:lang w:val="en-GB"/>
        </w:rPr>
        <w:t xml:space="preserve">The annual weighted average of the price in BPM was </w:t>
      </w:r>
      <w:r w:rsidRPr="00F876CB">
        <w:rPr>
          <w:rFonts w:ascii="Times New Roman" w:eastAsiaTheme="minorEastAsia" w:hAnsi="Times New Roman" w:cs="Times New Roman"/>
          <w:sz w:val="24"/>
          <w:szCs w:val="24"/>
          <w:lang w:val="en-GB"/>
        </w:rPr>
        <w:t xml:space="preserve">250,25 </w:t>
      </w:r>
      <w:r w:rsidRPr="00F876CB">
        <w:rPr>
          <w:rFonts w:ascii="Times New Roman" w:hAnsi="Times New Roman" w:cs="Times New Roman"/>
          <w:sz w:val="24"/>
          <w:szCs w:val="24"/>
          <w:shd w:val="clear" w:color="auto" w:fill="FFFFFF"/>
          <w:lang w:val="en-GB"/>
        </w:rPr>
        <w:t xml:space="preserve">TL/MWh, increased by </w:t>
      </w:r>
      <w:r w:rsidRPr="00F876CB">
        <w:rPr>
          <w:rFonts w:ascii="Times New Roman" w:eastAsiaTheme="minorEastAsia" w:hAnsi="Times New Roman" w:cs="Times New Roman"/>
          <w:sz w:val="24"/>
          <w:szCs w:val="24"/>
          <w:lang w:val="en-GB"/>
        </w:rPr>
        <w:t>7,28</w:t>
      </w:r>
      <w:r w:rsidRPr="00F876CB">
        <w:rPr>
          <w:rFonts w:ascii="Times New Roman" w:hAnsi="Times New Roman" w:cs="Times New Roman"/>
          <w:sz w:val="24"/>
          <w:szCs w:val="24"/>
          <w:shd w:val="clear" w:color="auto" w:fill="FFFFFF"/>
          <w:lang w:val="en-GB"/>
        </w:rPr>
        <w:t>% compared to the previous year.</w:t>
      </w:r>
    </w:p>
    <w:p w:rsidR="00767AED" w:rsidRDefault="00767AED" w:rsidP="00767AED">
      <w:pPr>
        <w:shd w:val="clear" w:color="auto" w:fill="FFFFFF"/>
        <w:spacing w:after="0" w:line="360" w:lineRule="auto"/>
        <w:jc w:val="both"/>
        <w:rPr>
          <w:rFonts w:ascii="Times New Roman" w:eastAsia="Times New Roman" w:hAnsi="Times New Roman" w:cs="Times New Roman"/>
          <w:sz w:val="24"/>
          <w:szCs w:val="24"/>
          <w:lang w:val="en-GB" w:bidi="ar-SA"/>
        </w:rPr>
      </w:pPr>
      <w:bookmarkStart w:id="435" w:name="_Toc432165741"/>
      <w:r w:rsidRPr="00A92332">
        <w:rPr>
          <w:rFonts w:ascii="Times New Roman" w:eastAsia="Times New Roman" w:hAnsi="Times New Roman" w:cs="Times New Roman"/>
          <w:sz w:val="24"/>
          <w:szCs w:val="24"/>
          <w:lang w:val="en-GB" w:bidi="ar-SA"/>
        </w:rPr>
        <w:t>Monthly weighted average prices in the Balancing Power Market for the last two years are shown in Figure 2.2.3 below. In 2019, SMF was seen as the lowest 185,314 TL / MWh in January and the highest value was in November with 301,284 TL / MWh.</w:t>
      </w:r>
    </w:p>
    <w:p w:rsidR="00767AED" w:rsidRPr="00A92332" w:rsidRDefault="00767AED" w:rsidP="00767AED">
      <w:pPr>
        <w:shd w:val="clear" w:color="auto" w:fill="FFFFFF"/>
        <w:spacing w:after="0" w:line="360" w:lineRule="auto"/>
        <w:jc w:val="both"/>
        <w:rPr>
          <w:rFonts w:ascii="Times New Roman" w:eastAsia="Times New Roman" w:hAnsi="Times New Roman" w:cs="Times New Roman"/>
          <w:sz w:val="24"/>
          <w:szCs w:val="24"/>
          <w:lang w:val="en-GB" w:bidi="ar-SA"/>
        </w:rPr>
      </w:pPr>
    </w:p>
    <w:p w:rsidR="00767AED" w:rsidRPr="00F876CB" w:rsidRDefault="00767AED" w:rsidP="00767AED">
      <w:pPr>
        <w:pStyle w:val="Balk6"/>
        <w:rPr>
          <w:lang w:val="en-GB"/>
        </w:rPr>
      </w:pPr>
      <w:bookmarkStart w:id="436" w:name="_Toc450307925"/>
    </w:p>
    <w:p w:rsidR="00767AED" w:rsidRPr="00F876CB" w:rsidRDefault="00767AED" w:rsidP="00767AED">
      <w:pPr>
        <w:pStyle w:val="Balk6"/>
        <w:rPr>
          <w:lang w:val="en-GB"/>
        </w:rPr>
      </w:pPr>
      <w:bookmarkStart w:id="437" w:name="_Toc487101642"/>
      <w:bookmarkStart w:id="438" w:name="_Toc512430984"/>
      <w:bookmarkStart w:id="439" w:name="_Toc12536008"/>
      <w:bookmarkStart w:id="440" w:name="_Toc40966088"/>
      <w:bookmarkStart w:id="441" w:name="_Toc44508389"/>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.2.3: Monthly Weighted Average Prices of the Last Two Years in Balancing Power Market (TL/MWh)</w:t>
      </w:r>
      <w:bookmarkEnd w:id="435"/>
      <w:bookmarkEnd w:id="436"/>
      <w:bookmarkEnd w:id="437"/>
      <w:bookmarkEnd w:id="438"/>
      <w:bookmarkEnd w:id="439"/>
      <w:bookmarkEnd w:id="440"/>
      <w:bookmarkEnd w:id="441"/>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sidRPr="00F876CB">
        <w:rPr>
          <w:rFonts w:asciiTheme="minorHAnsi" w:eastAsiaTheme="minorEastAsia" w:hAnsiTheme="minorHAnsi" w:cstheme="minorHAnsi"/>
          <w:noProof/>
          <w:sz w:val="24"/>
          <w:szCs w:val="24"/>
          <w:lang w:eastAsia="tr-TR" w:bidi="ar-SA"/>
        </w:rPr>
        <w:drawing>
          <wp:inline distT="0" distB="0" distL="0" distR="0" wp14:anchorId="50D049B0" wp14:editId="61A7CC90">
            <wp:extent cx="5578475" cy="3457575"/>
            <wp:effectExtent l="0" t="0" r="3175" b="952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78475" cy="3457575"/>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hd w:val="clear" w:color="auto" w:fill="FFFFFF"/>
        <w:spacing w:after="0" w:line="240" w:lineRule="auto"/>
        <w:jc w:val="both"/>
        <w:rPr>
          <w:rFonts w:ascii="Times New Roman" w:eastAsia="Times New Roman" w:hAnsi="Times New Roman" w:cs="Times New Roman"/>
          <w:color w:val="555555"/>
          <w:sz w:val="20"/>
          <w:szCs w:val="20"/>
          <w:lang w:val="en-GB" w:bidi="ar-SA"/>
        </w:rPr>
      </w:pPr>
      <w:r w:rsidRPr="00F876CB">
        <w:rPr>
          <w:rFonts w:ascii="Times New Roman" w:eastAsia="Times New Roman" w:hAnsi="Times New Roman" w:cs="Times New Roman"/>
          <w:sz w:val="24"/>
          <w:szCs w:val="24"/>
          <w:lang w:val="en-GB" w:bidi="ar-SA"/>
        </w:rPr>
        <w:t>Below Figure 2.2.4 shows monthly trading volumes in BPM in 2019.</w:t>
      </w:r>
      <w:r w:rsidRPr="00F876CB">
        <w:rPr>
          <w:rFonts w:ascii="Times New Roman" w:eastAsia="Times New Roman" w:hAnsi="Times New Roman" w:cs="Times New Roman"/>
          <w:color w:val="555555"/>
          <w:sz w:val="20"/>
          <w:szCs w:val="20"/>
          <w:lang w:val="en-GB" w:bidi="ar-SA"/>
        </w:rPr>
        <w:t> </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442" w:name="_Toc432165742"/>
      <w:bookmarkStart w:id="443" w:name="_Toc450307926"/>
      <w:bookmarkStart w:id="444" w:name="_Toc487101643"/>
      <w:bookmarkStart w:id="445" w:name="_Toc512430985"/>
      <w:bookmarkStart w:id="446" w:name="_Toc12536009"/>
    </w:p>
    <w:p w:rsidR="00767AED" w:rsidRPr="00F876CB" w:rsidRDefault="00767AED" w:rsidP="00767AED">
      <w:pPr>
        <w:pStyle w:val="Balk6"/>
        <w:rPr>
          <w:lang w:val="en-GB"/>
        </w:rPr>
      </w:pPr>
      <w:bookmarkStart w:id="447" w:name="_Toc40966089"/>
      <w:bookmarkStart w:id="448" w:name="_Toc44508390"/>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.2.4: Monthly Trading Volumes in Balancing Power Market (MWh)</w:t>
      </w:r>
      <w:bookmarkEnd w:id="442"/>
      <w:bookmarkEnd w:id="443"/>
      <w:bookmarkEnd w:id="444"/>
      <w:bookmarkEnd w:id="445"/>
      <w:bookmarkEnd w:id="446"/>
      <w:bookmarkEnd w:id="447"/>
      <w:bookmarkEnd w:id="448"/>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7D5F922A" wp14:editId="56775E00">
            <wp:extent cx="5600700" cy="2755900"/>
            <wp:effectExtent l="0" t="0" r="0"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00700" cy="2755900"/>
                    </a:xfrm>
                    <a:prstGeom prst="rect">
                      <a:avLst/>
                    </a:prstGeom>
                    <a:noFill/>
                  </pic:spPr>
                </pic:pic>
              </a:graphicData>
            </a:graphic>
          </wp:inline>
        </w:drawing>
      </w:r>
    </w:p>
    <w:p w:rsidR="00767AED" w:rsidRPr="00F876CB" w:rsidRDefault="00767AED" w:rsidP="00767AED">
      <w:pPr>
        <w:spacing w:line="360" w:lineRule="auto"/>
        <w:jc w:val="both"/>
        <w:rPr>
          <w:rFonts w:ascii="Times New Roman" w:eastAsia="Times New Roman" w:hAnsi="Times New Roman" w:cs="Times New Roman"/>
          <w:sz w:val="24"/>
          <w:szCs w:val="24"/>
          <w:lang w:val="en-GB" w:bidi="ar-SA"/>
        </w:rPr>
      </w:pPr>
      <w:bookmarkStart w:id="449" w:name="_Toc487101644"/>
      <w:bookmarkStart w:id="450" w:name="_Toc512430986"/>
      <w:bookmarkStart w:id="451" w:name="_Toc12536010"/>
      <w:bookmarkStart w:id="452" w:name="_Toc40966090"/>
      <w:r w:rsidRPr="00F876CB">
        <w:rPr>
          <w:rFonts w:ascii="Times New Roman" w:eastAsia="Times New Roman" w:hAnsi="Times New Roman" w:cs="Times New Roman"/>
          <w:sz w:val="24"/>
          <w:szCs w:val="24"/>
          <w:lang w:val="en-GB" w:bidi="ar-SA"/>
        </w:rPr>
        <w:t>In the following Figure 2.2.5 the distribution of the BPM buying quantities on the basis of the company and the share of the top 10 buyer companies and in Figure 2.2.6, the distribution of BPM sales quantities on company basis and the share of the top 10 companies are shown.</w:t>
      </w:r>
    </w:p>
    <w:p w:rsidR="00767AED" w:rsidRPr="00F876CB" w:rsidRDefault="00767AED" w:rsidP="00767AED">
      <w:pPr>
        <w:pStyle w:val="Balk6"/>
        <w:rPr>
          <w:lang w:val="en-GB"/>
        </w:rPr>
      </w:pPr>
      <w:bookmarkStart w:id="453" w:name="_Toc44508391"/>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.2.5: The Share of Top 10 Buyer Companies in Balancing Power Market (%)</w:t>
      </w:r>
      <w:bookmarkEnd w:id="449"/>
      <w:bookmarkEnd w:id="450"/>
      <w:bookmarkEnd w:id="451"/>
      <w:bookmarkEnd w:id="452"/>
      <w:bookmarkEnd w:id="453"/>
    </w:p>
    <w:p w:rsidR="00767AED" w:rsidRPr="00F876CB" w:rsidRDefault="00767AED" w:rsidP="00767AED">
      <w:pPr>
        <w:rPr>
          <w:lang w:val="en-GB"/>
        </w:rPr>
      </w:pPr>
      <w:r>
        <w:rPr>
          <w:noProof/>
          <w:lang w:eastAsia="tr-TR" w:bidi="ar-SA"/>
        </w:rPr>
        <w:drawing>
          <wp:inline distT="0" distB="0" distL="0" distR="0" wp14:anchorId="3C5E12DF" wp14:editId="0006CBEF">
            <wp:extent cx="6115050" cy="3676650"/>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5050" cy="3676650"/>
                    </a:xfrm>
                    <a:prstGeom prst="rect">
                      <a:avLst/>
                    </a:prstGeom>
                    <a:noFill/>
                  </pic:spPr>
                </pic:pic>
              </a:graphicData>
            </a:graphic>
          </wp:inline>
        </w:drawing>
      </w:r>
    </w:p>
    <w:p w:rsidR="00767AED" w:rsidRPr="00F876CB" w:rsidRDefault="00767AED" w:rsidP="00767AED">
      <w:pPr>
        <w:rPr>
          <w:lang w:val="en-GB"/>
        </w:rPr>
      </w:pPr>
    </w:p>
    <w:p w:rsidR="00767AED" w:rsidRPr="00F876CB" w:rsidRDefault="00767AED" w:rsidP="00767AED">
      <w:pPr>
        <w:pStyle w:val="Balk6"/>
        <w:rPr>
          <w:lang w:val="en-GB"/>
        </w:rPr>
      </w:pPr>
      <w:bookmarkStart w:id="454" w:name="_Toc487101645"/>
      <w:bookmarkStart w:id="455" w:name="_Toc512430987"/>
      <w:bookmarkStart w:id="456" w:name="_Toc12536011"/>
      <w:bookmarkStart w:id="457" w:name="_Toc40966091"/>
      <w:bookmarkStart w:id="458" w:name="_Toc44508392"/>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.2.6: The Share of Top 10 Seller Companies in Balancing Power Market (%)</w:t>
      </w:r>
      <w:bookmarkEnd w:id="454"/>
      <w:bookmarkEnd w:id="455"/>
      <w:bookmarkEnd w:id="456"/>
      <w:bookmarkEnd w:id="457"/>
      <w:bookmarkEnd w:id="458"/>
    </w:p>
    <w:p w:rsidR="00767AED" w:rsidRPr="00F876CB" w:rsidRDefault="00767AED" w:rsidP="00767AED">
      <w:pPr>
        <w:spacing w:line="360" w:lineRule="auto"/>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1FCA37EA" wp14:editId="2BCFC64E">
            <wp:extent cx="5534025" cy="3267075"/>
            <wp:effectExtent l="0" t="0" r="9525"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34025" cy="3267075"/>
                    </a:xfrm>
                    <a:prstGeom prst="rect">
                      <a:avLst/>
                    </a:prstGeom>
                    <a:noFill/>
                  </pic:spPr>
                </pic:pic>
              </a:graphicData>
            </a:graphic>
          </wp:inline>
        </w:drawing>
      </w:r>
    </w:p>
    <w:p w:rsidR="00767AED" w:rsidRPr="00542180" w:rsidRDefault="00767AED" w:rsidP="00767AED">
      <w:pPr>
        <w:spacing w:line="360" w:lineRule="auto"/>
        <w:jc w:val="both"/>
        <w:rPr>
          <w:rFonts w:ascii="Times New Roman" w:eastAsia="Times New Roman" w:hAnsi="Times New Roman" w:cs="Times New Roman"/>
          <w:sz w:val="24"/>
          <w:szCs w:val="24"/>
          <w:lang w:val="en-GB" w:bidi="ar-SA"/>
        </w:rPr>
      </w:pPr>
      <w:bookmarkStart w:id="459" w:name="_Toc432165744"/>
      <w:bookmarkStart w:id="460" w:name="_Toc450307927"/>
      <w:bookmarkStart w:id="461" w:name="_Toc487101646"/>
      <w:bookmarkStart w:id="462" w:name="_Toc512430988"/>
      <w:bookmarkStart w:id="463" w:name="_Toc12536012"/>
      <w:bookmarkStart w:id="464" w:name="_Toc40966092"/>
      <w:r w:rsidRPr="00542180">
        <w:rPr>
          <w:rFonts w:ascii="Times New Roman" w:eastAsia="Times New Roman" w:hAnsi="Times New Roman" w:cs="Times New Roman"/>
          <w:sz w:val="24"/>
          <w:szCs w:val="24"/>
          <w:lang w:val="en-GB" w:bidi="ar-SA"/>
        </w:rPr>
        <w:t>As of 2019, the rates of instruction volumes given in DGP are shown in Figure 2.2.7 below and their distribution on hourly basis is shown in Figure 2.2.8. 28% of the instructions were 1 coded, given due to system constraints. As of February 2018, since the procurement system was implemented in the side services, there were no 2 coded instructions.</w:t>
      </w:r>
    </w:p>
    <w:p w:rsidR="00767AED" w:rsidRPr="00F876CB" w:rsidRDefault="00767AED" w:rsidP="00767AED">
      <w:pPr>
        <w:pStyle w:val="Balk6"/>
        <w:rPr>
          <w:lang w:val="en-GB"/>
        </w:rPr>
      </w:pPr>
      <w:bookmarkStart w:id="465" w:name="_Toc44508393"/>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2</w:t>
      </w:r>
      <w:r w:rsidRPr="00F876CB">
        <w:rPr>
          <w:lang w:val="en-GB"/>
        </w:rPr>
        <w:fldChar w:fldCharType="end"/>
      </w:r>
      <w:r w:rsidRPr="00F876CB">
        <w:rPr>
          <w:lang w:val="en-GB"/>
        </w:rPr>
        <w:t xml:space="preserve">.2.7: </w:t>
      </w:r>
      <w:bookmarkEnd w:id="459"/>
      <w:r w:rsidRPr="00F876CB">
        <w:rPr>
          <w:lang w:val="en-GB"/>
        </w:rPr>
        <w:t>Rates of Order Volumes Given in Balancing Power Market in 2019 (%)</w:t>
      </w:r>
      <w:bookmarkEnd w:id="460"/>
      <w:bookmarkEnd w:id="461"/>
      <w:bookmarkEnd w:id="462"/>
      <w:bookmarkEnd w:id="463"/>
      <w:bookmarkEnd w:id="464"/>
      <w:bookmarkEnd w:id="465"/>
    </w:p>
    <w:p w:rsidR="00767AED" w:rsidRPr="00F876CB" w:rsidRDefault="00767AED" w:rsidP="00767AED">
      <w:pPr>
        <w:rPr>
          <w:rFonts w:asciiTheme="minorHAnsi" w:eastAsiaTheme="minorEastAsia" w:hAnsiTheme="minorHAnsi" w:cstheme="minorHAnsi"/>
          <w:szCs w:val="24"/>
          <w:lang w:val="en-GB"/>
        </w:rPr>
      </w:pPr>
      <w:r>
        <w:rPr>
          <w:rFonts w:asciiTheme="minorHAnsi" w:eastAsiaTheme="minorEastAsia" w:hAnsiTheme="minorHAnsi" w:cstheme="minorHAnsi"/>
          <w:noProof/>
          <w:szCs w:val="24"/>
          <w:lang w:eastAsia="tr-TR" w:bidi="ar-SA"/>
        </w:rPr>
        <w:drawing>
          <wp:inline distT="0" distB="0" distL="0" distR="0" wp14:anchorId="5CF76B96" wp14:editId="1AE73DC0">
            <wp:extent cx="5686425" cy="2853055"/>
            <wp:effectExtent l="0" t="0" r="9525" b="444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86425" cy="2853055"/>
                    </a:xfrm>
                    <a:prstGeom prst="rect">
                      <a:avLst/>
                    </a:prstGeom>
                    <a:noFill/>
                  </pic:spPr>
                </pic:pic>
              </a:graphicData>
            </a:graphic>
          </wp:inline>
        </w:drawing>
      </w:r>
    </w:p>
    <w:p w:rsidR="00767AED" w:rsidRPr="00F876CB" w:rsidRDefault="00767AED" w:rsidP="00767AED">
      <w:pPr>
        <w:rPr>
          <w:rFonts w:asciiTheme="minorHAnsi" w:eastAsiaTheme="minorEastAsia" w:hAnsiTheme="minorHAnsi" w:cstheme="minorHAnsi"/>
          <w:szCs w:val="24"/>
          <w:lang w:val="en-GB"/>
        </w:rPr>
      </w:pPr>
    </w:p>
    <w:p w:rsidR="00767AED" w:rsidRPr="00F876CB" w:rsidRDefault="00767AED" w:rsidP="00767AED">
      <w:pPr>
        <w:pStyle w:val="Balk6"/>
        <w:rPr>
          <w:lang w:val="en-GB"/>
        </w:rPr>
      </w:pPr>
      <w:bookmarkStart w:id="466" w:name="_Toc487101647"/>
      <w:bookmarkStart w:id="467" w:name="_Toc512430989"/>
      <w:bookmarkStart w:id="468" w:name="_Toc12536013"/>
      <w:bookmarkStart w:id="469" w:name="_Toc40966093"/>
      <w:bookmarkStart w:id="470" w:name="_Toc44508394"/>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.2.8: Distribution of the Orders Given in the Balancing Power Market by Hours in 2019 (MW)</w:t>
      </w:r>
      <w:bookmarkEnd w:id="466"/>
      <w:bookmarkEnd w:id="467"/>
      <w:bookmarkEnd w:id="468"/>
      <w:bookmarkEnd w:id="469"/>
      <w:bookmarkEnd w:id="470"/>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3438A393" wp14:editId="7BE81A69">
            <wp:extent cx="5773420" cy="31242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73420" cy="3124200"/>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sidRPr="00F876CB">
        <w:rPr>
          <w:rFonts w:asciiTheme="minorHAnsi" w:eastAsiaTheme="minorEastAsia" w:hAnsiTheme="minorHAnsi" w:cstheme="minorHAnsi"/>
          <w:sz w:val="24"/>
          <w:szCs w:val="24"/>
          <w:lang w:val="en-GB"/>
        </w:rPr>
        <w:t xml:space="preserve">Additional costs arising from those instructions are shown in Table 2.2.1 below. While the additional cost caused by the instructions given in DGP was 119.67 million TL in 2018, it was 625.8 million TL in 2019. All of these costs are caused by </w:t>
      </w:r>
      <w:r>
        <w:rPr>
          <w:rFonts w:asciiTheme="minorHAnsi" w:eastAsiaTheme="minorEastAsia" w:hAnsiTheme="minorHAnsi" w:cstheme="minorHAnsi"/>
          <w:sz w:val="24"/>
          <w:szCs w:val="24"/>
          <w:lang w:val="en-GB"/>
        </w:rPr>
        <w:t>1 coded</w:t>
      </w:r>
      <w:r w:rsidRPr="00F876CB">
        <w:rPr>
          <w:rFonts w:asciiTheme="minorHAnsi" w:eastAsiaTheme="minorEastAsia" w:hAnsiTheme="minorHAnsi" w:cstheme="minorHAnsi"/>
          <w:sz w:val="24"/>
          <w:szCs w:val="24"/>
          <w:lang w:val="en-GB"/>
        </w:rPr>
        <w:t xml:space="preserve"> </w:t>
      </w:r>
      <w:proofErr w:type="gramStart"/>
      <w:r w:rsidRPr="00F876CB">
        <w:rPr>
          <w:rFonts w:asciiTheme="minorHAnsi" w:eastAsiaTheme="minorEastAsia" w:hAnsiTheme="minorHAnsi" w:cstheme="minorHAnsi"/>
          <w:sz w:val="24"/>
          <w:szCs w:val="24"/>
          <w:lang w:val="en-GB"/>
        </w:rPr>
        <w:t>instructions</w:t>
      </w:r>
      <w:proofErr w:type="gramEnd"/>
      <w:r w:rsidRPr="00F876CB">
        <w:rPr>
          <w:rFonts w:asciiTheme="minorHAnsi" w:eastAsiaTheme="minorEastAsia" w:hAnsiTheme="minorHAnsi" w:cstheme="minorHAnsi"/>
          <w:sz w:val="24"/>
          <w:szCs w:val="24"/>
          <w:lang w:val="en-GB"/>
        </w:rPr>
        <w:t>, and since there are no 2 codes, no costs occurred.</w:t>
      </w:r>
    </w:p>
    <w:p w:rsidR="00767AED" w:rsidRPr="00F876CB" w:rsidRDefault="00767AED" w:rsidP="00767AED">
      <w:pPr>
        <w:pStyle w:val="Balk5"/>
        <w:rPr>
          <w:lang w:val="en-GB"/>
        </w:rPr>
      </w:pPr>
      <w:bookmarkStart w:id="471" w:name="_Toc432165778"/>
      <w:bookmarkStart w:id="472" w:name="_Toc450309960"/>
      <w:bookmarkStart w:id="473" w:name="_Toc487101584"/>
      <w:bookmarkStart w:id="474" w:name="_Toc512430836"/>
      <w:bookmarkStart w:id="475" w:name="_Toc40966031"/>
      <w:bookmarkStart w:id="476" w:name="_Toc44508332"/>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.2.1: </w:t>
      </w:r>
      <w:bookmarkEnd w:id="471"/>
      <w:bookmarkEnd w:id="472"/>
      <w:bookmarkEnd w:id="473"/>
      <w:bookmarkEnd w:id="474"/>
      <w:bookmarkEnd w:id="475"/>
      <w:r w:rsidRPr="00F876CB">
        <w:rPr>
          <w:lang w:val="en-GB"/>
        </w:rPr>
        <w:t>Additional Costs of Orders (Million TL)</w:t>
      </w:r>
      <w:bookmarkEnd w:id="476"/>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767AED" w:rsidRPr="00F876CB" w:rsidTr="00C71FD5">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Type of Instruction</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AD29F4" w:rsidP="00C71FD5">
            <w:pPr>
              <w:spacing w:after="0" w:line="240" w:lineRule="auto"/>
              <w:jc w:val="center"/>
              <w:rPr>
                <w:rFonts w:ascii="Arial" w:eastAsia="Times New Roman" w:hAnsi="Arial" w:cs="Arial"/>
                <w:b/>
                <w:bCs/>
                <w:color w:val="FFFFFF"/>
                <w:sz w:val="20"/>
                <w:szCs w:val="20"/>
                <w:lang w:val="en-GB" w:eastAsia="tr-TR" w:bidi="ar-SA"/>
              </w:rPr>
            </w:pPr>
            <w:r>
              <w:rPr>
                <w:rFonts w:ascii="Arial" w:eastAsia="Times New Roman" w:hAnsi="Arial" w:cs="Arial"/>
                <w:b/>
                <w:bCs/>
                <w:color w:val="FFFFFF"/>
                <w:sz w:val="20"/>
                <w:szCs w:val="20"/>
                <w:lang w:val="en-GB" w:eastAsia="tr-TR" w:bidi="ar-SA"/>
              </w:rPr>
              <w:t>Loading</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AD29F4" w:rsidP="00C71FD5">
            <w:pPr>
              <w:spacing w:after="0" w:line="240" w:lineRule="auto"/>
              <w:jc w:val="center"/>
              <w:rPr>
                <w:rFonts w:ascii="Arial" w:eastAsia="Times New Roman" w:hAnsi="Arial" w:cs="Arial"/>
                <w:b/>
                <w:bCs/>
                <w:color w:val="FFFFFF"/>
                <w:sz w:val="20"/>
                <w:szCs w:val="20"/>
                <w:lang w:val="en-GB" w:eastAsia="tr-TR" w:bidi="ar-SA"/>
              </w:rPr>
            </w:pPr>
            <w:r w:rsidRPr="00AD29F4">
              <w:rPr>
                <w:rFonts w:ascii="Arial" w:eastAsia="Times New Roman" w:hAnsi="Arial" w:cs="Arial"/>
                <w:b/>
                <w:bCs/>
                <w:color w:val="FFFFFF"/>
                <w:sz w:val="20"/>
                <w:szCs w:val="20"/>
                <w:lang w:val="en-GB" w:eastAsia="tr-TR" w:bidi="ar-SA"/>
              </w:rPr>
              <w:t>DE-Loading</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Total</w:t>
            </w:r>
          </w:p>
        </w:tc>
      </w:tr>
      <w:tr w:rsidR="00767AED" w:rsidRPr="00F876CB" w:rsidTr="00C71FD5">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767AED" w:rsidRPr="00F876CB" w:rsidRDefault="00767AED" w:rsidP="00C71FD5">
            <w:pPr>
              <w:spacing w:after="0" w:line="240" w:lineRule="auto"/>
              <w:jc w:val="center"/>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 Coded</w:t>
            </w:r>
          </w:p>
        </w:tc>
        <w:tc>
          <w:tcPr>
            <w:tcW w:w="1588" w:type="dxa"/>
            <w:tcBorders>
              <w:top w:val="nil"/>
              <w:left w:val="nil"/>
              <w:bottom w:val="single" w:sz="8" w:space="0" w:color="auto"/>
              <w:right w:val="single" w:sz="8" w:space="0" w:color="auto"/>
            </w:tcBorders>
            <w:shd w:val="clear" w:color="000000" w:fill="DAEEF3"/>
            <w:noWrap/>
            <w:vAlign w:val="center"/>
            <w:hideMark/>
          </w:tcPr>
          <w:p w:rsidR="00767AED" w:rsidRPr="00F876CB" w:rsidRDefault="00767AED" w:rsidP="00C71FD5">
            <w:pPr>
              <w:spacing w:after="0" w:line="240" w:lineRule="auto"/>
              <w:jc w:val="center"/>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434,9</w:t>
            </w:r>
          </w:p>
        </w:tc>
        <w:tc>
          <w:tcPr>
            <w:tcW w:w="1486" w:type="dxa"/>
            <w:tcBorders>
              <w:top w:val="nil"/>
              <w:left w:val="nil"/>
              <w:bottom w:val="single" w:sz="8" w:space="0" w:color="auto"/>
              <w:right w:val="single" w:sz="8" w:space="0" w:color="auto"/>
            </w:tcBorders>
            <w:shd w:val="clear" w:color="000000" w:fill="DAEEF3"/>
            <w:noWrap/>
            <w:vAlign w:val="center"/>
            <w:hideMark/>
          </w:tcPr>
          <w:p w:rsidR="00767AED" w:rsidRPr="00F876CB" w:rsidRDefault="00767AED" w:rsidP="00C71FD5">
            <w:pPr>
              <w:spacing w:after="0" w:line="240" w:lineRule="auto"/>
              <w:jc w:val="center"/>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190,9</w:t>
            </w:r>
          </w:p>
        </w:tc>
        <w:tc>
          <w:tcPr>
            <w:tcW w:w="1445" w:type="dxa"/>
            <w:tcBorders>
              <w:top w:val="nil"/>
              <w:left w:val="nil"/>
              <w:bottom w:val="single" w:sz="8" w:space="0" w:color="auto"/>
              <w:right w:val="single" w:sz="8" w:space="0" w:color="auto"/>
            </w:tcBorders>
            <w:shd w:val="clear" w:color="000000" w:fill="DAEEF3"/>
            <w:noWrap/>
            <w:vAlign w:val="center"/>
            <w:hideMark/>
          </w:tcPr>
          <w:p w:rsidR="00767AED" w:rsidRPr="00F876CB" w:rsidRDefault="00767AED" w:rsidP="00C71FD5">
            <w:pPr>
              <w:spacing w:after="0" w:line="240" w:lineRule="auto"/>
              <w:jc w:val="center"/>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625,8</w:t>
            </w:r>
          </w:p>
        </w:tc>
      </w:tr>
    </w:tbl>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7F40CD" w:rsidRDefault="00767AED" w:rsidP="00767AED">
      <w:pPr>
        <w:spacing w:line="360" w:lineRule="auto"/>
        <w:jc w:val="both"/>
        <w:rPr>
          <w:rFonts w:asciiTheme="minorHAnsi" w:eastAsiaTheme="minorEastAsia" w:hAnsiTheme="minorHAnsi" w:cstheme="minorHAnsi"/>
          <w:sz w:val="24"/>
          <w:szCs w:val="24"/>
          <w:lang w:val="en-GB"/>
        </w:rPr>
      </w:pPr>
      <w:bookmarkStart w:id="477" w:name="_Ref416702468"/>
      <w:bookmarkStart w:id="478" w:name="_Toc406661478"/>
      <w:bookmarkStart w:id="479" w:name="_Toc432165745"/>
      <w:bookmarkStart w:id="480" w:name="_Toc450307928"/>
      <w:bookmarkStart w:id="481" w:name="_Toc487101648"/>
      <w:bookmarkStart w:id="482" w:name="_Toc512430990"/>
      <w:bookmarkStart w:id="483" w:name="_Toc12536014"/>
      <w:r w:rsidRPr="007F40CD">
        <w:rPr>
          <w:rFonts w:asciiTheme="minorHAnsi" w:eastAsiaTheme="minorEastAsia" w:hAnsiTheme="minorHAnsi" w:cstheme="minorHAnsi"/>
          <w:sz w:val="24"/>
          <w:szCs w:val="24"/>
          <w:lang w:val="en-GB"/>
        </w:rPr>
        <w:t xml:space="preserve">The development of additional costs on a monthly basis in 2019 is shown in Figure 2.2.9 below. The majority of the Additional Costs </w:t>
      </w:r>
      <w:r>
        <w:rPr>
          <w:rFonts w:asciiTheme="minorHAnsi" w:eastAsiaTheme="minorEastAsia" w:hAnsiTheme="minorHAnsi" w:cstheme="minorHAnsi"/>
          <w:sz w:val="24"/>
          <w:szCs w:val="24"/>
          <w:lang w:val="en-GB"/>
        </w:rPr>
        <w:t>was</w:t>
      </w:r>
      <w:r w:rsidRPr="007F40CD">
        <w:rPr>
          <w:rFonts w:asciiTheme="minorHAnsi" w:eastAsiaTheme="minorEastAsia" w:hAnsiTheme="minorHAnsi" w:cstheme="minorHAnsi"/>
          <w:sz w:val="24"/>
          <w:szCs w:val="24"/>
          <w:lang w:val="en-GB"/>
        </w:rPr>
        <w:t xml:space="preserve"> in April, May and June.</w:t>
      </w: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pStyle w:val="Balk6"/>
        <w:rPr>
          <w:lang w:val="en-GB"/>
        </w:rPr>
      </w:pPr>
      <w:bookmarkStart w:id="484" w:name="_Toc40966094"/>
      <w:bookmarkStart w:id="485" w:name="_Toc44508395"/>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w:t>
      </w:r>
      <w:bookmarkEnd w:id="477"/>
      <w:r w:rsidRPr="00F876CB">
        <w:rPr>
          <w:lang w:val="en-GB"/>
        </w:rPr>
        <w:t xml:space="preserve">.9: </w:t>
      </w:r>
      <w:bookmarkEnd w:id="478"/>
      <w:bookmarkEnd w:id="479"/>
      <w:bookmarkEnd w:id="480"/>
      <w:bookmarkEnd w:id="481"/>
      <w:bookmarkEnd w:id="482"/>
      <w:bookmarkEnd w:id="483"/>
      <w:bookmarkEnd w:id="484"/>
      <w:r w:rsidRPr="00F876CB">
        <w:rPr>
          <w:lang w:val="en-GB"/>
        </w:rPr>
        <w:t>Development of Additional Costs of Orders by Months in 2019 (Million TL)</w:t>
      </w:r>
      <w:bookmarkEnd w:id="485"/>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124A3073" wp14:editId="43315A75">
            <wp:extent cx="5353050" cy="3027383"/>
            <wp:effectExtent l="0" t="0" r="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56619" cy="3029401"/>
                    </a:xfrm>
                    <a:prstGeom prst="rect">
                      <a:avLst/>
                    </a:prstGeom>
                    <a:noFill/>
                  </pic:spPr>
                </pic:pic>
              </a:graphicData>
            </a:graphic>
          </wp:inline>
        </w:drawing>
      </w:r>
    </w:p>
    <w:p w:rsidR="00767AED" w:rsidRPr="00542180" w:rsidRDefault="00767AED" w:rsidP="00767AED">
      <w:pPr>
        <w:spacing w:line="360" w:lineRule="auto"/>
        <w:jc w:val="both"/>
        <w:rPr>
          <w:rFonts w:asciiTheme="minorHAnsi" w:eastAsiaTheme="minorEastAsia" w:hAnsiTheme="minorHAnsi" w:cstheme="minorHAnsi"/>
          <w:sz w:val="24"/>
          <w:szCs w:val="24"/>
          <w:lang w:val="en-GB"/>
        </w:rPr>
      </w:pPr>
      <w:bookmarkStart w:id="486" w:name="_Toc432165746"/>
      <w:bookmarkStart w:id="487" w:name="_Toc450307929"/>
      <w:bookmarkStart w:id="488" w:name="_Toc487101649"/>
      <w:bookmarkStart w:id="489" w:name="_Toc512430991"/>
      <w:bookmarkStart w:id="490" w:name="_Toc12536015"/>
      <w:r w:rsidRPr="00542180">
        <w:rPr>
          <w:rFonts w:asciiTheme="minorHAnsi" w:eastAsiaTheme="minorEastAsia" w:hAnsiTheme="minorHAnsi" w:cstheme="minorHAnsi"/>
          <w:sz w:val="24"/>
          <w:szCs w:val="24"/>
          <w:lang w:val="en-GB"/>
        </w:rPr>
        <w:t xml:space="preserve">The change of the Zero Balance Adjustment Amount (ZBAC) by years is shown in Figure 2.2.10. ZBAC </w:t>
      </w:r>
      <w:r>
        <w:rPr>
          <w:rFonts w:asciiTheme="minorHAnsi" w:eastAsiaTheme="minorEastAsia" w:hAnsiTheme="minorHAnsi" w:cstheme="minorHAnsi"/>
          <w:sz w:val="24"/>
          <w:szCs w:val="24"/>
          <w:lang w:val="en-GB"/>
        </w:rPr>
        <w:t>is realized as 654 million TL in 2019.</w:t>
      </w:r>
    </w:p>
    <w:p w:rsidR="00767AED" w:rsidRPr="00F876CB" w:rsidRDefault="00767AED" w:rsidP="00767AED">
      <w:pPr>
        <w:rPr>
          <w:lang w:val="en-GB"/>
        </w:rPr>
      </w:pPr>
    </w:p>
    <w:p w:rsidR="00767AED" w:rsidRPr="00F876CB" w:rsidRDefault="00767AED" w:rsidP="00767AED">
      <w:pPr>
        <w:pStyle w:val="Balk6"/>
        <w:rPr>
          <w:lang w:val="en-GB"/>
        </w:rPr>
      </w:pPr>
      <w:bookmarkStart w:id="491" w:name="_Toc40966095"/>
      <w:bookmarkStart w:id="492" w:name="_Toc44508396"/>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.2.10: Development of Zero Balance Adjustment Component by Years (TL)</w:t>
      </w:r>
      <w:bookmarkEnd w:id="486"/>
      <w:bookmarkEnd w:id="487"/>
      <w:bookmarkEnd w:id="488"/>
      <w:bookmarkEnd w:id="489"/>
      <w:bookmarkEnd w:id="490"/>
      <w:bookmarkEnd w:id="491"/>
      <w:bookmarkEnd w:id="492"/>
    </w:p>
    <w:p w:rsidR="00767AED" w:rsidRPr="00F876CB" w:rsidRDefault="00767AED" w:rsidP="00767AED">
      <w:pPr>
        <w:tabs>
          <w:tab w:val="left" w:pos="3645"/>
        </w:tabs>
        <w:jc w:val="center"/>
        <w:rPr>
          <w:lang w:val="en-GB"/>
        </w:rPr>
      </w:pPr>
      <w:r>
        <w:rPr>
          <w:noProof/>
          <w:lang w:eastAsia="tr-TR" w:bidi="ar-SA"/>
        </w:rPr>
        <w:drawing>
          <wp:inline distT="0" distB="0" distL="0" distR="0" wp14:anchorId="57681A90" wp14:editId="4FCFDAE8">
            <wp:extent cx="5743575" cy="3062288"/>
            <wp:effectExtent l="0" t="0" r="9525" b="508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767AED" w:rsidRPr="00F876CB" w:rsidRDefault="00767AED" w:rsidP="00767AED">
      <w:pPr>
        <w:rPr>
          <w:lang w:val="en-GB"/>
        </w:rPr>
      </w:pPr>
    </w:p>
    <w:p w:rsidR="00767AED" w:rsidRPr="00F876CB" w:rsidRDefault="00767AED" w:rsidP="00767AED">
      <w:pPr>
        <w:rPr>
          <w:lang w:val="en-GB"/>
        </w:rPr>
        <w:sectPr w:rsidR="00767AED" w:rsidRPr="00F876CB" w:rsidSect="006D0D10">
          <w:pgSz w:w="11906" w:h="16838"/>
          <w:pgMar w:top="1417" w:right="1417" w:bottom="1417" w:left="1417" w:header="708" w:footer="708" w:gutter="0"/>
          <w:cols w:space="708"/>
          <w:docGrid w:linePitch="360"/>
        </w:sectPr>
      </w:pPr>
    </w:p>
    <w:p w:rsidR="00767AED" w:rsidRPr="00F876CB" w:rsidRDefault="00767AED" w:rsidP="00767AED">
      <w:pPr>
        <w:pStyle w:val="11ilebalayanlar"/>
        <w:rPr>
          <w:lang w:val="en-GB"/>
        </w:rPr>
      </w:pPr>
      <w:bookmarkStart w:id="493" w:name="_Toc483831851"/>
      <w:bookmarkStart w:id="494" w:name="_Toc512430795"/>
      <w:bookmarkStart w:id="495" w:name="_Toc514767708"/>
      <w:bookmarkStart w:id="496" w:name="_Toc40965989"/>
      <w:bookmarkStart w:id="497" w:name="_Toc44508290"/>
      <w:r w:rsidRPr="00F876CB">
        <w:rPr>
          <w:lang w:val="en-GB"/>
        </w:rPr>
        <w:lastRenderedPageBreak/>
        <w:t xml:space="preserve">2.3 </w:t>
      </w:r>
      <w:bookmarkEnd w:id="493"/>
      <w:bookmarkEnd w:id="494"/>
      <w:bookmarkEnd w:id="495"/>
      <w:bookmarkEnd w:id="496"/>
      <w:r w:rsidRPr="00F876CB">
        <w:rPr>
          <w:lang w:val="en-GB"/>
        </w:rPr>
        <w:t>Intra-Day Market</w:t>
      </w:r>
      <w:bookmarkEnd w:id="497"/>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NormalWeb"/>
        <w:shd w:val="clear" w:color="auto" w:fill="FFFFFF"/>
        <w:spacing w:line="360" w:lineRule="auto"/>
        <w:jc w:val="both"/>
        <w:rPr>
          <w:lang w:val="en-GB"/>
        </w:rPr>
      </w:pPr>
      <w:r w:rsidRPr="00F876CB">
        <w:rPr>
          <w:lang w:val="en-GB"/>
        </w:rPr>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playing more balanced and effective role.</w:t>
      </w:r>
    </w:p>
    <w:p w:rsidR="00767AED" w:rsidRPr="00F876CB" w:rsidRDefault="00767AED" w:rsidP="00767AED">
      <w:pPr>
        <w:pStyle w:val="NormalWeb"/>
        <w:shd w:val="clear" w:color="auto" w:fill="FFFFFF"/>
        <w:spacing w:line="360" w:lineRule="auto"/>
        <w:jc w:val="both"/>
        <w:rPr>
          <w:lang w:val="en-GB"/>
        </w:rPr>
      </w:pPr>
      <w:r w:rsidRPr="00F876CB">
        <w:rPr>
          <w:lang w:val="en-GB"/>
        </w:rPr>
        <w:t xml:space="preserve">Day-Ahead, Ancillary Services and Balancing Power Markets currently in operation, with the addition of Intra-Day Market, provide real-time trading opportunities and </w:t>
      </w:r>
      <w:proofErr w:type="spellStart"/>
      <w:r w:rsidRPr="00F876CB">
        <w:rPr>
          <w:lang w:val="en-GB"/>
        </w:rPr>
        <w:t>offermarket</w:t>
      </w:r>
      <w:proofErr w:type="spellEnd"/>
      <w:r w:rsidRPr="00F876CB">
        <w:rPr>
          <w:lang w:val="en-GB"/>
        </w:rPr>
        <w:t xml:space="preserve"> participants the opportunity to manage short-term portfolios.</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In Figure 2.3.1 below, monthly volume of the Intra-Day Market and the weighted average price in 201</w:t>
      </w:r>
      <w:r>
        <w:rPr>
          <w:rFonts w:ascii="Times New Roman" w:eastAsiaTheme="minorEastAsia" w:hAnsi="Times New Roman" w:cs="Times New Roman"/>
          <w:sz w:val="24"/>
          <w:szCs w:val="24"/>
          <w:lang w:val="en-GB"/>
        </w:rPr>
        <w:t>9</w:t>
      </w:r>
      <w:r w:rsidRPr="00F876CB">
        <w:rPr>
          <w:rFonts w:ascii="Times New Roman" w:eastAsiaTheme="minorEastAsia" w:hAnsi="Times New Roman" w:cs="Times New Roman"/>
          <w:sz w:val="24"/>
          <w:szCs w:val="24"/>
          <w:lang w:val="en-GB"/>
        </w:rPr>
        <w:t xml:space="preserve"> is given.</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rFonts w:cstheme="minorBidi"/>
          <w:caps/>
          <w:sz w:val="16"/>
          <w:szCs w:val="18"/>
          <w:lang w:val="en-GB"/>
        </w:rPr>
      </w:pPr>
      <w:bookmarkStart w:id="498" w:name="_Toc450307930"/>
      <w:bookmarkStart w:id="499" w:name="_Toc487101650"/>
      <w:bookmarkStart w:id="500" w:name="_Toc512430992"/>
      <w:bookmarkStart w:id="501" w:name="_Toc12536016"/>
      <w:bookmarkStart w:id="502" w:name="_Toc40966096"/>
      <w:bookmarkStart w:id="503" w:name="_Toc44508397"/>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.3.1: </w:t>
      </w:r>
      <w:bookmarkEnd w:id="498"/>
      <w:r w:rsidRPr="00F876CB">
        <w:rPr>
          <w:lang w:val="en-GB"/>
        </w:rPr>
        <w:t>Monthly Development of Trading Volume and Average Price in the Intra-Day Market (MWh – TL/MWh)</w:t>
      </w:r>
      <w:bookmarkEnd w:id="499"/>
      <w:bookmarkEnd w:id="500"/>
      <w:bookmarkEnd w:id="501"/>
      <w:bookmarkEnd w:id="502"/>
      <w:bookmarkEnd w:id="503"/>
    </w:p>
    <w:p w:rsidR="00767AED" w:rsidRPr="00F876CB" w:rsidRDefault="00767AED" w:rsidP="00767AED">
      <w:pPr>
        <w:spacing w:line="360" w:lineRule="auto"/>
        <w:jc w:val="both"/>
        <w:rPr>
          <w:rFonts w:asciiTheme="minorHAnsi" w:eastAsiaTheme="minorEastAsia" w:hAnsiTheme="minorHAnsi" w:cstheme="minorHAnsi"/>
          <w:sz w:val="24"/>
          <w:szCs w:val="24"/>
          <w:lang w:val="en-GB"/>
        </w:rPr>
        <w:sectPr w:rsidR="00767AED" w:rsidRPr="00F876CB"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740DD2E4" wp14:editId="51606226">
            <wp:extent cx="5686425" cy="3121660"/>
            <wp:effectExtent l="0" t="0" r="9525" b="254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86425" cy="3121660"/>
                    </a:xfrm>
                    <a:prstGeom prst="rect">
                      <a:avLst/>
                    </a:prstGeom>
                    <a:noFill/>
                  </pic:spPr>
                </pic:pic>
              </a:graphicData>
            </a:graphic>
          </wp:inline>
        </w:drawing>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504" w:name="_Toc487101651"/>
      <w:bookmarkStart w:id="505" w:name="_Toc512430993"/>
      <w:bookmarkStart w:id="506" w:name="_Toc12536017"/>
      <w:bookmarkStart w:id="507" w:name="_Toc40966097"/>
      <w:r w:rsidRPr="00F876CB">
        <w:rPr>
          <w:rFonts w:ascii="Times New Roman" w:eastAsiaTheme="minorEastAsia" w:hAnsi="Times New Roman" w:cs="Times New Roman"/>
          <w:sz w:val="24"/>
          <w:szCs w:val="24"/>
          <w:lang w:val="en-GB"/>
        </w:rPr>
        <w:lastRenderedPageBreak/>
        <w:t>In Figure 2.3.2 the distribution of purchases of IDM on the basis of company and the share of first 10 companies and in Figure 2.3.3, the distribution of sales in IDM on the basis of the company and the share of top 10 seller companies are shown.</w:t>
      </w:r>
    </w:p>
    <w:p w:rsidR="00767AED" w:rsidRPr="00F876CB" w:rsidRDefault="00767AED" w:rsidP="00767AED">
      <w:pPr>
        <w:pStyle w:val="Balk6"/>
        <w:rPr>
          <w:lang w:val="en-GB"/>
        </w:rPr>
      </w:pPr>
      <w:bookmarkStart w:id="508" w:name="_Toc44508398"/>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.3.2: Distribution of Purchases of Intra-Day Market by Companies and the Share of Top 10 Companies (%)</w:t>
      </w:r>
      <w:bookmarkEnd w:id="504"/>
      <w:bookmarkEnd w:id="505"/>
      <w:bookmarkEnd w:id="506"/>
      <w:bookmarkEnd w:id="507"/>
      <w:bookmarkEnd w:id="508"/>
    </w:p>
    <w:p w:rsidR="00767AED" w:rsidRPr="00F876CB" w:rsidRDefault="00767AED" w:rsidP="00767AED">
      <w:pPr>
        <w:rPr>
          <w:rFonts w:ascii="Times New Roman" w:hAnsi="Times New Roman"/>
          <w:b/>
          <w:spacing w:val="10"/>
          <w:sz w:val="24"/>
          <w:lang w:val="en-GB"/>
        </w:rPr>
      </w:pPr>
      <w:r>
        <w:rPr>
          <w:rFonts w:ascii="Times New Roman" w:hAnsi="Times New Roman"/>
          <w:b/>
          <w:noProof/>
          <w:spacing w:val="10"/>
          <w:sz w:val="24"/>
          <w:lang w:eastAsia="tr-TR" w:bidi="ar-SA"/>
        </w:rPr>
        <w:drawing>
          <wp:inline distT="0" distB="0" distL="0" distR="0" wp14:anchorId="79A2263D" wp14:editId="5CA1FB94">
            <wp:extent cx="5810250" cy="3286125"/>
            <wp:effectExtent l="0" t="0" r="0" b="952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10250" cy="3286125"/>
                    </a:xfrm>
                    <a:prstGeom prst="rect">
                      <a:avLst/>
                    </a:prstGeom>
                    <a:noFill/>
                  </pic:spPr>
                </pic:pic>
              </a:graphicData>
            </a:graphic>
          </wp:inline>
        </w:drawing>
      </w:r>
    </w:p>
    <w:p w:rsidR="00767AED" w:rsidRPr="00F876CB" w:rsidRDefault="00767AED" w:rsidP="00767AED">
      <w:pPr>
        <w:pStyle w:val="Balk6"/>
        <w:rPr>
          <w:noProof/>
          <w:lang w:val="en-GB" w:eastAsia="tr-TR" w:bidi="ar-SA"/>
        </w:rPr>
      </w:pPr>
      <w:bookmarkStart w:id="509" w:name="_Toc487101652"/>
      <w:bookmarkStart w:id="510" w:name="_Toc512430994"/>
      <w:bookmarkStart w:id="511" w:name="_Toc12536018"/>
      <w:bookmarkStart w:id="512" w:name="_Toc40966098"/>
      <w:bookmarkStart w:id="513" w:name="_Toc44508399"/>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2</w:t>
      </w:r>
      <w:r w:rsidRPr="00F876CB">
        <w:rPr>
          <w:lang w:val="en-GB"/>
        </w:rPr>
        <w:fldChar w:fldCharType="end"/>
      </w:r>
      <w:r w:rsidRPr="00F876CB">
        <w:rPr>
          <w:lang w:val="en-GB"/>
        </w:rPr>
        <w:t>.3.3: Distribution of Sales in Intra-Day Market by Companies and the Share of Top 10 Companies (%)</w:t>
      </w:r>
      <w:bookmarkEnd w:id="509"/>
      <w:bookmarkEnd w:id="510"/>
      <w:bookmarkEnd w:id="511"/>
      <w:bookmarkEnd w:id="512"/>
      <w:bookmarkEnd w:id="513"/>
    </w:p>
    <w:p w:rsidR="00767AED" w:rsidRPr="00F876CB" w:rsidRDefault="00767AED" w:rsidP="00767AED">
      <w:pPr>
        <w:jc w:val="center"/>
        <w:rPr>
          <w:lang w:val="en-GB"/>
        </w:rPr>
      </w:pPr>
      <w:r>
        <w:rPr>
          <w:noProof/>
          <w:lang w:eastAsia="tr-TR" w:bidi="ar-SA"/>
        </w:rPr>
        <w:drawing>
          <wp:inline distT="0" distB="0" distL="0" distR="0" wp14:anchorId="4D3D3BB3" wp14:editId="41282130">
            <wp:extent cx="5819775" cy="3571875"/>
            <wp:effectExtent l="0" t="0" r="9525" b="95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19775" cy="3571875"/>
                    </a:xfrm>
                    <a:prstGeom prst="rect">
                      <a:avLst/>
                    </a:prstGeom>
                    <a:noFill/>
                  </pic:spPr>
                </pic:pic>
              </a:graphicData>
            </a:graphic>
          </wp:inline>
        </w:drawing>
      </w:r>
    </w:p>
    <w:p w:rsidR="00767AED" w:rsidRPr="00F876CB" w:rsidRDefault="00767AED" w:rsidP="00767AED">
      <w:pPr>
        <w:pStyle w:val="11ilebalayanlar"/>
        <w:rPr>
          <w:lang w:val="en-GB"/>
        </w:rPr>
      </w:pPr>
      <w:bookmarkStart w:id="514" w:name="_Toc483831852"/>
      <w:bookmarkStart w:id="515" w:name="_Toc512430796"/>
      <w:bookmarkStart w:id="516" w:name="_Toc514767709"/>
      <w:bookmarkStart w:id="517" w:name="_Toc40965990"/>
      <w:bookmarkStart w:id="518" w:name="_Toc44508291"/>
      <w:r w:rsidRPr="00F876CB">
        <w:rPr>
          <w:lang w:val="en-GB"/>
        </w:rPr>
        <w:lastRenderedPageBreak/>
        <w:t xml:space="preserve">2.4 </w:t>
      </w:r>
      <w:bookmarkEnd w:id="514"/>
      <w:bookmarkEnd w:id="515"/>
      <w:bookmarkEnd w:id="516"/>
      <w:bookmarkEnd w:id="517"/>
      <w:r w:rsidRPr="00F876CB">
        <w:rPr>
          <w:lang w:val="en-GB"/>
        </w:rPr>
        <w:t>Bilateral Agreements</w:t>
      </w:r>
      <w:bookmarkEnd w:id="518"/>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519" w:name="_Toc432165747"/>
      <w:r w:rsidRPr="00F876CB">
        <w:rPr>
          <w:rFonts w:ascii="Times New Roman" w:eastAsiaTheme="minorEastAsia" w:hAnsi="Times New Roman" w:cs="Times New Roman"/>
          <w:sz w:val="24"/>
          <w:szCs w:val="24"/>
          <w:lang w:val="en-GB"/>
        </w:rPr>
        <w:t>Bilateral agreements are based on the construction of the Turkish electricity market, and the other organized markets are designed in the figure complementing the market. Most of the energy traded in the market is traded on bilateral agreements. Bilateral agreements are not subject</w:t>
      </w:r>
      <w:r>
        <w:rPr>
          <w:rFonts w:ascii="Times New Roman" w:eastAsiaTheme="minorEastAsia" w:hAnsi="Times New Roman" w:cs="Times New Roman"/>
          <w:sz w:val="24"/>
          <w:szCs w:val="24"/>
          <w:lang w:val="en-GB"/>
        </w:rPr>
        <w:t xml:space="preserve">ed to regulation. </w:t>
      </w:r>
      <w:r w:rsidRPr="00F876CB">
        <w:rPr>
          <w:rFonts w:ascii="Times New Roman" w:eastAsiaTheme="minorEastAsia" w:hAnsi="Times New Roman" w:cs="Times New Roman"/>
          <w:sz w:val="24"/>
          <w:szCs w:val="24"/>
          <w:lang w:val="en-GB"/>
        </w:rPr>
        <w:t>However, the majority of the existing bilateral agreement volume is the ones signed by TETAŞ with the incumbent supply companies. Also, distribution companies have energy purchases from TETAŞ for losses and general lighting purposes under bilateral agreements.</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 xml:space="preserve">In the Figure 2.4.1 monthly bilateral agreement volumes in 2017-2019 are shown.  </w:t>
      </w:r>
    </w:p>
    <w:p w:rsidR="00767AED" w:rsidRPr="00F876CB" w:rsidRDefault="00767AED" w:rsidP="00767AED">
      <w:pPr>
        <w:keepNext/>
        <w:spacing w:line="276" w:lineRule="auto"/>
        <w:rPr>
          <w:rFonts w:asciiTheme="minorHAnsi" w:eastAsiaTheme="minorEastAsia" w:hAnsiTheme="minorHAnsi" w:cstheme="minorHAnsi"/>
          <w:bCs/>
          <w:sz w:val="24"/>
          <w:szCs w:val="24"/>
          <w:lang w:val="en-GB"/>
        </w:rPr>
      </w:pPr>
    </w:p>
    <w:p w:rsidR="00767AED" w:rsidRPr="00F876CB" w:rsidRDefault="00767AED" w:rsidP="00767AED">
      <w:pPr>
        <w:pStyle w:val="Balk6"/>
        <w:rPr>
          <w:lang w:val="en-GB"/>
        </w:rPr>
      </w:pPr>
      <w:bookmarkStart w:id="520" w:name="_Toc450307931"/>
      <w:bookmarkStart w:id="521" w:name="_Toc487101653"/>
      <w:bookmarkStart w:id="522" w:name="_Toc512430995"/>
      <w:bookmarkStart w:id="523" w:name="_Toc12536019"/>
      <w:bookmarkStart w:id="524" w:name="_Toc40966099"/>
      <w:bookmarkStart w:id="525" w:name="_Toc44508400"/>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.4.1: Monthly Bilateral Agreement Volume by Years (MWh)</w:t>
      </w:r>
      <w:bookmarkEnd w:id="519"/>
      <w:bookmarkEnd w:id="520"/>
      <w:bookmarkEnd w:id="521"/>
      <w:bookmarkEnd w:id="522"/>
      <w:bookmarkEnd w:id="523"/>
      <w:bookmarkEnd w:id="524"/>
      <w:bookmarkEnd w:id="525"/>
    </w:p>
    <w:p w:rsidR="00767AED" w:rsidRPr="00F876CB" w:rsidRDefault="00767AED" w:rsidP="00767AED">
      <w:pPr>
        <w:spacing w:line="360" w:lineRule="auto"/>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3B8DFC24" wp14:editId="510EB26A">
            <wp:extent cx="5773420" cy="3255645"/>
            <wp:effectExtent l="0" t="0" r="0" b="190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73420" cy="3255645"/>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In the following Figure 2.4.2 the distribution of purchases with bilateral agreement on the basis of the company and the share of top 10 buyer companies and in Figure 2.4.3, the distribution of sales with bilateral agreement on the basis of the company and the share of top 10 seller companies are shown.</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526" w:name="_Toc487101654"/>
      <w:bookmarkStart w:id="527" w:name="_Toc512430996"/>
      <w:bookmarkStart w:id="528" w:name="_Toc12536020"/>
      <w:bookmarkStart w:id="529" w:name="_Toc40966100"/>
      <w:bookmarkStart w:id="530" w:name="_Toc44508401"/>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.4.2: Distribution of Purchases of Bilateral Agreement by Companies and the Share of Top 10 Companies (%)</w:t>
      </w:r>
      <w:bookmarkEnd w:id="526"/>
      <w:bookmarkEnd w:id="527"/>
      <w:bookmarkEnd w:id="528"/>
      <w:bookmarkEnd w:id="529"/>
      <w:bookmarkEnd w:id="530"/>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3BDF7555" wp14:editId="06A51C24">
            <wp:extent cx="5640070" cy="3181350"/>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40070" cy="3181350"/>
                    </a:xfrm>
                    <a:prstGeom prst="rect">
                      <a:avLst/>
                    </a:prstGeom>
                    <a:noFill/>
                  </pic:spPr>
                </pic:pic>
              </a:graphicData>
            </a:graphic>
          </wp:inline>
        </w:drawing>
      </w:r>
    </w:p>
    <w:p w:rsidR="00767AED" w:rsidRPr="00F876CB" w:rsidRDefault="00767AED" w:rsidP="00767AED">
      <w:pPr>
        <w:pStyle w:val="Balk6"/>
        <w:rPr>
          <w:lang w:val="en-GB"/>
        </w:rPr>
      </w:pPr>
      <w:bookmarkStart w:id="531" w:name="_Toc487101655"/>
      <w:bookmarkStart w:id="532" w:name="_Toc512430997"/>
      <w:bookmarkStart w:id="533" w:name="_Toc12536021"/>
      <w:bookmarkStart w:id="534" w:name="_Toc40966101"/>
      <w:bookmarkStart w:id="535" w:name="_Toc44508402"/>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.4.3: Distribution of Sales with Bilateral Agreement by Companies and the Share of Top 10 Companies (%)</w:t>
      </w:r>
      <w:bookmarkEnd w:id="531"/>
      <w:bookmarkEnd w:id="532"/>
      <w:bookmarkEnd w:id="533"/>
      <w:bookmarkEnd w:id="534"/>
      <w:bookmarkEnd w:id="535"/>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073557E4" wp14:editId="24796BE5">
            <wp:extent cx="5706745" cy="3371850"/>
            <wp:effectExtent l="0" t="0" r="8255"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06745" cy="3371850"/>
                    </a:xfrm>
                    <a:prstGeom prst="rect">
                      <a:avLst/>
                    </a:prstGeom>
                    <a:noFill/>
                  </pic:spPr>
                </pic:pic>
              </a:graphicData>
            </a:graphic>
          </wp:inline>
        </w:drawing>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after="0"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lastRenderedPageBreak/>
        <w:t xml:space="preserve">The wholesale tariffs of TETAŞ are determined by Board Decision and it is considered that TETAŞ </w:t>
      </w:r>
      <w:proofErr w:type="spellStart"/>
      <w:r w:rsidRPr="00F876CB">
        <w:rPr>
          <w:rFonts w:ascii="Times New Roman" w:eastAsiaTheme="minorEastAsia" w:hAnsi="Times New Roman" w:cs="Times New Roman"/>
          <w:sz w:val="24"/>
          <w:szCs w:val="24"/>
          <w:lang w:val="en-GB"/>
        </w:rPr>
        <w:t>fulfills</w:t>
      </w:r>
      <w:proofErr w:type="spellEnd"/>
      <w:r w:rsidRPr="00F876CB">
        <w:rPr>
          <w:rFonts w:ascii="Times New Roman" w:eastAsiaTheme="minorEastAsia" w:hAnsi="Times New Roman" w:cs="Times New Roman"/>
          <w:sz w:val="24"/>
          <w:szCs w:val="24"/>
          <w:lang w:val="en-GB"/>
        </w:rPr>
        <w:t xml:space="preserve"> its obligations arising from existing contracts.</w:t>
      </w:r>
      <w:r w:rsidRPr="00F876CB">
        <w:rPr>
          <w:rFonts w:ascii="Times New Roman" w:hAnsi="Times New Roman" w:cs="Times New Roman"/>
          <w:sz w:val="24"/>
          <w:szCs w:val="24"/>
          <w:lang w:val="en-GB"/>
        </w:rPr>
        <w:t xml:space="preserve"> </w:t>
      </w:r>
      <w:r w:rsidRPr="00F876CB">
        <w:rPr>
          <w:rFonts w:ascii="Times New Roman" w:hAnsi="Times New Roman" w:cs="Times New Roman"/>
          <w:sz w:val="24"/>
          <w:szCs w:val="24"/>
          <w:lang w:val="en-GB"/>
        </w:rPr>
        <w:br/>
      </w:r>
      <w:r w:rsidRPr="00F876CB">
        <w:rPr>
          <w:rFonts w:ascii="Times New Roman" w:hAnsi="Times New Roman" w:cs="Times New Roman"/>
          <w:color w:val="212121"/>
          <w:sz w:val="24"/>
          <w:szCs w:val="24"/>
          <w:shd w:val="clear" w:color="auto" w:fill="FFFFFF"/>
          <w:lang w:val="en-GB"/>
        </w:rPr>
        <w:t>While the single price for the tariff TETAŞ wholesale tariff was announced, a separate price was determined for the general lighting cost since 2017.</w:t>
      </w:r>
      <w:r w:rsidRPr="00F876CB">
        <w:rPr>
          <w:rFonts w:ascii="Times New Roman" w:eastAsiaTheme="minorEastAsia" w:hAnsi="Times New Roman" w:cs="Times New Roman"/>
          <w:sz w:val="24"/>
          <w:szCs w:val="24"/>
          <w:lang w:val="en-GB"/>
        </w:rPr>
        <w:t xml:space="preserve"> </w:t>
      </w:r>
    </w:p>
    <w:p w:rsidR="00767AED" w:rsidRPr="00F876CB" w:rsidRDefault="00767AED" w:rsidP="00767AED">
      <w:pPr>
        <w:spacing w:after="0" w:line="360" w:lineRule="auto"/>
        <w:jc w:val="both"/>
        <w:rPr>
          <w:rFonts w:ascii="Times New Roman" w:eastAsiaTheme="minorEastAsia" w:hAnsi="Times New Roman" w:cs="Times New Roman"/>
          <w:sz w:val="24"/>
          <w:szCs w:val="24"/>
          <w:lang w:val="en-GB"/>
        </w:rPr>
      </w:pPr>
    </w:p>
    <w:p w:rsidR="00767AED" w:rsidRPr="00F876CB" w:rsidRDefault="00767AED" w:rsidP="00767AED">
      <w:pPr>
        <w:pStyle w:val="Balk6"/>
        <w:jc w:val="left"/>
        <w:rPr>
          <w:rFonts w:asciiTheme="minorHAnsi" w:eastAsiaTheme="minorEastAsia" w:hAnsiTheme="minorHAnsi" w:cstheme="minorHAnsi"/>
          <w:b w:val="0"/>
          <w:spacing w:val="0"/>
          <w:szCs w:val="24"/>
          <w:lang w:val="en-GB"/>
        </w:rPr>
      </w:pPr>
      <w:bookmarkStart w:id="536" w:name="_Toc44508403"/>
      <w:bookmarkStart w:id="537" w:name="_Toc432165748"/>
      <w:bookmarkStart w:id="538" w:name="_Toc450307932"/>
      <w:r w:rsidRPr="00F876CB">
        <w:rPr>
          <w:rFonts w:asciiTheme="minorHAnsi" w:eastAsiaTheme="minorEastAsia" w:hAnsiTheme="minorHAnsi" w:cstheme="minorHAnsi"/>
          <w:b w:val="0"/>
          <w:spacing w:val="0"/>
          <w:szCs w:val="24"/>
          <w:lang w:val="en-GB"/>
        </w:rPr>
        <w:t>Below is the change in the wholesale prices of EÜAŞ in Figure 2.4.4.</w:t>
      </w:r>
      <w:bookmarkEnd w:id="536"/>
    </w:p>
    <w:p w:rsidR="00767AED" w:rsidRPr="00F876CB" w:rsidRDefault="00767AED" w:rsidP="00767AED">
      <w:pPr>
        <w:rPr>
          <w:lang w:val="en-GB"/>
        </w:rPr>
      </w:pPr>
    </w:p>
    <w:p w:rsidR="00767AED" w:rsidRPr="00F876CB" w:rsidRDefault="00767AED" w:rsidP="00767AED">
      <w:pPr>
        <w:pStyle w:val="Balk6"/>
        <w:rPr>
          <w:lang w:val="en-GB"/>
        </w:rPr>
      </w:pPr>
      <w:bookmarkStart w:id="539" w:name="_Toc487101656"/>
      <w:bookmarkStart w:id="540" w:name="_Toc512430998"/>
      <w:bookmarkStart w:id="541" w:name="_Toc12536022"/>
      <w:bookmarkStart w:id="542" w:name="_Toc40966102"/>
      <w:bookmarkStart w:id="543" w:name="_Toc44508404"/>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.4.4: </w:t>
      </w:r>
      <w:bookmarkEnd w:id="537"/>
      <w:bookmarkEnd w:id="538"/>
      <w:r w:rsidRPr="00F876CB">
        <w:rPr>
          <w:lang w:val="en-GB"/>
        </w:rPr>
        <w:t>TETAŞ Wholesale Prices Between 2011-2019 (</w:t>
      </w:r>
      <w:proofErr w:type="spellStart"/>
      <w:r w:rsidRPr="00F876CB">
        <w:rPr>
          <w:lang w:val="en-GB"/>
        </w:rPr>
        <w:t>kr</w:t>
      </w:r>
      <w:proofErr w:type="spellEnd"/>
      <w:r w:rsidRPr="00F876CB">
        <w:rPr>
          <w:lang w:val="en-GB"/>
        </w:rPr>
        <w:t>/kWh)</w:t>
      </w:r>
      <w:bookmarkEnd w:id="539"/>
      <w:bookmarkEnd w:id="540"/>
      <w:bookmarkEnd w:id="541"/>
      <w:bookmarkEnd w:id="542"/>
      <w:bookmarkEnd w:id="543"/>
    </w:p>
    <w:p w:rsidR="00767AED" w:rsidRPr="00F876CB" w:rsidRDefault="00767AED" w:rsidP="00767AED">
      <w:pPr>
        <w:rPr>
          <w:lang w:val="en-GB"/>
        </w:rPr>
      </w:pPr>
    </w:p>
    <w:p w:rsidR="00767AED" w:rsidRPr="00F876CB" w:rsidRDefault="00767AED" w:rsidP="00767AED">
      <w:pP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612CEE28" wp14:editId="13B956B1">
            <wp:extent cx="5638800" cy="320675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38800" cy="3206750"/>
                    </a:xfrm>
                    <a:prstGeom prst="rect">
                      <a:avLst/>
                    </a:prstGeom>
                    <a:noFill/>
                  </pic:spPr>
                </pic:pic>
              </a:graphicData>
            </a:graphic>
          </wp:inline>
        </w:drawing>
      </w:r>
    </w:p>
    <w:p w:rsidR="00767AED" w:rsidRPr="00F876CB" w:rsidRDefault="00767AED" w:rsidP="00767AED">
      <w:pPr>
        <w:rPr>
          <w:rFonts w:asciiTheme="minorHAnsi" w:eastAsiaTheme="minorEastAsia" w:hAnsiTheme="minorHAnsi" w:cstheme="minorHAnsi"/>
          <w:sz w:val="24"/>
          <w:szCs w:val="24"/>
          <w:lang w:val="en-GB"/>
        </w:rPr>
      </w:pPr>
    </w:p>
    <w:p w:rsidR="00767AED" w:rsidRPr="00F876CB" w:rsidRDefault="00767AED" w:rsidP="00767AED">
      <w:pPr>
        <w:rPr>
          <w:rFonts w:asciiTheme="minorHAnsi" w:eastAsiaTheme="minorEastAsia" w:hAnsiTheme="minorHAnsi" w:cstheme="minorHAnsi"/>
          <w:sz w:val="24"/>
          <w:szCs w:val="24"/>
          <w:lang w:val="en-GB"/>
        </w:rPr>
        <w:sectPr w:rsidR="00767AED" w:rsidRPr="00F876CB" w:rsidSect="006D0D10">
          <w:pgSz w:w="11906" w:h="16838"/>
          <w:pgMar w:top="1417" w:right="1417" w:bottom="1417" w:left="1417" w:header="708" w:footer="708" w:gutter="0"/>
          <w:cols w:space="708"/>
          <w:docGrid w:linePitch="360"/>
        </w:sectPr>
      </w:pPr>
    </w:p>
    <w:p w:rsidR="00767AED" w:rsidRPr="00767AED" w:rsidRDefault="00767AED" w:rsidP="00767AED">
      <w:pPr>
        <w:pStyle w:val="11ilebalayanlar"/>
        <w:numPr>
          <w:ilvl w:val="1"/>
          <w:numId w:val="31"/>
        </w:numPr>
        <w:rPr>
          <w:lang w:val="en-GB"/>
        </w:rPr>
      </w:pPr>
      <w:r w:rsidRPr="00F876CB">
        <w:rPr>
          <w:lang w:val="en-GB"/>
        </w:rPr>
        <w:lastRenderedPageBreak/>
        <w:t xml:space="preserve"> </w:t>
      </w:r>
      <w:bookmarkStart w:id="544" w:name="_Toc44508292"/>
      <w:r w:rsidRPr="00767AED">
        <w:rPr>
          <w:lang w:val="en-GB"/>
        </w:rPr>
        <w:t>RESSUM</w:t>
      </w:r>
      <w:bookmarkEnd w:id="544"/>
    </w:p>
    <w:p w:rsidR="00767AED" w:rsidRPr="00F876CB" w:rsidRDefault="00767AED" w:rsidP="00767AED">
      <w:pPr>
        <w:pStyle w:val="11ilebalayanlar"/>
        <w:ind w:left="780"/>
        <w:rPr>
          <w:lang w:val="en-GB"/>
        </w:rPr>
      </w:pP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“The Amendment of the Law on “</w:t>
      </w:r>
      <w:r w:rsidRPr="00F876CB">
        <w:rPr>
          <w:rFonts w:ascii="Times New Roman" w:eastAsiaTheme="minorEastAsia" w:hAnsi="Times New Roman" w:cs="Times New Roman"/>
          <w:i/>
          <w:sz w:val="24"/>
          <w:szCs w:val="24"/>
          <w:lang w:val="en-GB"/>
        </w:rPr>
        <w:t>Utilization of Renewable Energy Resources for Generation of Electrical Energy</w:t>
      </w:r>
      <w:r w:rsidRPr="00F876CB">
        <w:rPr>
          <w:rFonts w:ascii="Times New Roman" w:eastAsiaTheme="minorEastAsia" w:hAnsi="Times New Roman" w:cs="Times New Roman"/>
          <w:sz w:val="24"/>
          <w:szCs w:val="24"/>
          <w:lang w:val="en-GB"/>
        </w:rPr>
        <w:t>” Law Numbered 6094 published in the Official Gazette 08/01/2011 dated and 27809 numbered provide incentive for renewable energy sources according to the source type and the locality rate. In this context, the regulations prepared by EMRA and the details Mechanism of Supporting Renewable Energy Sources are determined with the regulations prepared by EMRA.</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heme="minorHAnsi" w:eastAsiaTheme="minorEastAsia" w:hAnsiTheme="minorHAnsi" w:cstheme="minorHAnsi"/>
          <w:sz w:val="24"/>
          <w:szCs w:val="24"/>
          <w:lang w:val="en-GB"/>
        </w:rPr>
        <w:t xml:space="preserve"> </w:t>
      </w:r>
      <w:r w:rsidRPr="00F876CB">
        <w:rPr>
          <w:rFonts w:ascii="Times New Roman" w:eastAsiaTheme="minorEastAsia" w:hAnsi="Times New Roman" w:cs="Times New Roman"/>
          <w:i/>
          <w:sz w:val="24"/>
          <w:szCs w:val="24"/>
          <w:lang w:val="en-GB"/>
        </w:rPr>
        <w:t>Regulation on Certification and Support of Renewable Energy Sources</w:t>
      </w:r>
      <w:r w:rsidRPr="00F876CB">
        <w:rPr>
          <w:rFonts w:ascii="Times New Roman" w:eastAsiaTheme="minorEastAsia" w:hAnsi="Times New Roman" w:cs="Times New Roman"/>
          <w:sz w:val="24"/>
          <w:szCs w:val="24"/>
          <w:lang w:val="en-GB"/>
        </w:rPr>
        <w:t>” was published in the Official Gazette dated 01/10/2013 and numbered 28782 and came into force. With the Regulation, in order to encourage the generation of electricity based on renewable energy sources, principles regarding the provision of Renewable Energy Source Document and the establishment and operation of RESSUM issued to the generation license holders.</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545" w:name="_Toc432165779"/>
      <w:bookmarkStart w:id="546" w:name="_Toc450309961"/>
      <w:bookmarkStart w:id="547" w:name="_Toc487101585"/>
      <w:bookmarkStart w:id="548" w:name="_Toc512430837"/>
      <w:bookmarkStart w:id="549" w:name="_Toc40966032"/>
      <w:r w:rsidRPr="00F876CB">
        <w:rPr>
          <w:rFonts w:ascii="Times New Roman" w:eastAsiaTheme="minorEastAsia" w:hAnsi="Times New Roman" w:cs="Times New Roman"/>
          <w:sz w:val="24"/>
          <w:szCs w:val="24"/>
          <w:lang w:val="en-GB"/>
        </w:rPr>
        <w:t>In the following Table 2.5.1, the number of the RES Support participants is given by years. In 2018, there were 777 companies with a total installed capacity of 20.921,5 MW operating in the scope of</w:t>
      </w:r>
      <w:r w:rsidRPr="00F876CB">
        <w:rPr>
          <w:rFonts w:ascii="Times New Roman" w:eastAsiaTheme="minorEastAsia" w:hAnsi="Times New Roman" w:cs="Times New Roman"/>
          <w:color w:val="FF0000"/>
          <w:sz w:val="24"/>
          <w:szCs w:val="24"/>
          <w:lang w:val="en-GB"/>
        </w:rPr>
        <w:t xml:space="preserve"> </w:t>
      </w:r>
      <w:r w:rsidRPr="00F876CB">
        <w:rPr>
          <w:rFonts w:ascii="Times New Roman" w:eastAsiaTheme="minorEastAsia" w:hAnsi="Times New Roman" w:cs="Times New Roman"/>
          <w:sz w:val="24"/>
          <w:szCs w:val="24"/>
          <w:lang w:val="en-GB"/>
        </w:rPr>
        <w:t>the RES Support.</w:t>
      </w:r>
    </w:p>
    <w:p w:rsidR="00767AED" w:rsidRPr="00F876CB" w:rsidRDefault="00767AED" w:rsidP="00767AED">
      <w:pPr>
        <w:pStyle w:val="Balk5"/>
        <w:rPr>
          <w:caps/>
          <w:sz w:val="16"/>
          <w:szCs w:val="18"/>
          <w:lang w:val="en-GB"/>
        </w:rPr>
      </w:pPr>
      <w:bookmarkStart w:id="550" w:name="_Toc44508333"/>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.5.1: Number of RESSUM Participants by Years</w:t>
      </w:r>
      <w:bookmarkEnd w:id="550"/>
      <w:r w:rsidRPr="00F876CB">
        <w:rPr>
          <w:lang w:val="en-GB"/>
        </w:rPr>
        <w:t xml:space="preserve"> </w:t>
      </w:r>
      <w:bookmarkEnd w:id="545"/>
      <w:bookmarkEnd w:id="546"/>
      <w:bookmarkEnd w:id="547"/>
      <w:bookmarkEnd w:id="548"/>
      <w:bookmarkEnd w:id="549"/>
    </w:p>
    <w:tbl>
      <w:tblPr>
        <w:tblW w:w="8909" w:type="dxa"/>
        <w:tblInd w:w="-10" w:type="dxa"/>
        <w:tblCellMar>
          <w:left w:w="70" w:type="dxa"/>
          <w:right w:w="70" w:type="dxa"/>
        </w:tblCellMar>
        <w:tblLook w:val="04A0" w:firstRow="1" w:lastRow="0" w:firstColumn="1" w:lastColumn="0" w:noHBand="0" w:noVBand="1"/>
      </w:tblPr>
      <w:tblGrid>
        <w:gridCol w:w="1637"/>
        <w:gridCol w:w="808"/>
        <w:gridCol w:w="808"/>
        <w:gridCol w:w="808"/>
        <w:gridCol w:w="808"/>
        <w:gridCol w:w="808"/>
        <w:gridCol w:w="808"/>
        <w:gridCol w:w="808"/>
        <w:gridCol w:w="808"/>
        <w:gridCol w:w="808"/>
      </w:tblGrid>
      <w:tr w:rsidR="00767AED" w:rsidRPr="00F876CB" w:rsidTr="00C71FD5">
        <w:trPr>
          <w:trHeight w:val="321"/>
        </w:trPr>
        <w:tc>
          <w:tcPr>
            <w:tcW w:w="1637"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Type</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2011</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2012</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2013</w:t>
            </w:r>
          </w:p>
        </w:tc>
        <w:tc>
          <w:tcPr>
            <w:tcW w:w="808"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2014</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2015</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2016</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2017</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2018</w:t>
            </w:r>
          </w:p>
        </w:tc>
        <w:tc>
          <w:tcPr>
            <w:tcW w:w="80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2019</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Solar</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Hydraulic</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40</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126</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388</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418</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447</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463</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Wind</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22</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60</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106</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141</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151</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160</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Biomass</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15</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34</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42</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57</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70</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100</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Geothermal</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w:t>
            </w:r>
          </w:p>
        </w:tc>
        <w:tc>
          <w:tcPr>
            <w:tcW w:w="808"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37</w:t>
            </w:r>
          </w:p>
        </w:tc>
        <w:tc>
          <w:tcPr>
            <w:tcW w:w="80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45</w:t>
            </w:r>
          </w:p>
        </w:tc>
      </w:tr>
      <w:tr w:rsidR="00767AED" w:rsidRPr="00F876CB" w:rsidTr="00C71FD5">
        <w:trPr>
          <w:trHeight w:val="321"/>
        </w:trPr>
        <w:tc>
          <w:tcPr>
            <w:tcW w:w="1637"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Total</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20</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78</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38</w:t>
            </w:r>
          </w:p>
        </w:tc>
        <w:tc>
          <w:tcPr>
            <w:tcW w:w="808"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93</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234</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556</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647</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708</w:t>
            </w:r>
          </w:p>
        </w:tc>
        <w:tc>
          <w:tcPr>
            <w:tcW w:w="80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777</w:t>
            </w:r>
          </w:p>
        </w:tc>
      </w:tr>
    </w:tbl>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542180" w:rsidRDefault="00767AED" w:rsidP="00767AED">
      <w:pPr>
        <w:spacing w:line="360" w:lineRule="auto"/>
        <w:jc w:val="both"/>
        <w:rPr>
          <w:rFonts w:ascii="Times New Roman" w:eastAsiaTheme="minorEastAsia" w:hAnsi="Times New Roman" w:cs="Times New Roman"/>
          <w:sz w:val="24"/>
          <w:szCs w:val="24"/>
          <w:lang w:val="en-GB"/>
        </w:rPr>
      </w:pPr>
      <w:bookmarkStart w:id="551" w:name="_Toc432165780"/>
      <w:bookmarkStart w:id="552" w:name="_Toc450309962"/>
      <w:bookmarkStart w:id="553" w:name="_Toc487101586"/>
      <w:r w:rsidRPr="00542180">
        <w:rPr>
          <w:rFonts w:ascii="Times New Roman" w:eastAsiaTheme="minorEastAsia" w:hAnsi="Times New Roman" w:cs="Times New Roman"/>
          <w:sz w:val="24"/>
          <w:szCs w:val="24"/>
          <w:lang w:val="en-GB"/>
        </w:rPr>
        <w:t>When we look at the distribution of RESSUM installed power by source type, it is seen that hydraulic power plants have the highest share with 12.588.5 MW, and wind power plants take second place with 6.495.6 MW.</w:t>
      </w: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rPr>
          <w:lang w:val="en-GB"/>
        </w:rPr>
      </w:pPr>
    </w:p>
    <w:p w:rsidR="00767AED" w:rsidRPr="00F876CB" w:rsidRDefault="00767AED" w:rsidP="00767AED">
      <w:pPr>
        <w:pStyle w:val="Balk5"/>
        <w:rPr>
          <w:caps/>
          <w:sz w:val="16"/>
          <w:szCs w:val="18"/>
          <w:lang w:val="en-GB"/>
        </w:rPr>
      </w:pPr>
      <w:bookmarkStart w:id="554" w:name="_Toc512430838"/>
      <w:bookmarkStart w:id="555" w:name="_Toc40966033"/>
      <w:bookmarkStart w:id="556" w:name="_Toc44508334"/>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.5.2: Distribution of Generation in RESSUM by Sources in 2019 (MW)</w:t>
      </w:r>
      <w:bookmarkEnd w:id="551"/>
      <w:bookmarkEnd w:id="552"/>
      <w:r w:rsidRPr="00F876CB">
        <w:rPr>
          <w:lang w:val="en-GB"/>
        </w:rPr>
        <w:t>*</w:t>
      </w:r>
      <w:bookmarkEnd w:id="553"/>
      <w:bookmarkEnd w:id="554"/>
      <w:bookmarkEnd w:id="555"/>
      <w:bookmarkEnd w:id="556"/>
    </w:p>
    <w:tbl>
      <w:tblPr>
        <w:tblW w:w="9800" w:type="dxa"/>
        <w:tblInd w:w="-10" w:type="dxa"/>
        <w:tblCellMar>
          <w:left w:w="70" w:type="dxa"/>
          <w:right w:w="70" w:type="dxa"/>
        </w:tblCellMar>
        <w:tblLook w:val="04A0" w:firstRow="1" w:lastRow="0" w:firstColumn="1" w:lastColumn="0" w:noHBand="0" w:noVBand="1"/>
      </w:tblPr>
      <w:tblGrid>
        <w:gridCol w:w="1500"/>
        <w:gridCol w:w="840"/>
        <w:gridCol w:w="880"/>
        <w:gridCol w:w="880"/>
        <w:gridCol w:w="800"/>
        <w:gridCol w:w="980"/>
        <w:gridCol w:w="980"/>
        <w:gridCol w:w="980"/>
        <w:gridCol w:w="980"/>
        <w:gridCol w:w="980"/>
      </w:tblGrid>
      <w:tr w:rsidR="00767AED" w:rsidRPr="00F876CB" w:rsidTr="00C71FD5">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Type</w:t>
            </w:r>
          </w:p>
        </w:tc>
        <w:tc>
          <w:tcPr>
            <w:tcW w:w="84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2011</w:t>
            </w:r>
          </w:p>
        </w:tc>
        <w:tc>
          <w:tcPr>
            <w:tcW w:w="88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2012</w:t>
            </w:r>
          </w:p>
        </w:tc>
        <w:tc>
          <w:tcPr>
            <w:tcW w:w="88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2013</w:t>
            </w:r>
          </w:p>
        </w:tc>
        <w:tc>
          <w:tcPr>
            <w:tcW w:w="80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2014</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2015</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2016</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2017</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2018</w:t>
            </w:r>
          </w:p>
        </w:tc>
        <w:tc>
          <w:tcPr>
            <w:tcW w:w="980"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2019</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Solar</w:t>
            </w:r>
          </w:p>
        </w:tc>
        <w:tc>
          <w:tcPr>
            <w:tcW w:w="84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80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9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9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12,9</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13,9</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81,7</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Hydraulic</w:t>
            </w:r>
          </w:p>
        </w:tc>
        <w:tc>
          <w:tcPr>
            <w:tcW w:w="84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930</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217</w:t>
            </w:r>
          </w:p>
        </w:tc>
        <w:tc>
          <w:tcPr>
            <w:tcW w:w="80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598</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2.116,3</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9.960,0</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11.096,3</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11.706,4</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12.588,5</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Wind</w:t>
            </w:r>
          </w:p>
        </w:tc>
        <w:tc>
          <w:tcPr>
            <w:tcW w:w="84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469</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685</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76</w:t>
            </w:r>
          </w:p>
        </w:tc>
        <w:tc>
          <w:tcPr>
            <w:tcW w:w="80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825</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2.732,1</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4.319,8</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5.238,7</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6.200,0</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6.495,6</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Geothermal</w:t>
            </w:r>
          </w:p>
        </w:tc>
        <w:tc>
          <w:tcPr>
            <w:tcW w:w="84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72</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72</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80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228</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389,9</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599,2</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752,1</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996,8</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1.252,7</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Biomass</w:t>
            </w:r>
          </w:p>
        </w:tc>
        <w:tc>
          <w:tcPr>
            <w:tcW w:w="84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45</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73</w:t>
            </w:r>
          </w:p>
        </w:tc>
        <w:tc>
          <w:tcPr>
            <w:tcW w:w="88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101</w:t>
            </w:r>
          </w:p>
        </w:tc>
        <w:tc>
          <w:tcPr>
            <w:tcW w:w="80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147</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185,2</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203,7</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300,0</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349,2</w:t>
            </w:r>
          </w:p>
        </w:tc>
        <w:tc>
          <w:tcPr>
            <w:tcW w:w="980"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503,1</w:t>
            </w:r>
          </w:p>
        </w:tc>
      </w:tr>
      <w:tr w:rsidR="00767AED" w:rsidRPr="00F876CB" w:rsidTr="00C71FD5">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Total</w:t>
            </w:r>
          </w:p>
        </w:tc>
        <w:tc>
          <w:tcPr>
            <w:tcW w:w="84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608</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1.760</w:t>
            </w:r>
          </w:p>
        </w:tc>
        <w:tc>
          <w:tcPr>
            <w:tcW w:w="88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534</w:t>
            </w:r>
          </w:p>
        </w:tc>
        <w:tc>
          <w:tcPr>
            <w:tcW w:w="80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1.798</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5.423,6</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15.082,7</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17.399,9</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19.266,3</w:t>
            </w:r>
          </w:p>
        </w:tc>
        <w:tc>
          <w:tcPr>
            <w:tcW w:w="980"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Times New Roman" w:eastAsia="Times New Roman" w:hAnsi="Times New Roman" w:cs="Times New Roman"/>
                <w:b/>
                <w:bCs/>
                <w:color w:val="000000"/>
                <w:lang w:val="en-GB" w:eastAsia="tr-TR" w:bidi="ar-SA"/>
              </w:rPr>
            </w:pPr>
            <w:r w:rsidRPr="00F876CB">
              <w:rPr>
                <w:rFonts w:ascii="Times New Roman" w:eastAsia="Times New Roman" w:hAnsi="Times New Roman" w:cs="Times New Roman"/>
                <w:b/>
                <w:bCs/>
                <w:color w:val="000000"/>
                <w:lang w:val="en-GB" w:eastAsia="tr-TR" w:bidi="ar-SA"/>
              </w:rPr>
              <w:t>20.921,5</w:t>
            </w:r>
          </w:p>
        </w:tc>
      </w:tr>
    </w:tbl>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heme="minorHAnsi" w:eastAsiaTheme="minorEastAsia" w:hAnsiTheme="minorHAnsi" w:cstheme="minorHAnsi"/>
          <w:sz w:val="24"/>
          <w:szCs w:val="24"/>
          <w:lang w:val="en-GB"/>
        </w:rPr>
        <w:t>*</w:t>
      </w:r>
      <w:r w:rsidRPr="00F876CB">
        <w:rPr>
          <w:lang w:val="en-GB"/>
        </w:rPr>
        <w:t xml:space="preserve"> </w:t>
      </w:r>
      <w:r w:rsidRPr="00F876CB">
        <w:rPr>
          <w:rFonts w:ascii="Times New Roman" w:eastAsiaTheme="minorEastAsia" w:hAnsi="Times New Roman" w:cs="Times New Roman"/>
          <w:sz w:val="24"/>
          <w:szCs w:val="24"/>
          <w:lang w:val="en-GB"/>
        </w:rPr>
        <w:t xml:space="preserve">In addition, by the end of 2019, 6.309,27 MW of unlicensed installed capacity (natural gas plants excluded) are covered by RESSUM. Details are given at "Unlicensed Electricity Generation" in Section 1.3, </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Share of installed capacity in the scope of the RES Support</w:t>
      </w:r>
      <w:r w:rsidRPr="00F876CB">
        <w:rPr>
          <w:rFonts w:ascii="Times New Roman" w:eastAsiaTheme="minorEastAsia" w:hAnsi="Times New Roman" w:cs="Times New Roman"/>
          <w:color w:val="FF0000"/>
          <w:sz w:val="24"/>
          <w:szCs w:val="24"/>
          <w:lang w:val="en-GB"/>
        </w:rPr>
        <w:t xml:space="preserve"> </w:t>
      </w:r>
      <w:r w:rsidRPr="00F876CB">
        <w:rPr>
          <w:rFonts w:ascii="Times New Roman" w:eastAsiaTheme="minorEastAsia" w:hAnsi="Times New Roman" w:cs="Times New Roman"/>
          <w:sz w:val="24"/>
          <w:szCs w:val="24"/>
          <w:lang w:val="en-GB"/>
        </w:rPr>
        <w:t>in Turkey's total installed capacity in 2018 was 27,77%, while this share reached to 29,84% in 2019.</w:t>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557" w:name="_Toc432165749"/>
      <w:bookmarkStart w:id="558" w:name="_Toc450307933"/>
      <w:bookmarkStart w:id="559" w:name="_Toc487101657"/>
      <w:bookmarkStart w:id="560" w:name="_Toc512430999"/>
      <w:r w:rsidRPr="00F876CB">
        <w:rPr>
          <w:rFonts w:ascii="Times New Roman" w:eastAsiaTheme="minorEastAsia" w:hAnsi="Times New Roman" w:cs="Times New Roman"/>
          <w:sz w:val="24"/>
          <w:szCs w:val="24"/>
          <w:lang w:val="en-GB"/>
        </w:rPr>
        <w:t>In the following Figure 2.5.1, distribution of installed capacity based on sources in 2019 is given.</w:t>
      </w:r>
    </w:p>
    <w:p w:rsidR="00767AED" w:rsidRPr="00F876CB" w:rsidRDefault="00767AED" w:rsidP="00767AED">
      <w:pPr>
        <w:pStyle w:val="Balk6"/>
        <w:rPr>
          <w:lang w:val="en-GB"/>
        </w:rPr>
      </w:pPr>
    </w:p>
    <w:p w:rsidR="00767AED" w:rsidRPr="00F876CB" w:rsidRDefault="00767AED" w:rsidP="00767AED">
      <w:pPr>
        <w:pStyle w:val="Balk6"/>
        <w:rPr>
          <w:lang w:val="en-GB"/>
        </w:rPr>
      </w:pPr>
      <w:bookmarkStart w:id="561" w:name="_Toc12536023"/>
      <w:bookmarkStart w:id="562" w:name="_Toc40966103"/>
      <w:bookmarkStart w:id="563" w:name="_Toc44508405"/>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.5.1: Distribution of RESSUM Installed Capacity to Resources in 2019 (%)</w:t>
      </w:r>
      <w:bookmarkEnd w:id="557"/>
      <w:bookmarkEnd w:id="558"/>
      <w:bookmarkEnd w:id="559"/>
      <w:bookmarkEnd w:id="560"/>
      <w:bookmarkEnd w:id="561"/>
      <w:bookmarkEnd w:id="562"/>
      <w:bookmarkEnd w:id="563"/>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483F75D4" wp14:editId="45982254">
            <wp:extent cx="5785485" cy="3176270"/>
            <wp:effectExtent l="0" t="0" r="5715" b="508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85485" cy="3176270"/>
                    </a:xfrm>
                    <a:prstGeom prst="rect">
                      <a:avLst/>
                    </a:prstGeom>
                    <a:noFill/>
                  </pic:spPr>
                </pic:pic>
              </a:graphicData>
            </a:graphic>
          </wp:inline>
        </w:drawing>
      </w:r>
    </w:p>
    <w:p w:rsidR="00767AED" w:rsidRPr="00ED01C2" w:rsidRDefault="00767AED" w:rsidP="00767AED">
      <w:pPr>
        <w:spacing w:line="360" w:lineRule="auto"/>
        <w:jc w:val="both"/>
        <w:rPr>
          <w:rFonts w:ascii="Times New Roman" w:eastAsiaTheme="minorEastAsia" w:hAnsi="Times New Roman" w:cs="Times New Roman"/>
          <w:sz w:val="24"/>
          <w:szCs w:val="24"/>
          <w:lang w:val="en-GB"/>
        </w:rPr>
      </w:pPr>
      <w:bookmarkStart w:id="564" w:name="_Ref417998640"/>
      <w:bookmarkStart w:id="565" w:name="_Toc432165781"/>
      <w:bookmarkStart w:id="566" w:name="_Toc450309963"/>
      <w:bookmarkStart w:id="567" w:name="_Toc487101587"/>
      <w:bookmarkStart w:id="568" w:name="_Toc512430839"/>
      <w:bookmarkStart w:id="569" w:name="_Toc40966034"/>
      <w:r w:rsidRPr="00ED01C2">
        <w:rPr>
          <w:rFonts w:ascii="Times New Roman" w:eastAsiaTheme="minorEastAsia" w:hAnsi="Times New Roman" w:cs="Times New Roman"/>
          <w:sz w:val="24"/>
          <w:szCs w:val="24"/>
          <w:lang w:val="en-GB"/>
        </w:rPr>
        <w:lastRenderedPageBreak/>
        <w:t xml:space="preserve">The development of RESSUM participants' productions over the years is shown in Table 2.5.3. YEKDEM production in 2019, including unlicensed plants, increased by 22.5% compared to the previous year and reached 76.69 </w:t>
      </w:r>
      <w:proofErr w:type="spellStart"/>
      <w:r w:rsidRPr="00ED01C2">
        <w:rPr>
          <w:rFonts w:ascii="Times New Roman" w:eastAsiaTheme="minorEastAsia" w:hAnsi="Times New Roman" w:cs="Times New Roman"/>
          <w:sz w:val="24"/>
          <w:szCs w:val="24"/>
          <w:lang w:val="en-GB"/>
        </w:rPr>
        <w:t>TWh</w:t>
      </w:r>
      <w:proofErr w:type="spellEnd"/>
      <w:r w:rsidRPr="00ED01C2">
        <w:rPr>
          <w:rFonts w:ascii="Times New Roman" w:eastAsiaTheme="minorEastAsia" w:hAnsi="Times New Roman" w:cs="Times New Roman"/>
          <w:sz w:val="24"/>
          <w:szCs w:val="24"/>
          <w:lang w:val="en-GB"/>
        </w:rPr>
        <w:t>.</w:t>
      </w:r>
    </w:p>
    <w:p w:rsidR="00767AED" w:rsidRPr="00F876CB" w:rsidRDefault="00767AED" w:rsidP="00767AED">
      <w:pPr>
        <w:pStyle w:val="Balk5"/>
        <w:rPr>
          <w:rFonts w:cstheme="minorBidi"/>
          <w:caps/>
          <w:lang w:val="en-GB"/>
        </w:rPr>
      </w:pPr>
      <w:bookmarkStart w:id="570" w:name="_Toc44508335"/>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bookmarkEnd w:id="564"/>
      <w:r w:rsidRPr="00F876CB">
        <w:rPr>
          <w:lang w:val="en-GB"/>
        </w:rPr>
        <w:t>.5.3: Yearly Generation of RESSUM Participants by years (MWh)</w:t>
      </w:r>
      <w:bookmarkEnd w:id="565"/>
      <w:bookmarkEnd w:id="566"/>
      <w:r w:rsidRPr="00F876CB">
        <w:rPr>
          <w:lang w:val="en-GB"/>
        </w:rPr>
        <w:t>*</w:t>
      </w:r>
      <w:bookmarkEnd w:id="567"/>
      <w:bookmarkEnd w:id="568"/>
      <w:bookmarkEnd w:id="569"/>
      <w:bookmarkEnd w:id="570"/>
    </w:p>
    <w:tbl>
      <w:tblPr>
        <w:tblW w:w="9410" w:type="dxa"/>
        <w:tblInd w:w="-10" w:type="dxa"/>
        <w:tblCellMar>
          <w:left w:w="70" w:type="dxa"/>
          <w:right w:w="70" w:type="dxa"/>
        </w:tblCellMar>
        <w:tblLook w:val="04A0" w:firstRow="1" w:lastRow="0" w:firstColumn="1" w:lastColumn="0" w:noHBand="0" w:noVBand="1"/>
      </w:tblPr>
      <w:tblGrid>
        <w:gridCol w:w="1580"/>
        <w:gridCol w:w="1030"/>
        <w:gridCol w:w="1030"/>
        <w:gridCol w:w="1141"/>
        <w:gridCol w:w="1141"/>
        <w:gridCol w:w="1155"/>
        <w:gridCol w:w="1168"/>
        <w:gridCol w:w="1165"/>
      </w:tblGrid>
      <w:tr w:rsidR="00767AED" w:rsidRPr="00F876CB" w:rsidTr="00C71FD5">
        <w:trPr>
          <w:trHeight w:val="315"/>
        </w:trPr>
        <w:tc>
          <w:tcPr>
            <w:tcW w:w="15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Type</w:t>
            </w:r>
          </w:p>
        </w:tc>
        <w:tc>
          <w:tcPr>
            <w:tcW w:w="103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2013</w:t>
            </w:r>
          </w:p>
        </w:tc>
        <w:tc>
          <w:tcPr>
            <w:tcW w:w="1030"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2014</w:t>
            </w:r>
          </w:p>
        </w:tc>
        <w:tc>
          <w:tcPr>
            <w:tcW w:w="1141" w:type="dxa"/>
            <w:tcBorders>
              <w:top w:val="single" w:sz="8" w:space="0" w:color="auto"/>
              <w:left w:val="nil"/>
              <w:bottom w:val="single" w:sz="8" w:space="0" w:color="auto"/>
              <w:right w:val="single" w:sz="8" w:space="0" w:color="auto"/>
            </w:tcBorders>
            <w:shd w:val="clear" w:color="000000" w:fill="4BACC6"/>
            <w:noWrap/>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2015</w:t>
            </w:r>
          </w:p>
        </w:tc>
        <w:tc>
          <w:tcPr>
            <w:tcW w:w="1141"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2016</w:t>
            </w:r>
          </w:p>
        </w:tc>
        <w:tc>
          <w:tcPr>
            <w:tcW w:w="1155"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2017</w:t>
            </w:r>
          </w:p>
        </w:tc>
        <w:tc>
          <w:tcPr>
            <w:tcW w:w="1168"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2018</w:t>
            </w:r>
          </w:p>
        </w:tc>
        <w:tc>
          <w:tcPr>
            <w:tcW w:w="1165" w:type="dxa"/>
            <w:tcBorders>
              <w:top w:val="single" w:sz="8" w:space="0" w:color="auto"/>
              <w:left w:val="nil"/>
              <w:bottom w:val="single" w:sz="8" w:space="0" w:color="auto"/>
              <w:right w:val="single" w:sz="8" w:space="0" w:color="auto"/>
            </w:tcBorders>
            <w:shd w:val="clear" w:color="000000" w:fill="4BACC6"/>
            <w:vAlign w:val="center"/>
            <w:hideMark/>
          </w:tcPr>
          <w:p w:rsidR="00767AED" w:rsidRPr="00F876CB" w:rsidRDefault="00767AED" w:rsidP="00C71FD5">
            <w:pPr>
              <w:spacing w:after="0" w:line="240" w:lineRule="auto"/>
              <w:jc w:val="center"/>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2019</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Solar</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141"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141"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15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24.268</w:t>
            </w:r>
          </w:p>
        </w:tc>
        <w:tc>
          <w:tcPr>
            <w:tcW w:w="116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39.140</w:t>
            </w:r>
          </w:p>
        </w:tc>
        <w:tc>
          <w:tcPr>
            <w:tcW w:w="116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159.961</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 xml:space="preserve">Unlicensed </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w:t>
            </w:r>
          </w:p>
        </w:tc>
        <w:tc>
          <w:tcPr>
            <w:tcW w:w="1141"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222.724</w:t>
            </w:r>
          </w:p>
        </w:tc>
        <w:tc>
          <w:tcPr>
            <w:tcW w:w="1141"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1.134.024</w:t>
            </w:r>
          </w:p>
        </w:tc>
        <w:tc>
          <w:tcPr>
            <w:tcW w:w="115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3.031.558</w:t>
            </w:r>
          </w:p>
        </w:tc>
        <w:tc>
          <w:tcPr>
            <w:tcW w:w="116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8.212.478</w:t>
            </w:r>
          </w:p>
        </w:tc>
        <w:tc>
          <w:tcPr>
            <w:tcW w:w="116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9.829.448</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Hydraulic</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528.646</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1.072.832</w:t>
            </w:r>
          </w:p>
        </w:tc>
        <w:tc>
          <w:tcPr>
            <w:tcW w:w="1141"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5.683.331</w:t>
            </w:r>
          </w:p>
        </w:tc>
        <w:tc>
          <w:tcPr>
            <w:tcW w:w="1141"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25.520.255</w:t>
            </w:r>
          </w:p>
        </w:tc>
        <w:tc>
          <w:tcPr>
            <w:tcW w:w="115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24.417.133</w:t>
            </w:r>
          </w:p>
        </w:tc>
        <w:tc>
          <w:tcPr>
            <w:tcW w:w="116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27.338.752</w:t>
            </w:r>
          </w:p>
        </w:tc>
        <w:tc>
          <w:tcPr>
            <w:tcW w:w="116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36.987.680</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Wind</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234.000</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2.378.819</w:t>
            </w:r>
          </w:p>
        </w:tc>
        <w:tc>
          <w:tcPr>
            <w:tcW w:w="1141"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8.275.992</w:t>
            </w:r>
          </w:p>
        </w:tc>
        <w:tc>
          <w:tcPr>
            <w:tcW w:w="1141"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14.163.403</w:t>
            </w:r>
          </w:p>
        </w:tc>
        <w:tc>
          <w:tcPr>
            <w:tcW w:w="115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16.765.418</w:t>
            </w:r>
          </w:p>
        </w:tc>
        <w:tc>
          <w:tcPr>
            <w:tcW w:w="116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19.002.863</w:t>
            </w:r>
          </w:p>
        </w:tc>
        <w:tc>
          <w:tcPr>
            <w:tcW w:w="116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19.900.973</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Geothermal</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857.527</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1.436.579</w:t>
            </w:r>
          </w:p>
        </w:tc>
        <w:tc>
          <w:tcPr>
            <w:tcW w:w="1141"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2.710.856</w:t>
            </w:r>
          </w:p>
        </w:tc>
        <w:tc>
          <w:tcPr>
            <w:tcW w:w="1141"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3.706.764</w:t>
            </w:r>
          </w:p>
        </w:tc>
        <w:tc>
          <w:tcPr>
            <w:tcW w:w="115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4.503.345</w:t>
            </w:r>
          </w:p>
        </w:tc>
        <w:tc>
          <w:tcPr>
            <w:tcW w:w="116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5.968.202</w:t>
            </w:r>
          </w:p>
        </w:tc>
        <w:tc>
          <w:tcPr>
            <w:tcW w:w="116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6.997.209</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Biomass</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750.715</w:t>
            </w:r>
          </w:p>
        </w:tc>
        <w:tc>
          <w:tcPr>
            <w:tcW w:w="1030"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925.516</w:t>
            </w:r>
          </w:p>
        </w:tc>
        <w:tc>
          <w:tcPr>
            <w:tcW w:w="1141" w:type="dxa"/>
            <w:tcBorders>
              <w:top w:val="nil"/>
              <w:left w:val="nil"/>
              <w:bottom w:val="single" w:sz="8" w:space="0" w:color="auto"/>
              <w:right w:val="single" w:sz="8" w:space="0" w:color="auto"/>
            </w:tcBorders>
            <w:shd w:val="clear" w:color="auto" w:fill="auto"/>
            <w:noWrap/>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1.050.796</w:t>
            </w:r>
          </w:p>
        </w:tc>
        <w:tc>
          <w:tcPr>
            <w:tcW w:w="1141"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1.306.057</w:t>
            </w:r>
          </w:p>
        </w:tc>
        <w:tc>
          <w:tcPr>
            <w:tcW w:w="115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1.789.053</w:t>
            </w:r>
          </w:p>
        </w:tc>
        <w:tc>
          <w:tcPr>
            <w:tcW w:w="1168"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2.047.082</w:t>
            </w:r>
          </w:p>
        </w:tc>
        <w:tc>
          <w:tcPr>
            <w:tcW w:w="1165" w:type="dxa"/>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Arial" w:eastAsia="Times New Roman" w:hAnsi="Arial" w:cs="Arial"/>
                <w:color w:val="000000"/>
                <w:sz w:val="20"/>
                <w:szCs w:val="20"/>
                <w:lang w:val="en-GB" w:eastAsia="tr-TR" w:bidi="ar-SA"/>
              </w:rPr>
            </w:pPr>
            <w:r w:rsidRPr="00F876CB">
              <w:rPr>
                <w:rFonts w:ascii="Arial" w:eastAsia="Times New Roman" w:hAnsi="Arial" w:cs="Arial"/>
                <w:color w:val="000000"/>
                <w:sz w:val="20"/>
                <w:szCs w:val="20"/>
                <w:lang w:val="en-GB" w:eastAsia="tr-TR" w:bidi="ar-SA"/>
              </w:rPr>
              <w:t>2.817.209</w:t>
            </w:r>
          </w:p>
        </w:tc>
      </w:tr>
      <w:tr w:rsidR="00767AED" w:rsidRPr="00F876CB" w:rsidTr="00C71FD5">
        <w:trPr>
          <w:trHeight w:val="315"/>
        </w:trPr>
        <w:tc>
          <w:tcPr>
            <w:tcW w:w="1580" w:type="dxa"/>
            <w:tcBorders>
              <w:top w:val="nil"/>
              <w:left w:val="single" w:sz="8" w:space="0" w:color="auto"/>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Total</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2.370.888</w:t>
            </w:r>
          </w:p>
        </w:tc>
        <w:tc>
          <w:tcPr>
            <w:tcW w:w="1030" w:type="dxa"/>
            <w:tcBorders>
              <w:top w:val="nil"/>
              <w:left w:val="nil"/>
              <w:bottom w:val="single" w:sz="8" w:space="0" w:color="auto"/>
              <w:right w:val="single" w:sz="8" w:space="0" w:color="auto"/>
            </w:tcBorders>
            <w:shd w:val="clear" w:color="000000" w:fill="D2EAF1"/>
            <w:noWrap/>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5.813.746</w:t>
            </w:r>
          </w:p>
        </w:tc>
        <w:tc>
          <w:tcPr>
            <w:tcW w:w="1141"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17.943.699</w:t>
            </w:r>
          </w:p>
        </w:tc>
        <w:tc>
          <w:tcPr>
            <w:tcW w:w="1141"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45.830.503</w:t>
            </w:r>
          </w:p>
        </w:tc>
        <w:tc>
          <w:tcPr>
            <w:tcW w:w="115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50.530.776</w:t>
            </w:r>
          </w:p>
        </w:tc>
        <w:tc>
          <w:tcPr>
            <w:tcW w:w="1168"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62.608.517</w:t>
            </w:r>
          </w:p>
        </w:tc>
        <w:tc>
          <w:tcPr>
            <w:tcW w:w="1165" w:type="dxa"/>
            <w:tcBorders>
              <w:top w:val="nil"/>
              <w:left w:val="nil"/>
              <w:bottom w:val="single" w:sz="8" w:space="0" w:color="auto"/>
              <w:right w:val="single" w:sz="8" w:space="0" w:color="auto"/>
            </w:tcBorders>
            <w:shd w:val="clear" w:color="000000" w:fill="D2EAF1"/>
            <w:vAlign w:val="center"/>
            <w:hideMark/>
          </w:tcPr>
          <w:p w:rsidR="00767AED" w:rsidRPr="00F876CB" w:rsidRDefault="00767AED" w:rsidP="00C71FD5">
            <w:pPr>
              <w:spacing w:after="0" w:line="240" w:lineRule="auto"/>
              <w:jc w:val="right"/>
              <w:rPr>
                <w:rFonts w:ascii="Arial" w:eastAsia="Times New Roman" w:hAnsi="Arial" w:cs="Arial"/>
                <w:b/>
                <w:bCs/>
                <w:color w:val="000000"/>
                <w:sz w:val="20"/>
                <w:szCs w:val="20"/>
                <w:lang w:val="en-GB" w:eastAsia="tr-TR" w:bidi="ar-SA"/>
              </w:rPr>
            </w:pPr>
            <w:r w:rsidRPr="00F876CB">
              <w:rPr>
                <w:rFonts w:ascii="Arial" w:eastAsia="Times New Roman" w:hAnsi="Arial" w:cs="Arial"/>
                <w:b/>
                <w:bCs/>
                <w:color w:val="000000"/>
                <w:sz w:val="20"/>
                <w:szCs w:val="20"/>
                <w:lang w:val="en-GB" w:eastAsia="tr-TR" w:bidi="ar-SA"/>
              </w:rPr>
              <w:t>76.692.480</w:t>
            </w:r>
          </w:p>
        </w:tc>
      </w:tr>
    </w:tbl>
    <w:p w:rsidR="00767AED" w:rsidRPr="00F876CB" w:rsidRDefault="00767AED" w:rsidP="00767AED">
      <w:pPr>
        <w:spacing w:line="360" w:lineRule="auto"/>
        <w:jc w:val="both"/>
        <w:rPr>
          <w:rFonts w:asciiTheme="minorHAnsi" w:eastAsiaTheme="minorEastAsia" w:hAnsiTheme="minorHAnsi" w:cstheme="minorHAnsi"/>
          <w:sz w:val="24"/>
          <w:szCs w:val="24"/>
          <w:lang w:val="en-GB"/>
        </w:rPr>
      </w:pPr>
    </w:p>
    <w:p w:rsidR="00767AED" w:rsidRPr="004517F6" w:rsidRDefault="00767AED" w:rsidP="00767AED">
      <w:pPr>
        <w:spacing w:line="360" w:lineRule="auto"/>
        <w:jc w:val="both"/>
        <w:rPr>
          <w:rFonts w:ascii="Times New Roman" w:eastAsiaTheme="minorEastAsia" w:hAnsi="Times New Roman" w:cs="Times New Roman"/>
          <w:sz w:val="24"/>
          <w:szCs w:val="24"/>
          <w:lang w:val="en-GB"/>
        </w:rPr>
      </w:pPr>
      <w:bookmarkStart w:id="571" w:name="_Ref417998818"/>
      <w:bookmarkStart w:id="572" w:name="_Ref417998814"/>
      <w:bookmarkStart w:id="573" w:name="_Toc432165750"/>
      <w:r w:rsidRPr="004517F6">
        <w:rPr>
          <w:rFonts w:ascii="Times New Roman" w:eastAsiaTheme="minorEastAsia" w:hAnsi="Times New Roman" w:cs="Times New Roman"/>
          <w:sz w:val="24"/>
          <w:szCs w:val="24"/>
          <w:lang w:val="en-GB"/>
        </w:rPr>
        <w:t xml:space="preserve">The distribution of </w:t>
      </w:r>
      <w:r>
        <w:rPr>
          <w:rFonts w:ascii="Times New Roman" w:eastAsiaTheme="minorEastAsia" w:hAnsi="Times New Roman" w:cs="Times New Roman"/>
          <w:sz w:val="24"/>
          <w:szCs w:val="24"/>
          <w:lang w:val="en-GB"/>
        </w:rPr>
        <w:t>generation</w:t>
      </w:r>
      <w:r w:rsidRPr="004517F6">
        <w:rPr>
          <w:rFonts w:ascii="Times New Roman" w:eastAsiaTheme="minorEastAsia" w:hAnsi="Times New Roman" w:cs="Times New Roman"/>
          <w:sz w:val="24"/>
          <w:szCs w:val="24"/>
          <w:lang w:val="en-GB"/>
        </w:rPr>
        <w:t xml:space="preserve"> within the scope of RESSUM in 2019 is shown in Figure 2.5.2. The </w:t>
      </w:r>
      <w:r>
        <w:rPr>
          <w:rFonts w:ascii="Times New Roman" w:eastAsiaTheme="minorEastAsia" w:hAnsi="Times New Roman" w:cs="Times New Roman"/>
          <w:sz w:val="24"/>
          <w:szCs w:val="24"/>
          <w:lang w:val="en-GB"/>
        </w:rPr>
        <w:t>highest</w:t>
      </w:r>
      <w:r w:rsidRPr="004517F6">
        <w:rPr>
          <w:rFonts w:ascii="Times New Roman" w:eastAsiaTheme="minorEastAsia" w:hAnsi="Times New Roman" w:cs="Times New Roman"/>
          <w:sz w:val="24"/>
          <w:szCs w:val="24"/>
          <w:lang w:val="en-GB"/>
        </w:rPr>
        <w:t xml:space="preserve"> </w:t>
      </w:r>
      <w:r>
        <w:rPr>
          <w:rFonts w:ascii="Times New Roman" w:eastAsiaTheme="minorEastAsia" w:hAnsi="Times New Roman" w:cs="Times New Roman"/>
          <w:sz w:val="24"/>
          <w:szCs w:val="24"/>
          <w:lang w:val="en-GB"/>
        </w:rPr>
        <w:t>generation</w:t>
      </w:r>
      <w:r w:rsidRPr="004517F6">
        <w:rPr>
          <w:rFonts w:ascii="Times New Roman" w:eastAsiaTheme="minorEastAsia" w:hAnsi="Times New Roman" w:cs="Times New Roman"/>
          <w:sz w:val="24"/>
          <w:szCs w:val="24"/>
          <w:lang w:val="en-GB"/>
        </w:rPr>
        <w:t xml:space="preserve"> was obtained from hydraulic and wind, respectively.</w:t>
      </w:r>
    </w:p>
    <w:p w:rsidR="00767AED" w:rsidRPr="00F876CB" w:rsidRDefault="00767AED" w:rsidP="00767AED">
      <w:pPr>
        <w:keepNext/>
        <w:spacing w:line="276" w:lineRule="auto"/>
        <w:rPr>
          <w:rFonts w:asciiTheme="minorHAnsi" w:eastAsiaTheme="minorEastAsia" w:hAnsiTheme="minorHAnsi" w:cstheme="minorHAnsi"/>
          <w:b/>
          <w:bCs/>
          <w:sz w:val="24"/>
          <w:szCs w:val="24"/>
          <w:lang w:val="en-GB"/>
        </w:rPr>
      </w:pPr>
    </w:p>
    <w:p w:rsidR="00767AED" w:rsidRPr="00F876CB" w:rsidRDefault="00767AED" w:rsidP="00767AED">
      <w:pPr>
        <w:pStyle w:val="Balk6"/>
        <w:rPr>
          <w:lang w:val="en-GB"/>
        </w:rPr>
      </w:pPr>
      <w:bookmarkStart w:id="574" w:name="_Toc450307934"/>
      <w:bookmarkStart w:id="575" w:name="_Toc487101658"/>
      <w:bookmarkStart w:id="576" w:name="_Toc512431000"/>
      <w:bookmarkStart w:id="577" w:name="_Toc12536024"/>
      <w:bookmarkStart w:id="578" w:name="_Toc40966104"/>
      <w:bookmarkStart w:id="579" w:name="_Toc44508406"/>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bookmarkEnd w:id="571"/>
      <w:r w:rsidRPr="00F876CB">
        <w:rPr>
          <w:lang w:val="en-GB"/>
        </w:rPr>
        <w:t xml:space="preserve">.5.2: </w:t>
      </w:r>
      <w:bookmarkEnd w:id="572"/>
      <w:bookmarkEnd w:id="573"/>
      <w:bookmarkEnd w:id="574"/>
      <w:r w:rsidRPr="00F876CB">
        <w:rPr>
          <w:lang w:val="en-GB"/>
        </w:rPr>
        <w:t>Distribution of Generation in RESSUM</w:t>
      </w:r>
      <w:r w:rsidRPr="00F876CB">
        <w:rPr>
          <w:color w:val="FF0000"/>
          <w:lang w:val="en-GB"/>
        </w:rPr>
        <w:t xml:space="preserve"> </w:t>
      </w:r>
      <w:r w:rsidRPr="00F876CB">
        <w:rPr>
          <w:lang w:val="en-GB"/>
        </w:rPr>
        <w:t>by Sources in 2019 (%)</w:t>
      </w:r>
      <w:bookmarkEnd w:id="575"/>
      <w:bookmarkEnd w:id="576"/>
      <w:bookmarkEnd w:id="577"/>
      <w:bookmarkEnd w:id="578"/>
      <w:bookmarkEnd w:id="579"/>
    </w:p>
    <w:p w:rsidR="00767AED" w:rsidRPr="00F876CB" w:rsidRDefault="00767AED" w:rsidP="00767AED">
      <w:pPr>
        <w:spacing w:line="360" w:lineRule="auto"/>
        <w:jc w:val="center"/>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7869C1F6" wp14:editId="0C42E538">
            <wp:extent cx="5514975" cy="3030220"/>
            <wp:effectExtent l="0" t="0" r="952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14975" cy="3030220"/>
                    </a:xfrm>
                    <a:prstGeom prst="rect">
                      <a:avLst/>
                    </a:prstGeom>
                    <a:noFill/>
                  </pic:spPr>
                </pic:pic>
              </a:graphicData>
            </a:graphic>
          </wp:inline>
        </w:drawing>
      </w:r>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bookmarkStart w:id="580" w:name="_Ref398910817"/>
      <w:bookmarkStart w:id="581" w:name="_Toc432165751"/>
      <w:bookmarkStart w:id="582" w:name="_Toc450307935"/>
      <w:r w:rsidRPr="00F876CB">
        <w:rPr>
          <w:rFonts w:asciiTheme="minorHAnsi" w:eastAsiaTheme="minorEastAsia" w:hAnsiTheme="minorHAnsi" w:cstheme="minorHAnsi"/>
          <w:sz w:val="24"/>
          <w:szCs w:val="24"/>
          <w:lang w:val="en-GB"/>
        </w:rPr>
        <w:t xml:space="preserve">While the ratio of the </w:t>
      </w:r>
      <w:r>
        <w:rPr>
          <w:rFonts w:asciiTheme="minorHAnsi" w:eastAsiaTheme="minorEastAsia" w:hAnsiTheme="minorHAnsi" w:cstheme="minorHAnsi"/>
          <w:sz w:val="24"/>
          <w:szCs w:val="24"/>
          <w:lang w:val="en-GB"/>
        </w:rPr>
        <w:t>generation in</w:t>
      </w:r>
      <w:r w:rsidRPr="00F876CB">
        <w:rPr>
          <w:rFonts w:asciiTheme="minorHAnsi" w:eastAsiaTheme="minorEastAsia" w:hAnsiTheme="minorHAnsi" w:cstheme="minorHAnsi"/>
          <w:sz w:val="24"/>
          <w:szCs w:val="24"/>
          <w:lang w:val="en-GB"/>
        </w:rPr>
        <w:t xml:space="preserve"> RESSUM to the total electricity </w:t>
      </w:r>
      <w:r>
        <w:rPr>
          <w:rFonts w:asciiTheme="minorHAnsi" w:eastAsiaTheme="minorEastAsia" w:hAnsiTheme="minorHAnsi" w:cstheme="minorHAnsi"/>
          <w:sz w:val="24"/>
          <w:szCs w:val="24"/>
          <w:lang w:val="en-GB"/>
        </w:rPr>
        <w:t>generation of the country was 20.6%</w:t>
      </w:r>
      <w:r w:rsidRPr="00F876CB">
        <w:rPr>
          <w:rFonts w:asciiTheme="minorHAnsi" w:eastAsiaTheme="minorEastAsia" w:hAnsiTheme="minorHAnsi" w:cstheme="minorHAnsi"/>
          <w:sz w:val="24"/>
          <w:szCs w:val="24"/>
          <w:lang w:val="en-GB"/>
        </w:rPr>
        <w:t xml:space="preserve"> in 2018</w:t>
      </w:r>
      <w:r>
        <w:rPr>
          <w:rFonts w:asciiTheme="minorHAnsi" w:eastAsiaTheme="minorEastAsia" w:hAnsiTheme="minorHAnsi" w:cstheme="minorHAnsi"/>
          <w:sz w:val="24"/>
          <w:szCs w:val="24"/>
          <w:lang w:val="en-GB"/>
        </w:rPr>
        <w:t>,</w:t>
      </w:r>
      <w:r w:rsidRPr="00F876CB">
        <w:rPr>
          <w:rFonts w:asciiTheme="minorHAnsi" w:eastAsiaTheme="minorEastAsia" w:hAnsiTheme="minorHAnsi" w:cstheme="minorHAnsi"/>
          <w:sz w:val="24"/>
          <w:szCs w:val="24"/>
          <w:lang w:val="en-GB"/>
        </w:rPr>
        <w:t xml:space="preserve"> th</w:t>
      </w:r>
      <w:r>
        <w:rPr>
          <w:rFonts w:asciiTheme="minorHAnsi" w:eastAsiaTheme="minorEastAsia" w:hAnsiTheme="minorHAnsi" w:cstheme="minorHAnsi"/>
          <w:sz w:val="24"/>
          <w:szCs w:val="24"/>
          <w:lang w:val="en-GB"/>
        </w:rPr>
        <w:t>e</w:t>
      </w:r>
      <w:r w:rsidRPr="00F876CB">
        <w:rPr>
          <w:rFonts w:asciiTheme="minorHAnsi" w:eastAsiaTheme="minorEastAsia" w:hAnsiTheme="minorHAnsi" w:cstheme="minorHAnsi"/>
          <w:sz w:val="24"/>
          <w:szCs w:val="24"/>
          <w:lang w:val="en-GB"/>
        </w:rPr>
        <w:t xml:space="preserve"> rate </w:t>
      </w:r>
      <w:r>
        <w:rPr>
          <w:rFonts w:asciiTheme="minorHAnsi" w:eastAsiaTheme="minorEastAsia" w:hAnsiTheme="minorHAnsi" w:cstheme="minorHAnsi"/>
          <w:sz w:val="24"/>
          <w:szCs w:val="24"/>
          <w:lang w:val="en-GB"/>
        </w:rPr>
        <w:t xml:space="preserve">has increased to </w:t>
      </w:r>
      <w:r w:rsidRPr="00F876CB">
        <w:rPr>
          <w:rFonts w:asciiTheme="minorHAnsi" w:eastAsiaTheme="minorEastAsia" w:hAnsiTheme="minorHAnsi" w:cstheme="minorHAnsi"/>
          <w:sz w:val="24"/>
          <w:szCs w:val="24"/>
          <w:lang w:val="en-GB"/>
        </w:rPr>
        <w:t>25.2% in 2019.</w:t>
      </w:r>
    </w:p>
    <w:p w:rsidR="00767AED" w:rsidRPr="00153105" w:rsidRDefault="00767AED" w:rsidP="00767AED">
      <w:pPr>
        <w:spacing w:line="360" w:lineRule="auto"/>
        <w:jc w:val="both"/>
        <w:rPr>
          <w:rFonts w:asciiTheme="minorHAnsi" w:hAnsiTheme="minorHAnsi" w:cstheme="minorHAnsi"/>
          <w:sz w:val="24"/>
          <w:szCs w:val="24"/>
          <w:lang w:val="en-GB"/>
        </w:rPr>
      </w:pPr>
      <w:r w:rsidRPr="00153105">
        <w:rPr>
          <w:rFonts w:asciiTheme="minorHAnsi" w:hAnsiTheme="minorHAnsi" w:cstheme="minorHAnsi"/>
          <w:sz w:val="24"/>
          <w:szCs w:val="24"/>
          <w:lang w:val="en-GB"/>
        </w:rPr>
        <w:lastRenderedPageBreak/>
        <w:t xml:space="preserve">Considering the monthly development of RESSUM </w:t>
      </w:r>
      <w:r>
        <w:rPr>
          <w:rFonts w:asciiTheme="minorHAnsi" w:hAnsiTheme="minorHAnsi" w:cstheme="minorHAnsi"/>
          <w:sz w:val="24"/>
          <w:szCs w:val="24"/>
          <w:lang w:val="en-GB"/>
        </w:rPr>
        <w:t>generation</w:t>
      </w:r>
      <w:r w:rsidRPr="00153105">
        <w:rPr>
          <w:rFonts w:asciiTheme="minorHAnsi" w:hAnsiTheme="minorHAnsi" w:cstheme="minorHAnsi"/>
          <w:sz w:val="24"/>
          <w:szCs w:val="24"/>
          <w:lang w:val="en-GB"/>
        </w:rPr>
        <w:t xml:space="preserve"> in Figure 2.5.3, it is seen that hydraulic production and therefore RESSUM production increased with the rains in spring. From other sources, a more stable production was realized throughout the year.</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583" w:name="_Toc487101659"/>
      <w:bookmarkStart w:id="584" w:name="_Toc512431001"/>
      <w:bookmarkStart w:id="585" w:name="_Toc12536025"/>
      <w:bookmarkStart w:id="586" w:name="_Toc40966105"/>
      <w:bookmarkStart w:id="587" w:name="_Toc44508407"/>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bookmarkEnd w:id="580"/>
      <w:r w:rsidRPr="00F876CB">
        <w:rPr>
          <w:lang w:val="en-GB"/>
        </w:rPr>
        <w:t>.5.3: Monthly Development of RESSUM Generation in 2019 (MWh)</w:t>
      </w:r>
      <w:bookmarkEnd w:id="581"/>
      <w:bookmarkEnd w:id="582"/>
      <w:bookmarkEnd w:id="583"/>
      <w:bookmarkEnd w:id="584"/>
      <w:bookmarkEnd w:id="585"/>
      <w:bookmarkEnd w:id="586"/>
      <w:bookmarkEnd w:id="587"/>
    </w:p>
    <w:p w:rsidR="00767AED" w:rsidRPr="00F876CB" w:rsidRDefault="00767AED" w:rsidP="00767AED">
      <w:pPr>
        <w:spacing w:line="360" w:lineRule="auto"/>
        <w:jc w:val="both"/>
        <w:rPr>
          <w:lang w:val="en-GB"/>
        </w:rPr>
      </w:pPr>
      <w:r>
        <w:rPr>
          <w:noProof/>
          <w:lang w:eastAsia="tr-TR" w:bidi="ar-SA"/>
        </w:rPr>
        <w:drawing>
          <wp:inline distT="0" distB="0" distL="0" distR="0" wp14:anchorId="7D6049B7" wp14:editId="71F8F068">
            <wp:extent cx="5627370" cy="3145790"/>
            <wp:effectExtent l="0" t="0" r="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27370" cy="3145790"/>
                    </a:xfrm>
                    <a:prstGeom prst="rect">
                      <a:avLst/>
                    </a:prstGeom>
                    <a:noFill/>
                  </pic:spPr>
                </pic:pic>
              </a:graphicData>
            </a:graphic>
          </wp:inline>
        </w:drawing>
      </w:r>
    </w:p>
    <w:p w:rsidR="00767AED" w:rsidRPr="00153105" w:rsidRDefault="00767AED" w:rsidP="00767AED">
      <w:pPr>
        <w:spacing w:line="360" w:lineRule="auto"/>
        <w:jc w:val="both"/>
        <w:rPr>
          <w:rFonts w:asciiTheme="minorHAnsi" w:hAnsiTheme="minorHAnsi" w:cstheme="minorHAnsi"/>
          <w:sz w:val="24"/>
          <w:szCs w:val="24"/>
          <w:lang w:val="en-GB"/>
        </w:rPr>
      </w:pPr>
      <w:r w:rsidRPr="00153105">
        <w:rPr>
          <w:rFonts w:asciiTheme="minorHAnsi" w:hAnsiTheme="minorHAnsi" w:cstheme="minorHAnsi"/>
          <w:sz w:val="24"/>
          <w:szCs w:val="24"/>
          <w:lang w:val="en-GB"/>
        </w:rPr>
        <w:t xml:space="preserve">In Figure 2.5.4, the monthly course of the weighted average </w:t>
      </w:r>
      <w:r>
        <w:rPr>
          <w:rFonts w:asciiTheme="minorHAnsi" w:hAnsiTheme="minorHAnsi" w:cstheme="minorHAnsi"/>
          <w:sz w:val="24"/>
          <w:szCs w:val="24"/>
          <w:lang w:val="en-GB"/>
        </w:rPr>
        <w:t>MCP</w:t>
      </w:r>
      <w:r w:rsidRPr="00153105">
        <w:rPr>
          <w:rFonts w:asciiTheme="minorHAnsi" w:hAnsiTheme="minorHAnsi" w:cstheme="minorHAnsi"/>
          <w:sz w:val="24"/>
          <w:szCs w:val="24"/>
          <w:lang w:val="en-GB"/>
        </w:rPr>
        <w:t xml:space="preserve"> prices formed in 2019 RESSUM and DAM are shown together. When the incentive prices applied in RESSUM are compared with the monthly average MCP prices, it is observed that even the lowest incentive amount is above the MCP price, in the spring months, the difference between RESSUM price and MCP price has been observed.</w:t>
      </w: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spacing w:line="360" w:lineRule="auto"/>
        <w:ind w:firstLine="708"/>
        <w:jc w:val="both"/>
        <w:rPr>
          <w:rFonts w:asciiTheme="minorHAnsi" w:eastAsiaTheme="minorEastAsia" w:hAnsiTheme="minorHAnsi" w:cstheme="minorHAnsi"/>
          <w:sz w:val="24"/>
          <w:szCs w:val="24"/>
          <w:lang w:val="en-GB"/>
        </w:rPr>
      </w:pPr>
    </w:p>
    <w:p w:rsidR="00767AED" w:rsidRPr="00F876CB" w:rsidRDefault="00767AED" w:rsidP="00767AED">
      <w:pPr>
        <w:pStyle w:val="Balk6"/>
        <w:rPr>
          <w:lang w:val="en-GB"/>
        </w:rPr>
      </w:pPr>
      <w:bookmarkStart w:id="588" w:name="_Toc432165752"/>
      <w:bookmarkStart w:id="589" w:name="_Toc450307936"/>
      <w:bookmarkStart w:id="590" w:name="_Toc487101660"/>
      <w:bookmarkStart w:id="591" w:name="_Toc512431002"/>
      <w:bookmarkStart w:id="592" w:name="_Toc12536026"/>
      <w:bookmarkStart w:id="593" w:name="_Toc40966106"/>
      <w:bookmarkStart w:id="594" w:name="_Toc44508408"/>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.5.4: Monthly Development of RESSUM Feed-in Tariffs and MCP in 2019 (TL/MWh)</w:t>
      </w:r>
      <w:bookmarkEnd w:id="588"/>
      <w:bookmarkEnd w:id="589"/>
      <w:bookmarkEnd w:id="590"/>
      <w:bookmarkEnd w:id="591"/>
      <w:bookmarkEnd w:id="592"/>
      <w:bookmarkEnd w:id="593"/>
      <w:bookmarkEnd w:id="594"/>
    </w:p>
    <w:p w:rsidR="00767AED" w:rsidRPr="00F876CB" w:rsidRDefault="00767AED" w:rsidP="00767AED">
      <w:pPr>
        <w:spacing w:line="360" w:lineRule="auto"/>
        <w:jc w:val="both"/>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762BBA97" wp14:editId="06A239F4">
            <wp:extent cx="5901690" cy="3328670"/>
            <wp:effectExtent l="0" t="0" r="3810" b="508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01690" cy="3328670"/>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hAnsiTheme="minorHAnsi" w:cstheme="minorHAnsi"/>
          <w:sz w:val="24"/>
          <w:szCs w:val="24"/>
          <w:lang w:val="en-GB"/>
        </w:rPr>
      </w:pP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In Figure 2.5.5, RESSUM</w:t>
      </w:r>
      <w:r>
        <w:rPr>
          <w:rFonts w:asciiTheme="minorHAnsi" w:hAnsiTheme="minorHAnsi" w:cstheme="minorHAnsi"/>
          <w:sz w:val="24"/>
          <w:szCs w:val="24"/>
          <w:lang w:val="en-GB"/>
        </w:rPr>
        <w:t xml:space="preserve"> prices for different source types</w:t>
      </w:r>
      <w:r w:rsidRPr="00F876CB">
        <w:rPr>
          <w:rFonts w:asciiTheme="minorHAnsi" w:hAnsiTheme="minorHAnsi" w:cstheme="minorHAnsi"/>
          <w:sz w:val="24"/>
          <w:szCs w:val="24"/>
          <w:lang w:val="en-GB"/>
        </w:rPr>
        <w:t xml:space="preserve"> </w:t>
      </w:r>
      <w:r>
        <w:rPr>
          <w:rFonts w:asciiTheme="minorHAnsi" w:hAnsiTheme="minorHAnsi" w:cstheme="minorHAnsi"/>
          <w:sz w:val="24"/>
          <w:szCs w:val="24"/>
          <w:lang w:val="en-GB"/>
        </w:rPr>
        <w:t>and</w:t>
      </w:r>
      <w:r w:rsidRPr="00F876CB">
        <w:rPr>
          <w:rFonts w:asciiTheme="minorHAnsi" w:hAnsiTheme="minorHAnsi" w:cstheme="minorHAnsi"/>
          <w:sz w:val="24"/>
          <w:szCs w:val="24"/>
          <w:lang w:val="en-GB"/>
        </w:rPr>
        <w:t xml:space="preserve"> Average RESSUM Price and DAM price</w:t>
      </w:r>
      <w:r>
        <w:rPr>
          <w:rFonts w:asciiTheme="minorHAnsi" w:hAnsiTheme="minorHAnsi" w:cstheme="minorHAnsi"/>
          <w:sz w:val="24"/>
          <w:szCs w:val="24"/>
          <w:lang w:val="en-GB"/>
        </w:rPr>
        <w:t xml:space="preserve"> in 2019</w:t>
      </w:r>
      <w:r w:rsidRPr="00F876CB">
        <w:rPr>
          <w:rFonts w:asciiTheme="minorHAnsi" w:hAnsiTheme="minorHAnsi" w:cstheme="minorHAnsi"/>
          <w:sz w:val="24"/>
          <w:szCs w:val="24"/>
          <w:lang w:val="en-GB"/>
        </w:rPr>
        <w:t xml:space="preserve"> are shown together.</w:t>
      </w:r>
    </w:p>
    <w:p w:rsidR="00767AED" w:rsidRPr="00F876CB" w:rsidRDefault="00767AED" w:rsidP="00767AED">
      <w:pPr>
        <w:pStyle w:val="Balk6"/>
        <w:rPr>
          <w:lang w:val="en-GB"/>
        </w:rPr>
      </w:pPr>
      <w:bookmarkStart w:id="595" w:name="_Ref398902430"/>
      <w:bookmarkStart w:id="596" w:name="_Toc432165753"/>
      <w:bookmarkStart w:id="597" w:name="_Toc450307937"/>
      <w:bookmarkStart w:id="598" w:name="_Toc487101661"/>
      <w:bookmarkStart w:id="599" w:name="_Toc512431003"/>
      <w:bookmarkStart w:id="600" w:name="_Toc12536027"/>
      <w:bookmarkStart w:id="601" w:name="_Toc40966107"/>
      <w:bookmarkStart w:id="602" w:name="_Toc44508409"/>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2</w:t>
      </w:r>
      <w:r w:rsidRPr="00F876CB">
        <w:rPr>
          <w:lang w:val="en-GB"/>
        </w:rPr>
        <w:fldChar w:fldCharType="end"/>
      </w:r>
      <w:r w:rsidRPr="00F876CB">
        <w:rPr>
          <w:lang w:val="en-GB"/>
        </w:rPr>
        <w:t>.5.</w:t>
      </w:r>
      <w:proofErr w:type="gramStart"/>
      <w:r w:rsidRPr="00F876CB">
        <w:rPr>
          <w:lang w:val="en-GB"/>
        </w:rPr>
        <w:t>5:</w:t>
      </w:r>
      <w:bookmarkEnd w:id="595"/>
      <w:r w:rsidRPr="00F876CB">
        <w:rPr>
          <w:lang w:val="en-GB"/>
        </w:rPr>
        <w:t>Average</w:t>
      </w:r>
      <w:proofErr w:type="gramEnd"/>
      <w:r w:rsidRPr="00F876CB">
        <w:rPr>
          <w:lang w:val="en-GB"/>
        </w:rPr>
        <w:t xml:space="preserve"> of RESSUM and MCP in 2019 (</w:t>
      </w:r>
      <w:proofErr w:type="spellStart"/>
      <w:r w:rsidRPr="00F876CB">
        <w:rPr>
          <w:lang w:val="en-GB"/>
        </w:rPr>
        <w:t>kr</w:t>
      </w:r>
      <w:proofErr w:type="spellEnd"/>
      <w:r w:rsidRPr="00F876CB">
        <w:rPr>
          <w:lang w:val="en-GB"/>
        </w:rPr>
        <w:t>/kWh)</w:t>
      </w:r>
      <w:r w:rsidRPr="00F876CB">
        <w:rPr>
          <w:vertAlign w:val="superscript"/>
          <w:lang w:val="en-GB"/>
        </w:rPr>
        <w:footnoteReference w:id="1"/>
      </w:r>
      <w:bookmarkEnd w:id="596"/>
      <w:bookmarkEnd w:id="597"/>
      <w:bookmarkEnd w:id="598"/>
      <w:bookmarkEnd w:id="599"/>
      <w:bookmarkEnd w:id="600"/>
      <w:bookmarkEnd w:id="601"/>
      <w:bookmarkEnd w:id="602"/>
    </w:p>
    <w:p w:rsidR="00767AED" w:rsidRPr="00F876CB" w:rsidRDefault="00767AED" w:rsidP="00767AED">
      <w:pPr>
        <w:spacing w:line="360" w:lineRule="auto"/>
        <w:rPr>
          <w:rFonts w:asciiTheme="minorHAnsi" w:eastAsiaTheme="minorEastAsia" w:hAnsiTheme="minorHAnsi" w:cstheme="minorHAnsi"/>
          <w:sz w:val="24"/>
          <w:szCs w:val="24"/>
          <w:lang w:val="en-GB"/>
        </w:rPr>
      </w:pPr>
      <w:r>
        <w:rPr>
          <w:rFonts w:asciiTheme="minorHAnsi" w:eastAsiaTheme="minorEastAsia" w:hAnsiTheme="minorHAnsi" w:cstheme="minorHAnsi"/>
          <w:noProof/>
          <w:sz w:val="24"/>
          <w:szCs w:val="24"/>
          <w:lang w:eastAsia="tr-TR" w:bidi="ar-SA"/>
        </w:rPr>
        <w:drawing>
          <wp:inline distT="0" distB="0" distL="0" distR="0" wp14:anchorId="18960C4D" wp14:editId="4F62A476">
            <wp:extent cx="5560060" cy="2993390"/>
            <wp:effectExtent l="0" t="0" r="2540" b="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60060" cy="2993390"/>
                    </a:xfrm>
                    <a:prstGeom prst="rect">
                      <a:avLst/>
                    </a:prstGeom>
                    <a:noFill/>
                  </pic:spPr>
                </pic:pic>
              </a:graphicData>
            </a:graphic>
          </wp:inline>
        </w:drawing>
      </w:r>
    </w:p>
    <w:p w:rsidR="00767AED" w:rsidRPr="00F876CB" w:rsidRDefault="00767AED" w:rsidP="00767AED">
      <w:pPr>
        <w:pStyle w:val="Balk6"/>
        <w:rPr>
          <w:lang w:val="en-GB"/>
        </w:rPr>
      </w:pPr>
      <w:bookmarkStart w:id="603" w:name="_Toc478406103"/>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bookmarkStart w:id="604" w:name="_Toc487101662"/>
      <w:bookmarkStart w:id="605" w:name="_Toc512431004"/>
      <w:bookmarkStart w:id="606" w:name="_Toc12536028"/>
      <w:bookmarkStart w:id="607" w:name="_Toc40966108"/>
      <w:r w:rsidRPr="00F876CB">
        <w:rPr>
          <w:rFonts w:ascii="Times New Roman" w:hAnsi="Times New Roman" w:cs="Times New Roman"/>
          <w:sz w:val="24"/>
          <w:szCs w:val="24"/>
          <w:lang w:val="en-GB"/>
        </w:rPr>
        <w:t xml:space="preserve">In Figure 2.5.6, </w:t>
      </w:r>
      <w:r w:rsidRPr="00F876CB">
        <w:rPr>
          <w:rFonts w:ascii="Times New Roman" w:eastAsiaTheme="minorEastAsia" w:hAnsi="Times New Roman" w:cs="Times New Roman"/>
          <w:sz w:val="24"/>
          <w:szCs w:val="24"/>
          <w:lang w:val="en-GB"/>
        </w:rPr>
        <w:t xml:space="preserve">monthly development of payments </w:t>
      </w:r>
      <w:r>
        <w:rPr>
          <w:rFonts w:ascii="Times New Roman" w:eastAsiaTheme="minorEastAsia" w:hAnsi="Times New Roman" w:cs="Times New Roman"/>
          <w:sz w:val="24"/>
          <w:szCs w:val="24"/>
          <w:lang w:val="en-GB"/>
        </w:rPr>
        <w:t>made within the scope of RESSUM is shown.</w:t>
      </w:r>
      <w:r w:rsidRPr="00F876CB">
        <w:rPr>
          <w:rFonts w:ascii="Times New Roman" w:eastAsiaTheme="minorEastAsia" w:hAnsi="Times New Roman" w:cs="Times New Roman"/>
          <w:sz w:val="24"/>
          <w:szCs w:val="24"/>
          <w:lang w:val="en-GB"/>
        </w:rPr>
        <w:t xml:space="preserve"> </w:t>
      </w:r>
    </w:p>
    <w:p w:rsidR="00767AED" w:rsidRPr="00F876CB" w:rsidRDefault="00767AED" w:rsidP="00767AED">
      <w:pPr>
        <w:pStyle w:val="Balk6"/>
        <w:rPr>
          <w:lang w:val="en-GB"/>
        </w:rPr>
      </w:pPr>
      <w:bookmarkStart w:id="608" w:name="_Toc44508410"/>
      <w:r w:rsidRPr="00F876CB">
        <w:rPr>
          <w:lang w:val="en-GB"/>
        </w:rPr>
        <w:t xml:space="preserve">Figure 2.5.6: </w:t>
      </w:r>
      <w:bookmarkEnd w:id="603"/>
      <w:r w:rsidRPr="00F876CB">
        <w:rPr>
          <w:lang w:val="en-GB"/>
        </w:rPr>
        <w:t>Monthly Payments Made within the Scope of the RESSUM in 2019 (TL)</w:t>
      </w:r>
      <w:bookmarkEnd w:id="604"/>
      <w:bookmarkEnd w:id="605"/>
      <w:bookmarkEnd w:id="606"/>
      <w:bookmarkEnd w:id="607"/>
      <w:bookmarkEnd w:id="608"/>
    </w:p>
    <w:p w:rsidR="00767AED" w:rsidRPr="00F876CB" w:rsidRDefault="00767AED" w:rsidP="00767AED">
      <w:pPr>
        <w:spacing w:line="360" w:lineRule="auto"/>
        <w:jc w:val="center"/>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164C2F71" wp14:editId="03C4BD19">
            <wp:extent cx="5810250" cy="2905125"/>
            <wp:effectExtent l="0" t="0" r="0" b="952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810250" cy="2905125"/>
                    </a:xfrm>
                    <a:prstGeom prst="rect">
                      <a:avLst/>
                    </a:prstGeom>
                    <a:noFill/>
                  </pic:spPr>
                </pic:pic>
              </a:graphicData>
            </a:graphic>
          </wp:inline>
        </w:drawing>
      </w:r>
    </w:p>
    <w:p w:rsidR="00767AED" w:rsidRPr="00F876CB" w:rsidRDefault="00767AED" w:rsidP="00767AED">
      <w:pPr>
        <w:spacing w:line="360" w:lineRule="auto"/>
        <w:jc w:val="both"/>
        <w:rPr>
          <w:rFonts w:ascii="Times New Roman" w:eastAsiaTheme="minorEastAsia" w:hAnsi="Times New Roman" w:cs="Times New Roman"/>
          <w:sz w:val="24"/>
          <w:szCs w:val="24"/>
          <w:lang w:val="en-GB"/>
        </w:rPr>
      </w:pPr>
      <w:r w:rsidRPr="00F876CB">
        <w:rPr>
          <w:rFonts w:ascii="Times New Roman" w:eastAsiaTheme="minorEastAsia" w:hAnsi="Times New Roman" w:cs="Times New Roman"/>
          <w:sz w:val="24"/>
          <w:szCs w:val="24"/>
          <w:lang w:val="en-GB"/>
        </w:rPr>
        <w:t>Figure given below shows the improvement of monthly additional cost of RESSUM per invoiced unit energy amount. In 2019, RESSUM additional cost increased by 139% compared to previous year and reached to 75,89 TL/MWh.</w:t>
      </w:r>
    </w:p>
    <w:p w:rsidR="00767AED" w:rsidRPr="00F876CB" w:rsidRDefault="00767AED" w:rsidP="00767AED">
      <w:pPr>
        <w:pStyle w:val="Balk6"/>
        <w:rPr>
          <w:lang w:val="en-GB"/>
        </w:rPr>
      </w:pPr>
      <w:bookmarkStart w:id="609" w:name="_Toc512431005"/>
      <w:bookmarkStart w:id="610" w:name="_Toc12536029"/>
      <w:bookmarkStart w:id="611" w:name="_Toc40966109"/>
      <w:bookmarkStart w:id="612" w:name="_Toc44508411"/>
      <w:r w:rsidRPr="00F876CB">
        <w:rPr>
          <w:lang w:val="en-GB"/>
        </w:rPr>
        <w:t>Figure 2.5.7: Monthly Improvement of Average RESSUM Additional Cost in 2019 (TL/MWh)</w:t>
      </w:r>
      <w:bookmarkEnd w:id="609"/>
      <w:bookmarkEnd w:id="610"/>
      <w:bookmarkEnd w:id="611"/>
      <w:bookmarkEnd w:id="612"/>
    </w:p>
    <w:p w:rsidR="00767AED" w:rsidRPr="00F876CB" w:rsidRDefault="00767AED" w:rsidP="00767AED">
      <w:pPr>
        <w:rPr>
          <w:rFonts w:asciiTheme="minorHAnsi" w:hAnsiTheme="minorHAnsi" w:cstheme="minorHAnsi"/>
          <w:noProof/>
          <w:sz w:val="24"/>
          <w:szCs w:val="24"/>
          <w:lang w:val="en-GB" w:eastAsia="tr-TR" w:bidi="ar-SA"/>
        </w:rPr>
      </w:pPr>
    </w:p>
    <w:p w:rsidR="00767AED" w:rsidRPr="00F876CB" w:rsidRDefault="00767AED" w:rsidP="00767AED">
      <w:pPr>
        <w:rPr>
          <w:rFonts w:asciiTheme="minorHAnsi" w:hAnsiTheme="minorHAnsi" w:cstheme="minorHAnsi"/>
          <w:sz w:val="24"/>
          <w:szCs w:val="24"/>
          <w:lang w:val="en-GB"/>
        </w:rPr>
        <w:sectPr w:rsidR="00767AED" w:rsidRPr="00F876CB"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eastAsia="tr-TR" w:bidi="ar-SA"/>
        </w:rPr>
        <w:drawing>
          <wp:inline distT="0" distB="0" distL="0" distR="0" wp14:anchorId="2D9720A8" wp14:editId="19CC85D4">
            <wp:extent cx="5450205" cy="24384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50205" cy="2438400"/>
                    </a:xfrm>
                    <a:prstGeom prst="rect">
                      <a:avLst/>
                    </a:prstGeom>
                    <a:noFill/>
                  </pic:spPr>
                </pic:pic>
              </a:graphicData>
            </a:graphic>
          </wp:inline>
        </w:drawing>
      </w:r>
    </w:p>
    <w:p w:rsidR="00767AED" w:rsidRPr="00F876CB" w:rsidRDefault="00767AED" w:rsidP="00767AED">
      <w:pPr>
        <w:pStyle w:val="AnaBalklar"/>
        <w:numPr>
          <w:ilvl w:val="0"/>
          <w:numId w:val="34"/>
        </w:numPr>
        <w:rPr>
          <w:lang w:val="en-GB"/>
        </w:rPr>
      </w:pPr>
      <w:bookmarkStart w:id="613" w:name="_Toc44508293"/>
      <w:r w:rsidRPr="00767AED">
        <w:rPr>
          <w:lang w:val="en-GB"/>
        </w:rPr>
        <w:lastRenderedPageBreak/>
        <w:t>COMPETITION</w:t>
      </w:r>
      <w:bookmarkEnd w:id="613"/>
    </w:p>
    <w:p w:rsidR="00767AED" w:rsidRPr="00F876CB" w:rsidRDefault="00767AED" w:rsidP="00767AED">
      <w:pPr>
        <w:spacing w:line="360" w:lineRule="auto"/>
        <w:jc w:val="both"/>
        <w:rPr>
          <w:rFonts w:asciiTheme="minorHAnsi" w:hAnsiTheme="minorHAnsi" w:cstheme="minorHAnsi"/>
          <w:sz w:val="24"/>
          <w:szCs w:val="24"/>
          <w:lang w:val="en-GB"/>
        </w:rPr>
      </w:pP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The main purpose of the Electricity Market Law is to develop competition by creating a free market structure. The main duties of the institution include determining anti-competitive behaviour and market power in areas open to competition and taking preventive measures. EMRA also reduces the eligible consumer limit for the next year at the end of each year, ensuring that the number of consumers who can choose their supplier on the demand side increases. In this framework, the development of open negotiation supply and demand in the wholesale market is critical in establishing competition.</w:t>
      </w:r>
    </w:p>
    <w:p w:rsidR="00767AED" w:rsidRPr="00F876CB" w:rsidRDefault="00767AED" w:rsidP="00767AED">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GB"/>
        </w:rPr>
      </w:pPr>
      <w:bookmarkStart w:id="614" w:name="_Toc44073375"/>
      <w:bookmarkStart w:id="615" w:name="_Toc44073414"/>
      <w:bookmarkStart w:id="616" w:name="_Toc44073453"/>
      <w:bookmarkStart w:id="617" w:name="_Toc44508294"/>
      <w:bookmarkEnd w:id="614"/>
      <w:bookmarkEnd w:id="615"/>
      <w:bookmarkEnd w:id="616"/>
      <w:bookmarkEnd w:id="617"/>
    </w:p>
    <w:p w:rsidR="00767AED" w:rsidRPr="00F876CB" w:rsidRDefault="00767AED" w:rsidP="00767AED">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GB"/>
        </w:rPr>
      </w:pPr>
      <w:bookmarkStart w:id="618" w:name="_Toc428360330"/>
      <w:bookmarkStart w:id="619" w:name="_Toc428422433"/>
      <w:bookmarkStart w:id="620" w:name="_Toc428456313"/>
      <w:bookmarkStart w:id="621" w:name="_Toc428709042"/>
      <w:bookmarkStart w:id="622" w:name="_Toc428709083"/>
      <w:bookmarkStart w:id="623" w:name="_Toc428709714"/>
      <w:bookmarkStart w:id="624" w:name="_Toc428716826"/>
      <w:bookmarkStart w:id="625" w:name="_Toc428716860"/>
      <w:bookmarkStart w:id="626" w:name="_Toc428786942"/>
      <w:bookmarkStart w:id="627" w:name="_Toc429402387"/>
      <w:bookmarkStart w:id="628" w:name="_Toc429469230"/>
      <w:bookmarkStart w:id="629" w:name="_Toc429475749"/>
      <w:bookmarkStart w:id="630" w:name="_Toc432164552"/>
      <w:bookmarkStart w:id="631" w:name="_Toc450223274"/>
      <w:bookmarkStart w:id="632" w:name="_Toc450300235"/>
      <w:bookmarkStart w:id="633" w:name="_Toc450300274"/>
      <w:bookmarkStart w:id="634" w:name="_Toc450309731"/>
      <w:bookmarkStart w:id="635" w:name="_Toc450309806"/>
      <w:bookmarkStart w:id="636" w:name="_Toc450309919"/>
      <w:bookmarkStart w:id="637" w:name="_Toc450314137"/>
      <w:bookmarkStart w:id="638" w:name="_Toc450319864"/>
      <w:bookmarkStart w:id="639" w:name="_Toc450555908"/>
      <w:bookmarkStart w:id="640" w:name="_Toc452044467"/>
      <w:bookmarkStart w:id="641" w:name="_Toc452044881"/>
      <w:bookmarkStart w:id="642" w:name="_Toc452106911"/>
      <w:bookmarkStart w:id="643" w:name="_Toc452111711"/>
      <w:bookmarkStart w:id="644" w:name="_Toc480375594"/>
      <w:bookmarkStart w:id="645" w:name="_Toc480451674"/>
      <w:bookmarkStart w:id="646" w:name="_Toc480534994"/>
      <w:bookmarkStart w:id="647" w:name="_Toc480899357"/>
      <w:bookmarkStart w:id="648" w:name="_Toc480991769"/>
      <w:bookmarkStart w:id="649" w:name="_Toc481497640"/>
      <w:bookmarkStart w:id="650" w:name="_Toc482801126"/>
      <w:bookmarkStart w:id="651" w:name="_Toc483791443"/>
      <w:bookmarkStart w:id="652" w:name="_Toc483791696"/>
      <w:bookmarkStart w:id="653" w:name="_Toc483831856"/>
      <w:bookmarkStart w:id="654" w:name="_Toc511123179"/>
      <w:bookmarkStart w:id="655" w:name="_Toc511123218"/>
      <w:bookmarkStart w:id="656" w:name="_Toc511221801"/>
      <w:bookmarkStart w:id="657" w:name="_Toc512429798"/>
      <w:bookmarkStart w:id="658" w:name="_Toc512431636"/>
      <w:bookmarkStart w:id="659" w:name="_Toc512431675"/>
      <w:bookmarkStart w:id="660" w:name="_Toc514767713"/>
      <w:bookmarkStart w:id="661" w:name="_Toc7172751"/>
      <w:bookmarkStart w:id="662" w:name="_Toc7172791"/>
      <w:bookmarkStart w:id="663" w:name="_Toc7181380"/>
      <w:bookmarkStart w:id="664" w:name="_Toc7431172"/>
      <w:bookmarkStart w:id="665" w:name="_Toc8987866"/>
      <w:bookmarkStart w:id="666" w:name="_Toc37374481"/>
      <w:bookmarkStart w:id="667" w:name="_Toc40103314"/>
      <w:bookmarkStart w:id="668" w:name="_Toc40103782"/>
      <w:bookmarkStart w:id="669" w:name="_Toc40142161"/>
      <w:bookmarkStart w:id="670" w:name="_Toc40956366"/>
      <w:bookmarkStart w:id="671" w:name="_Toc40961413"/>
      <w:bookmarkStart w:id="672" w:name="_Toc40965994"/>
      <w:bookmarkStart w:id="673" w:name="_Toc44073376"/>
      <w:bookmarkStart w:id="674" w:name="_Toc44073415"/>
      <w:bookmarkStart w:id="675" w:name="_Toc44073454"/>
      <w:bookmarkStart w:id="676" w:name="_Toc44508295"/>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rsidR="00767AED" w:rsidRPr="00F876CB" w:rsidRDefault="00767AED" w:rsidP="00767AED">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GB"/>
        </w:rPr>
      </w:pPr>
      <w:bookmarkStart w:id="677" w:name="_Toc428360331"/>
      <w:bookmarkStart w:id="678" w:name="_Toc428422434"/>
      <w:bookmarkStart w:id="679" w:name="_Toc428456314"/>
      <w:bookmarkStart w:id="680" w:name="_Toc428709043"/>
      <w:bookmarkStart w:id="681" w:name="_Toc428709084"/>
      <w:bookmarkStart w:id="682" w:name="_Toc428709715"/>
      <w:bookmarkStart w:id="683" w:name="_Toc428716827"/>
      <w:bookmarkStart w:id="684" w:name="_Toc428716861"/>
      <w:bookmarkStart w:id="685" w:name="_Toc428786943"/>
      <w:bookmarkStart w:id="686" w:name="_Toc429402388"/>
      <w:bookmarkStart w:id="687" w:name="_Toc429469231"/>
      <w:bookmarkStart w:id="688" w:name="_Toc429475750"/>
      <w:bookmarkStart w:id="689" w:name="_Toc432164553"/>
      <w:bookmarkStart w:id="690" w:name="_Toc450223275"/>
      <w:bookmarkStart w:id="691" w:name="_Toc450300236"/>
      <w:bookmarkStart w:id="692" w:name="_Toc450300275"/>
      <w:bookmarkStart w:id="693" w:name="_Toc450309732"/>
      <w:bookmarkStart w:id="694" w:name="_Toc450309807"/>
      <w:bookmarkStart w:id="695" w:name="_Toc450309920"/>
      <w:bookmarkStart w:id="696" w:name="_Toc450314138"/>
      <w:bookmarkStart w:id="697" w:name="_Toc450319865"/>
      <w:bookmarkStart w:id="698" w:name="_Toc450555909"/>
      <w:bookmarkStart w:id="699" w:name="_Toc452044468"/>
      <w:bookmarkStart w:id="700" w:name="_Toc452044882"/>
      <w:bookmarkStart w:id="701" w:name="_Toc452106912"/>
      <w:bookmarkStart w:id="702" w:name="_Toc452111712"/>
      <w:bookmarkStart w:id="703" w:name="_Toc480375595"/>
      <w:bookmarkStart w:id="704" w:name="_Toc480451675"/>
      <w:bookmarkStart w:id="705" w:name="_Toc480534995"/>
      <w:bookmarkStart w:id="706" w:name="_Toc480899358"/>
      <w:bookmarkStart w:id="707" w:name="_Toc480991770"/>
      <w:bookmarkStart w:id="708" w:name="_Toc481497641"/>
      <w:bookmarkStart w:id="709" w:name="_Toc482801127"/>
      <w:bookmarkStart w:id="710" w:name="_Toc483791444"/>
      <w:bookmarkStart w:id="711" w:name="_Toc483791697"/>
      <w:bookmarkStart w:id="712" w:name="_Toc483831857"/>
      <w:bookmarkStart w:id="713" w:name="_Toc511123180"/>
      <w:bookmarkStart w:id="714" w:name="_Toc511123219"/>
      <w:bookmarkStart w:id="715" w:name="_Toc511221802"/>
      <w:bookmarkStart w:id="716" w:name="_Toc512429799"/>
      <w:bookmarkStart w:id="717" w:name="_Toc512431637"/>
      <w:bookmarkStart w:id="718" w:name="_Toc512431676"/>
      <w:bookmarkStart w:id="719" w:name="_Toc514767714"/>
      <w:bookmarkStart w:id="720" w:name="_Toc7172752"/>
      <w:bookmarkStart w:id="721" w:name="_Toc7172792"/>
      <w:bookmarkStart w:id="722" w:name="_Toc7181381"/>
      <w:bookmarkStart w:id="723" w:name="_Toc7431173"/>
      <w:bookmarkStart w:id="724" w:name="_Toc8987867"/>
      <w:bookmarkStart w:id="725" w:name="_Toc37374482"/>
      <w:bookmarkStart w:id="726" w:name="_Toc40103315"/>
      <w:bookmarkStart w:id="727" w:name="_Toc40103783"/>
      <w:bookmarkStart w:id="728" w:name="_Toc40142162"/>
      <w:bookmarkStart w:id="729" w:name="_Toc40956367"/>
      <w:bookmarkStart w:id="730" w:name="_Toc40961414"/>
      <w:bookmarkStart w:id="731" w:name="_Toc40965995"/>
      <w:bookmarkStart w:id="732" w:name="_Toc44073377"/>
      <w:bookmarkStart w:id="733" w:name="_Toc44073416"/>
      <w:bookmarkStart w:id="734" w:name="_Toc44073455"/>
      <w:bookmarkStart w:id="735" w:name="_Toc4450829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rsidR="00767AED" w:rsidRPr="00F876CB" w:rsidRDefault="00767AED" w:rsidP="00767AED">
      <w:pPr>
        <w:pStyle w:val="11ilebalayanlar"/>
        <w:rPr>
          <w:lang w:val="en-GB"/>
        </w:rPr>
      </w:pPr>
      <w:bookmarkStart w:id="736" w:name="_Toc432164554"/>
    </w:p>
    <w:p w:rsidR="00767AED" w:rsidRPr="00F876CB" w:rsidRDefault="00767AED" w:rsidP="00767AED">
      <w:pPr>
        <w:pStyle w:val="11ilebalayanlar"/>
        <w:rPr>
          <w:lang w:val="en-GB"/>
        </w:rPr>
      </w:pPr>
      <w:bookmarkStart w:id="737" w:name="_Toc483831858"/>
      <w:bookmarkStart w:id="738" w:name="_Toc514767715"/>
      <w:bookmarkStart w:id="739" w:name="_Toc40965996"/>
      <w:bookmarkStart w:id="740" w:name="_Toc44508297"/>
      <w:r w:rsidRPr="00F876CB">
        <w:rPr>
          <w:lang w:val="en-GB"/>
        </w:rPr>
        <w:t xml:space="preserve">3.1 </w:t>
      </w:r>
      <w:bookmarkEnd w:id="736"/>
      <w:bookmarkEnd w:id="737"/>
      <w:bookmarkEnd w:id="738"/>
      <w:bookmarkEnd w:id="739"/>
      <w:r w:rsidRPr="00F876CB">
        <w:rPr>
          <w:lang w:val="en-GB"/>
        </w:rPr>
        <w:t>Supply Side</w:t>
      </w:r>
      <w:bookmarkEnd w:id="740"/>
    </w:p>
    <w:p w:rsidR="00767AED" w:rsidRPr="00F876CB" w:rsidRDefault="00767AED" w:rsidP="00767AED">
      <w:pPr>
        <w:rPr>
          <w:rFonts w:asciiTheme="minorHAnsi" w:hAnsiTheme="minorHAnsi" w:cstheme="minorHAnsi"/>
          <w:sz w:val="24"/>
          <w:szCs w:val="24"/>
          <w:lang w:val="en-GB"/>
        </w:rPr>
      </w:pP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imes New Roman" w:hAnsi="Times New Roman" w:cs="Times New Roman"/>
          <w:sz w:val="24"/>
          <w:szCs w:val="24"/>
          <w:lang w:val="en-GB"/>
        </w:rPr>
        <w:t xml:space="preserve">It is considered that open electricity markets </w:t>
      </w:r>
      <w:r w:rsidRPr="00F876CB">
        <w:rPr>
          <w:rFonts w:asciiTheme="minorHAnsi" w:hAnsiTheme="minorHAnsi" w:cstheme="minorHAnsi"/>
          <w:sz w:val="24"/>
          <w:szCs w:val="24"/>
          <w:lang w:val="en-GB"/>
        </w:rPr>
        <w:t>provide the most effective investment and generation incentives is supported by theoretical and practical studies. However, there may be a need for regulation regarding the protection of competition and ensuring the security of supply due to reasons such as very low demand elasticity and the network not being able to store energy. Fo</w:t>
      </w:r>
      <w:r>
        <w:rPr>
          <w:rFonts w:asciiTheme="minorHAnsi" w:hAnsiTheme="minorHAnsi" w:cstheme="minorHAnsi"/>
          <w:sz w:val="24"/>
          <w:szCs w:val="24"/>
          <w:lang w:val="en-GB"/>
        </w:rPr>
        <w:t xml:space="preserve">r this reason, these issues are </w:t>
      </w:r>
      <w:r w:rsidRPr="00F876CB">
        <w:rPr>
          <w:rFonts w:asciiTheme="minorHAnsi" w:hAnsiTheme="minorHAnsi" w:cstheme="minorHAnsi"/>
          <w:sz w:val="24"/>
          <w:szCs w:val="24"/>
          <w:lang w:val="en-GB"/>
        </w:rPr>
        <w:t>regulated by various market share limits and mechanisms in many countries and by the European Union.</w:t>
      </w:r>
    </w:p>
    <w:p w:rsidR="00767AED" w:rsidRPr="00F876CB" w:rsidRDefault="00767AED" w:rsidP="00767AED">
      <w:pPr>
        <w:spacing w:line="360" w:lineRule="auto"/>
        <w:ind w:firstLine="708"/>
        <w:jc w:val="both"/>
        <w:rPr>
          <w:rFonts w:asciiTheme="minorHAnsi" w:hAnsiTheme="minorHAnsi" w:cstheme="minorHAnsi"/>
          <w:sz w:val="24"/>
          <w:szCs w:val="24"/>
          <w:lang w:val="en-GB"/>
        </w:rPr>
      </w:pPr>
    </w:p>
    <w:p w:rsidR="00767AED" w:rsidRPr="00F876CB" w:rsidRDefault="00767AED" w:rsidP="00767AED">
      <w:pPr>
        <w:spacing w:line="360" w:lineRule="auto"/>
        <w:jc w:val="both"/>
        <w:rPr>
          <w:rFonts w:ascii="Times New Roman" w:hAnsi="Times New Roman" w:cs="Times New Roman"/>
          <w:sz w:val="24"/>
          <w:szCs w:val="24"/>
          <w:lang w:val="en-GB"/>
        </w:rPr>
      </w:pPr>
      <w:r w:rsidRPr="00F876CB">
        <w:rPr>
          <w:rFonts w:ascii="Times New Roman" w:hAnsi="Times New Roman" w:cs="Times New Roman"/>
          <w:sz w:val="24"/>
          <w:szCs w:val="24"/>
          <w:lang w:val="en-GB"/>
        </w:rPr>
        <w:t>The indices used to follow the competition generally measure the supply side concentration in the market and the producers' ability to intervene. The HHI is used for measuring the market concentration with the addition of squares of market shares</w:t>
      </w:r>
      <w:r w:rsidR="00962345">
        <w:rPr>
          <w:rStyle w:val="DipnotBavurusu"/>
          <w:rFonts w:ascii="Times New Roman" w:hAnsi="Times New Roman" w:cs="Times New Roman"/>
          <w:sz w:val="24"/>
          <w:szCs w:val="24"/>
          <w:lang w:val="en-GB"/>
        </w:rPr>
        <w:footnoteReference w:id="2"/>
      </w:r>
      <w:r w:rsidRPr="00F876CB">
        <w:rPr>
          <w:rFonts w:ascii="Times New Roman" w:hAnsi="Times New Roman" w:cs="Times New Roman"/>
          <w:sz w:val="24"/>
          <w:szCs w:val="24"/>
          <w:lang w:val="en-GB"/>
        </w:rPr>
        <w:t>. The index can be calculated separately on generation and installed capacity.</w:t>
      </w:r>
    </w:p>
    <w:p w:rsidR="00767AED" w:rsidRPr="00F876CB" w:rsidRDefault="00767AED" w:rsidP="00767AED">
      <w:pPr>
        <w:pStyle w:val="Balk5"/>
        <w:rPr>
          <w:lang w:val="en-GB"/>
        </w:rPr>
      </w:pPr>
      <w:bookmarkStart w:id="741" w:name="_Toc432165782"/>
      <w:bookmarkStart w:id="742" w:name="_Toc450300304"/>
      <w:bookmarkStart w:id="743" w:name="_Toc450309964"/>
      <w:bookmarkStart w:id="744" w:name="_Toc487101588"/>
      <w:bookmarkStart w:id="745" w:name="_Toc40966035"/>
      <w:bookmarkStart w:id="746" w:name="_Toc44508336"/>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3</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Tablo \* ARABIC \s 1 </w:instrText>
      </w:r>
      <w:r w:rsidRPr="00F876CB">
        <w:rPr>
          <w:lang w:val="en-GB"/>
        </w:rPr>
        <w:fldChar w:fldCharType="separate"/>
      </w:r>
      <w:r w:rsidRPr="00F876CB">
        <w:rPr>
          <w:lang w:val="en-GB"/>
        </w:rPr>
        <w:t>1</w:t>
      </w:r>
      <w:r w:rsidRPr="00F876CB">
        <w:rPr>
          <w:lang w:val="en-GB"/>
        </w:rPr>
        <w:fldChar w:fldCharType="end"/>
      </w:r>
      <w:r w:rsidRPr="00F876CB">
        <w:rPr>
          <w:lang w:val="en-GB"/>
        </w:rPr>
        <w:t xml:space="preserve">: </w:t>
      </w:r>
      <w:bookmarkEnd w:id="741"/>
      <w:bookmarkEnd w:id="742"/>
      <w:bookmarkEnd w:id="743"/>
      <w:bookmarkEnd w:id="744"/>
      <w:bookmarkEnd w:id="745"/>
      <w:r w:rsidRPr="00F876CB">
        <w:rPr>
          <w:lang w:val="en-GB"/>
        </w:rPr>
        <w:t>HHI Values by Generation and Capacity</w:t>
      </w:r>
      <w:bookmarkEnd w:id="746"/>
    </w:p>
    <w:tbl>
      <w:tblPr>
        <w:tblW w:w="5000" w:type="pct"/>
        <w:tblCellMar>
          <w:left w:w="70" w:type="dxa"/>
          <w:right w:w="70" w:type="dxa"/>
        </w:tblCellMar>
        <w:tblLook w:val="04A0" w:firstRow="1" w:lastRow="0" w:firstColumn="1" w:lastColumn="0" w:noHBand="0" w:noVBand="1"/>
      </w:tblPr>
      <w:tblGrid>
        <w:gridCol w:w="2014"/>
        <w:gridCol w:w="1343"/>
        <w:gridCol w:w="1314"/>
        <w:gridCol w:w="1171"/>
        <w:gridCol w:w="1312"/>
        <w:gridCol w:w="887"/>
        <w:gridCol w:w="1019"/>
      </w:tblGrid>
      <w:tr w:rsidR="00767AED" w:rsidRPr="00F876CB" w:rsidTr="00C71FD5">
        <w:trPr>
          <w:trHeight w:val="137"/>
        </w:trPr>
        <w:tc>
          <w:tcPr>
            <w:tcW w:w="765" w:type="pct"/>
            <w:tcBorders>
              <w:top w:val="nil"/>
              <w:left w:val="nil"/>
              <w:bottom w:val="nil"/>
              <w:right w:val="nil"/>
            </w:tcBorders>
            <w:shd w:val="clear" w:color="auto" w:fill="auto"/>
            <w:noWrap/>
            <w:vAlign w:val="bottom"/>
            <w:hideMark/>
          </w:tcPr>
          <w:p w:rsidR="00767AED" w:rsidRPr="00F876CB" w:rsidRDefault="00767AED" w:rsidP="00C71FD5">
            <w:pPr>
              <w:spacing w:after="0" w:line="240" w:lineRule="auto"/>
              <w:rPr>
                <w:rFonts w:ascii="Times New Roman" w:eastAsia="Times New Roman" w:hAnsi="Times New Roman" w:cs="Times New Roman"/>
                <w:sz w:val="24"/>
                <w:szCs w:val="24"/>
                <w:lang w:val="en-GB" w:eastAsia="tr-TR" w:bidi="ar-SA"/>
              </w:rPr>
            </w:pPr>
          </w:p>
        </w:tc>
        <w:tc>
          <w:tcPr>
            <w:tcW w:w="4235" w:type="pct"/>
            <w:gridSpan w:val="6"/>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HHI Index</w:t>
            </w:r>
          </w:p>
        </w:tc>
      </w:tr>
      <w:tr w:rsidR="00767AED" w:rsidRPr="00F876CB" w:rsidTr="00C71FD5">
        <w:trPr>
          <w:trHeight w:val="268"/>
        </w:trPr>
        <w:tc>
          <w:tcPr>
            <w:tcW w:w="76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67AED" w:rsidRPr="00F876CB" w:rsidRDefault="00767AED" w:rsidP="00C71FD5">
            <w:pPr>
              <w:spacing w:after="0" w:line="240" w:lineRule="auto"/>
              <w:jc w:val="center"/>
              <w:rPr>
                <w:rFonts w:ascii="Times New Roman" w:eastAsia="Times New Roman" w:hAnsi="Times New Roman" w:cs="Times New Roman"/>
                <w:color w:val="FFFFFF"/>
                <w:sz w:val="24"/>
                <w:szCs w:val="24"/>
                <w:lang w:val="en-GB" w:eastAsia="tr-TR" w:bidi="ar-SA"/>
              </w:rPr>
            </w:pPr>
            <w:r w:rsidRPr="00F876CB">
              <w:rPr>
                <w:rFonts w:ascii="Times New Roman" w:eastAsia="Times New Roman" w:hAnsi="Times New Roman" w:cs="Times New Roman"/>
                <w:color w:val="FFFFFF"/>
                <w:sz w:val="24"/>
                <w:szCs w:val="24"/>
                <w:lang w:val="en-GB" w:eastAsia="tr-TR" w:bidi="ar-SA"/>
              </w:rPr>
              <w:t> </w:t>
            </w:r>
          </w:p>
        </w:tc>
        <w:tc>
          <w:tcPr>
            <w:tcW w:w="799" w:type="pct"/>
            <w:tcBorders>
              <w:top w:val="nil"/>
              <w:left w:val="nil"/>
              <w:bottom w:val="single" w:sz="8" w:space="0" w:color="auto"/>
              <w:right w:val="single" w:sz="4" w:space="0" w:color="auto"/>
            </w:tcBorders>
            <w:shd w:val="clear" w:color="000000" w:fill="FF0000"/>
            <w:noWrap/>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2014</w:t>
            </w:r>
          </w:p>
        </w:tc>
        <w:tc>
          <w:tcPr>
            <w:tcW w:w="783" w:type="pct"/>
            <w:tcBorders>
              <w:top w:val="single" w:sz="4" w:space="0" w:color="auto"/>
              <w:left w:val="single" w:sz="4" w:space="0" w:color="auto"/>
              <w:bottom w:val="single" w:sz="4" w:space="0" w:color="auto"/>
              <w:right w:val="single" w:sz="4" w:space="0" w:color="auto"/>
            </w:tcBorders>
            <w:shd w:val="clear" w:color="000000" w:fill="FF0000"/>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2015</w:t>
            </w:r>
          </w:p>
        </w:tc>
        <w:tc>
          <w:tcPr>
            <w:tcW w:w="704" w:type="pct"/>
            <w:tcBorders>
              <w:top w:val="single" w:sz="4" w:space="0" w:color="auto"/>
              <w:left w:val="single" w:sz="4" w:space="0" w:color="auto"/>
              <w:bottom w:val="single" w:sz="4" w:space="0" w:color="auto"/>
              <w:right w:val="single" w:sz="4" w:space="0" w:color="auto"/>
            </w:tcBorders>
            <w:shd w:val="clear" w:color="000000" w:fill="FF0000"/>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2016</w:t>
            </w:r>
          </w:p>
        </w:tc>
        <w:tc>
          <w:tcPr>
            <w:tcW w:w="782" w:type="pct"/>
            <w:tcBorders>
              <w:top w:val="nil"/>
              <w:left w:val="single" w:sz="4" w:space="0" w:color="auto"/>
              <w:bottom w:val="single" w:sz="8" w:space="0" w:color="auto"/>
              <w:right w:val="single" w:sz="8" w:space="0" w:color="auto"/>
            </w:tcBorders>
            <w:shd w:val="clear" w:color="000000" w:fill="FF0000"/>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2017</w:t>
            </w:r>
          </w:p>
        </w:tc>
        <w:tc>
          <w:tcPr>
            <w:tcW w:w="547" w:type="pct"/>
            <w:tcBorders>
              <w:top w:val="nil"/>
              <w:left w:val="nil"/>
              <w:bottom w:val="single" w:sz="8" w:space="0" w:color="auto"/>
              <w:right w:val="single" w:sz="8" w:space="0" w:color="auto"/>
            </w:tcBorders>
            <w:shd w:val="clear" w:color="000000" w:fill="FF0000"/>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620" w:type="pct"/>
            <w:tcBorders>
              <w:top w:val="nil"/>
              <w:left w:val="nil"/>
              <w:bottom w:val="single" w:sz="8" w:space="0" w:color="auto"/>
              <w:right w:val="single" w:sz="8" w:space="0" w:color="auto"/>
            </w:tcBorders>
            <w:shd w:val="clear" w:color="000000" w:fill="FF0000"/>
            <w:vAlign w:val="center"/>
            <w:hideMark/>
          </w:tcPr>
          <w:p w:rsidR="00767AED" w:rsidRPr="00F876CB" w:rsidRDefault="00767AED" w:rsidP="00C71FD5">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r>
      <w:tr w:rsidR="00767AED" w:rsidRPr="00F876CB" w:rsidTr="00C71FD5">
        <w:trPr>
          <w:trHeight w:val="330"/>
        </w:trPr>
        <w:tc>
          <w:tcPr>
            <w:tcW w:w="765" w:type="pct"/>
            <w:tcBorders>
              <w:top w:val="nil"/>
              <w:left w:val="single" w:sz="8" w:space="0" w:color="auto"/>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Generation</w:t>
            </w:r>
          </w:p>
        </w:tc>
        <w:tc>
          <w:tcPr>
            <w:tcW w:w="799" w:type="pct"/>
            <w:tcBorders>
              <w:top w:val="nil"/>
              <w:left w:val="nil"/>
              <w:bottom w:val="single" w:sz="8" w:space="0" w:color="auto"/>
              <w:right w:val="single" w:sz="4"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1416</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1123</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673</w:t>
            </w:r>
          </w:p>
        </w:tc>
        <w:tc>
          <w:tcPr>
            <w:tcW w:w="782" w:type="pct"/>
            <w:tcBorders>
              <w:top w:val="nil"/>
              <w:left w:val="single" w:sz="4" w:space="0" w:color="auto"/>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696</w:t>
            </w:r>
          </w:p>
        </w:tc>
        <w:tc>
          <w:tcPr>
            <w:tcW w:w="547" w:type="pct"/>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575</w:t>
            </w:r>
          </w:p>
        </w:tc>
        <w:tc>
          <w:tcPr>
            <w:tcW w:w="620" w:type="pct"/>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550</w:t>
            </w:r>
          </w:p>
        </w:tc>
      </w:tr>
      <w:tr w:rsidR="00767AED" w:rsidRPr="00F876CB" w:rsidTr="00C71FD5">
        <w:trPr>
          <w:trHeight w:val="330"/>
        </w:trPr>
        <w:tc>
          <w:tcPr>
            <w:tcW w:w="765" w:type="pct"/>
            <w:tcBorders>
              <w:top w:val="nil"/>
              <w:left w:val="single" w:sz="8" w:space="0" w:color="auto"/>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xml:space="preserve">Installed </w:t>
            </w:r>
            <w:r>
              <w:rPr>
                <w:rFonts w:ascii="Times New Roman" w:eastAsia="Times New Roman" w:hAnsi="Times New Roman" w:cs="Times New Roman"/>
                <w:b/>
                <w:bCs/>
                <w:color w:val="FFFFFF"/>
                <w:sz w:val="24"/>
                <w:szCs w:val="24"/>
                <w:lang w:val="en-GB" w:eastAsia="tr-TR" w:bidi="ar-SA"/>
              </w:rPr>
              <w:t>Capacity</w:t>
            </w:r>
          </w:p>
        </w:tc>
        <w:tc>
          <w:tcPr>
            <w:tcW w:w="799" w:type="pct"/>
            <w:tcBorders>
              <w:top w:val="nil"/>
              <w:left w:val="nil"/>
              <w:bottom w:val="single" w:sz="8" w:space="0" w:color="auto"/>
              <w:right w:val="single" w:sz="4" w:space="0" w:color="auto"/>
            </w:tcBorders>
            <w:shd w:val="clear" w:color="auto" w:fill="auto"/>
            <w:noWrap/>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1132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996</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873</w:t>
            </w:r>
          </w:p>
        </w:tc>
        <w:tc>
          <w:tcPr>
            <w:tcW w:w="782" w:type="pct"/>
            <w:tcBorders>
              <w:top w:val="nil"/>
              <w:left w:val="single" w:sz="4" w:space="0" w:color="auto"/>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789</w:t>
            </w:r>
          </w:p>
        </w:tc>
        <w:tc>
          <w:tcPr>
            <w:tcW w:w="547" w:type="pct"/>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682</w:t>
            </w:r>
          </w:p>
        </w:tc>
        <w:tc>
          <w:tcPr>
            <w:tcW w:w="620" w:type="pct"/>
            <w:tcBorders>
              <w:top w:val="nil"/>
              <w:left w:val="nil"/>
              <w:bottom w:val="single" w:sz="8" w:space="0" w:color="auto"/>
              <w:right w:val="single" w:sz="8" w:space="0" w:color="auto"/>
            </w:tcBorders>
            <w:shd w:val="clear" w:color="auto" w:fill="auto"/>
            <w:vAlign w:val="center"/>
            <w:hideMark/>
          </w:tcPr>
          <w:p w:rsidR="00767AED" w:rsidRPr="00F876CB" w:rsidRDefault="00767AED" w:rsidP="00C71FD5">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599</w:t>
            </w:r>
          </w:p>
        </w:tc>
      </w:tr>
    </w:tbl>
    <w:p w:rsidR="00767AED" w:rsidRPr="00F876CB" w:rsidRDefault="00767AED" w:rsidP="00767AED">
      <w:pPr>
        <w:spacing w:line="360" w:lineRule="auto"/>
        <w:ind w:firstLine="708"/>
        <w:jc w:val="both"/>
        <w:rPr>
          <w:rFonts w:asciiTheme="minorHAnsi" w:hAnsiTheme="minorHAnsi" w:cstheme="minorHAnsi"/>
          <w:sz w:val="24"/>
          <w:szCs w:val="24"/>
          <w:lang w:val="en-GB"/>
        </w:rPr>
      </w:pP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As shown in Table 3.1, there was a decrease in the HHI index calculated on both production and installed power compared to the previous year in 2019.</w:t>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The sales of the supply license holders for final consumption are included in Table 3.2. While the HHI index, which is calculated according to the supplier shares, was 494.3 in 2018, this value was calculated as 413.6 in 2019. The decrease in the index value is due to the decrease in the total sales amount of 21 companies in charge of the total sales in the total sales amount of companies with all supply licenses, from 84.96% in 2018 to 76.37% in 2019.</w:t>
      </w:r>
    </w:p>
    <w:p w:rsidR="00767AED" w:rsidRPr="00153105" w:rsidRDefault="00767AED" w:rsidP="00767AED">
      <w:pPr>
        <w:spacing w:line="360" w:lineRule="auto"/>
        <w:jc w:val="both"/>
        <w:rPr>
          <w:rFonts w:asciiTheme="minorHAnsi" w:hAnsiTheme="minorHAnsi" w:cstheme="minorHAnsi"/>
          <w:sz w:val="24"/>
          <w:szCs w:val="24"/>
          <w:lang w:val="en-GB"/>
        </w:rPr>
      </w:pPr>
      <w:bookmarkStart w:id="747" w:name="_Toc450300305"/>
      <w:bookmarkStart w:id="748" w:name="_Toc450309965"/>
      <w:bookmarkStart w:id="749" w:name="_Toc487101589"/>
      <w:bookmarkStart w:id="750" w:name="_Toc40966036"/>
      <w:r w:rsidRPr="00153105">
        <w:rPr>
          <w:rFonts w:asciiTheme="minorHAnsi" w:hAnsiTheme="minorHAnsi" w:cstheme="minorHAnsi"/>
          <w:sz w:val="24"/>
          <w:szCs w:val="24"/>
          <w:lang w:val="en-GB"/>
        </w:rPr>
        <w:t>As it is known, the eligible consumer limit in the electricity market has not been reset yet. In other words, not all consumers in the market are eligible for eligible consumers. It is not legally possible for any supplier to sell, except for supplier companies that are assigned to non-eligible consumers. Therefore, it is important to create an environment where all consumers are eligible consumers and can supply energy from the supplier they wish to correctly evaluate the competitive environment in sales to end consumers.</w:t>
      </w:r>
    </w:p>
    <w:p w:rsidR="00767AED" w:rsidRPr="00F876CB" w:rsidRDefault="00767AED" w:rsidP="00767AED">
      <w:pPr>
        <w:pStyle w:val="Balk5"/>
        <w:rPr>
          <w:lang w:val="en-GB"/>
        </w:rPr>
      </w:pPr>
      <w:bookmarkStart w:id="751" w:name="_Toc44508337"/>
      <w:r w:rsidRPr="00F876CB">
        <w:rPr>
          <w:lang w:val="en-GB"/>
        </w:rPr>
        <w:t xml:space="preserve">Table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3</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Tablo \* ARABIC \s 1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 </w:t>
      </w:r>
      <w:bookmarkEnd w:id="747"/>
      <w:bookmarkEnd w:id="748"/>
      <w:bookmarkEnd w:id="749"/>
      <w:bookmarkEnd w:id="750"/>
      <w:r w:rsidRPr="00F876CB">
        <w:rPr>
          <w:lang w:val="en-GB"/>
        </w:rPr>
        <w:t>Sales</w:t>
      </w:r>
      <w:r w:rsidR="00962345">
        <w:rPr>
          <w:rStyle w:val="DipnotBavurusu"/>
          <w:lang w:val="en-GB"/>
        </w:rPr>
        <w:footnoteReference w:id="3"/>
      </w:r>
      <w:r w:rsidRPr="00F876CB">
        <w:rPr>
          <w:lang w:val="en-GB"/>
        </w:rPr>
        <w:t>, Market Shares and HHI Values of Supply License Owners</w:t>
      </w:r>
      <w:bookmarkEnd w:id="751"/>
    </w:p>
    <w:tbl>
      <w:tblPr>
        <w:tblW w:w="5271" w:type="pct"/>
        <w:tblLayout w:type="fixed"/>
        <w:tblCellMar>
          <w:left w:w="70" w:type="dxa"/>
          <w:right w:w="70" w:type="dxa"/>
        </w:tblCellMar>
        <w:tblLook w:val="04A0" w:firstRow="1" w:lastRow="0" w:firstColumn="1" w:lastColumn="0" w:noHBand="0" w:noVBand="1"/>
      </w:tblPr>
      <w:tblGrid>
        <w:gridCol w:w="6762"/>
        <w:gridCol w:w="1813"/>
        <w:gridCol w:w="976"/>
      </w:tblGrid>
      <w:tr w:rsidR="00767AED" w:rsidRPr="00F876CB" w:rsidTr="00C71FD5">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Pr>
                <w:rFonts w:ascii="Arial" w:eastAsia="Times New Roman" w:hAnsi="Arial" w:cs="Arial"/>
                <w:b/>
                <w:bCs/>
                <w:color w:val="FFFFFF"/>
                <w:lang w:val="en-GB" w:eastAsia="tr-TR" w:bidi="ar-SA"/>
              </w:rPr>
              <w:t>Supplier Company</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Sales (MWh)</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Share (%)</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19.480.796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9,27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13.949.496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6,63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13.015.475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6,19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11.973.962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5,70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11.422.603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5,43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 xml:space="preserve">LİMAK </w:t>
            </w:r>
            <w:proofErr w:type="gramStart"/>
            <w:r w:rsidRPr="00F876CB">
              <w:rPr>
                <w:rFonts w:ascii="Arial" w:eastAsia="Times New Roman" w:hAnsi="Arial" w:cs="Arial"/>
                <w:color w:val="FFFFFF"/>
                <w:sz w:val="18"/>
                <w:szCs w:val="18"/>
                <w:lang w:val="en-GB" w:eastAsia="tr-TR" w:bidi="ar-SA"/>
              </w:rPr>
              <w:t>ULUDAĞ  ELEKTRİK</w:t>
            </w:r>
            <w:proofErr w:type="gramEnd"/>
            <w:r w:rsidRPr="00F876CB">
              <w:rPr>
                <w:rFonts w:ascii="Arial" w:eastAsia="Times New Roman" w:hAnsi="Arial" w:cs="Arial"/>
                <w:color w:val="FFFFFF"/>
                <w:sz w:val="18"/>
                <w:szCs w:val="18"/>
                <w:lang w:val="en-GB" w:eastAsia="tr-TR" w:bidi="ar-SA"/>
              </w:rPr>
              <w:t xml:space="preserve">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11.260.606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5,36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10.734.388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5,11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ENERJİSA İSTANBUL ANADOLU YAKASI EPSAŞ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10.120.756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4,81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8.161.461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3,88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7.593.310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3,61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7.560.614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3,60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6.251.859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2,97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6.171.027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2,94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CK ENERJİ ORTAKLIĞI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6.170.506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2,93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5.720.583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2,72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5.429.020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2,58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4.394.087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2,09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lastRenderedPageBreak/>
              <w:t>GAZİANTEP OSB ELEKTRİK ENERJİSİ TEDARİK TOPTAN SATIŞ TİC.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3.668.041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3.567.136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2.746.527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1,31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2.205.593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1,05</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2.045.951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0,97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1.934.031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0,92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 xml:space="preserve">CK </w:t>
            </w:r>
            <w:proofErr w:type="gramStart"/>
            <w:r w:rsidRPr="00F876CB">
              <w:rPr>
                <w:rFonts w:ascii="Arial" w:eastAsia="Times New Roman" w:hAnsi="Arial" w:cs="Arial"/>
                <w:color w:val="FFFFFF"/>
                <w:sz w:val="18"/>
                <w:szCs w:val="18"/>
                <w:lang w:val="en-GB" w:eastAsia="tr-TR" w:bidi="ar-SA"/>
              </w:rPr>
              <w:t>ÇAMLIBEL  ELEKTRİK</w:t>
            </w:r>
            <w:proofErr w:type="gramEnd"/>
            <w:r w:rsidRPr="00F876CB">
              <w:rPr>
                <w:rFonts w:ascii="Arial" w:eastAsia="Times New Roman" w:hAnsi="Arial" w:cs="Arial"/>
                <w:color w:val="FFFFFF"/>
                <w:sz w:val="18"/>
                <w:szCs w:val="18"/>
                <w:lang w:val="en-GB" w:eastAsia="tr-TR" w:bidi="ar-SA"/>
              </w:rPr>
              <w:t xml:space="preserve">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1.932.461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0,92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1.899.377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0,90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1.791.266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0,85</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1.780.425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0,85</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ZORLU ELEKTRİK ENERJİSİ İTHALAT, İHRACAT VE TOPTAN TİC.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1.693.327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0,81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1.618.812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0,77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ELEKTRİK ÜRETİM ANONİM ŞİRKETİ (EÜAŞ)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1.563.882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0,74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SOCAR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1.534.601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0,73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1.528.449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0,73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TOSYALI ELEKTRİK ENERJİSİ TOPTAN SATIŞ İTHALAT İHRACAT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1.461.269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0,70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1.425.805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0,68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1.393.571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0,66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1.025.501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ENERJİSA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1.005.248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TURKCELL ENERJİ ÇÖZÜMLERİ VE ELEKTRİK SATIŞ TİCARET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967.574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965.223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FİNA ELEKTRİK ENERJİSİ İTHALAT İHRACAT VE TOPTAN SATIŞ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937.395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0,45</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ELTEK ELEKTRİK ENERJİSİ İTHALAT İHRACAT VE TOPTAN TİCARET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846.409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0,40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796.156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0,38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OYAK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680.628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0,32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679.663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0,32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618.939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0,29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YEŞİLYURT ELEKTRİK ENERJİSİ TOPTAN SATIŞ VE İTHALAT İHRACAT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489.079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0,23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484.100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0,23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481.484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0,23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EÇE ENERJİ TİCARETİ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391.682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385.115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UŞAK OSB ELEKTRİK ENERJİSİ TED. TOPTAN SATIŞ İTH. VE İHRACAT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265.453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251.574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234.645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DOĞRUDAN ELEKTRİK ENERJİSİ TOPTAN SATIŞ VE TEDARİK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233.952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226.427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223.084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207.193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206.413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0,10</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lastRenderedPageBreak/>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199.413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EKSİM ELEKTRİK ENERJİSİ İTHALAT, İHRACAT VE TOPTAN SATIŞ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182.863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0,09</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177.112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175.061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0,08</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153.410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FIRAT ENERJİ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140.781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0,07</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129.051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127.887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0,06</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MARMARA ELEKTRİK ENERJİSİ İTHALAT İHRACAT VE TOPTAN TİCARET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102.657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0,05</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92.929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79.623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SELENKA ELEKTRİK ENERJİSİ TOPTAN SATIŞ VE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77.422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0,04</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VOYTRON ENERJİ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66.022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65.536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61.798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AXPO TURKEY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56.203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53.604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STANDART DOĞALGAZ TİCARET VE ELEKTRİK ENERJİSİ TEDARİK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52.647</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0,03</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50.726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50.320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38.565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DESA ELEKTRİK ENERJİSİ TEDARİK VE TOPTAN SATIŞ TİCARET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33.832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0,02</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PURE ENERGY ELEKTRİK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30.902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30.242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28.971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28.613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 xml:space="preserve">ORT </w:t>
            </w:r>
            <w:proofErr w:type="gramStart"/>
            <w:r w:rsidRPr="00F876CB">
              <w:rPr>
                <w:rFonts w:ascii="Arial" w:eastAsia="Times New Roman" w:hAnsi="Arial" w:cs="Arial"/>
                <w:color w:val="FFFFFF"/>
                <w:sz w:val="18"/>
                <w:szCs w:val="18"/>
                <w:lang w:val="en-GB" w:eastAsia="tr-TR" w:bidi="ar-SA"/>
              </w:rPr>
              <w:t>ELEKTRİK  TOPTAN</w:t>
            </w:r>
            <w:proofErr w:type="gramEnd"/>
            <w:r w:rsidRPr="00F876CB">
              <w:rPr>
                <w:rFonts w:ascii="Arial" w:eastAsia="Times New Roman" w:hAnsi="Arial" w:cs="Arial"/>
                <w:color w:val="FFFFFF"/>
                <w:sz w:val="18"/>
                <w:szCs w:val="18"/>
                <w:lang w:val="en-GB" w:eastAsia="tr-TR" w:bidi="ar-SA"/>
              </w:rPr>
              <w:t xml:space="preserv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22.246</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ESKO ELEKTRİK ENERJİSİ İTHALAT İHRACAT VE TOPTAN SATIŞ A.Ş.</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21.868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18.894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16.928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14.764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11.953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EKO GRUP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11.009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0,01</w:t>
            </w:r>
          </w:p>
        </w:tc>
      </w:tr>
      <w:tr w:rsidR="00767AED" w:rsidRPr="00F876CB" w:rsidTr="00C71FD5">
        <w:trPr>
          <w:trHeight w:val="220"/>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ELPADA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9.774</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38"/>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8.025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98"/>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EE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6.093</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72"/>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5.945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6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İVES ELEKTRİK ENERJİSİ TEDARİK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3.460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79"/>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1.442</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83"/>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809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17"/>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625</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9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518</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5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Pİ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241</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4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lastRenderedPageBreak/>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149</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201"/>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767AED" w:rsidRPr="00F876CB" w:rsidRDefault="00767AED" w:rsidP="00C71FD5">
            <w:pPr>
              <w:spacing w:after="0" w:line="240" w:lineRule="auto"/>
              <w:rPr>
                <w:rFonts w:ascii="Arial" w:eastAsia="Times New Roman" w:hAnsi="Arial" w:cs="Arial"/>
                <w:color w:val="FFFFFF"/>
                <w:sz w:val="18"/>
                <w:szCs w:val="18"/>
                <w:lang w:val="en-GB" w:eastAsia="tr-TR" w:bidi="ar-SA"/>
              </w:rPr>
            </w:pPr>
            <w:r w:rsidRPr="00F876CB">
              <w:rPr>
                <w:rFonts w:ascii="Arial" w:eastAsia="Times New Roman" w:hAnsi="Arial" w:cs="Arial"/>
                <w:color w:val="FFFFFF"/>
                <w:sz w:val="18"/>
                <w:szCs w:val="18"/>
                <w:lang w:val="en-GB"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right"/>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10</w:t>
            </w:r>
          </w:p>
        </w:tc>
        <w:tc>
          <w:tcPr>
            <w:tcW w:w="511" w:type="pct"/>
            <w:tcBorders>
              <w:top w:val="nil"/>
              <w:left w:val="nil"/>
              <w:bottom w:val="single" w:sz="4" w:space="0" w:color="auto"/>
              <w:right w:val="single" w:sz="4" w:space="0" w:color="auto"/>
            </w:tcBorders>
            <w:shd w:val="clear" w:color="auto" w:fill="auto"/>
            <w:noWrap/>
            <w:vAlign w:val="center"/>
          </w:tcPr>
          <w:p w:rsidR="00767AED" w:rsidRPr="00F876CB" w:rsidRDefault="00767AED" w:rsidP="00C71FD5">
            <w:pPr>
              <w:spacing w:after="0" w:line="240" w:lineRule="auto"/>
              <w:jc w:val="center"/>
              <w:rPr>
                <w:rFonts w:ascii="Arial" w:eastAsia="Times New Roman" w:hAnsi="Arial" w:cs="Arial"/>
                <w:color w:val="000000"/>
                <w:sz w:val="18"/>
                <w:szCs w:val="18"/>
                <w:lang w:val="en-GB" w:eastAsia="tr-TR" w:bidi="ar-SA"/>
              </w:rPr>
            </w:pPr>
            <w:r w:rsidRPr="00F876CB">
              <w:rPr>
                <w:rFonts w:ascii="Arial" w:eastAsia="Times New Roman" w:hAnsi="Arial" w:cs="Arial"/>
                <w:color w:val="000000"/>
                <w:sz w:val="18"/>
                <w:szCs w:val="18"/>
                <w:lang w:val="en-GB" w:eastAsia="tr-TR" w:bidi="ar-SA"/>
              </w:rPr>
              <w:t>0,00</w:t>
            </w:r>
          </w:p>
        </w:tc>
      </w:tr>
      <w:tr w:rsidR="00767AED" w:rsidRPr="00F876CB" w:rsidTr="00C71FD5">
        <w:trPr>
          <w:trHeight w:val="147"/>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Total</w:t>
            </w:r>
          </w:p>
        </w:tc>
        <w:tc>
          <w:tcPr>
            <w:tcW w:w="949" w:type="pct"/>
            <w:tcBorders>
              <w:top w:val="nil"/>
              <w:left w:val="nil"/>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210.244.955</w:t>
            </w:r>
          </w:p>
        </w:tc>
        <w:tc>
          <w:tcPr>
            <w:tcW w:w="511" w:type="pct"/>
            <w:tcBorders>
              <w:top w:val="nil"/>
              <w:left w:val="nil"/>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100</w:t>
            </w:r>
          </w:p>
        </w:tc>
      </w:tr>
      <w:tr w:rsidR="00767AED" w:rsidRPr="00F876CB" w:rsidTr="00C71FD5">
        <w:trPr>
          <w:trHeight w:val="15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 xml:space="preserve"> HHI of Suppliers</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767AED" w:rsidRPr="00F876CB" w:rsidRDefault="00767AED" w:rsidP="00C71FD5">
            <w:pPr>
              <w:spacing w:after="0" w:line="240" w:lineRule="auto"/>
              <w:jc w:val="center"/>
              <w:rPr>
                <w:rFonts w:ascii="Arial" w:eastAsia="Times New Roman" w:hAnsi="Arial" w:cs="Arial"/>
                <w:b/>
                <w:bCs/>
                <w:color w:val="FFFFFF"/>
                <w:lang w:val="en-GB" w:eastAsia="tr-TR" w:bidi="ar-SA"/>
              </w:rPr>
            </w:pPr>
            <w:r w:rsidRPr="00F876CB">
              <w:rPr>
                <w:rFonts w:ascii="Arial" w:eastAsia="Times New Roman" w:hAnsi="Arial" w:cs="Arial"/>
                <w:b/>
                <w:bCs/>
                <w:color w:val="FFFFFF"/>
                <w:lang w:val="en-GB" w:eastAsia="tr-TR" w:bidi="ar-SA"/>
              </w:rPr>
              <w:t>413.6</w:t>
            </w:r>
          </w:p>
        </w:tc>
      </w:tr>
    </w:tbl>
    <w:p w:rsidR="00767AED" w:rsidRDefault="00767AED" w:rsidP="00767AED">
      <w:pPr>
        <w:pStyle w:val="11ilebalayanlar"/>
        <w:rPr>
          <w:lang w:val="en-GB"/>
        </w:rPr>
      </w:pPr>
      <w:bookmarkStart w:id="752" w:name="_Toc432164555"/>
      <w:bookmarkStart w:id="753" w:name="_Toc483831859"/>
      <w:bookmarkStart w:id="754" w:name="_Toc514767716"/>
    </w:p>
    <w:p w:rsidR="00767AED" w:rsidRPr="00F876CB" w:rsidRDefault="00767AED" w:rsidP="00767AED">
      <w:pPr>
        <w:pStyle w:val="11ilebalayanlar"/>
        <w:rPr>
          <w:lang w:val="en-GB"/>
        </w:rPr>
      </w:pPr>
    </w:p>
    <w:p w:rsidR="00767AED" w:rsidRPr="00F876CB" w:rsidRDefault="00767AED" w:rsidP="00767AED">
      <w:pPr>
        <w:pStyle w:val="11ilebalayanlar"/>
        <w:rPr>
          <w:lang w:val="en-GB"/>
        </w:rPr>
      </w:pPr>
    </w:p>
    <w:p w:rsidR="00767AED" w:rsidRPr="00F876CB" w:rsidRDefault="00767AED" w:rsidP="00767AED">
      <w:pPr>
        <w:pStyle w:val="11ilebalayanlar"/>
        <w:rPr>
          <w:lang w:val="en-GB"/>
        </w:rPr>
      </w:pPr>
      <w:bookmarkStart w:id="755" w:name="_Toc40965997"/>
      <w:bookmarkStart w:id="756" w:name="_Toc44508298"/>
      <w:r w:rsidRPr="00F876CB">
        <w:rPr>
          <w:lang w:val="en-GB"/>
        </w:rPr>
        <w:t xml:space="preserve">3.2 </w:t>
      </w:r>
      <w:bookmarkEnd w:id="752"/>
      <w:bookmarkEnd w:id="753"/>
      <w:bookmarkEnd w:id="754"/>
      <w:bookmarkEnd w:id="755"/>
      <w:r w:rsidRPr="00F876CB">
        <w:rPr>
          <w:lang w:val="en-GB"/>
        </w:rPr>
        <w:t>Demand Side</w:t>
      </w:r>
      <w:bookmarkEnd w:id="756"/>
    </w:p>
    <w:p w:rsidR="00767AED" w:rsidRPr="00F876CB" w:rsidRDefault="00767AED" w:rsidP="00767AED">
      <w:pPr>
        <w:spacing w:line="360" w:lineRule="auto"/>
        <w:ind w:firstLine="708"/>
        <w:jc w:val="both"/>
        <w:rPr>
          <w:lang w:val="en-GB"/>
        </w:rPr>
      </w:pPr>
      <w:bookmarkStart w:id="757" w:name="_Ref398286451"/>
    </w:p>
    <w:p w:rsidR="00767AED" w:rsidRPr="00FE5256" w:rsidRDefault="00767AED" w:rsidP="00767AED">
      <w:pPr>
        <w:spacing w:line="360" w:lineRule="auto"/>
        <w:jc w:val="both"/>
        <w:rPr>
          <w:rFonts w:asciiTheme="minorHAnsi" w:hAnsiTheme="minorHAnsi" w:cstheme="minorHAnsi"/>
          <w:sz w:val="24"/>
          <w:szCs w:val="24"/>
          <w:lang w:val="en-GB"/>
        </w:rPr>
      </w:pPr>
      <w:bookmarkStart w:id="758" w:name="_Ref401765422"/>
      <w:bookmarkStart w:id="759" w:name="_Toc404588252"/>
      <w:bookmarkStart w:id="760" w:name="_Toc432165754"/>
      <w:bookmarkStart w:id="761" w:name="_Toc450307003"/>
      <w:bookmarkStart w:id="762" w:name="_Toc450307114"/>
      <w:bookmarkStart w:id="763" w:name="_Toc450307938"/>
      <w:bookmarkStart w:id="764" w:name="_Toc487101663"/>
      <w:r w:rsidRPr="00FE5256">
        <w:rPr>
          <w:rFonts w:asciiTheme="minorHAnsi" w:hAnsiTheme="minorHAnsi" w:cstheme="minorHAnsi"/>
          <w:sz w:val="24"/>
          <w:szCs w:val="24"/>
          <w:lang w:val="en-GB"/>
        </w:rPr>
        <w:t>In accordance with the paragraph (b) of the sixth paragraph of Article 5 of the Law on the Organization and Duties of the Energy Market Regulatory Authority numbered 4628 and the 25th article of the Electricity Market Consumer Services Regulation, the eligible consumer for the year 2019 It was decided to apply the limit to 1600 kWh. The theoretical market openness corresponding to the eligible consumer limit was calculated as 95.4%. The free consumer limit and the corresponding market openness rate over the years are given in Figure 3.1.</w:t>
      </w:r>
    </w:p>
    <w:p w:rsidR="00767AED" w:rsidRPr="00F876CB" w:rsidRDefault="00767AED" w:rsidP="00767AED">
      <w:pPr>
        <w:rPr>
          <w:lang w:val="en-GB"/>
        </w:rPr>
      </w:pPr>
    </w:p>
    <w:p w:rsidR="00767AED" w:rsidRPr="00F876CB" w:rsidRDefault="00767AED" w:rsidP="00767AED">
      <w:pPr>
        <w:pStyle w:val="Balk6"/>
        <w:rPr>
          <w:caps/>
          <w:lang w:val="en-GB"/>
        </w:rPr>
      </w:pPr>
      <w:bookmarkStart w:id="765" w:name="_Toc12536030"/>
      <w:bookmarkStart w:id="766" w:name="_Toc40966110"/>
      <w:bookmarkStart w:id="767" w:name="_Toc44508412"/>
      <w:r w:rsidRPr="00F876CB">
        <w:rPr>
          <w:lang w:val="en-GB"/>
        </w:rPr>
        <w:t>Figure</w:t>
      </w:r>
      <w:r w:rsidRPr="00F876CB">
        <w:rPr>
          <w:caps/>
          <w:lang w:val="en-GB"/>
        </w:rPr>
        <w:t xml:space="preserve"> </w:t>
      </w:r>
      <w:r w:rsidRPr="00F876CB">
        <w:rPr>
          <w:caps/>
          <w:lang w:val="en-GB"/>
        </w:rPr>
        <w:fldChar w:fldCharType="begin"/>
      </w:r>
      <w:r w:rsidRPr="00F876CB">
        <w:rPr>
          <w:caps/>
          <w:lang w:val="en-GB"/>
        </w:rPr>
        <w:instrText xml:space="preserve"> STYLEREF 1 \s </w:instrText>
      </w:r>
      <w:r w:rsidRPr="00F876CB">
        <w:rPr>
          <w:caps/>
          <w:lang w:val="en-GB"/>
        </w:rPr>
        <w:fldChar w:fldCharType="separate"/>
      </w:r>
      <w:r w:rsidRPr="00F876CB">
        <w:rPr>
          <w:caps/>
          <w:noProof/>
          <w:lang w:val="en-GB"/>
        </w:rPr>
        <w:t>3</w:t>
      </w:r>
      <w:r w:rsidRPr="00F876CB">
        <w:rPr>
          <w:caps/>
          <w:lang w:val="en-GB"/>
        </w:rPr>
        <w:fldChar w:fldCharType="end"/>
      </w:r>
      <w:r w:rsidRPr="00F876CB">
        <w:rPr>
          <w:caps/>
          <w:lang w:val="en-GB"/>
        </w:rPr>
        <w:t>.</w:t>
      </w:r>
      <w:r w:rsidRPr="00F876CB">
        <w:rPr>
          <w:caps/>
          <w:lang w:val="en-GB"/>
        </w:rPr>
        <w:fldChar w:fldCharType="begin"/>
      </w:r>
      <w:r w:rsidRPr="00F876CB">
        <w:rPr>
          <w:caps/>
          <w:lang w:val="en-GB"/>
        </w:rPr>
        <w:instrText xml:space="preserve"> SEQ Şekil \* ARABIC \s 1 </w:instrText>
      </w:r>
      <w:r w:rsidRPr="00F876CB">
        <w:rPr>
          <w:caps/>
          <w:lang w:val="en-GB"/>
        </w:rPr>
        <w:fldChar w:fldCharType="separate"/>
      </w:r>
      <w:r w:rsidRPr="00F876CB">
        <w:rPr>
          <w:caps/>
          <w:noProof/>
          <w:lang w:val="en-GB"/>
        </w:rPr>
        <w:t>1</w:t>
      </w:r>
      <w:r w:rsidRPr="00F876CB">
        <w:rPr>
          <w:caps/>
          <w:lang w:val="en-GB"/>
        </w:rPr>
        <w:fldChar w:fldCharType="end"/>
      </w:r>
      <w:bookmarkEnd w:id="757"/>
      <w:bookmarkEnd w:id="758"/>
      <w:r w:rsidRPr="00F876CB">
        <w:rPr>
          <w:caps/>
          <w:lang w:val="en-GB"/>
        </w:rPr>
        <w:t xml:space="preserve">: </w:t>
      </w:r>
      <w:bookmarkEnd w:id="759"/>
      <w:bookmarkEnd w:id="760"/>
      <w:bookmarkEnd w:id="761"/>
      <w:bookmarkEnd w:id="762"/>
      <w:bookmarkEnd w:id="763"/>
      <w:r w:rsidRPr="00F876CB">
        <w:rPr>
          <w:lang w:val="en-GB"/>
        </w:rPr>
        <w:t>Eligible Consumer Limit and Market Openness Ratio by Years (kWh-%)</w:t>
      </w:r>
      <w:bookmarkEnd w:id="764"/>
      <w:bookmarkEnd w:id="765"/>
      <w:bookmarkEnd w:id="766"/>
      <w:bookmarkEnd w:id="767"/>
    </w:p>
    <w:p w:rsidR="00767AED" w:rsidRPr="00F876CB" w:rsidRDefault="00767AED" w:rsidP="00767AED">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5636E3B7" wp14:editId="12CACB2F">
            <wp:extent cx="5781675" cy="2705100"/>
            <wp:effectExtent l="0" t="0" r="952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81675" cy="2705100"/>
                    </a:xfrm>
                    <a:prstGeom prst="rect">
                      <a:avLst/>
                    </a:prstGeom>
                    <a:noFill/>
                  </pic:spPr>
                </pic:pic>
              </a:graphicData>
            </a:graphic>
          </wp:inline>
        </w:drawing>
      </w:r>
    </w:p>
    <w:p w:rsidR="00767AED" w:rsidRDefault="00767AED" w:rsidP="00767AED">
      <w:pPr>
        <w:spacing w:line="360" w:lineRule="auto"/>
        <w:jc w:val="both"/>
        <w:rPr>
          <w:rFonts w:asciiTheme="minorHAnsi" w:hAnsiTheme="minorHAnsi" w:cstheme="minorHAnsi"/>
          <w:sz w:val="24"/>
          <w:szCs w:val="24"/>
          <w:lang w:val="en-GB"/>
        </w:rPr>
      </w:pPr>
    </w:p>
    <w:p w:rsidR="00767AED"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Although the theoretical market openness rate is high, the rate of consumers using the eligible consumer right in total consumption was lower. Eligible consumers' consumption in 2019 was 93.9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This rate corresponds to 40.9% of the total invoiced consumption.</w:t>
      </w:r>
    </w:p>
    <w:p w:rsidR="00767AED" w:rsidRPr="00F876CB" w:rsidRDefault="00767AED" w:rsidP="00767AED">
      <w:pPr>
        <w:spacing w:line="360" w:lineRule="auto"/>
        <w:ind w:firstLine="708"/>
        <w:jc w:val="both"/>
        <w:rPr>
          <w:rFonts w:asciiTheme="minorHAnsi" w:hAnsiTheme="minorHAnsi" w:cstheme="minorHAnsi"/>
          <w:sz w:val="24"/>
          <w:szCs w:val="24"/>
          <w:lang w:val="en-GB"/>
        </w:rPr>
      </w:pPr>
    </w:p>
    <w:p w:rsidR="00767AED" w:rsidRDefault="00767AED" w:rsidP="00767AED">
      <w:pPr>
        <w:spacing w:line="360" w:lineRule="auto"/>
        <w:jc w:val="both"/>
        <w:rPr>
          <w:rFonts w:ascii="Times New Roman" w:hAnsi="Times New Roman" w:cs="Times New Roman"/>
          <w:sz w:val="24"/>
          <w:szCs w:val="24"/>
          <w:lang w:val="en-GB" w:bidi="ar-SA"/>
        </w:rPr>
      </w:pPr>
      <w:r w:rsidRPr="00F876CB">
        <w:rPr>
          <w:rFonts w:ascii="Times New Roman" w:hAnsi="Times New Roman" w:cs="Times New Roman"/>
          <w:sz w:val="24"/>
          <w:szCs w:val="24"/>
          <w:lang w:val="en-GB" w:bidi="ar-SA"/>
        </w:rPr>
        <w:t xml:space="preserve">The development of the number of eligible consumers in 2019 is shown in Figure 3.2. </w:t>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 </w:t>
      </w:r>
    </w:p>
    <w:p w:rsidR="00767AED" w:rsidRPr="00F876CB" w:rsidRDefault="00767AED" w:rsidP="00767AED">
      <w:pPr>
        <w:pStyle w:val="Balk6"/>
        <w:rPr>
          <w:lang w:val="en-GB"/>
        </w:rPr>
      </w:pPr>
      <w:bookmarkStart w:id="768" w:name="_Toc404588253"/>
      <w:bookmarkStart w:id="769" w:name="_Toc432165755"/>
      <w:bookmarkStart w:id="770" w:name="_Toc450307004"/>
      <w:bookmarkStart w:id="771" w:name="_Toc450307115"/>
      <w:bookmarkStart w:id="772" w:name="_Toc450307939"/>
      <w:bookmarkStart w:id="773" w:name="_Toc487101664"/>
      <w:bookmarkStart w:id="774" w:name="_Toc12536031"/>
      <w:bookmarkStart w:id="775" w:name="_Toc40966111"/>
      <w:bookmarkStart w:id="776" w:name="_Toc44508413"/>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3</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Şekil \* ARABIC \s 1 </w:instrText>
      </w:r>
      <w:r w:rsidRPr="00F876CB">
        <w:rPr>
          <w:lang w:val="en-GB"/>
        </w:rPr>
        <w:fldChar w:fldCharType="separate"/>
      </w:r>
      <w:r w:rsidRPr="00F876CB">
        <w:rPr>
          <w:noProof/>
          <w:lang w:val="en-GB"/>
        </w:rPr>
        <w:t>2</w:t>
      </w:r>
      <w:r w:rsidRPr="00F876CB">
        <w:rPr>
          <w:lang w:val="en-GB"/>
        </w:rPr>
        <w:fldChar w:fldCharType="end"/>
      </w:r>
      <w:r w:rsidRPr="00F876CB">
        <w:rPr>
          <w:lang w:val="en-GB"/>
        </w:rPr>
        <w:t xml:space="preserve">: </w:t>
      </w:r>
      <w:bookmarkEnd w:id="768"/>
      <w:r w:rsidRPr="00F876CB">
        <w:rPr>
          <w:lang w:val="en-GB"/>
        </w:rPr>
        <w:t>Number of Eligible Consumer by Months in 2019 (Number)</w:t>
      </w:r>
      <w:bookmarkEnd w:id="769"/>
      <w:bookmarkEnd w:id="770"/>
      <w:bookmarkEnd w:id="771"/>
      <w:bookmarkEnd w:id="772"/>
      <w:bookmarkEnd w:id="773"/>
      <w:bookmarkEnd w:id="774"/>
      <w:bookmarkEnd w:id="775"/>
      <w:bookmarkEnd w:id="776"/>
    </w:p>
    <w:p w:rsidR="00767AED" w:rsidRPr="00F876CB" w:rsidRDefault="00767AED" w:rsidP="00767AED">
      <w:pPr>
        <w:spacing w:line="360" w:lineRule="auto"/>
        <w:jc w:val="center"/>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08E18C8A" wp14:editId="4FD94207">
            <wp:extent cx="5096510" cy="2457450"/>
            <wp:effectExtent l="0" t="0" r="889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096510" cy="2457450"/>
                    </a:xfrm>
                    <a:prstGeom prst="rect">
                      <a:avLst/>
                    </a:prstGeom>
                    <a:noFill/>
                  </pic:spPr>
                </pic:pic>
              </a:graphicData>
            </a:graphic>
          </wp:inline>
        </w:drawing>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number of </w:t>
      </w:r>
      <w:r>
        <w:rPr>
          <w:rFonts w:asciiTheme="minorHAnsi" w:hAnsiTheme="minorHAnsi" w:cstheme="minorHAnsi"/>
          <w:sz w:val="24"/>
          <w:szCs w:val="24"/>
          <w:lang w:val="en-GB"/>
        </w:rPr>
        <w:t>eligible</w:t>
      </w:r>
      <w:r w:rsidRPr="00F876CB">
        <w:rPr>
          <w:rFonts w:asciiTheme="minorHAnsi" w:hAnsiTheme="minorHAnsi" w:cstheme="minorHAnsi"/>
          <w:sz w:val="24"/>
          <w:szCs w:val="24"/>
          <w:lang w:val="en-GB"/>
        </w:rPr>
        <w:t xml:space="preserve"> consumers, which was 146</w:t>
      </w:r>
      <w:r>
        <w:rPr>
          <w:rFonts w:asciiTheme="minorHAnsi" w:hAnsiTheme="minorHAnsi" w:cstheme="minorHAnsi"/>
          <w:sz w:val="24"/>
          <w:szCs w:val="24"/>
          <w:lang w:val="en-GB"/>
        </w:rPr>
        <w:t>.000</w:t>
      </w:r>
      <w:r w:rsidRPr="00F876CB">
        <w:rPr>
          <w:rFonts w:asciiTheme="minorHAnsi" w:hAnsiTheme="minorHAnsi" w:cstheme="minorHAnsi"/>
          <w:sz w:val="24"/>
          <w:szCs w:val="24"/>
          <w:lang w:val="en-GB"/>
        </w:rPr>
        <w:t xml:space="preserve"> as of the end of 2018, increased by 132% at the end of 2019 and reached 339</w:t>
      </w:r>
      <w:r>
        <w:rPr>
          <w:rFonts w:asciiTheme="minorHAnsi" w:hAnsiTheme="minorHAnsi" w:cstheme="minorHAnsi"/>
          <w:sz w:val="24"/>
          <w:szCs w:val="24"/>
          <w:lang w:val="en-GB"/>
        </w:rPr>
        <w:t>.000</w:t>
      </w:r>
      <w:r w:rsidRPr="00F876CB">
        <w:rPr>
          <w:rFonts w:asciiTheme="minorHAnsi" w:hAnsiTheme="minorHAnsi" w:cstheme="minorHAnsi"/>
          <w:sz w:val="24"/>
          <w:szCs w:val="24"/>
          <w:lang w:val="en-GB"/>
        </w:rPr>
        <w:t>. This number corresponds to approximately 0.76% of the total number of consumers.</w:t>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Distribution of eligible consumers and their consumption by distribution regions (excluding eligible consumers from transmission) is shown in Figure 3.3. When the distribution in question is </w:t>
      </w:r>
      <w:proofErr w:type="spellStart"/>
      <w:r w:rsidRPr="00F876CB">
        <w:rPr>
          <w:rFonts w:asciiTheme="minorHAnsi" w:hAnsiTheme="minorHAnsi" w:cstheme="minorHAnsi"/>
          <w:sz w:val="24"/>
          <w:szCs w:val="24"/>
          <w:lang w:val="en-GB"/>
        </w:rPr>
        <w:t>analyzed</w:t>
      </w:r>
      <w:proofErr w:type="spellEnd"/>
      <w:r w:rsidRPr="00F876CB">
        <w:rPr>
          <w:rFonts w:asciiTheme="minorHAnsi" w:hAnsiTheme="minorHAnsi" w:cstheme="minorHAnsi"/>
          <w:sz w:val="24"/>
          <w:szCs w:val="24"/>
          <w:lang w:val="en-GB"/>
        </w:rPr>
        <w:t xml:space="preserve">, it is seen that the </w:t>
      </w:r>
      <w:proofErr w:type="gramStart"/>
      <w:r w:rsidRPr="00F876CB">
        <w:rPr>
          <w:rFonts w:asciiTheme="minorHAnsi" w:hAnsiTheme="minorHAnsi" w:cstheme="minorHAnsi"/>
          <w:sz w:val="24"/>
          <w:szCs w:val="24"/>
          <w:lang w:val="en-GB"/>
        </w:rPr>
        <w:t>most free</w:t>
      </w:r>
      <w:proofErr w:type="gramEnd"/>
      <w:r w:rsidRPr="00F876CB">
        <w:rPr>
          <w:rFonts w:asciiTheme="minorHAnsi" w:hAnsiTheme="minorHAnsi" w:cstheme="minorHAnsi"/>
          <w:sz w:val="24"/>
          <w:szCs w:val="24"/>
          <w:lang w:val="en-GB"/>
        </w:rPr>
        <w:t xml:space="preserve"> consumers are located in the </w:t>
      </w:r>
      <w:proofErr w:type="spellStart"/>
      <w:r w:rsidRPr="00F876CB">
        <w:rPr>
          <w:rFonts w:asciiTheme="minorHAnsi" w:hAnsiTheme="minorHAnsi" w:cstheme="minorHAnsi"/>
          <w:sz w:val="24"/>
          <w:szCs w:val="24"/>
          <w:lang w:val="en-GB"/>
        </w:rPr>
        <w:t>B</w:t>
      </w:r>
      <w:r>
        <w:rPr>
          <w:rFonts w:asciiTheme="minorHAnsi" w:hAnsiTheme="minorHAnsi" w:cstheme="minorHAnsi"/>
          <w:sz w:val="24"/>
          <w:szCs w:val="24"/>
          <w:lang w:val="en-GB"/>
        </w:rPr>
        <w:t>oğaziçi</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Osmangazi</w:t>
      </w:r>
      <w:proofErr w:type="spellEnd"/>
      <w:r w:rsidRPr="00F876CB">
        <w:rPr>
          <w:rFonts w:asciiTheme="minorHAnsi" w:hAnsiTheme="minorHAnsi" w:cstheme="minorHAnsi"/>
          <w:sz w:val="24"/>
          <w:szCs w:val="24"/>
          <w:lang w:val="en-GB"/>
        </w:rPr>
        <w:t xml:space="preserve"> and </w:t>
      </w:r>
      <w:proofErr w:type="spellStart"/>
      <w:r w:rsidRPr="00F876CB">
        <w:rPr>
          <w:rFonts w:asciiTheme="minorHAnsi" w:hAnsiTheme="minorHAnsi" w:cstheme="minorHAnsi"/>
          <w:sz w:val="24"/>
          <w:szCs w:val="24"/>
          <w:lang w:val="en-GB"/>
        </w:rPr>
        <w:t>Uludağ</w:t>
      </w:r>
      <w:proofErr w:type="spellEnd"/>
      <w:r w:rsidRPr="00F876CB">
        <w:rPr>
          <w:rFonts w:asciiTheme="minorHAnsi" w:hAnsiTheme="minorHAnsi" w:cstheme="minorHAnsi"/>
          <w:sz w:val="24"/>
          <w:szCs w:val="24"/>
          <w:lang w:val="en-GB"/>
        </w:rPr>
        <w:t xml:space="preserve"> regions.</w:t>
      </w:r>
      <w:bookmarkStart w:id="777" w:name="_Toc404588254"/>
      <w:bookmarkStart w:id="778" w:name="_Toc432165756"/>
      <w:bookmarkStart w:id="779" w:name="_Toc450307005"/>
      <w:bookmarkStart w:id="780" w:name="_Toc450307116"/>
      <w:bookmarkStart w:id="781" w:name="_Toc450307940"/>
      <w:bookmarkStart w:id="782" w:name="_Toc487101665"/>
      <w:bookmarkStart w:id="783" w:name="_Toc12536032"/>
    </w:p>
    <w:p w:rsidR="00767AED" w:rsidRPr="00F876CB" w:rsidRDefault="00767AED" w:rsidP="00767AED">
      <w:pPr>
        <w:pStyle w:val="Balk6"/>
        <w:rPr>
          <w:lang w:val="en-GB"/>
        </w:rPr>
      </w:pPr>
      <w:bookmarkStart w:id="784" w:name="_Toc40966112"/>
      <w:bookmarkStart w:id="785" w:name="_Toc44508414"/>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3</w:t>
      </w:r>
      <w:r w:rsidRPr="00F876CB">
        <w:rPr>
          <w:lang w:val="en-GB"/>
        </w:rPr>
        <w:fldChar w:fldCharType="end"/>
      </w:r>
      <w:r w:rsidRPr="00F876CB">
        <w:rPr>
          <w:lang w:val="en-GB"/>
        </w:rPr>
        <w:t>.</w:t>
      </w:r>
      <w:r w:rsidRPr="00F876CB">
        <w:rPr>
          <w:lang w:val="en-GB"/>
        </w:rPr>
        <w:fldChar w:fldCharType="begin"/>
      </w:r>
      <w:r w:rsidRPr="00F876CB">
        <w:rPr>
          <w:lang w:val="en-GB"/>
        </w:rPr>
        <w:instrText xml:space="preserve"> SEQ Şekil \* ARABIC \s 1 </w:instrText>
      </w:r>
      <w:r w:rsidRPr="00F876CB">
        <w:rPr>
          <w:lang w:val="en-GB"/>
        </w:rPr>
        <w:fldChar w:fldCharType="separate"/>
      </w:r>
      <w:r w:rsidRPr="00F876CB">
        <w:rPr>
          <w:noProof/>
          <w:lang w:val="en-GB"/>
        </w:rPr>
        <w:t>3</w:t>
      </w:r>
      <w:r w:rsidRPr="00F876CB">
        <w:rPr>
          <w:lang w:val="en-GB"/>
        </w:rPr>
        <w:fldChar w:fldCharType="end"/>
      </w:r>
      <w:r w:rsidRPr="00F876CB">
        <w:rPr>
          <w:lang w:val="en-GB"/>
        </w:rPr>
        <w:t xml:space="preserve">: </w:t>
      </w:r>
      <w:bookmarkEnd w:id="777"/>
      <w:bookmarkEnd w:id="778"/>
      <w:bookmarkEnd w:id="779"/>
      <w:bookmarkEnd w:id="780"/>
      <w:bookmarkEnd w:id="781"/>
      <w:bookmarkEnd w:id="782"/>
      <w:bookmarkEnd w:id="783"/>
      <w:bookmarkEnd w:id="784"/>
      <w:r w:rsidRPr="00F876CB">
        <w:rPr>
          <w:lang w:val="en-GB"/>
        </w:rPr>
        <w:t>Distribution of Eligible Consumers by Distribution Regions by end of 2019</w:t>
      </w:r>
      <w:bookmarkEnd w:id="785"/>
    </w:p>
    <w:p w:rsidR="00767AED" w:rsidRPr="00F876CB" w:rsidRDefault="00767AED" w:rsidP="00767AED">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lastRenderedPageBreak/>
        <w:drawing>
          <wp:inline distT="0" distB="0" distL="0" distR="0" wp14:anchorId="5CC6F3B6" wp14:editId="57807FE8">
            <wp:extent cx="5901690" cy="2933700"/>
            <wp:effectExtent l="0" t="0" r="381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01690" cy="2933700"/>
                    </a:xfrm>
                    <a:prstGeom prst="rect">
                      <a:avLst/>
                    </a:prstGeom>
                    <a:noFill/>
                  </pic:spPr>
                </pic:pic>
              </a:graphicData>
            </a:graphic>
          </wp:inline>
        </w:drawing>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Considering the distribution of the consumption of eligible consumers on the basis of distribution regions, </w:t>
      </w:r>
      <w:proofErr w:type="spellStart"/>
      <w:r w:rsidRPr="00F876CB">
        <w:rPr>
          <w:rFonts w:asciiTheme="minorHAnsi" w:hAnsiTheme="minorHAnsi" w:cstheme="minorHAnsi"/>
          <w:sz w:val="24"/>
          <w:szCs w:val="24"/>
          <w:lang w:val="en-GB"/>
        </w:rPr>
        <w:t>Boğaziçi</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Uludağ</w:t>
      </w:r>
      <w:proofErr w:type="spellEnd"/>
      <w:r w:rsidRPr="00F876CB">
        <w:rPr>
          <w:rFonts w:asciiTheme="minorHAnsi" w:hAnsiTheme="minorHAnsi" w:cstheme="minorHAnsi"/>
          <w:sz w:val="24"/>
          <w:szCs w:val="24"/>
          <w:lang w:val="en-GB"/>
        </w:rPr>
        <w:t>, Trakya and GDZ constitute the four regions with the highest consumption.</w:t>
      </w:r>
    </w:p>
    <w:p w:rsidR="00767AED" w:rsidRDefault="00767AED" w:rsidP="00767AED">
      <w:pPr>
        <w:pStyle w:val="Balk6"/>
        <w:rPr>
          <w:rFonts w:asciiTheme="minorHAnsi" w:hAnsiTheme="minorHAnsi" w:cstheme="minorHAnsi"/>
          <w:b w:val="0"/>
          <w:spacing w:val="0"/>
          <w:szCs w:val="24"/>
          <w:lang w:val="en-GB"/>
        </w:rPr>
      </w:pPr>
      <w:bookmarkStart w:id="786" w:name="_Toc44508415"/>
      <w:bookmarkStart w:id="787" w:name="_Toc487101667"/>
      <w:bookmarkStart w:id="788" w:name="_Toc12536033"/>
      <w:bookmarkStart w:id="789" w:name="_Toc40966113"/>
      <w:r w:rsidRPr="00F876CB">
        <w:rPr>
          <w:rFonts w:asciiTheme="minorHAnsi" w:hAnsiTheme="minorHAnsi" w:cstheme="minorHAnsi"/>
          <w:b w:val="0"/>
          <w:spacing w:val="0"/>
          <w:szCs w:val="24"/>
          <w:lang w:val="en-GB"/>
        </w:rPr>
        <w:t>Figure 3.5 below shows the distribution of eligible consumer consumption by supplier type.</w:t>
      </w:r>
      <w:bookmarkEnd w:id="786"/>
    </w:p>
    <w:p w:rsidR="00767AED" w:rsidRPr="00F27A7A" w:rsidRDefault="00767AED" w:rsidP="00767AED">
      <w:pPr>
        <w:rPr>
          <w:lang w:val="en-GB"/>
        </w:rPr>
      </w:pPr>
    </w:p>
    <w:p w:rsidR="00767AED" w:rsidRPr="00F876CB" w:rsidRDefault="00767AED" w:rsidP="00767AED">
      <w:pPr>
        <w:pStyle w:val="Balk6"/>
        <w:rPr>
          <w:rFonts w:asciiTheme="minorHAnsi" w:hAnsiTheme="minorHAnsi" w:cstheme="minorHAnsi"/>
          <w:szCs w:val="24"/>
          <w:lang w:val="en-GB"/>
        </w:rPr>
      </w:pPr>
      <w:bookmarkStart w:id="790" w:name="_Toc44508416"/>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3</w:t>
      </w:r>
      <w:r w:rsidRPr="00F876CB">
        <w:rPr>
          <w:lang w:val="en-GB"/>
        </w:rPr>
        <w:fldChar w:fldCharType="end"/>
      </w:r>
      <w:r w:rsidRPr="00F876CB">
        <w:rPr>
          <w:lang w:val="en-GB"/>
        </w:rPr>
        <w:t>.4: Distribution of Eligible Consumer Consumption by Suppliers Type (%)</w:t>
      </w:r>
      <w:bookmarkEnd w:id="787"/>
      <w:bookmarkEnd w:id="788"/>
      <w:bookmarkEnd w:id="789"/>
      <w:bookmarkEnd w:id="790"/>
      <w:r w:rsidRPr="00F876CB">
        <w:rPr>
          <w:lang w:val="en-GB"/>
        </w:rPr>
        <w:t xml:space="preserve"> </w:t>
      </w:r>
    </w:p>
    <w:p w:rsidR="00767AED" w:rsidRPr="00F876CB" w:rsidRDefault="00767AED" w:rsidP="00767AED">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77B7CB9B" wp14:editId="610B01D4">
            <wp:extent cx="5715000" cy="29241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15000" cy="2924175"/>
                    </a:xfrm>
                    <a:prstGeom prst="rect">
                      <a:avLst/>
                    </a:prstGeom>
                    <a:noFill/>
                  </pic:spPr>
                </pic:pic>
              </a:graphicData>
            </a:graphic>
          </wp:inline>
        </w:drawing>
      </w:r>
    </w:p>
    <w:p w:rsidR="00767AED" w:rsidRPr="00542180" w:rsidRDefault="00767AED" w:rsidP="00767AED">
      <w:pPr>
        <w:spacing w:line="360" w:lineRule="auto"/>
        <w:jc w:val="both"/>
        <w:rPr>
          <w:rFonts w:asciiTheme="minorHAnsi" w:hAnsiTheme="minorHAnsi" w:cstheme="minorHAnsi"/>
          <w:sz w:val="24"/>
          <w:szCs w:val="24"/>
          <w:lang w:val="en-GB"/>
        </w:rPr>
      </w:pPr>
      <w:bookmarkStart w:id="791" w:name="_Toc404588257"/>
      <w:bookmarkStart w:id="792" w:name="_Toc432165758"/>
      <w:bookmarkStart w:id="793" w:name="_Toc450307007"/>
      <w:bookmarkStart w:id="794" w:name="_Toc450307118"/>
      <w:bookmarkStart w:id="795" w:name="_Toc450307942"/>
      <w:bookmarkStart w:id="796" w:name="_Toc487101668"/>
      <w:bookmarkStart w:id="797" w:name="_Toc12536034"/>
      <w:bookmarkStart w:id="798" w:name="_Toc40966114"/>
      <w:r w:rsidRPr="00542180">
        <w:rPr>
          <w:rFonts w:asciiTheme="minorHAnsi" w:hAnsiTheme="minorHAnsi" w:cstheme="minorHAnsi"/>
          <w:sz w:val="24"/>
          <w:szCs w:val="24"/>
          <w:lang w:val="en-GB"/>
        </w:rPr>
        <w:t xml:space="preserve">The numbers and consumption of eligible consumers </w:t>
      </w:r>
      <w:r>
        <w:rPr>
          <w:rFonts w:asciiTheme="minorHAnsi" w:hAnsiTheme="minorHAnsi" w:cstheme="minorHAnsi"/>
          <w:sz w:val="24"/>
          <w:szCs w:val="24"/>
          <w:lang w:val="en-GB"/>
        </w:rPr>
        <w:t>switched</w:t>
      </w:r>
      <w:r w:rsidRPr="00542180">
        <w:rPr>
          <w:rFonts w:asciiTheme="minorHAnsi" w:hAnsiTheme="minorHAnsi" w:cstheme="minorHAnsi"/>
          <w:sz w:val="24"/>
          <w:szCs w:val="24"/>
          <w:lang w:val="en-GB"/>
        </w:rPr>
        <w:t xml:space="preserve"> their suppliers on a monthly basis are shown in Figure 3.6.</w:t>
      </w:r>
    </w:p>
    <w:p w:rsidR="00767AED" w:rsidRPr="00F876CB" w:rsidRDefault="00767AED" w:rsidP="00767AED">
      <w:pPr>
        <w:pStyle w:val="Balk6"/>
        <w:rPr>
          <w:lang w:val="en-GB"/>
        </w:rPr>
      </w:pPr>
      <w:bookmarkStart w:id="799" w:name="_Toc44508417"/>
      <w:r w:rsidRPr="00F876CB">
        <w:rPr>
          <w:lang w:val="en-GB"/>
        </w:rPr>
        <w:lastRenderedPageBreak/>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noProof/>
          <w:lang w:val="en-GB"/>
        </w:rPr>
        <w:t>3</w:t>
      </w:r>
      <w:r w:rsidRPr="00F876CB">
        <w:rPr>
          <w:lang w:val="en-GB"/>
        </w:rPr>
        <w:fldChar w:fldCharType="end"/>
      </w:r>
      <w:r w:rsidRPr="00F876CB">
        <w:rPr>
          <w:lang w:val="en-GB"/>
        </w:rPr>
        <w:t xml:space="preserve">.5: </w:t>
      </w:r>
      <w:bookmarkEnd w:id="791"/>
      <w:bookmarkEnd w:id="792"/>
      <w:bookmarkEnd w:id="793"/>
      <w:bookmarkEnd w:id="794"/>
      <w:bookmarkEnd w:id="795"/>
      <w:bookmarkEnd w:id="796"/>
      <w:bookmarkEnd w:id="797"/>
      <w:bookmarkEnd w:id="798"/>
      <w:r w:rsidRPr="00F876CB">
        <w:rPr>
          <w:lang w:val="en-GB"/>
        </w:rPr>
        <w:t>Monthly Changes in Number and Consumptions of Eligible Consumers Switching Their Supplier (Number-MWh)</w:t>
      </w:r>
      <w:bookmarkEnd w:id="799"/>
    </w:p>
    <w:p w:rsidR="00767AED" w:rsidRPr="00F876CB" w:rsidRDefault="00767AED" w:rsidP="00767AED">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7E51FA0E" wp14:editId="29F2D556">
            <wp:extent cx="5629275" cy="2590800"/>
            <wp:effectExtent l="0" t="0" r="952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29275" cy="2590800"/>
                    </a:xfrm>
                    <a:prstGeom prst="rect">
                      <a:avLst/>
                    </a:prstGeom>
                    <a:noFill/>
                  </pic:spPr>
                </pic:pic>
              </a:graphicData>
            </a:graphic>
          </wp:inline>
        </w:drawing>
      </w:r>
    </w:p>
    <w:p w:rsidR="00767AED" w:rsidRPr="00F876CB" w:rsidRDefault="00767AED" w:rsidP="00767AED">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The number of eligible consumers </w:t>
      </w:r>
      <w:r>
        <w:rPr>
          <w:rFonts w:asciiTheme="minorHAnsi" w:hAnsiTheme="minorHAnsi" w:cstheme="minorHAnsi"/>
          <w:sz w:val="24"/>
          <w:szCs w:val="24"/>
          <w:lang w:val="en-GB"/>
        </w:rPr>
        <w:t>switched</w:t>
      </w:r>
      <w:r w:rsidRPr="00F876CB">
        <w:rPr>
          <w:rFonts w:asciiTheme="minorHAnsi" w:hAnsiTheme="minorHAnsi" w:cstheme="minorHAnsi"/>
          <w:sz w:val="24"/>
          <w:szCs w:val="24"/>
          <w:lang w:val="en-GB"/>
        </w:rPr>
        <w:t xml:space="preserve"> thei</w:t>
      </w:r>
      <w:r>
        <w:rPr>
          <w:rFonts w:asciiTheme="minorHAnsi" w:hAnsiTheme="minorHAnsi" w:cstheme="minorHAnsi"/>
          <w:sz w:val="24"/>
          <w:szCs w:val="24"/>
          <w:lang w:val="en-GB"/>
        </w:rPr>
        <w:t xml:space="preserve">r suppliers in 2019 was 66,135 and their consumption was </w:t>
      </w:r>
      <w:r w:rsidRPr="00F876CB">
        <w:rPr>
          <w:rFonts w:asciiTheme="minorHAnsi" w:hAnsiTheme="minorHAnsi" w:cstheme="minorHAnsi"/>
          <w:sz w:val="24"/>
          <w:szCs w:val="24"/>
          <w:lang w:val="en-GB"/>
        </w:rPr>
        <w:t xml:space="preserve">2.57 </w:t>
      </w:r>
      <w:proofErr w:type="spellStart"/>
      <w:r w:rsidRPr="00F876CB">
        <w:rPr>
          <w:rFonts w:asciiTheme="minorHAnsi" w:hAnsiTheme="minorHAnsi" w:cstheme="minorHAnsi"/>
          <w:sz w:val="24"/>
          <w:szCs w:val="24"/>
          <w:lang w:val="en-GB"/>
        </w:rPr>
        <w:t>TWh</w:t>
      </w:r>
      <w:proofErr w:type="spellEnd"/>
      <w:r w:rsidRPr="00F876CB">
        <w:rPr>
          <w:rFonts w:asciiTheme="minorHAnsi" w:hAnsiTheme="minorHAnsi" w:cstheme="minorHAnsi"/>
          <w:sz w:val="24"/>
          <w:szCs w:val="24"/>
          <w:lang w:val="en-GB"/>
        </w:rPr>
        <w:t>, which corresponds to 1.12% of the total invoiced consumption.</w:t>
      </w:r>
    </w:p>
    <w:p w:rsidR="00767AED" w:rsidRPr="00F27A7A" w:rsidRDefault="00767AED" w:rsidP="00767AED">
      <w:pPr>
        <w:spacing w:line="360" w:lineRule="auto"/>
        <w:jc w:val="both"/>
        <w:rPr>
          <w:rFonts w:asciiTheme="minorHAnsi" w:hAnsiTheme="minorHAnsi" w:cstheme="minorHAnsi"/>
          <w:sz w:val="24"/>
          <w:szCs w:val="24"/>
          <w:lang w:val="en-GB"/>
        </w:rPr>
      </w:pPr>
      <w:bookmarkStart w:id="800" w:name="_Toc487101591"/>
      <w:bookmarkStart w:id="801" w:name="_Toc40966037"/>
      <w:r w:rsidRPr="00F27A7A">
        <w:rPr>
          <w:rFonts w:asciiTheme="minorHAnsi" w:hAnsiTheme="minorHAnsi" w:cstheme="minorHAnsi"/>
          <w:sz w:val="24"/>
          <w:szCs w:val="24"/>
          <w:lang w:val="en-GB"/>
        </w:rPr>
        <w:t>Table 3.3 below shows the distribution of eligible consumers' supplier changes by supplier type. It is seen that the majority of supplier changes are consumers who switch to the tariffs.</w:t>
      </w:r>
    </w:p>
    <w:p w:rsidR="00767AED" w:rsidRPr="00F876CB" w:rsidRDefault="00767AED" w:rsidP="00767AED">
      <w:pPr>
        <w:pStyle w:val="Balk5"/>
        <w:rPr>
          <w:lang w:val="en-GB"/>
        </w:rPr>
      </w:pPr>
      <w:bookmarkStart w:id="802" w:name="_Toc44508338"/>
      <w:r w:rsidRPr="00F876CB">
        <w:rPr>
          <w:lang w:val="en-GB"/>
        </w:rPr>
        <w:t xml:space="preserve">Table 3.3: </w:t>
      </w:r>
      <w:bookmarkEnd w:id="800"/>
      <w:bookmarkEnd w:id="801"/>
      <w:r w:rsidRPr="00F876CB">
        <w:rPr>
          <w:lang w:val="en-GB"/>
        </w:rPr>
        <w:t>The Distribution of Eligible Consumers Switches by Supplier Type</w:t>
      </w:r>
      <w:bookmarkEnd w:id="802"/>
      <w:r w:rsidRPr="00F876CB">
        <w:rPr>
          <w:lang w:val="en-GB"/>
        </w:rPr>
        <w:t xml:space="preserve"> </w:t>
      </w:r>
    </w:p>
    <w:tbl>
      <w:tblPr>
        <w:tblW w:w="5117" w:type="pct"/>
        <w:tblCellMar>
          <w:left w:w="70" w:type="dxa"/>
          <w:right w:w="70" w:type="dxa"/>
        </w:tblCellMar>
        <w:tblLook w:val="04A0" w:firstRow="1" w:lastRow="0" w:firstColumn="1" w:lastColumn="0" w:noHBand="0" w:noVBand="1"/>
      </w:tblPr>
      <w:tblGrid>
        <w:gridCol w:w="2188"/>
        <w:gridCol w:w="1339"/>
        <w:gridCol w:w="2234"/>
        <w:gridCol w:w="2234"/>
        <w:gridCol w:w="1174"/>
        <w:gridCol w:w="757"/>
      </w:tblGrid>
      <w:tr w:rsidR="00767AED" w:rsidRPr="00F876CB" w:rsidTr="00C71FD5">
        <w:trPr>
          <w:trHeight w:val="315"/>
        </w:trPr>
        <w:tc>
          <w:tcPr>
            <w:tcW w:w="99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67AED" w:rsidRPr="00F876CB" w:rsidRDefault="00767AED" w:rsidP="00C71FD5">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Former Supplier Type</w:t>
            </w:r>
          </w:p>
        </w:tc>
        <w:tc>
          <w:tcPr>
            <w:tcW w:w="3241"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767AED" w:rsidRPr="00F876CB" w:rsidRDefault="00767AED" w:rsidP="00C71FD5">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New Supplier Type</w:t>
            </w:r>
          </w:p>
        </w:tc>
        <w:tc>
          <w:tcPr>
            <w:tcW w:w="76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67AED" w:rsidRPr="00F876CB" w:rsidRDefault="00767AED" w:rsidP="00C71FD5">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Total</w:t>
            </w:r>
          </w:p>
        </w:tc>
      </w:tr>
      <w:tr w:rsidR="00767AED" w:rsidRPr="00F876CB" w:rsidTr="00C71FD5">
        <w:trPr>
          <w:trHeight w:val="315"/>
        </w:trPr>
        <w:tc>
          <w:tcPr>
            <w:tcW w:w="998" w:type="pct"/>
            <w:vMerge/>
            <w:tcBorders>
              <w:top w:val="single" w:sz="8" w:space="0" w:color="auto"/>
              <w:left w:val="single" w:sz="8" w:space="0" w:color="auto"/>
              <w:bottom w:val="single" w:sz="8" w:space="0" w:color="000000"/>
              <w:right w:val="single" w:sz="8" w:space="0" w:color="auto"/>
            </w:tcBorders>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p>
        </w:tc>
        <w:tc>
          <w:tcPr>
            <w:tcW w:w="773" w:type="pct"/>
            <w:tcBorders>
              <w:top w:val="nil"/>
              <w:left w:val="nil"/>
              <w:bottom w:val="single" w:sz="8" w:space="0" w:color="auto"/>
              <w:right w:val="single" w:sz="8" w:space="0" w:color="auto"/>
            </w:tcBorders>
            <w:shd w:val="clear" w:color="000000" w:fill="FF0000"/>
            <w:noWrap/>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Other Supply</w:t>
            </w:r>
          </w:p>
        </w:tc>
        <w:tc>
          <w:tcPr>
            <w:tcW w:w="990" w:type="pct"/>
            <w:tcBorders>
              <w:top w:val="nil"/>
              <w:left w:val="nil"/>
              <w:bottom w:val="single" w:sz="8" w:space="0" w:color="auto"/>
              <w:right w:val="single" w:sz="8" w:space="0" w:color="auto"/>
            </w:tcBorders>
            <w:shd w:val="clear" w:color="000000" w:fill="FF0000"/>
            <w:noWrap/>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Incumbent Supplier-K1</w:t>
            </w:r>
          </w:p>
        </w:tc>
        <w:tc>
          <w:tcPr>
            <w:tcW w:w="1039" w:type="pct"/>
            <w:tcBorders>
              <w:top w:val="nil"/>
              <w:left w:val="nil"/>
              <w:bottom w:val="single" w:sz="8" w:space="0" w:color="auto"/>
              <w:right w:val="single" w:sz="8" w:space="0" w:color="auto"/>
            </w:tcBorders>
            <w:shd w:val="clear" w:color="000000" w:fill="FF0000"/>
            <w:noWrap/>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Incumbent Supplier-K2</w:t>
            </w:r>
          </w:p>
        </w:tc>
        <w:tc>
          <w:tcPr>
            <w:tcW w:w="439" w:type="pct"/>
            <w:tcBorders>
              <w:top w:val="nil"/>
              <w:left w:val="nil"/>
              <w:bottom w:val="single" w:sz="8" w:space="0" w:color="auto"/>
              <w:right w:val="single" w:sz="8" w:space="0" w:color="auto"/>
            </w:tcBorders>
            <w:shd w:val="clear" w:color="000000" w:fill="FF0000"/>
            <w:noWrap/>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Generation</w:t>
            </w:r>
          </w:p>
        </w:tc>
        <w:tc>
          <w:tcPr>
            <w:tcW w:w="762" w:type="pct"/>
            <w:vMerge/>
            <w:tcBorders>
              <w:top w:val="single" w:sz="8" w:space="0" w:color="auto"/>
              <w:left w:val="single" w:sz="8" w:space="0" w:color="auto"/>
              <w:bottom w:val="single" w:sz="8" w:space="0" w:color="000000"/>
              <w:right w:val="single" w:sz="8" w:space="0" w:color="auto"/>
            </w:tcBorders>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p>
        </w:tc>
      </w:tr>
      <w:tr w:rsidR="00767AED" w:rsidRPr="00F876CB" w:rsidTr="00C71FD5">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rPr>
                <w:rFonts w:ascii="Calibri" w:eastAsia="Times New Roman" w:hAnsi="Calibri" w:cs="Times New Roman"/>
                <w:color w:val="FFFFFF"/>
                <w:lang w:val="en-GB" w:eastAsia="tr-TR" w:bidi="ar-SA"/>
              </w:rPr>
            </w:pPr>
            <w:proofErr w:type="gramStart"/>
            <w:r w:rsidRPr="00F876CB">
              <w:rPr>
                <w:rFonts w:ascii="Calibri" w:eastAsia="Times New Roman" w:hAnsi="Calibri" w:cs="Times New Roman"/>
                <w:color w:val="FFFFFF"/>
                <w:lang w:val="en-GB" w:eastAsia="tr-TR" w:bidi="ar-SA"/>
              </w:rPr>
              <w:t>Other</w:t>
            </w:r>
            <w:proofErr w:type="gramEnd"/>
            <w:r w:rsidRPr="00F876CB">
              <w:rPr>
                <w:rFonts w:ascii="Calibri" w:eastAsia="Times New Roman" w:hAnsi="Calibri" w:cs="Times New Roman"/>
                <w:color w:val="FFFFFF"/>
                <w:lang w:val="en-GB" w:eastAsia="tr-TR" w:bidi="ar-SA"/>
              </w:rPr>
              <w:t xml:space="preserve"> Supplier</w:t>
            </w:r>
          </w:p>
        </w:tc>
        <w:tc>
          <w:tcPr>
            <w:tcW w:w="773"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1.113</w:t>
            </w:r>
          </w:p>
        </w:tc>
        <w:tc>
          <w:tcPr>
            <w:tcW w:w="990"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35.893</w:t>
            </w:r>
          </w:p>
        </w:tc>
        <w:tc>
          <w:tcPr>
            <w:tcW w:w="10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945</w:t>
            </w:r>
          </w:p>
        </w:tc>
        <w:tc>
          <w:tcPr>
            <w:tcW w:w="4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1.237</w:t>
            </w:r>
          </w:p>
        </w:tc>
        <w:tc>
          <w:tcPr>
            <w:tcW w:w="762"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39.188</w:t>
            </w:r>
          </w:p>
        </w:tc>
      </w:tr>
      <w:tr w:rsidR="00767AED" w:rsidRPr="00F876CB" w:rsidTr="00C71FD5">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rPr>
                <w:rFonts w:ascii="Calibri" w:eastAsia="Times New Roman" w:hAnsi="Calibri" w:cs="Times New Roman"/>
                <w:color w:val="FFFFFF"/>
                <w:lang w:val="en-GB" w:eastAsia="tr-TR" w:bidi="ar-SA"/>
              </w:rPr>
            </w:pPr>
            <w:r w:rsidRPr="00F876CB">
              <w:rPr>
                <w:rFonts w:ascii="Calibri" w:eastAsia="Times New Roman" w:hAnsi="Calibri" w:cs="Times New Roman"/>
                <w:color w:val="FFFFFF"/>
                <w:lang w:val="en-GB" w:eastAsia="tr-TR" w:bidi="ar-SA"/>
              </w:rPr>
              <w:t>Incumbent Supplier-K2</w:t>
            </w:r>
          </w:p>
        </w:tc>
        <w:tc>
          <w:tcPr>
            <w:tcW w:w="773"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571</w:t>
            </w:r>
          </w:p>
        </w:tc>
        <w:tc>
          <w:tcPr>
            <w:tcW w:w="990"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24.042</w:t>
            </w:r>
          </w:p>
        </w:tc>
        <w:tc>
          <w:tcPr>
            <w:tcW w:w="10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150</w:t>
            </w:r>
          </w:p>
        </w:tc>
        <w:tc>
          <w:tcPr>
            <w:tcW w:w="4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15</w:t>
            </w:r>
          </w:p>
        </w:tc>
        <w:tc>
          <w:tcPr>
            <w:tcW w:w="762"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24.778</w:t>
            </w:r>
          </w:p>
        </w:tc>
      </w:tr>
      <w:tr w:rsidR="00767AED" w:rsidRPr="00F876CB" w:rsidTr="00C71FD5">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rPr>
                <w:rFonts w:ascii="Calibri" w:eastAsia="Times New Roman" w:hAnsi="Calibri" w:cs="Times New Roman"/>
                <w:color w:val="FFFFFF"/>
                <w:lang w:val="en-GB" w:eastAsia="tr-TR" w:bidi="ar-SA"/>
              </w:rPr>
            </w:pPr>
            <w:r w:rsidRPr="00F876CB">
              <w:rPr>
                <w:rFonts w:ascii="Calibri" w:eastAsia="Times New Roman" w:hAnsi="Calibri" w:cs="Times New Roman"/>
                <w:color w:val="FFFFFF"/>
                <w:lang w:val="en-GB" w:eastAsia="tr-TR" w:bidi="ar-SA"/>
              </w:rPr>
              <w:t>Generation</w:t>
            </w:r>
          </w:p>
        </w:tc>
        <w:tc>
          <w:tcPr>
            <w:tcW w:w="773"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119</w:t>
            </w:r>
          </w:p>
        </w:tc>
        <w:tc>
          <w:tcPr>
            <w:tcW w:w="990"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1.962</w:t>
            </w:r>
          </w:p>
        </w:tc>
        <w:tc>
          <w:tcPr>
            <w:tcW w:w="10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32</w:t>
            </w:r>
          </w:p>
        </w:tc>
        <w:tc>
          <w:tcPr>
            <w:tcW w:w="439"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56</w:t>
            </w:r>
          </w:p>
        </w:tc>
        <w:tc>
          <w:tcPr>
            <w:tcW w:w="762" w:type="pct"/>
            <w:tcBorders>
              <w:top w:val="nil"/>
              <w:left w:val="nil"/>
              <w:bottom w:val="single" w:sz="8" w:space="0" w:color="auto"/>
              <w:right w:val="single" w:sz="8" w:space="0" w:color="auto"/>
            </w:tcBorders>
            <w:shd w:val="clear" w:color="auto" w:fill="auto"/>
            <w:noWrap/>
            <w:vAlign w:val="center"/>
          </w:tcPr>
          <w:p w:rsidR="00767AED" w:rsidRPr="00F876CB" w:rsidRDefault="00767AED" w:rsidP="00C71FD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2.169</w:t>
            </w:r>
          </w:p>
        </w:tc>
      </w:tr>
      <w:tr w:rsidR="00767AED" w:rsidRPr="00F876CB" w:rsidTr="00C71FD5">
        <w:trPr>
          <w:trHeight w:val="357"/>
        </w:trPr>
        <w:tc>
          <w:tcPr>
            <w:tcW w:w="998" w:type="pct"/>
            <w:tcBorders>
              <w:top w:val="nil"/>
              <w:left w:val="single" w:sz="8" w:space="0" w:color="auto"/>
              <w:bottom w:val="single" w:sz="8" w:space="0" w:color="auto"/>
              <w:right w:val="single" w:sz="8" w:space="0" w:color="auto"/>
            </w:tcBorders>
            <w:shd w:val="clear" w:color="000000" w:fill="FF5050"/>
            <w:noWrap/>
            <w:vAlign w:val="center"/>
            <w:hideMark/>
          </w:tcPr>
          <w:p w:rsidR="00767AED" w:rsidRPr="00F876CB" w:rsidRDefault="00767AED" w:rsidP="00C71FD5">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Total</w:t>
            </w:r>
          </w:p>
        </w:tc>
        <w:tc>
          <w:tcPr>
            <w:tcW w:w="773" w:type="pct"/>
            <w:tcBorders>
              <w:top w:val="nil"/>
              <w:left w:val="nil"/>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jc w:val="right"/>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1.803</w:t>
            </w:r>
          </w:p>
        </w:tc>
        <w:tc>
          <w:tcPr>
            <w:tcW w:w="990" w:type="pct"/>
            <w:tcBorders>
              <w:top w:val="nil"/>
              <w:left w:val="nil"/>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jc w:val="right"/>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61.897</w:t>
            </w:r>
          </w:p>
        </w:tc>
        <w:tc>
          <w:tcPr>
            <w:tcW w:w="1039" w:type="pct"/>
            <w:tcBorders>
              <w:top w:val="nil"/>
              <w:left w:val="nil"/>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jc w:val="right"/>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1.127</w:t>
            </w:r>
          </w:p>
        </w:tc>
        <w:tc>
          <w:tcPr>
            <w:tcW w:w="439" w:type="pct"/>
            <w:tcBorders>
              <w:top w:val="nil"/>
              <w:left w:val="nil"/>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jc w:val="right"/>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1.308</w:t>
            </w:r>
          </w:p>
        </w:tc>
        <w:tc>
          <w:tcPr>
            <w:tcW w:w="762" w:type="pct"/>
            <w:tcBorders>
              <w:top w:val="nil"/>
              <w:left w:val="nil"/>
              <w:bottom w:val="single" w:sz="8" w:space="0" w:color="auto"/>
              <w:right w:val="single" w:sz="8" w:space="0" w:color="auto"/>
            </w:tcBorders>
            <w:shd w:val="clear" w:color="000000" w:fill="FF5050"/>
            <w:noWrap/>
            <w:vAlign w:val="center"/>
          </w:tcPr>
          <w:p w:rsidR="00767AED" w:rsidRPr="00F876CB" w:rsidRDefault="00767AED" w:rsidP="00C71FD5">
            <w:pPr>
              <w:spacing w:after="0" w:line="240" w:lineRule="auto"/>
              <w:jc w:val="right"/>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66.135</w:t>
            </w:r>
          </w:p>
        </w:tc>
      </w:tr>
    </w:tbl>
    <w:p w:rsidR="00767AED" w:rsidRPr="00F876CB" w:rsidRDefault="00767AED" w:rsidP="00767AED">
      <w:pPr>
        <w:spacing w:line="360" w:lineRule="auto"/>
        <w:ind w:firstLine="426"/>
        <w:jc w:val="both"/>
        <w:rPr>
          <w:rFonts w:asciiTheme="minorHAnsi" w:hAnsiTheme="minorHAnsi" w:cstheme="minorHAnsi"/>
          <w:sz w:val="24"/>
          <w:szCs w:val="24"/>
          <w:lang w:val="en-GB"/>
        </w:rPr>
        <w:sectPr w:rsidR="00767AED" w:rsidRPr="00F876CB" w:rsidSect="00247D2B">
          <w:pgSz w:w="11906" w:h="16838"/>
          <w:pgMar w:top="1418" w:right="1418" w:bottom="1418" w:left="1418" w:header="709" w:footer="709" w:gutter="0"/>
          <w:cols w:space="708"/>
          <w:docGrid w:linePitch="360"/>
        </w:sectPr>
      </w:pPr>
    </w:p>
    <w:p w:rsidR="00252FDF" w:rsidRPr="00F876CB" w:rsidRDefault="00AB571D" w:rsidP="00AB571D">
      <w:pPr>
        <w:pStyle w:val="AnaBalklar"/>
        <w:ind w:left="360"/>
        <w:rPr>
          <w:lang w:val="en-GB"/>
        </w:rPr>
      </w:pPr>
      <w:bookmarkStart w:id="803" w:name="_Toc44508299"/>
      <w:r w:rsidRPr="006E5B7A">
        <w:rPr>
          <w:lang w:val="en-GB"/>
        </w:rPr>
        <w:lastRenderedPageBreak/>
        <w:t>4.</w:t>
      </w:r>
      <w:bookmarkEnd w:id="267"/>
      <w:r w:rsidR="006E5B7A" w:rsidRPr="006E5B7A">
        <w:rPr>
          <w:lang w:val="en-GB"/>
        </w:rPr>
        <w:t xml:space="preserve"> </w:t>
      </w:r>
      <w:r w:rsidR="00F35A17" w:rsidRPr="006E5B7A">
        <w:rPr>
          <w:lang w:val="en-GB"/>
        </w:rPr>
        <w:t>TRANSMISSION</w:t>
      </w:r>
      <w:bookmarkEnd w:id="803"/>
    </w:p>
    <w:p w:rsidR="00252FDF" w:rsidRPr="00F876CB" w:rsidRDefault="00252FDF" w:rsidP="00252FDF">
      <w:pPr>
        <w:pStyle w:val="AnaBalklar"/>
        <w:ind w:left="720"/>
        <w:rPr>
          <w:lang w:val="en-GB"/>
        </w:rPr>
      </w:pPr>
    </w:p>
    <w:p w:rsidR="00F35A17" w:rsidRPr="00F876CB" w:rsidRDefault="00F35A17" w:rsidP="00F35A17">
      <w:pPr>
        <w:spacing w:line="360" w:lineRule="auto"/>
        <w:jc w:val="both"/>
        <w:rPr>
          <w:rFonts w:ascii="Times New Roman" w:hAnsi="Times New Roman" w:cs="Times New Roman"/>
          <w:sz w:val="24"/>
          <w:szCs w:val="24"/>
          <w:lang w:val="en-GB"/>
        </w:rPr>
      </w:pPr>
      <w:r w:rsidRPr="00F876CB">
        <w:rPr>
          <w:rFonts w:ascii="Times New Roman" w:hAnsi="Times New Roman" w:cs="Times New Roman"/>
          <w:sz w:val="24"/>
          <w:szCs w:val="24"/>
          <w:lang w:val="en-GB"/>
        </w:rPr>
        <w:t>In this section, summary information about the transmission system and changes of transmission system with tables and figures according to the years are given.</w:t>
      </w:r>
    </w:p>
    <w:p w:rsidR="00252FDF" w:rsidRPr="00F876CB" w:rsidRDefault="00252FDF" w:rsidP="00252FDF">
      <w:pPr>
        <w:spacing w:line="360" w:lineRule="auto"/>
        <w:ind w:firstLine="426"/>
        <w:jc w:val="both"/>
        <w:rPr>
          <w:rFonts w:asciiTheme="minorHAnsi" w:hAnsiTheme="minorHAnsi" w:cstheme="minorHAnsi"/>
          <w:sz w:val="24"/>
          <w:szCs w:val="24"/>
          <w:lang w:val="en-GB"/>
        </w:rPr>
      </w:pPr>
    </w:p>
    <w:p w:rsidR="00A5413B" w:rsidRPr="00F876CB" w:rsidRDefault="00A5413B" w:rsidP="00A5413B">
      <w:pPr>
        <w:pStyle w:val="ListeParagraf"/>
        <w:keepNext/>
        <w:keepLines/>
        <w:numPr>
          <w:ilvl w:val="0"/>
          <w:numId w:val="9"/>
        </w:numPr>
        <w:spacing w:before="40" w:after="0" w:line="259" w:lineRule="auto"/>
        <w:contextualSpacing w:val="0"/>
        <w:outlineLvl w:val="1"/>
        <w:rPr>
          <w:rStyle w:val="11ilebalayanlarChar"/>
          <w:vanish/>
          <w:lang w:val="en-GB"/>
        </w:rPr>
      </w:pPr>
      <w:bookmarkStart w:id="804" w:name="_Toc333488665"/>
      <w:bookmarkStart w:id="805" w:name="_Toc333488794"/>
      <w:bookmarkStart w:id="806" w:name="_Toc333488867"/>
      <w:bookmarkStart w:id="807" w:name="_Toc333488913"/>
      <w:bookmarkStart w:id="808" w:name="_Toc333488982"/>
      <w:bookmarkStart w:id="809" w:name="_Toc333501290"/>
      <w:bookmarkStart w:id="810" w:name="_Toc335986576"/>
      <w:bookmarkStart w:id="811" w:name="_Toc336004572"/>
      <w:bookmarkStart w:id="812" w:name="_Toc400527930"/>
      <w:bookmarkStart w:id="813" w:name="_Toc400527989"/>
      <w:bookmarkStart w:id="814" w:name="_Toc401766168"/>
      <w:bookmarkStart w:id="815" w:name="_Toc401766223"/>
      <w:bookmarkStart w:id="816" w:name="_Toc402451232"/>
      <w:bookmarkStart w:id="817" w:name="_Toc402512362"/>
      <w:bookmarkStart w:id="818" w:name="_Toc402512402"/>
      <w:bookmarkStart w:id="819" w:name="_Toc402770687"/>
      <w:bookmarkStart w:id="820" w:name="_Toc402780589"/>
      <w:bookmarkStart w:id="821" w:name="_Toc402796288"/>
      <w:bookmarkStart w:id="822" w:name="_Toc402798382"/>
      <w:bookmarkStart w:id="823" w:name="_Toc402798435"/>
      <w:bookmarkStart w:id="824" w:name="_Toc404347618"/>
      <w:bookmarkStart w:id="825" w:name="_Toc404588157"/>
      <w:bookmarkStart w:id="826" w:name="_Toc404863986"/>
      <w:bookmarkStart w:id="827" w:name="_Toc404864390"/>
      <w:bookmarkStart w:id="828" w:name="_Toc404864545"/>
      <w:bookmarkStart w:id="829" w:name="_Toc404864655"/>
      <w:bookmarkStart w:id="830" w:name="_Toc404865504"/>
      <w:bookmarkStart w:id="831" w:name="_Toc405476975"/>
      <w:bookmarkStart w:id="832" w:name="_Toc405817150"/>
      <w:bookmarkStart w:id="833" w:name="_Toc423947005"/>
      <w:bookmarkStart w:id="834" w:name="_Toc428716831"/>
      <w:bookmarkStart w:id="835" w:name="_Toc428716865"/>
      <w:bookmarkStart w:id="836" w:name="_Toc428786947"/>
      <w:bookmarkStart w:id="837" w:name="_Toc429402392"/>
      <w:bookmarkStart w:id="838" w:name="_Toc429469235"/>
      <w:bookmarkStart w:id="839" w:name="_Toc429475754"/>
      <w:bookmarkStart w:id="840" w:name="_Toc432164557"/>
      <w:bookmarkStart w:id="841" w:name="_Toc449713776"/>
      <w:bookmarkStart w:id="842" w:name="_Toc450223279"/>
      <w:bookmarkStart w:id="843" w:name="_Toc450300240"/>
      <w:bookmarkStart w:id="844" w:name="_Toc450300279"/>
      <w:bookmarkStart w:id="845" w:name="_Toc450309736"/>
      <w:bookmarkStart w:id="846" w:name="_Toc450309811"/>
      <w:bookmarkStart w:id="847" w:name="_Toc450309924"/>
      <w:bookmarkStart w:id="848" w:name="_Toc450314142"/>
      <w:bookmarkStart w:id="849" w:name="_Toc450319869"/>
      <w:bookmarkStart w:id="850" w:name="_Toc450555913"/>
      <w:bookmarkStart w:id="851" w:name="_Toc452044472"/>
      <w:bookmarkStart w:id="852" w:name="_Toc452044886"/>
      <w:bookmarkStart w:id="853" w:name="_Toc452106916"/>
      <w:bookmarkStart w:id="854" w:name="_Toc452111716"/>
      <w:bookmarkStart w:id="855" w:name="_Toc480375599"/>
      <w:bookmarkStart w:id="856" w:name="_Toc480451679"/>
      <w:bookmarkStart w:id="857" w:name="_Toc480534999"/>
      <w:bookmarkStart w:id="858" w:name="_Toc480899362"/>
      <w:bookmarkStart w:id="859" w:name="_Toc480991774"/>
      <w:bookmarkStart w:id="860" w:name="_Toc481497645"/>
      <w:bookmarkStart w:id="861" w:name="_Toc482801131"/>
      <w:bookmarkStart w:id="862" w:name="_Toc483791701"/>
      <w:bookmarkStart w:id="863" w:name="_Toc511123184"/>
      <w:bookmarkStart w:id="864" w:name="_Toc511123223"/>
      <w:bookmarkStart w:id="865" w:name="_Toc511221806"/>
      <w:bookmarkStart w:id="866" w:name="_Toc512429803"/>
      <w:bookmarkStart w:id="867" w:name="_Toc512431641"/>
      <w:bookmarkStart w:id="868" w:name="_Toc512431680"/>
      <w:bookmarkStart w:id="869" w:name="_Toc7172756"/>
      <w:bookmarkStart w:id="870" w:name="_Toc7172796"/>
      <w:bookmarkStart w:id="871" w:name="_Toc7181385"/>
      <w:bookmarkStart w:id="872" w:name="_Toc7431177"/>
      <w:bookmarkStart w:id="873" w:name="_Toc8987871"/>
      <w:bookmarkStart w:id="874" w:name="_Toc37374486"/>
      <w:bookmarkStart w:id="875" w:name="_Toc40103319"/>
      <w:bookmarkStart w:id="876" w:name="_Toc40103787"/>
      <w:bookmarkStart w:id="877" w:name="_Toc40142166"/>
      <w:bookmarkStart w:id="878" w:name="_Toc40956371"/>
      <w:bookmarkStart w:id="879" w:name="_Toc40961418"/>
      <w:bookmarkStart w:id="880" w:name="_Toc40965999"/>
      <w:bookmarkStart w:id="881" w:name="_Toc43987870"/>
      <w:bookmarkStart w:id="882" w:name="_Toc43988484"/>
      <w:bookmarkStart w:id="883" w:name="_Toc44060047"/>
      <w:bookmarkStart w:id="884" w:name="_Toc44073381"/>
      <w:bookmarkStart w:id="885" w:name="_Toc44073420"/>
      <w:bookmarkStart w:id="886" w:name="_Toc44073459"/>
      <w:bookmarkStart w:id="887" w:name="_Toc44508300"/>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rsidR="00252FDF" w:rsidRPr="00F876CB" w:rsidRDefault="00F35A17" w:rsidP="00A5413B">
      <w:pPr>
        <w:pStyle w:val="11ilebalayanlar"/>
        <w:numPr>
          <w:ilvl w:val="1"/>
          <w:numId w:val="9"/>
        </w:numPr>
        <w:rPr>
          <w:lang w:val="en-GB"/>
        </w:rPr>
      </w:pPr>
      <w:bookmarkStart w:id="888" w:name="_Toc44508301"/>
      <w:r w:rsidRPr="00F876CB">
        <w:rPr>
          <w:rStyle w:val="11ilebalayanlarChar"/>
          <w:b/>
          <w:lang w:val="en-GB"/>
        </w:rPr>
        <w:t>Transmission System</w:t>
      </w:r>
      <w:bookmarkEnd w:id="888"/>
    </w:p>
    <w:p w:rsidR="00252FDF" w:rsidRPr="00F876CB" w:rsidRDefault="00252FDF" w:rsidP="00252FDF">
      <w:pPr>
        <w:pStyle w:val="11ilebalayanlar"/>
        <w:ind w:left="576"/>
        <w:rPr>
          <w:lang w:val="en-GB"/>
        </w:rPr>
      </w:pPr>
    </w:p>
    <w:p w:rsidR="00EC5E3B" w:rsidRDefault="006F7D91" w:rsidP="00EC5E3B">
      <w:pPr>
        <w:spacing w:line="360" w:lineRule="auto"/>
        <w:jc w:val="both"/>
        <w:rPr>
          <w:rFonts w:ascii="Times New Roman" w:hAnsi="Times New Roman" w:cs="Times New Roman"/>
          <w:sz w:val="24"/>
          <w:szCs w:val="24"/>
          <w:lang w:val="en-GB"/>
        </w:rPr>
      </w:pPr>
      <w:bookmarkStart w:id="889" w:name="_Toc450300306"/>
      <w:bookmarkStart w:id="890" w:name="_Toc450309966"/>
      <w:r w:rsidRPr="006F7D91">
        <w:rPr>
          <w:rFonts w:ascii="Times New Roman" w:hAnsi="Times New Roman" w:cs="Times New Roman"/>
          <w:sz w:val="24"/>
          <w:szCs w:val="24"/>
          <w:lang w:val="en-GB"/>
        </w:rPr>
        <w:t xml:space="preserve">Transformer </w:t>
      </w:r>
      <w:proofErr w:type="spellStart"/>
      <w:r w:rsidRPr="006F7D91">
        <w:rPr>
          <w:rFonts w:ascii="Times New Roman" w:hAnsi="Times New Roman" w:cs="Times New Roman"/>
          <w:sz w:val="24"/>
          <w:szCs w:val="24"/>
          <w:lang w:val="en-GB"/>
        </w:rPr>
        <w:t>center</w:t>
      </w:r>
      <w:proofErr w:type="spellEnd"/>
      <w:r w:rsidRPr="006F7D91">
        <w:rPr>
          <w:rFonts w:ascii="Times New Roman" w:hAnsi="Times New Roman" w:cs="Times New Roman"/>
          <w:sz w:val="24"/>
          <w:szCs w:val="24"/>
          <w:lang w:val="en-GB"/>
        </w:rPr>
        <w:t xml:space="preserve"> in the transm</w:t>
      </w:r>
      <w:r>
        <w:rPr>
          <w:rFonts w:ascii="Times New Roman" w:hAnsi="Times New Roman" w:cs="Times New Roman"/>
          <w:sz w:val="24"/>
          <w:szCs w:val="24"/>
          <w:lang w:val="en-GB"/>
        </w:rPr>
        <w:t>ission system by the end of 2019</w:t>
      </w:r>
      <w:r w:rsidRPr="006F7D91">
        <w:rPr>
          <w:rFonts w:ascii="Times New Roman" w:hAnsi="Times New Roman" w:cs="Times New Roman"/>
          <w:sz w:val="24"/>
          <w:szCs w:val="24"/>
          <w:lang w:val="en-GB"/>
        </w:rPr>
        <w:t xml:space="preserve"> is shown in the Table 4.1.</w:t>
      </w:r>
      <w:r w:rsidR="002415FE" w:rsidRPr="006E5B7A">
        <w:rPr>
          <w:rFonts w:ascii="Times New Roman" w:hAnsi="Times New Roman" w:cs="Times New Roman"/>
          <w:sz w:val="24"/>
          <w:szCs w:val="24"/>
          <w:lang w:val="en-GB"/>
        </w:rPr>
        <w:t xml:space="preserve"> </w:t>
      </w:r>
      <w:r w:rsidR="00EC5E3B" w:rsidRPr="00EC5E3B">
        <w:rPr>
          <w:rFonts w:ascii="Times New Roman" w:hAnsi="Times New Roman" w:cs="Times New Roman"/>
          <w:sz w:val="24"/>
          <w:szCs w:val="24"/>
          <w:lang w:val="en-GB"/>
        </w:rPr>
        <w:t xml:space="preserve">As seen in the table, most of the transformer </w:t>
      </w:r>
      <w:proofErr w:type="spellStart"/>
      <w:r w:rsidR="00EC5E3B" w:rsidRPr="00EC5E3B">
        <w:rPr>
          <w:rFonts w:ascii="Times New Roman" w:hAnsi="Times New Roman" w:cs="Times New Roman"/>
          <w:sz w:val="24"/>
          <w:szCs w:val="24"/>
          <w:lang w:val="en-GB"/>
        </w:rPr>
        <w:t>centers</w:t>
      </w:r>
      <w:proofErr w:type="spellEnd"/>
      <w:r w:rsidR="00EC5E3B" w:rsidRPr="00EC5E3B">
        <w:rPr>
          <w:rFonts w:ascii="Times New Roman" w:hAnsi="Times New Roman" w:cs="Times New Roman"/>
          <w:sz w:val="24"/>
          <w:szCs w:val="24"/>
          <w:lang w:val="en-GB"/>
        </w:rPr>
        <w:t xml:space="preserve"> in the sys</w:t>
      </w:r>
      <w:r w:rsidR="00EC5E3B">
        <w:rPr>
          <w:rFonts w:ascii="Times New Roman" w:hAnsi="Times New Roman" w:cs="Times New Roman"/>
          <w:sz w:val="24"/>
          <w:szCs w:val="24"/>
          <w:lang w:val="en-GB"/>
        </w:rPr>
        <w:t>tem are of 154 kV voltage level</w:t>
      </w:r>
      <w:r w:rsidR="002415FE" w:rsidRPr="006E5B7A">
        <w:rPr>
          <w:rFonts w:ascii="Times New Roman" w:hAnsi="Times New Roman" w:cs="Times New Roman"/>
          <w:sz w:val="24"/>
          <w:szCs w:val="24"/>
          <w:lang w:val="en-GB"/>
        </w:rPr>
        <w:t>. There are 1</w:t>
      </w:r>
      <w:r w:rsidR="00EC5E3B">
        <w:rPr>
          <w:rFonts w:ascii="Times New Roman" w:hAnsi="Times New Roman" w:cs="Times New Roman"/>
          <w:sz w:val="24"/>
          <w:szCs w:val="24"/>
          <w:lang w:val="en-GB"/>
        </w:rPr>
        <w:t>.</w:t>
      </w:r>
      <w:r w:rsidR="002415FE" w:rsidRPr="006E5B7A">
        <w:rPr>
          <w:rFonts w:ascii="Times New Roman" w:hAnsi="Times New Roman" w:cs="Times New Roman"/>
          <w:sz w:val="24"/>
          <w:szCs w:val="24"/>
          <w:lang w:val="en-GB"/>
        </w:rPr>
        <w:t xml:space="preserve">212 </w:t>
      </w:r>
      <w:r w:rsidR="00EC5E3B" w:rsidRPr="00EC5E3B">
        <w:rPr>
          <w:rFonts w:ascii="Times New Roman" w:hAnsi="Times New Roman" w:cs="Times New Roman"/>
          <w:sz w:val="24"/>
          <w:szCs w:val="24"/>
          <w:lang w:val="en-GB"/>
        </w:rPr>
        <w:t xml:space="preserve">transformer </w:t>
      </w:r>
      <w:proofErr w:type="spellStart"/>
      <w:r w:rsidR="00EC5E3B" w:rsidRPr="00EC5E3B">
        <w:rPr>
          <w:rFonts w:ascii="Times New Roman" w:hAnsi="Times New Roman" w:cs="Times New Roman"/>
          <w:sz w:val="24"/>
          <w:szCs w:val="24"/>
          <w:lang w:val="en-GB"/>
        </w:rPr>
        <w:t>center</w:t>
      </w:r>
      <w:r w:rsidR="00EC5E3B">
        <w:rPr>
          <w:rFonts w:ascii="Times New Roman" w:hAnsi="Times New Roman" w:cs="Times New Roman"/>
          <w:sz w:val="24"/>
          <w:szCs w:val="24"/>
          <w:lang w:val="en-GB"/>
        </w:rPr>
        <w:t>s</w:t>
      </w:r>
      <w:proofErr w:type="spellEnd"/>
      <w:r w:rsidR="002415FE" w:rsidRPr="006E5B7A">
        <w:rPr>
          <w:rFonts w:ascii="Times New Roman" w:hAnsi="Times New Roman" w:cs="Times New Roman"/>
          <w:sz w:val="24"/>
          <w:szCs w:val="24"/>
          <w:lang w:val="en-GB"/>
        </w:rPr>
        <w:t xml:space="preserve">, </w:t>
      </w:r>
      <w:r w:rsidR="00EC5E3B" w:rsidRPr="00EC5E3B">
        <w:rPr>
          <w:rFonts w:ascii="Times New Roman" w:hAnsi="Times New Roman" w:cs="Times New Roman"/>
          <w:sz w:val="24"/>
          <w:szCs w:val="24"/>
          <w:lang w:val="en-GB"/>
        </w:rPr>
        <w:t>7</w:t>
      </w:r>
      <w:r w:rsidR="00EC5E3B">
        <w:rPr>
          <w:rFonts w:ascii="Times New Roman" w:hAnsi="Times New Roman" w:cs="Times New Roman"/>
          <w:sz w:val="24"/>
          <w:szCs w:val="24"/>
          <w:lang w:val="en-GB"/>
        </w:rPr>
        <w:t>52</w:t>
      </w:r>
      <w:r w:rsidR="00EC5E3B" w:rsidRPr="00EC5E3B">
        <w:rPr>
          <w:rFonts w:ascii="Times New Roman" w:hAnsi="Times New Roman" w:cs="Times New Roman"/>
          <w:sz w:val="24"/>
          <w:szCs w:val="24"/>
          <w:lang w:val="en-GB"/>
        </w:rPr>
        <w:t xml:space="preserve"> in TEİAŞ ownership and </w:t>
      </w:r>
      <w:r w:rsidR="00EC5E3B">
        <w:rPr>
          <w:rFonts w:ascii="Times New Roman" w:hAnsi="Times New Roman" w:cs="Times New Roman"/>
          <w:sz w:val="24"/>
          <w:szCs w:val="24"/>
          <w:lang w:val="en-GB"/>
        </w:rPr>
        <w:t>460</w:t>
      </w:r>
      <w:r w:rsidR="00EC5E3B" w:rsidRPr="00EC5E3B">
        <w:rPr>
          <w:rFonts w:ascii="Times New Roman" w:hAnsi="Times New Roman" w:cs="Times New Roman"/>
          <w:sz w:val="24"/>
          <w:szCs w:val="24"/>
          <w:lang w:val="en-GB"/>
        </w:rPr>
        <w:t xml:space="preserve"> in private ownership. The transformer capacity reached to </w:t>
      </w:r>
      <w:r w:rsidR="00EC5E3B">
        <w:rPr>
          <w:rFonts w:ascii="Times New Roman" w:hAnsi="Times New Roman" w:cs="Times New Roman"/>
          <w:sz w:val="24"/>
          <w:szCs w:val="24"/>
          <w:lang w:val="en-GB"/>
        </w:rPr>
        <w:t>216.066</w:t>
      </w:r>
      <w:r w:rsidR="00EC5E3B" w:rsidRPr="00EC5E3B">
        <w:rPr>
          <w:rFonts w:ascii="Times New Roman" w:hAnsi="Times New Roman" w:cs="Times New Roman"/>
          <w:sz w:val="24"/>
          <w:szCs w:val="24"/>
          <w:lang w:val="en-GB"/>
        </w:rPr>
        <w:t xml:space="preserve"> MVA. </w:t>
      </w:r>
      <w:r w:rsidR="00EC5E3B">
        <w:rPr>
          <w:rFonts w:ascii="Times New Roman" w:hAnsi="Times New Roman" w:cs="Times New Roman"/>
          <w:sz w:val="24"/>
          <w:szCs w:val="24"/>
          <w:lang w:val="en-GB"/>
        </w:rPr>
        <w:t xml:space="preserve"> 181.824</w:t>
      </w:r>
      <w:r w:rsidR="00EC5E3B" w:rsidRPr="00EC5E3B">
        <w:rPr>
          <w:rFonts w:ascii="Times New Roman" w:hAnsi="Times New Roman" w:cs="Times New Roman"/>
          <w:sz w:val="24"/>
          <w:szCs w:val="24"/>
          <w:lang w:val="en-GB"/>
        </w:rPr>
        <w:t xml:space="preserve"> MVA of this capacity belongs to TEİAŞ ownership, and the remaining which is </w:t>
      </w:r>
      <w:r w:rsidR="00EC5E3B">
        <w:rPr>
          <w:rFonts w:ascii="Times New Roman" w:hAnsi="Times New Roman" w:cs="Times New Roman"/>
          <w:sz w:val="24"/>
          <w:szCs w:val="24"/>
          <w:lang w:val="en-GB"/>
        </w:rPr>
        <w:t>34</w:t>
      </w:r>
      <w:r>
        <w:rPr>
          <w:rFonts w:ascii="Times New Roman" w:hAnsi="Times New Roman" w:cs="Times New Roman"/>
          <w:sz w:val="24"/>
          <w:szCs w:val="24"/>
          <w:lang w:val="en-GB"/>
        </w:rPr>
        <w:t>.</w:t>
      </w:r>
      <w:r w:rsidR="00EC5E3B">
        <w:rPr>
          <w:rFonts w:ascii="Times New Roman" w:hAnsi="Times New Roman" w:cs="Times New Roman"/>
          <w:sz w:val="24"/>
          <w:szCs w:val="24"/>
          <w:lang w:val="en-GB"/>
        </w:rPr>
        <w:t>242</w:t>
      </w:r>
      <w:r w:rsidR="00EC5E3B" w:rsidRPr="00EC5E3B">
        <w:rPr>
          <w:rFonts w:ascii="Times New Roman" w:hAnsi="Times New Roman" w:cs="Times New Roman"/>
          <w:sz w:val="24"/>
          <w:szCs w:val="24"/>
          <w:lang w:val="en-GB"/>
        </w:rPr>
        <w:t xml:space="preserve"> MVA belongs to private ownership.</w:t>
      </w:r>
      <w:r w:rsidR="00EC5E3B">
        <w:rPr>
          <w:rFonts w:ascii="Times New Roman" w:hAnsi="Times New Roman" w:cs="Times New Roman"/>
          <w:sz w:val="24"/>
          <w:szCs w:val="24"/>
          <w:lang w:val="en-GB"/>
        </w:rPr>
        <w:t xml:space="preserve"> </w:t>
      </w:r>
    </w:p>
    <w:p w:rsidR="00EC5E3B" w:rsidRDefault="00EC5E3B" w:rsidP="00EC5E3B">
      <w:pPr>
        <w:spacing w:line="360" w:lineRule="auto"/>
        <w:jc w:val="both"/>
        <w:rPr>
          <w:rFonts w:ascii="Times New Roman" w:hAnsi="Times New Roman" w:cs="Times New Roman"/>
          <w:sz w:val="24"/>
          <w:szCs w:val="24"/>
          <w:lang w:val="en-GB"/>
        </w:rPr>
      </w:pPr>
    </w:p>
    <w:p w:rsidR="00252FDF" w:rsidRPr="00F876CB" w:rsidRDefault="00015994" w:rsidP="00EC5E3B">
      <w:pPr>
        <w:pStyle w:val="Balk5"/>
        <w:rPr>
          <w:lang w:val="en-GB"/>
        </w:rPr>
      </w:pPr>
      <w:bookmarkStart w:id="891" w:name="_Toc44508339"/>
      <w:r w:rsidRPr="00F876CB">
        <w:rPr>
          <w:lang w:val="en-GB"/>
        </w:rPr>
        <w:t>Table</w:t>
      </w:r>
      <w:r w:rsidR="00252FDF" w:rsidRPr="00F876CB">
        <w:rPr>
          <w:lang w:val="en-GB"/>
        </w:rPr>
        <w:t xml:space="preserve"> </w:t>
      </w:r>
      <w:r w:rsidR="00C47B3A" w:rsidRPr="00F876CB">
        <w:rPr>
          <w:lang w:val="en-GB"/>
        </w:rPr>
        <w:t>4.1</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 xml:space="preserve">: </w:t>
      </w:r>
      <w:bookmarkEnd w:id="889"/>
      <w:bookmarkEnd w:id="890"/>
      <w:r w:rsidR="00E512E4" w:rsidRPr="00F876CB">
        <w:rPr>
          <w:lang w:val="en-GB"/>
        </w:rPr>
        <w:t xml:space="preserve">Transformer </w:t>
      </w:r>
      <w:proofErr w:type="spellStart"/>
      <w:r w:rsidR="00E512E4" w:rsidRPr="00F876CB">
        <w:rPr>
          <w:lang w:val="en-GB"/>
        </w:rPr>
        <w:t>Center</w:t>
      </w:r>
      <w:proofErr w:type="spellEnd"/>
      <w:r w:rsidR="00E512E4" w:rsidRPr="00F876CB">
        <w:rPr>
          <w:lang w:val="en-GB"/>
        </w:rPr>
        <w:t xml:space="preserve"> Information</w:t>
      </w:r>
      <w:bookmarkEnd w:id="891"/>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57271A" w:rsidRPr="00F876CB" w:rsidTr="0057271A">
        <w:trPr>
          <w:trHeight w:val="330"/>
        </w:trPr>
        <w:tc>
          <w:tcPr>
            <w:tcW w:w="1420" w:type="dxa"/>
            <w:tcBorders>
              <w:top w:val="nil"/>
              <w:left w:val="nil"/>
              <w:bottom w:val="nil"/>
              <w:right w:val="nil"/>
            </w:tcBorders>
            <w:shd w:val="clear" w:color="auto" w:fill="auto"/>
            <w:noWrap/>
            <w:vAlign w:val="bottom"/>
            <w:hideMark/>
          </w:tcPr>
          <w:p w:rsidR="0057271A" w:rsidRPr="00F876CB" w:rsidRDefault="0057271A" w:rsidP="0057271A">
            <w:pPr>
              <w:spacing w:after="0" w:line="240" w:lineRule="auto"/>
              <w:rPr>
                <w:rFonts w:ascii="Arial" w:eastAsia="Times New Roman" w:hAnsi="Arial" w:cs="Arial"/>
                <w:color w:val="000000"/>
                <w:lang w:val="en-GB"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271A" w:rsidRPr="00F876CB" w:rsidRDefault="00E512E4"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Voltage</w:t>
            </w:r>
            <w:r w:rsidR="0057271A" w:rsidRPr="00F876CB">
              <w:rPr>
                <w:rFonts w:ascii="Times New Roman" w:eastAsia="Times New Roman" w:hAnsi="Times New Roman" w:cs="Times New Roman"/>
                <w:b/>
                <w:bCs/>
                <w:color w:val="FFFFFF"/>
                <w:sz w:val="24"/>
                <w:szCs w:val="24"/>
                <w:lang w:val="en-GB" w:eastAsia="tr-TR" w:bidi="ar-SA"/>
              </w:rPr>
              <w:t xml:space="preserve">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F876CB" w:rsidRDefault="00E512E4"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xml:space="preserve">Number of </w:t>
            </w:r>
            <w:proofErr w:type="spellStart"/>
            <w:r w:rsidRPr="00F876CB">
              <w:rPr>
                <w:rFonts w:ascii="Times New Roman" w:eastAsia="Times New Roman" w:hAnsi="Times New Roman" w:cs="Times New Roman"/>
                <w:b/>
                <w:bCs/>
                <w:color w:val="FFFFFF"/>
                <w:sz w:val="24"/>
                <w:szCs w:val="24"/>
                <w:lang w:val="en-GB" w:eastAsia="tr-TR" w:bidi="ar-SA"/>
              </w:rPr>
              <w:t>Centers</w:t>
            </w:r>
            <w:proofErr w:type="spellEnd"/>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F876CB" w:rsidRDefault="00E512E4"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Number of Transformers</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F876CB" w:rsidRDefault="00E512E4"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Capacity</w:t>
            </w:r>
            <w:r w:rsidR="0057271A" w:rsidRPr="00F876CB">
              <w:rPr>
                <w:rFonts w:ascii="Times New Roman" w:eastAsia="Times New Roman" w:hAnsi="Times New Roman" w:cs="Times New Roman"/>
                <w:b/>
                <w:bCs/>
                <w:color w:val="FFFFFF"/>
                <w:sz w:val="24"/>
                <w:szCs w:val="24"/>
                <w:lang w:val="en-GB" w:eastAsia="tr-TR" w:bidi="ar-SA"/>
              </w:rPr>
              <w:t xml:space="preserve"> (MVA)</w:t>
            </w:r>
          </w:p>
        </w:tc>
      </w:tr>
      <w:tr w:rsidR="0057271A" w:rsidRPr="00F876CB" w:rsidTr="0057271A">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57271A" w:rsidRPr="00F876CB" w:rsidRDefault="0057271A" w:rsidP="0057271A">
            <w:pPr>
              <w:spacing w:after="0" w:line="240" w:lineRule="auto"/>
              <w:jc w:val="center"/>
              <w:rPr>
                <w:rFonts w:asciiTheme="minorHAnsi" w:eastAsia="Times New Roman" w:hAnsiTheme="minorHAnsi" w:cstheme="minorHAnsi"/>
                <w:b/>
                <w:bCs/>
                <w:color w:val="FFFFFF"/>
                <w:lang w:val="en-GB" w:eastAsia="tr-TR" w:bidi="ar-SA"/>
              </w:rPr>
            </w:pPr>
            <w:r w:rsidRPr="00F876CB">
              <w:rPr>
                <w:rFonts w:asciiTheme="minorHAnsi" w:eastAsia="Times New Roman" w:hAnsiTheme="minorHAnsi" w:cstheme="minorHAnsi"/>
                <w:b/>
                <w:bCs/>
                <w:color w:val="FFFFFF"/>
                <w:lang w:val="en-GB" w:eastAsia="tr-TR" w:bidi="ar-SA"/>
              </w:rPr>
              <w:t>TEİAŞ</w:t>
            </w:r>
          </w:p>
          <w:p w:rsidR="0057271A" w:rsidRPr="00F876CB" w:rsidRDefault="00E512E4" w:rsidP="0057271A">
            <w:pPr>
              <w:spacing w:after="0" w:line="240" w:lineRule="auto"/>
              <w:jc w:val="center"/>
              <w:rPr>
                <w:rFonts w:asciiTheme="minorHAnsi" w:eastAsia="Times New Roman" w:hAnsiTheme="minorHAnsi" w:cstheme="minorHAnsi"/>
                <w:b/>
                <w:bCs/>
                <w:color w:val="FFFFFF"/>
                <w:lang w:val="en-GB" w:eastAsia="tr-TR" w:bidi="ar-SA"/>
              </w:rPr>
            </w:pPr>
            <w:r w:rsidRPr="00F876CB">
              <w:rPr>
                <w:rFonts w:asciiTheme="minorHAnsi" w:eastAsia="Times New Roman" w:hAnsiTheme="minorHAnsi" w:cstheme="minorHAnsi"/>
                <w:b/>
                <w:bCs/>
                <w:color w:val="FFFFFF"/>
                <w:lang w:val="en-GB" w:eastAsia="tr-TR" w:bidi="ar-SA"/>
              </w:rPr>
              <w:t>Ownership</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084DFD"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115</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362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75.015</w:t>
            </w:r>
          </w:p>
        </w:tc>
      </w:tr>
      <w:tr w:rsidR="0057271A" w:rsidRPr="00F876CB" w:rsidTr="0057271A">
        <w:trPr>
          <w:trHeight w:val="414"/>
        </w:trPr>
        <w:tc>
          <w:tcPr>
            <w:tcW w:w="1420" w:type="dxa"/>
            <w:vMerge/>
            <w:tcBorders>
              <w:left w:val="single" w:sz="8" w:space="0" w:color="auto"/>
              <w:right w:val="nil"/>
            </w:tcBorders>
            <w:shd w:val="clear" w:color="000000" w:fill="FF5050"/>
            <w:vAlign w:val="center"/>
            <w:hideMark/>
          </w:tcPr>
          <w:p w:rsidR="0057271A" w:rsidRPr="00F876CB" w:rsidRDefault="0057271A" w:rsidP="0057271A">
            <w:pPr>
              <w:spacing w:after="0" w:line="240" w:lineRule="auto"/>
              <w:jc w:val="center"/>
              <w:rPr>
                <w:rFonts w:asciiTheme="minorHAnsi" w:eastAsia="Times New Roman" w:hAnsiTheme="minorHAnsi" w:cstheme="minorHAnsi"/>
                <w:b/>
                <w:bCs/>
                <w:color w:val="FFFFFF"/>
                <w:lang w:val="en-GB"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400</w:t>
            </w:r>
          </w:p>
        </w:tc>
      </w:tr>
      <w:tr w:rsidR="0057271A" w:rsidRPr="00F876CB" w:rsidTr="0057271A">
        <w:trPr>
          <w:trHeight w:val="330"/>
        </w:trPr>
        <w:tc>
          <w:tcPr>
            <w:tcW w:w="1420" w:type="dxa"/>
            <w:vMerge/>
            <w:tcBorders>
              <w:left w:val="single" w:sz="8" w:space="0" w:color="auto"/>
              <w:right w:val="nil"/>
            </w:tcBorders>
            <w:shd w:val="clear" w:color="000000" w:fill="FF5050"/>
            <w:vAlign w:val="center"/>
            <w:hideMark/>
          </w:tcPr>
          <w:p w:rsidR="0057271A" w:rsidRPr="00F876CB" w:rsidRDefault="0057271A" w:rsidP="0057271A">
            <w:pPr>
              <w:spacing w:after="0" w:line="240" w:lineRule="auto"/>
              <w:jc w:val="center"/>
              <w:rPr>
                <w:rFonts w:asciiTheme="minorHAnsi" w:eastAsia="Times New Roman" w:hAnsiTheme="minorHAnsi" w:cstheme="minorHAnsi"/>
                <w:color w:val="000000"/>
                <w:lang w:val="en-GB"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630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1.490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084DFD"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106.100</w:t>
            </w:r>
          </w:p>
        </w:tc>
      </w:tr>
      <w:tr w:rsidR="0057271A" w:rsidRPr="00F876CB" w:rsidTr="0057271A">
        <w:trPr>
          <w:trHeight w:val="330"/>
        </w:trPr>
        <w:tc>
          <w:tcPr>
            <w:tcW w:w="1420" w:type="dxa"/>
            <w:vMerge/>
            <w:tcBorders>
              <w:left w:val="single" w:sz="8" w:space="0" w:color="auto"/>
              <w:right w:val="nil"/>
            </w:tcBorders>
            <w:shd w:val="clear" w:color="000000" w:fill="FF5050"/>
            <w:vAlign w:val="center"/>
            <w:hideMark/>
          </w:tcPr>
          <w:p w:rsidR="0057271A" w:rsidRPr="00F876CB" w:rsidRDefault="0057271A" w:rsidP="0057271A">
            <w:pPr>
              <w:spacing w:after="0" w:line="240" w:lineRule="auto"/>
              <w:jc w:val="center"/>
              <w:rPr>
                <w:rFonts w:asciiTheme="minorHAnsi" w:eastAsia="Times New Roman" w:hAnsiTheme="minorHAnsi" w:cstheme="minorHAnsi"/>
                <w:color w:val="000000"/>
                <w:lang w:val="en-GB"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084DFD"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21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309</w:t>
            </w:r>
          </w:p>
        </w:tc>
      </w:tr>
      <w:tr w:rsidR="0057271A" w:rsidRPr="00F876CB" w:rsidTr="0057271A">
        <w:trPr>
          <w:trHeight w:val="330"/>
        </w:trPr>
        <w:tc>
          <w:tcPr>
            <w:tcW w:w="1420" w:type="dxa"/>
            <w:vMerge/>
            <w:tcBorders>
              <w:left w:val="single" w:sz="8" w:space="0" w:color="auto"/>
              <w:bottom w:val="single" w:sz="8" w:space="0" w:color="auto"/>
              <w:right w:val="nil"/>
            </w:tcBorders>
            <w:shd w:val="clear" w:color="000000" w:fill="FF5050"/>
            <w:vAlign w:val="center"/>
            <w:hideMark/>
          </w:tcPr>
          <w:p w:rsidR="0057271A" w:rsidRPr="00F876CB" w:rsidRDefault="0057271A" w:rsidP="0057271A">
            <w:pPr>
              <w:spacing w:after="0" w:line="240" w:lineRule="auto"/>
              <w:jc w:val="center"/>
              <w:rPr>
                <w:rFonts w:asciiTheme="minorHAnsi" w:eastAsia="Times New Roman" w:hAnsiTheme="minorHAnsi" w:cstheme="minorHAnsi"/>
                <w:color w:val="000000"/>
                <w:lang w:val="en-GB"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F876CB" w:rsidRDefault="0057271A"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TEİAŞ To</w:t>
            </w:r>
            <w:r w:rsidR="00E512E4" w:rsidRPr="00F876CB">
              <w:rPr>
                <w:rFonts w:ascii="Times New Roman" w:eastAsia="Times New Roman" w:hAnsi="Times New Roman" w:cs="Times New Roman"/>
                <w:b/>
                <w:bCs/>
                <w:color w:val="FFFFFF"/>
                <w:sz w:val="24"/>
                <w:szCs w:val="24"/>
                <w:lang w:val="en-GB" w:eastAsia="tr-TR" w:bidi="ar-SA"/>
              </w:rPr>
              <w:t>tal</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F876CB"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val="en-GB" w:eastAsia="tr-TR" w:bidi="ar-SA"/>
              </w:rPr>
            </w:pPr>
            <w:r w:rsidRPr="00F876CB">
              <w:rPr>
                <w:rFonts w:asciiTheme="minorHAnsi" w:eastAsia="Times New Roman" w:hAnsiTheme="minorHAnsi" w:cstheme="minorHAnsi"/>
                <w:b/>
                <w:bCs/>
                <w:color w:val="FFFFFF"/>
                <w:sz w:val="24"/>
                <w:szCs w:val="24"/>
                <w:lang w:val="en-GB" w:eastAsia="tr-TR" w:bidi="ar-SA"/>
              </w:rPr>
              <w:t>752</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57271A">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1.875</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57271A">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181.824</w:t>
            </w:r>
          </w:p>
        </w:tc>
      </w:tr>
      <w:tr w:rsidR="0057271A" w:rsidRPr="00F876CB" w:rsidTr="0057271A">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7271A" w:rsidRPr="00F876CB" w:rsidRDefault="00E512E4" w:rsidP="0057271A">
            <w:pPr>
              <w:spacing w:after="0" w:line="240" w:lineRule="auto"/>
              <w:jc w:val="center"/>
              <w:rPr>
                <w:rFonts w:asciiTheme="minorHAnsi" w:eastAsia="Times New Roman" w:hAnsiTheme="minorHAnsi" w:cstheme="minorHAnsi"/>
                <w:b/>
                <w:bCs/>
                <w:color w:val="FFFFFF"/>
                <w:lang w:val="en-GB" w:eastAsia="tr-TR" w:bidi="ar-SA"/>
              </w:rPr>
            </w:pPr>
            <w:r w:rsidRPr="00F876CB">
              <w:rPr>
                <w:rFonts w:asciiTheme="minorHAnsi" w:eastAsia="Times New Roman" w:hAnsiTheme="minorHAnsi" w:cstheme="minorHAnsi"/>
                <w:b/>
                <w:bCs/>
                <w:color w:val="FFFFFF"/>
                <w:lang w:val="en-GB" w:eastAsia="tr-TR" w:bidi="ar-SA"/>
              </w:rPr>
              <w:t>Private Ownership</w:t>
            </w: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084DFD"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53</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46</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7.045</w:t>
            </w:r>
          </w:p>
        </w:tc>
      </w:tr>
      <w:tr w:rsidR="0057271A" w:rsidRPr="00F876CB"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F876CB" w:rsidRDefault="0057271A" w:rsidP="0057271A">
            <w:pPr>
              <w:spacing w:after="0" w:line="240" w:lineRule="auto"/>
              <w:rPr>
                <w:rFonts w:ascii="Calibri" w:eastAsia="Times New Roman" w:hAnsi="Calibri" w:cs="Times New Roman"/>
                <w:b/>
                <w:bCs/>
                <w:color w:val="FFFFFF"/>
                <w:lang w:val="en-GB"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0</w:t>
            </w:r>
          </w:p>
        </w:tc>
      </w:tr>
      <w:tr w:rsidR="0057271A" w:rsidRPr="00F876CB"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F876CB" w:rsidRDefault="0057271A" w:rsidP="0057271A">
            <w:pPr>
              <w:spacing w:after="0" w:line="240" w:lineRule="auto"/>
              <w:rPr>
                <w:rFonts w:ascii="Calibri" w:eastAsia="Times New Roman" w:hAnsi="Calibri" w:cs="Times New Roman"/>
                <w:b/>
                <w:bCs/>
                <w:color w:val="FFFFFF"/>
                <w:lang w:val="en-GB"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406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F70D85"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454</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084DFD"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27.184</w:t>
            </w:r>
          </w:p>
        </w:tc>
      </w:tr>
      <w:tr w:rsidR="0057271A" w:rsidRPr="00F876CB"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F876CB" w:rsidRDefault="0057271A" w:rsidP="0057271A">
            <w:pPr>
              <w:spacing w:after="0" w:line="240" w:lineRule="auto"/>
              <w:rPr>
                <w:rFonts w:ascii="Calibri" w:eastAsia="Times New Roman" w:hAnsi="Calibri" w:cs="Times New Roman"/>
                <w:b/>
                <w:bCs/>
                <w:color w:val="FFFFFF"/>
                <w:lang w:val="en-GB"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highlight w:val="darkGreen"/>
                <w:lang w:val="en-GB" w:eastAsia="tr-TR" w:bidi="ar-SA"/>
              </w:rPr>
            </w:pPr>
            <w:r w:rsidRPr="00F876CB">
              <w:rPr>
                <w:rFonts w:asciiTheme="minorHAnsi" w:eastAsia="Times New Roman" w:hAnsiTheme="minorHAnsi" w:cstheme="minorHAnsi"/>
                <w:color w:val="000000"/>
                <w:sz w:val="24"/>
                <w:szCs w:val="24"/>
                <w:lang w:val="en-GB"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F876CB" w:rsidRDefault="0057271A" w:rsidP="0057271A">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13</w:t>
            </w:r>
          </w:p>
        </w:tc>
      </w:tr>
      <w:tr w:rsidR="0057271A" w:rsidRPr="00F876CB"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F876CB" w:rsidRDefault="0057271A" w:rsidP="0057271A">
            <w:pPr>
              <w:spacing w:after="0" w:line="240" w:lineRule="auto"/>
              <w:rPr>
                <w:rFonts w:ascii="Calibri" w:eastAsia="Times New Roman" w:hAnsi="Calibri" w:cs="Times New Roman"/>
                <w:b/>
                <w:bCs/>
                <w:color w:val="FFFFFF"/>
                <w:lang w:val="en-GB"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57271A" w:rsidRPr="00F876CB" w:rsidRDefault="00E512E4"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Private Total</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F876CB"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val="en-GB" w:eastAsia="tr-TR" w:bidi="ar-SA"/>
              </w:rPr>
            </w:pPr>
            <w:r w:rsidRPr="00F876CB">
              <w:rPr>
                <w:rFonts w:asciiTheme="minorHAnsi" w:eastAsia="Times New Roman" w:hAnsiTheme="minorHAnsi" w:cstheme="minorHAnsi"/>
                <w:b/>
                <w:bCs/>
                <w:color w:val="FFFFFF"/>
                <w:sz w:val="24"/>
                <w:szCs w:val="24"/>
                <w:lang w:val="en-GB" w:eastAsia="tr-TR" w:bidi="ar-SA"/>
              </w:rPr>
              <w:t>460</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57271A">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501</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57271A">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34.242</w:t>
            </w:r>
          </w:p>
        </w:tc>
      </w:tr>
      <w:tr w:rsidR="0057271A" w:rsidRPr="00F876CB" w:rsidTr="0057271A">
        <w:trPr>
          <w:trHeight w:val="315"/>
        </w:trPr>
        <w:tc>
          <w:tcPr>
            <w:tcW w:w="1420" w:type="dxa"/>
            <w:tcBorders>
              <w:top w:val="nil"/>
              <w:left w:val="nil"/>
              <w:bottom w:val="nil"/>
              <w:right w:val="nil"/>
            </w:tcBorders>
            <w:shd w:val="clear" w:color="auto" w:fill="auto"/>
            <w:noWrap/>
            <w:vAlign w:val="bottom"/>
            <w:hideMark/>
          </w:tcPr>
          <w:p w:rsidR="0057271A" w:rsidRPr="00F876CB" w:rsidRDefault="0057271A" w:rsidP="0057271A">
            <w:pPr>
              <w:spacing w:after="0" w:line="240" w:lineRule="auto"/>
              <w:rPr>
                <w:rFonts w:ascii="Arial" w:eastAsia="Times New Roman" w:hAnsi="Arial" w:cs="Arial"/>
                <w:color w:val="000000"/>
                <w:lang w:val="en-GB"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F876CB" w:rsidRDefault="0057271A" w:rsidP="0057271A">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TO</w:t>
            </w:r>
            <w:r w:rsidR="00E512E4" w:rsidRPr="00F876CB">
              <w:rPr>
                <w:rFonts w:ascii="Times New Roman" w:eastAsia="Times New Roman" w:hAnsi="Times New Roman" w:cs="Times New Roman"/>
                <w:b/>
                <w:bCs/>
                <w:color w:val="FFFFFF"/>
                <w:sz w:val="24"/>
                <w:szCs w:val="24"/>
                <w:lang w:val="en-GB" w:eastAsia="tr-TR" w:bidi="ar-SA"/>
              </w:rPr>
              <w:t>TAL</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F876CB" w:rsidRDefault="00084DFD" w:rsidP="0057271A">
            <w:pPr>
              <w:spacing w:after="0" w:line="240" w:lineRule="auto"/>
              <w:jc w:val="right"/>
              <w:rPr>
                <w:rFonts w:asciiTheme="minorHAnsi" w:eastAsia="Times New Roman" w:hAnsiTheme="minorHAnsi" w:cstheme="minorHAnsi"/>
                <w:b/>
                <w:bCs/>
                <w:color w:val="FFFFFF"/>
                <w:sz w:val="24"/>
                <w:szCs w:val="24"/>
                <w:highlight w:val="darkGreen"/>
                <w:lang w:val="en-GB" w:eastAsia="tr-TR" w:bidi="ar-SA"/>
              </w:rPr>
            </w:pPr>
            <w:r w:rsidRPr="00F876CB">
              <w:rPr>
                <w:rFonts w:asciiTheme="minorHAnsi" w:eastAsia="Times New Roman" w:hAnsiTheme="minorHAnsi" w:cstheme="minorHAnsi"/>
                <w:b/>
                <w:bCs/>
                <w:color w:val="FFFFFF"/>
                <w:sz w:val="24"/>
                <w:szCs w:val="24"/>
                <w:lang w:val="en-GB" w:eastAsia="tr-TR" w:bidi="ar-SA"/>
              </w:rPr>
              <w:t>1.212</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57271A">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2.376</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F876CB" w:rsidRDefault="00F70D85" w:rsidP="00AB2BB9">
            <w:pPr>
              <w:spacing w:after="0" w:line="240" w:lineRule="auto"/>
              <w:jc w:val="right"/>
              <w:rPr>
                <w:rFonts w:asciiTheme="minorHAnsi" w:eastAsia="Times New Roman" w:hAnsiTheme="minorHAnsi" w:cstheme="minorHAnsi"/>
                <w:b/>
                <w:bCs/>
                <w:color w:val="FFFFFF"/>
                <w:sz w:val="24"/>
                <w:szCs w:val="24"/>
                <w:lang w:val="en-GB" w:eastAsia="tr-TR" w:bidi="ar-SA"/>
              </w:rPr>
            </w:pPr>
            <w:r w:rsidRPr="00F876CB">
              <w:rPr>
                <w:rFonts w:asciiTheme="minorHAnsi" w:eastAsia="Times New Roman" w:hAnsiTheme="minorHAnsi" w:cstheme="minorHAnsi"/>
                <w:b/>
                <w:bCs/>
                <w:color w:val="FFFFFF"/>
                <w:sz w:val="24"/>
                <w:szCs w:val="24"/>
                <w:lang w:val="en-GB" w:eastAsia="tr-TR" w:bidi="ar-SA"/>
              </w:rPr>
              <w:t>216.066</w:t>
            </w:r>
          </w:p>
        </w:tc>
      </w:tr>
    </w:tbl>
    <w:p w:rsidR="00252FDF" w:rsidRPr="00F876CB" w:rsidRDefault="00252FDF" w:rsidP="00252FDF">
      <w:pPr>
        <w:rPr>
          <w:lang w:val="en-GB"/>
        </w:rPr>
      </w:pPr>
    </w:p>
    <w:p w:rsidR="00252FDF" w:rsidRPr="00F876CB" w:rsidRDefault="00252FDF" w:rsidP="00252FDF">
      <w:pPr>
        <w:spacing w:line="360" w:lineRule="auto"/>
        <w:ind w:firstLine="426"/>
        <w:jc w:val="both"/>
        <w:rPr>
          <w:rFonts w:asciiTheme="minorHAnsi" w:hAnsiTheme="minorHAnsi" w:cstheme="minorHAnsi"/>
          <w:sz w:val="24"/>
          <w:szCs w:val="24"/>
          <w:lang w:val="en-GB"/>
        </w:rPr>
      </w:pPr>
    </w:p>
    <w:p w:rsidR="00252FDF" w:rsidRPr="00F876CB" w:rsidRDefault="00B42C20" w:rsidP="006F7D91">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65</w:t>
      </w:r>
      <w:r w:rsidR="006F7D91">
        <w:rPr>
          <w:rFonts w:asciiTheme="minorHAnsi" w:hAnsiTheme="minorHAnsi" w:cstheme="minorHAnsi"/>
          <w:sz w:val="24"/>
          <w:szCs w:val="24"/>
          <w:lang w:val="en-GB"/>
        </w:rPr>
        <w:t>,</w:t>
      </w:r>
      <w:r w:rsidRPr="00F876CB">
        <w:rPr>
          <w:rFonts w:asciiTheme="minorHAnsi" w:hAnsiTheme="minorHAnsi" w:cstheme="minorHAnsi"/>
          <w:sz w:val="24"/>
          <w:szCs w:val="24"/>
          <w:lang w:val="en-GB"/>
        </w:rPr>
        <w:t>53% of the transmission lines, which are 70</w:t>
      </w:r>
      <w:r w:rsidR="00487078">
        <w:rPr>
          <w:rFonts w:asciiTheme="minorHAnsi" w:hAnsiTheme="minorHAnsi" w:cstheme="minorHAnsi"/>
          <w:sz w:val="24"/>
          <w:szCs w:val="24"/>
          <w:lang w:val="en-GB"/>
        </w:rPr>
        <w:t>.</w:t>
      </w:r>
      <w:r w:rsidRPr="00F876CB">
        <w:rPr>
          <w:rFonts w:asciiTheme="minorHAnsi" w:hAnsiTheme="minorHAnsi" w:cstheme="minorHAnsi"/>
          <w:sz w:val="24"/>
          <w:szCs w:val="24"/>
          <w:lang w:val="en-GB"/>
        </w:rPr>
        <w:t>024 km in total, constitute lines with a voltage level of 154 kV. The remaining part is almost all of the lines at 380 kV voltage level, and lines at 220 kV and 66 kV voltage level are only 195 km.</w:t>
      </w:r>
    </w:p>
    <w:p w:rsidR="00B42C20" w:rsidRPr="00F876CB" w:rsidRDefault="00B42C20" w:rsidP="00252FDF">
      <w:pPr>
        <w:spacing w:line="360" w:lineRule="auto"/>
        <w:ind w:firstLine="426"/>
        <w:jc w:val="both"/>
        <w:rPr>
          <w:rFonts w:asciiTheme="minorHAnsi" w:hAnsiTheme="minorHAnsi" w:cstheme="minorHAnsi"/>
          <w:sz w:val="24"/>
          <w:szCs w:val="24"/>
          <w:lang w:val="en-GB"/>
        </w:rPr>
      </w:pPr>
    </w:p>
    <w:p w:rsidR="00B42C20" w:rsidRPr="00F876CB" w:rsidRDefault="00B42C20" w:rsidP="00252FDF">
      <w:pPr>
        <w:spacing w:line="360" w:lineRule="auto"/>
        <w:ind w:firstLine="426"/>
        <w:jc w:val="both"/>
        <w:rPr>
          <w:rFonts w:asciiTheme="minorHAnsi" w:hAnsiTheme="minorHAnsi" w:cstheme="minorHAnsi"/>
          <w:sz w:val="24"/>
          <w:szCs w:val="24"/>
          <w:lang w:val="en-GB"/>
        </w:rPr>
      </w:pPr>
    </w:p>
    <w:p w:rsidR="00252FDF" w:rsidRPr="00F876CB" w:rsidRDefault="00015994" w:rsidP="00252FDF">
      <w:pPr>
        <w:pStyle w:val="Balk5"/>
        <w:rPr>
          <w:lang w:val="en-GB"/>
        </w:rPr>
      </w:pPr>
      <w:bookmarkStart w:id="892" w:name="_Toc450300308"/>
      <w:bookmarkStart w:id="893" w:name="_Toc450309968"/>
      <w:bookmarkStart w:id="894" w:name="_Toc44508340"/>
      <w:r w:rsidRPr="00F876CB">
        <w:rPr>
          <w:lang w:val="en-GB"/>
        </w:rPr>
        <w:t>Table</w:t>
      </w:r>
      <w:r w:rsidR="00252FDF" w:rsidRPr="00F876CB">
        <w:rPr>
          <w:lang w:val="en-GB"/>
        </w:rPr>
        <w:t xml:space="preserve"> </w:t>
      </w:r>
      <w:r w:rsidR="00C47B3A" w:rsidRPr="00F876CB">
        <w:rPr>
          <w:lang w:val="en-GB"/>
        </w:rPr>
        <w:t>4</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 xml:space="preserve">.2: </w:t>
      </w:r>
      <w:bookmarkEnd w:id="892"/>
      <w:bookmarkEnd w:id="893"/>
      <w:r w:rsidR="00214E0A" w:rsidRPr="00F876CB">
        <w:rPr>
          <w:lang w:val="en-GB"/>
        </w:rPr>
        <w:t>TEİAŞ Transmission Lines</w:t>
      </w:r>
      <w:bookmarkEnd w:id="894"/>
    </w:p>
    <w:tbl>
      <w:tblPr>
        <w:tblW w:w="8804" w:type="dxa"/>
        <w:tblInd w:w="55" w:type="dxa"/>
        <w:tblCellMar>
          <w:left w:w="70" w:type="dxa"/>
          <w:right w:w="70" w:type="dxa"/>
        </w:tblCellMar>
        <w:tblLook w:val="04A0" w:firstRow="1" w:lastRow="0" w:firstColumn="1" w:lastColumn="0" w:noHBand="0" w:noVBand="1"/>
      </w:tblPr>
      <w:tblGrid>
        <w:gridCol w:w="1575"/>
        <w:gridCol w:w="1417"/>
        <w:gridCol w:w="1134"/>
        <w:gridCol w:w="1134"/>
        <w:gridCol w:w="1276"/>
        <w:gridCol w:w="1134"/>
        <w:gridCol w:w="1134"/>
      </w:tblGrid>
      <w:tr w:rsidR="006604FE" w:rsidRPr="00F876CB" w:rsidTr="006604FE">
        <w:trPr>
          <w:trHeight w:val="615"/>
        </w:trPr>
        <w:tc>
          <w:tcPr>
            <w:tcW w:w="1575" w:type="dxa"/>
            <w:tcBorders>
              <w:top w:val="nil"/>
              <w:left w:val="nil"/>
              <w:bottom w:val="nil"/>
              <w:right w:val="nil"/>
            </w:tcBorders>
            <w:shd w:val="clear" w:color="auto" w:fill="auto"/>
            <w:noWrap/>
            <w:vAlign w:val="bottom"/>
            <w:hideMark/>
          </w:tcPr>
          <w:p w:rsidR="006604FE" w:rsidRPr="00F876CB" w:rsidRDefault="006604FE" w:rsidP="006604FE">
            <w:pPr>
              <w:spacing w:after="0" w:line="240" w:lineRule="auto"/>
              <w:rPr>
                <w:rFonts w:ascii="Arial" w:eastAsia="Times New Roman" w:hAnsi="Arial" w:cs="Arial"/>
                <w:color w:val="000000"/>
                <w:lang w:val="en-GB" w:eastAsia="tr-TR" w:bidi="ar-SA"/>
              </w:rPr>
            </w:pPr>
          </w:p>
        </w:tc>
        <w:tc>
          <w:tcPr>
            <w:tcW w:w="141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c>
          <w:tcPr>
            <w:tcW w:w="113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6604FE" w:rsidRPr="00F876CB" w:rsidRDefault="00214E0A"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Change</w:t>
            </w:r>
            <w:r w:rsidR="006604FE" w:rsidRPr="00F876CB">
              <w:rPr>
                <w:rFonts w:ascii="Times New Roman" w:eastAsia="Times New Roman" w:hAnsi="Times New Roman" w:cs="Times New Roman"/>
                <w:b/>
                <w:bCs/>
                <w:color w:val="FFFFFF"/>
                <w:sz w:val="24"/>
                <w:szCs w:val="24"/>
                <w:lang w:val="en-GB" w:eastAsia="tr-TR" w:bidi="ar-SA"/>
              </w:rPr>
              <w:t xml:space="preserve">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2018</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2019</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6604FE" w:rsidRPr="00F876CB" w:rsidRDefault="00214E0A" w:rsidP="006604FE">
            <w:pPr>
              <w:spacing w:after="0" w:line="240" w:lineRule="auto"/>
              <w:jc w:val="center"/>
              <w:rPr>
                <w:rFonts w:ascii="Calibri" w:eastAsia="Times New Roman" w:hAnsi="Calibri" w:cs="Times New Roman"/>
                <w:b/>
                <w:bCs/>
                <w:color w:val="FFFFFF"/>
                <w:lang w:val="en-GB" w:eastAsia="tr-TR" w:bidi="ar-SA"/>
              </w:rPr>
            </w:pPr>
            <w:r w:rsidRPr="00F876CB">
              <w:rPr>
                <w:rFonts w:ascii="Times New Roman" w:eastAsia="Times New Roman" w:hAnsi="Times New Roman" w:cs="Times New Roman"/>
                <w:b/>
                <w:bCs/>
                <w:color w:val="FFFFFF"/>
                <w:sz w:val="24"/>
                <w:szCs w:val="24"/>
                <w:lang w:val="en-GB" w:eastAsia="tr-TR" w:bidi="ar-SA"/>
              </w:rPr>
              <w:t>Change</w:t>
            </w:r>
            <w:r w:rsidR="006604FE" w:rsidRPr="00F876CB">
              <w:rPr>
                <w:rFonts w:ascii="Times New Roman" w:eastAsia="Times New Roman" w:hAnsi="Times New Roman" w:cs="Times New Roman"/>
                <w:b/>
                <w:bCs/>
                <w:color w:val="FFFFFF"/>
                <w:sz w:val="24"/>
                <w:szCs w:val="24"/>
                <w:lang w:val="en-GB" w:eastAsia="tr-TR" w:bidi="ar-SA"/>
              </w:rPr>
              <w:t xml:space="preserve"> (%)</w:t>
            </w:r>
          </w:p>
        </w:tc>
      </w:tr>
      <w:tr w:rsidR="006604FE" w:rsidRPr="00F876CB" w:rsidTr="006604FE">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604FE" w:rsidRPr="00F876CB" w:rsidRDefault="00214E0A"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Voltage</w:t>
            </w:r>
            <w:r w:rsidR="006604FE" w:rsidRPr="00F876CB">
              <w:rPr>
                <w:rFonts w:ascii="Times New Roman" w:eastAsia="Times New Roman" w:hAnsi="Times New Roman" w:cs="Times New Roman"/>
                <w:b/>
                <w:bCs/>
                <w:color w:val="FFFFFF"/>
                <w:sz w:val="24"/>
                <w:szCs w:val="24"/>
                <w:lang w:val="en-GB" w:eastAsia="tr-TR" w:bidi="ar-SA"/>
              </w:rPr>
              <w:t xml:space="preserve"> (kV)</w:t>
            </w:r>
          </w:p>
        </w:tc>
        <w:tc>
          <w:tcPr>
            <w:tcW w:w="2551" w:type="dxa"/>
            <w:gridSpan w:val="2"/>
            <w:tcBorders>
              <w:top w:val="single" w:sz="8" w:space="0" w:color="auto"/>
              <w:left w:val="nil"/>
              <w:bottom w:val="nil"/>
              <w:right w:val="single" w:sz="8" w:space="0" w:color="000000"/>
            </w:tcBorders>
            <w:shd w:val="clear" w:color="000000" w:fill="FF0000"/>
            <w:noWrap/>
            <w:vAlign w:val="center"/>
            <w:hideMark/>
          </w:tcPr>
          <w:p w:rsidR="006604FE" w:rsidRPr="00F876CB" w:rsidRDefault="00214E0A"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Number of Lines</w:t>
            </w:r>
          </w:p>
        </w:tc>
        <w:tc>
          <w:tcPr>
            <w:tcW w:w="1134" w:type="dxa"/>
            <w:vMerge/>
            <w:tcBorders>
              <w:top w:val="single" w:sz="8" w:space="0" w:color="auto"/>
              <w:left w:val="nil"/>
              <w:bottom w:val="single" w:sz="8" w:space="0" w:color="000000"/>
              <w:right w:val="single" w:sz="8" w:space="0" w:color="auto"/>
            </w:tcBorders>
            <w:vAlign w:val="center"/>
            <w:hideMark/>
          </w:tcPr>
          <w:p w:rsidR="006604FE" w:rsidRPr="00F876CB" w:rsidRDefault="006604FE" w:rsidP="006604FE">
            <w:pPr>
              <w:spacing w:after="0" w:line="240" w:lineRule="auto"/>
              <w:rPr>
                <w:rFonts w:ascii="Calibri" w:eastAsia="Times New Roman" w:hAnsi="Calibri" w:cs="Times New Roman"/>
                <w:b/>
                <w:bCs/>
                <w:color w:val="FFFFFF"/>
                <w:lang w:val="en-GB" w:eastAsia="tr-TR" w:bidi="ar-SA"/>
              </w:rPr>
            </w:pP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604FE" w:rsidRPr="00F876CB" w:rsidRDefault="00214E0A"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Length</w:t>
            </w:r>
            <w:r w:rsidR="006604FE" w:rsidRPr="00F876CB">
              <w:rPr>
                <w:rFonts w:ascii="Times New Roman" w:eastAsia="Times New Roman" w:hAnsi="Times New Roman" w:cs="Times New Roman"/>
                <w:b/>
                <w:bCs/>
                <w:color w:val="FFFFFF"/>
                <w:sz w:val="24"/>
                <w:szCs w:val="24"/>
                <w:lang w:val="en-GB" w:eastAsia="tr-TR" w:bidi="ar-SA"/>
              </w:rPr>
              <w:t xml:space="preserve"> (km)</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6604FE" w:rsidRPr="00F876CB" w:rsidRDefault="006604FE" w:rsidP="006604FE">
            <w:pPr>
              <w:spacing w:after="0" w:line="240" w:lineRule="auto"/>
              <w:rPr>
                <w:rFonts w:ascii="Calibri" w:eastAsia="Times New Roman" w:hAnsi="Calibri" w:cs="Times New Roman"/>
                <w:b/>
                <w:bCs/>
                <w:color w:val="FFFFFF"/>
                <w:lang w:val="en-GB" w:eastAsia="tr-TR" w:bidi="ar-SA"/>
              </w:rPr>
            </w:pPr>
          </w:p>
        </w:tc>
      </w:tr>
      <w:tr w:rsidR="006604FE" w:rsidRPr="00F876CB"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380</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283</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288</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1,77</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23.249</w:t>
            </w:r>
          </w:p>
        </w:tc>
        <w:tc>
          <w:tcPr>
            <w:tcW w:w="1134" w:type="dxa"/>
            <w:tcBorders>
              <w:top w:val="nil"/>
              <w:left w:val="nil"/>
              <w:bottom w:val="single" w:sz="8" w:space="0" w:color="auto"/>
              <w:right w:val="nil"/>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23.940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2,97</w:t>
            </w:r>
          </w:p>
        </w:tc>
      </w:tr>
      <w:tr w:rsidR="006604FE" w:rsidRPr="00F876CB"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220</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w:t>
            </w:r>
            <w:r w:rsidR="006604FE" w:rsidRPr="00F876CB">
              <w:rPr>
                <w:rFonts w:ascii="Times New Roman" w:eastAsia="Times New Roman" w:hAnsi="Times New Roman" w:cs="Times New Roman"/>
                <w:color w:val="000000"/>
                <w:sz w:val="24"/>
                <w:szCs w:val="24"/>
                <w:lang w:val="en-GB"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85</w:t>
            </w:r>
          </w:p>
        </w:tc>
        <w:tc>
          <w:tcPr>
            <w:tcW w:w="1134" w:type="dxa"/>
            <w:tcBorders>
              <w:top w:val="nil"/>
              <w:left w:val="nil"/>
              <w:bottom w:val="single" w:sz="8" w:space="0" w:color="auto"/>
              <w:right w:val="nil"/>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0,00</w:t>
            </w:r>
          </w:p>
        </w:tc>
      </w:tr>
      <w:tr w:rsidR="006604FE" w:rsidRPr="00F876CB"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154</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1.709</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1.712</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0,18</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44.760</w:t>
            </w:r>
          </w:p>
        </w:tc>
        <w:tc>
          <w:tcPr>
            <w:tcW w:w="1134" w:type="dxa"/>
            <w:tcBorders>
              <w:top w:val="nil"/>
              <w:left w:val="nil"/>
              <w:bottom w:val="single" w:sz="8" w:space="0" w:color="auto"/>
              <w:right w:val="nil"/>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45.889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2,52</w:t>
            </w:r>
          </w:p>
        </w:tc>
      </w:tr>
      <w:tr w:rsidR="006604FE" w:rsidRPr="00F876CB" w:rsidTr="006604F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66</w:t>
            </w:r>
          </w:p>
        </w:tc>
        <w:tc>
          <w:tcPr>
            <w:tcW w:w="1417"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w:t>
            </w:r>
          </w:p>
        </w:tc>
        <w:tc>
          <w:tcPr>
            <w:tcW w:w="1134" w:type="dxa"/>
            <w:tcBorders>
              <w:top w:val="nil"/>
              <w:left w:val="nil"/>
              <w:bottom w:val="single" w:sz="8" w:space="0" w:color="auto"/>
              <w:right w:val="single" w:sz="8" w:space="0" w:color="auto"/>
            </w:tcBorders>
            <w:shd w:val="clear" w:color="auto" w:fill="auto"/>
            <w:noWrap/>
            <w:vAlign w:val="center"/>
            <w:hideMark/>
          </w:tcPr>
          <w:p w:rsidR="006604FE" w:rsidRPr="00F876CB" w:rsidRDefault="00C76689"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10,00</w:t>
            </w:r>
          </w:p>
        </w:tc>
        <w:tc>
          <w:tcPr>
            <w:tcW w:w="1276" w:type="dxa"/>
            <w:tcBorders>
              <w:top w:val="nil"/>
              <w:left w:val="nil"/>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w:t>
            </w:r>
          </w:p>
        </w:tc>
        <w:tc>
          <w:tcPr>
            <w:tcW w:w="1134" w:type="dxa"/>
            <w:tcBorders>
              <w:top w:val="nil"/>
              <w:left w:val="nil"/>
              <w:bottom w:val="single" w:sz="8" w:space="0" w:color="auto"/>
              <w:right w:val="nil"/>
            </w:tcBorders>
            <w:shd w:val="clear" w:color="auto" w:fill="auto"/>
            <w:noWrap/>
            <w:vAlign w:val="center"/>
            <w:hideMark/>
          </w:tcPr>
          <w:p w:rsidR="006604FE" w:rsidRPr="00F876CB" w:rsidRDefault="006604FE" w:rsidP="006604FE">
            <w:pPr>
              <w:spacing w:after="0" w:line="240" w:lineRule="auto"/>
              <w:jc w:val="right"/>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110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6604FE" w:rsidRPr="00F876CB" w:rsidRDefault="006604FE" w:rsidP="006604FE">
            <w:pPr>
              <w:spacing w:after="0" w:line="240" w:lineRule="auto"/>
              <w:jc w:val="center"/>
              <w:rPr>
                <w:rFonts w:ascii="Times New Roman" w:eastAsia="Times New Roman" w:hAnsi="Times New Roman" w:cs="Times New Roman"/>
                <w:color w:val="000000"/>
                <w:sz w:val="24"/>
                <w:szCs w:val="24"/>
                <w:lang w:val="en-GB" w:eastAsia="tr-TR" w:bidi="ar-SA"/>
              </w:rPr>
            </w:pPr>
            <w:r w:rsidRPr="00F876CB">
              <w:rPr>
                <w:rFonts w:ascii="Times New Roman" w:eastAsia="Times New Roman" w:hAnsi="Times New Roman" w:cs="Times New Roman"/>
                <w:color w:val="000000"/>
                <w:sz w:val="24"/>
                <w:szCs w:val="24"/>
                <w:lang w:val="en-GB" w:eastAsia="tr-TR" w:bidi="ar-SA"/>
              </w:rPr>
              <w:t>0,00</w:t>
            </w:r>
          </w:p>
        </w:tc>
      </w:tr>
      <w:tr w:rsidR="006604FE" w:rsidRPr="00F876CB" w:rsidTr="006604FE">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6604FE" w:rsidRPr="00F876CB" w:rsidRDefault="006604FE" w:rsidP="006604FE">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To</w:t>
            </w:r>
            <w:r w:rsidR="00214E0A" w:rsidRPr="00F876CB">
              <w:rPr>
                <w:rFonts w:ascii="Times New Roman" w:eastAsia="Times New Roman" w:hAnsi="Times New Roman" w:cs="Times New Roman"/>
                <w:b/>
                <w:bCs/>
                <w:color w:val="FFFFFF"/>
                <w:sz w:val="24"/>
                <w:szCs w:val="24"/>
                <w:lang w:val="en-GB" w:eastAsia="tr-TR" w:bidi="ar-SA"/>
              </w:rPr>
              <w:t>tal</w:t>
            </w:r>
          </w:p>
        </w:tc>
        <w:tc>
          <w:tcPr>
            <w:tcW w:w="1417"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6604FE">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6604FE">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2.013</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0,45</w:t>
            </w:r>
          </w:p>
        </w:tc>
        <w:tc>
          <w:tcPr>
            <w:tcW w:w="1276"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6604FE">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68.204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C76689">
            <w:pPr>
              <w:spacing w:after="0" w:line="240" w:lineRule="auto"/>
              <w:jc w:val="right"/>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70.024</w:t>
            </w:r>
          </w:p>
        </w:tc>
        <w:tc>
          <w:tcPr>
            <w:tcW w:w="1134" w:type="dxa"/>
            <w:tcBorders>
              <w:top w:val="nil"/>
              <w:left w:val="nil"/>
              <w:bottom w:val="single" w:sz="8" w:space="0" w:color="auto"/>
              <w:right w:val="single" w:sz="8" w:space="0" w:color="auto"/>
            </w:tcBorders>
            <w:shd w:val="clear" w:color="000000" w:fill="FF5050"/>
            <w:noWrap/>
            <w:vAlign w:val="center"/>
            <w:hideMark/>
          </w:tcPr>
          <w:p w:rsidR="006604FE" w:rsidRPr="00F876CB" w:rsidRDefault="00C76689" w:rsidP="006604FE">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2,67</w:t>
            </w:r>
          </w:p>
        </w:tc>
      </w:tr>
    </w:tbl>
    <w:p w:rsidR="00252FDF" w:rsidRPr="00F876CB" w:rsidRDefault="00252FDF" w:rsidP="00252FDF">
      <w:pPr>
        <w:jc w:val="center"/>
        <w:rPr>
          <w:lang w:val="en-GB"/>
        </w:rPr>
      </w:pPr>
    </w:p>
    <w:p w:rsidR="00252FDF" w:rsidRPr="00F876CB" w:rsidRDefault="00252FDF" w:rsidP="00252FDF">
      <w:pPr>
        <w:jc w:val="center"/>
        <w:rPr>
          <w:lang w:val="en-GB"/>
        </w:rPr>
      </w:pPr>
    </w:p>
    <w:p w:rsidR="00252FDF" w:rsidRPr="00F876CB" w:rsidRDefault="00252FDF" w:rsidP="00252FDF">
      <w:pPr>
        <w:pStyle w:val="Balk6"/>
        <w:rPr>
          <w:lang w:val="en-GB"/>
        </w:rPr>
      </w:pPr>
      <w:bookmarkStart w:id="895" w:name="_Toc450307009"/>
      <w:bookmarkStart w:id="896" w:name="_Toc450307120"/>
      <w:bookmarkStart w:id="897" w:name="_Toc450307944"/>
    </w:p>
    <w:p w:rsidR="00252FDF" w:rsidRPr="00F876CB" w:rsidRDefault="00015994" w:rsidP="00252FDF">
      <w:pPr>
        <w:pStyle w:val="Balk6"/>
        <w:rPr>
          <w:lang w:val="en-GB"/>
        </w:rPr>
      </w:pPr>
      <w:bookmarkStart w:id="898" w:name="_Toc44508418"/>
      <w:r w:rsidRPr="00F876CB">
        <w:rPr>
          <w:lang w:val="en-GB"/>
        </w:rPr>
        <w:t>Figure</w:t>
      </w:r>
      <w:r w:rsidR="00252FDF" w:rsidRPr="00F876CB">
        <w:rPr>
          <w:lang w:val="en-GB"/>
        </w:rPr>
        <w:t xml:space="preserve"> </w:t>
      </w:r>
      <w:r w:rsidR="00C47B3A" w:rsidRPr="00F876CB">
        <w:rPr>
          <w:lang w:val="en-GB"/>
        </w:rPr>
        <w:t>4</w:t>
      </w:r>
      <w:r w:rsidR="00252FDF" w:rsidRPr="00F876CB">
        <w:rPr>
          <w:caps/>
          <w:lang w:val="en-GB"/>
        </w:rPr>
        <w:fldChar w:fldCharType="begin"/>
      </w:r>
      <w:r w:rsidR="00252FDF" w:rsidRPr="00F876CB">
        <w:rPr>
          <w:lang w:val="en-GB"/>
        </w:rPr>
        <w:instrText xml:space="preserve"> STYLEREF 1 \s </w:instrText>
      </w:r>
      <w:r w:rsidR="00252FDF" w:rsidRPr="00F876CB">
        <w:rPr>
          <w:caps/>
          <w:lang w:val="en-GB"/>
        </w:rPr>
        <w:fldChar w:fldCharType="end"/>
      </w:r>
      <w:r w:rsidR="00252FDF" w:rsidRPr="00F876CB">
        <w:rPr>
          <w:lang w:val="en-GB"/>
        </w:rPr>
        <w:t>.</w:t>
      </w:r>
      <w:r w:rsidR="00C47B3A" w:rsidRPr="00F876CB">
        <w:rPr>
          <w:lang w:val="en-GB"/>
        </w:rPr>
        <w:t>1</w:t>
      </w:r>
      <w:r w:rsidR="00252FDF" w:rsidRPr="00F876CB">
        <w:rPr>
          <w:lang w:val="en-GB"/>
        </w:rPr>
        <w:t xml:space="preserve">: </w:t>
      </w:r>
      <w:r w:rsidR="004B277E" w:rsidRPr="00F876CB">
        <w:rPr>
          <w:lang w:val="en-GB"/>
        </w:rPr>
        <w:t xml:space="preserve">Changes in TEİAŞ Transmission Line Lengths by Years </w:t>
      </w:r>
      <w:r w:rsidR="00252FDF" w:rsidRPr="00F876CB">
        <w:rPr>
          <w:lang w:val="en-GB"/>
        </w:rPr>
        <w:t>(km)</w:t>
      </w:r>
      <w:bookmarkEnd w:id="895"/>
      <w:bookmarkEnd w:id="896"/>
      <w:bookmarkEnd w:id="897"/>
      <w:bookmarkEnd w:id="898"/>
    </w:p>
    <w:p w:rsidR="00252FDF" w:rsidRPr="00F876CB" w:rsidRDefault="00487078" w:rsidP="00252FDF">
      <w:pPr>
        <w:jc w:val="center"/>
        <w:rPr>
          <w:lang w:val="en-GB"/>
        </w:rPr>
      </w:pPr>
      <w:r>
        <w:rPr>
          <w:noProof/>
          <w:lang w:eastAsia="tr-TR" w:bidi="ar-SA"/>
        </w:rPr>
        <w:drawing>
          <wp:inline distT="0" distB="0" distL="0" distR="0" wp14:anchorId="5D33EFD0">
            <wp:extent cx="5292090" cy="3030220"/>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292090" cy="3030220"/>
                    </a:xfrm>
                    <a:prstGeom prst="rect">
                      <a:avLst/>
                    </a:prstGeom>
                    <a:noFill/>
                  </pic:spPr>
                </pic:pic>
              </a:graphicData>
            </a:graphic>
          </wp:inline>
        </w:drawing>
      </w:r>
    </w:p>
    <w:p w:rsidR="00252FDF" w:rsidRPr="00F876CB" w:rsidRDefault="00252FDF" w:rsidP="00252FDF">
      <w:pPr>
        <w:rPr>
          <w:rFonts w:asciiTheme="minorHAnsi" w:hAnsiTheme="minorHAnsi" w:cstheme="minorHAnsi"/>
          <w:sz w:val="24"/>
          <w:szCs w:val="24"/>
          <w:lang w:val="en-GB"/>
        </w:rPr>
      </w:pPr>
    </w:p>
    <w:p w:rsidR="00252FDF" w:rsidRPr="00F876CB" w:rsidRDefault="004B277E" w:rsidP="00252FDF">
      <w:pPr>
        <w:rPr>
          <w:rFonts w:asciiTheme="minorHAnsi" w:hAnsiTheme="minorHAnsi" w:cstheme="minorHAnsi"/>
          <w:sz w:val="24"/>
          <w:szCs w:val="24"/>
          <w:lang w:val="en-GB"/>
        </w:rPr>
        <w:sectPr w:rsidR="00252FDF" w:rsidRPr="00F876CB" w:rsidSect="00151A3B">
          <w:pgSz w:w="11906" w:h="16838"/>
          <w:pgMar w:top="1418" w:right="1418" w:bottom="1418" w:left="1418" w:header="709" w:footer="709" w:gutter="0"/>
          <w:cols w:space="708"/>
          <w:docGrid w:linePitch="360"/>
        </w:sectPr>
      </w:pPr>
      <w:r w:rsidRPr="00F876CB">
        <w:rPr>
          <w:rFonts w:asciiTheme="minorHAnsi" w:hAnsiTheme="minorHAnsi" w:cstheme="minorHAnsi"/>
          <w:sz w:val="24"/>
          <w:szCs w:val="24"/>
          <w:lang w:val="en-GB"/>
        </w:rPr>
        <w:t xml:space="preserve">In the last 15 years, there </w:t>
      </w:r>
      <w:r w:rsidR="006F7D91">
        <w:rPr>
          <w:rFonts w:asciiTheme="minorHAnsi" w:hAnsiTheme="minorHAnsi" w:cstheme="minorHAnsi"/>
          <w:sz w:val="24"/>
          <w:szCs w:val="24"/>
          <w:lang w:val="en-GB"/>
        </w:rPr>
        <w:t>was a</w:t>
      </w:r>
      <w:r w:rsidRPr="00F876CB">
        <w:rPr>
          <w:rFonts w:asciiTheme="minorHAnsi" w:hAnsiTheme="minorHAnsi" w:cstheme="minorHAnsi"/>
          <w:sz w:val="24"/>
          <w:szCs w:val="24"/>
          <w:lang w:val="en-GB"/>
        </w:rPr>
        <w:t xml:space="preserve"> 52</w:t>
      </w:r>
      <w:r w:rsidR="006F7D91">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86% </w:t>
      </w:r>
      <w:r w:rsidR="006F7D91">
        <w:rPr>
          <w:rFonts w:asciiTheme="minorHAnsi" w:hAnsiTheme="minorHAnsi" w:cstheme="minorHAnsi"/>
          <w:sz w:val="24"/>
          <w:szCs w:val="24"/>
          <w:lang w:val="en-GB"/>
        </w:rPr>
        <w:t xml:space="preserve">increase </w:t>
      </w:r>
      <w:r w:rsidRPr="00F876CB">
        <w:rPr>
          <w:rFonts w:asciiTheme="minorHAnsi" w:hAnsiTheme="minorHAnsi" w:cstheme="minorHAnsi"/>
          <w:sz w:val="24"/>
          <w:szCs w:val="24"/>
          <w:lang w:val="en-GB"/>
        </w:rPr>
        <w:t xml:space="preserve">in transmission line lengths. </w:t>
      </w:r>
    </w:p>
    <w:p w:rsidR="00252FDF" w:rsidRPr="00F876CB" w:rsidRDefault="004B277E" w:rsidP="00A5413B">
      <w:pPr>
        <w:pStyle w:val="11ilebalayanlar"/>
        <w:numPr>
          <w:ilvl w:val="1"/>
          <w:numId w:val="9"/>
        </w:numPr>
        <w:rPr>
          <w:lang w:val="en-GB"/>
        </w:rPr>
      </w:pPr>
      <w:bookmarkStart w:id="899" w:name="_Toc44508302"/>
      <w:r w:rsidRPr="00F876CB">
        <w:rPr>
          <w:lang w:val="en-GB"/>
        </w:rPr>
        <w:lastRenderedPageBreak/>
        <w:t>Transmission System Connection Applications</w:t>
      </w:r>
      <w:bookmarkEnd w:id="899"/>
    </w:p>
    <w:p w:rsidR="00252FDF" w:rsidRPr="00F876CB" w:rsidRDefault="00252FDF" w:rsidP="00252FDF">
      <w:pPr>
        <w:pStyle w:val="11ilebalayanlar"/>
        <w:rPr>
          <w:lang w:val="en-GB"/>
        </w:rPr>
      </w:pPr>
    </w:p>
    <w:p w:rsidR="004B277E" w:rsidRPr="00487078" w:rsidRDefault="004B277E" w:rsidP="00CD5AFA">
      <w:pPr>
        <w:spacing w:line="360" w:lineRule="auto"/>
        <w:jc w:val="both"/>
        <w:rPr>
          <w:rFonts w:asciiTheme="minorHAnsi" w:hAnsiTheme="minorHAnsi" w:cstheme="minorHAnsi"/>
          <w:sz w:val="24"/>
          <w:szCs w:val="24"/>
          <w:lang w:val="en-GB"/>
        </w:rPr>
      </w:pPr>
      <w:r w:rsidRPr="00487078">
        <w:rPr>
          <w:rFonts w:asciiTheme="minorHAnsi" w:hAnsiTheme="minorHAnsi" w:cstheme="minorHAnsi"/>
          <w:sz w:val="24"/>
          <w:szCs w:val="24"/>
          <w:lang w:val="en-GB"/>
        </w:rPr>
        <w:t>The table below shows the number and capacity of applications made in 2019 for connection to the transmission system, as well as information about applications accepted, rejected and in the evaluation stage.</w:t>
      </w:r>
    </w:p>
    <w:p w:rsidR="00252FDF" w:rsidRPr="00F876CB" w:rsidRDefault="00015994" w:rsidP="00252FDF">
      <w:pPr>
        <w:pStyle w:val="Balk5"/>
        <w:rPr>
          <w:lang w:val="en-GB"/>
        </w:rPr>
      </w:pPr>
      <w:bookmarkStart w:id="900" w:name="_Toc44508341"/>
      <w:r w:rsidRPr="00F876CB">
        <w:rPr>
          <w:lang w:val="en-GB"/>
        </w:rPr>
        <w:t>Table</w:t>
      </w:r>
      <w:r w:rsidR="00252FDF" w:rsidRPr="00F876CB">
        <w:rPr>
          <w:lang w:val="en-GB"/>
        </w:rPr>
        <w:t xml:space="preserve"> </w:t>
      </w:r>
      <w:r w:rsidR="00C47B3A" w:rsidRPr="00F876CB">
        <w:rPr>
          <w:lang w:val="en-GB"/>
        </w:rPr>
        <w:t>4</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 xml:space="preserve">.3: </w:t>
      </w:r>
      <w:r w:rsidR="004B277E" w:rsidRPr="00F876CB">
        <w:rPr>
          <w:lang w:val="en-GB"/>
        </w:rPr>
        <w:t>Connection Applications to the Transmission System (Number-MW)</w:t>
      </w:r>
      <w:bookmarkEnd w:id="900"/>
    </w:p>
    <w:tbl>
      <w:tblPr>
        <w:tblW w:w="9654" w:type="dxa"/>
        <w:tblInd w:w="55" w:type="dxa"/>
        <w:tblLayout w:type="fixed"/>
        <w:tblCellMar>
          <w:left w:w="70" w:type="dxa"/>
          <w:right w:w="70" w:type="dxa"/>
        </w:tblCellMar>
        <w:tblLook w:val="04A0" w:firstRow="1" w:lastRow="0" w:firstColumn="1" w:lastColumn="0" w:noHBand="0" w:noVBand="1"/>
      </w:tblPr>
      <w:tblGrid>
        <w:gridCol w:w="1660"/>
        <w:gridCol w:w="969"/>
        <w:gridCol w:w="1072"/>
        <w:gridCol w:w="912"/>
        <w:gridCol w:w="1072"/>
        <w:gridCol w:w="913"/>
        <w:gridCol w:w="1072"/>
        <w:gridCol w:w="992"/>
        <w:gridCol w:w="992"/>
      </w:tblGrid>
      <w:tr w:rsidR="00BD499D" w:rsidRPr="00F876CB" w:rsidTr="009238DB">
        <w:trPr>
          <w:trHeight w:val="209"/>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D499D" w:rsidRPr="00F876CB" w:rsidRDefault="00BD499D" w:rsidP="00BD499D">
            <w:pPr>
              <w:spacing w:after="0" w:line="240" w:lineRule="auto"/>
              <w:rPr>
                <w:rFonts w:ascii="Calibri" w:eastAsia="Times New Roman" w:hAnsi="Calibri" w:cs="Times New Roman"/>
                <w:color w:val="FFFFFF"/>
                <w:lang w:val="en-GB" w:eastAsia="tr-TR" w:bidi="ar-SA"/>
              </w:rPr>
            </w:pPr>
            <w:r w:rsidRPr="00F876CB">
              <w:rPr>
                <w:rFonts w:ascii="Calibri" w:eastAsia="Times New Roman" w:hAnsi="Calibri" w:cs="Times New Roman"/>
                <w:color w:val="FFFFFF"/>
                <w:lang w:val="en-GB" w:eastAsia="tr-TR" w:bidi="ar-SA"/>
              </w:rPr>
              <w:t> </w:t>
            </w:r>
          </w:p>
        </w:tc>
        <w:tc>
          <w:tcPr>
            <w:tcW w:w="2041"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Connection Application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proofErr w:type="spellStart"/>
            <w:r w:rsidRPr="00F876CB">
              <w:rPr>
                <w:rFonts w:ascii="Calibri" w:eastAsia="Times New Roman" w:hAnsi="Calibri" w:cs="Times New Roman"/>
                <w:b/>
                <w:bCs/>
                <w:color w:val="FFFFFF"/>
                <w:lang w:val="en-GB" w:eastAsia="tr-TR" w:bidi="ar-SA"/>
              </w:rPr>
              <w:t>Acccepted</w:t>
            </w:r>
            <w:proofErr w:type="spellEnd"/>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Rejected</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In the Evaluation Stage</w:t>
            </w:r>
          </w:p>
        </w:tc>
      </w:tr>
      <w:tr w:rsidR="007F4721" w:rsidRPr="00F876CB" w:rsidTr="00487078">
        <w:trPr>
          <w:trHeight w:val="231"/>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BD499D" w:rsidRPr="00F876CB" w:rsidRDefault="00BD499D" w:rsidP="00BD499D">
            <w:pPr>
              <w:spacing w:after="0" w:line="240" w:lineRule="auto"/>
              <w:rPr>
                <w:rFonts w:ascii="Calibri" w:eastAsia="Times New Roman" w:hAnsi="Calibri" w:cs="Times New Roman"/>
                <w:color w:val="FFFFFF"/>
                <w:lang w:val="en-GB" w:eastAsia="tr-TR" w:bidi="ar-SA"/>
              </w:rPr>
            </w:pPr>
          </w:p>
        </w:tc>
        <w:tc>
          <w:tcPr>
            <w:tcW w:w="969"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Number</w:t>
            </w:r>
          </w:p>
        </w:tc>
        <w:tc>
          <w:tcPr>
            <w:tcW w:w="1072"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Capacity</w:t>
            </w:r>
            <w:r w:rsidR="00BD499D" w:rsidRPr="00F876CB">
              <w:rPr>
                <w:rFonts w:ascii="Calibri" w:eastAsia="Times New Roman" w:hAnsi="Calibri" w:cs="Times New Roman"/>
                <w:b/>
                <w:bCs/>
                <w:color w:val="FFFFFF"/>
                <w:lang w:val="en-GB" w:eastAsia="tr-TR" w:bidi="ar-SA"/>
              </w:rPr>
              <w:t xml:space="preserve"> (MW)</w:t>
            </w:r>
          </w:p>
        </w:tc>
        <w:tc>
          <w:tcPr>
            <w:tcW w:w="912"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487078">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Number </w:t>
            </w:r>
          </w:p>
        </w:tc>
        <w:tc>
          <w:tcPr>
            <w:tcW w:w="1072"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Capacity</w:t>
            </w:r>
            <w:r w:rsidR="00BD499D" w:rsidRPr="00F876CB">
              <w:rPr>
                <w:rFonts w:ascii="Calibri" w:eastAsia="Times New Roman" w:hAnsi="Calibri" w:cs="Times New Roman"/>
                <w:b/>
                <w:bCs/>
                <w:color w:val="FFFFFF"/>
                <w:lang w:val="en-GB" w:eastAsia="tr-TR" w:bidi="ar-SA"/>
              </w:rPr>
              <w:t xml:space="preserve"> (MW)</w:t>
            </w:r>
          </w:p>
        </w:tc>
        <w:tc>
          <w:tcPr>
            <w:tcW w:w="913"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487078">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Number </w:t>
            </w:r>
          </w:p>
        </w:tc>
        <w:tc>
          <w:tcPr>
            <w:tcW w:w="1072"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BD499D">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Capacity</w:t>
            </w:r>
            <w:r w:rsidR="00BD499D" w:rsidRPr="00F876CB">
              <w:rPr>
                <w:rFonts w:ascii="Calibri" w:eastAsia="Times New Roman" w:hAnsi="Calibri" w:cs="Times New Roman"/>
                <w:b/>
                <w:bCs/>
                <w:color w:val="FFFFFF"/>
                <w:lang w:val="en-GB" w:eastAsia="tr-TR" w:bidi="ar-SA"/>
              </w:rPr>
              <w:t xml:space="preserve">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F876CB" w:rsidRDefault="004B277E" w:rsidP="00487078">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Number </w:t>
            </w:r>
          </w:p>
        </w:tc>
        <w:tc>
          <w:tcPr>
            <w:tcW w:w="992" w:type="dxa"/>
            <w:tcBorders>
              <w:top w:val="nil"/>
              <w:left w:val="nil"/>
              <w:bottom w:val="single" w:sz="8" w:space="0" w:color="auto"/>
              <w:right w:val="single" w:sz="8" w:space="0" w:color="auto"/>
            </w:tcBorders>
            <w:shd w:val="clear" w:color="000000" w:fill="FF0000"/>
            <w:vAlign w:val="center"/>
            <w:hideMark/>
          </w:tcPr>
          <w:p w:rsidR="00487078" w:rsidRDefault="004B277E" w:rsidP="00BD499D">
            <w:pPr>
              <w:spacing w:after="0" w:line="240" w:lineRule="auto"/>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Capacity</w:t>
            </w:r>
            <w:r w:rsidR="00BD499D" w:rsidRPr="00F876CB">
              <w:rPr>
                <w:rFonts w:ascii="Calibri" w:eastAsia="Times New Roman" w:hAnsi="Calibri" w:cs="Times New Roman"/>
                <w:b/>
                <w:bCs/>
                <w:color w:val="FFFFFF"/>
                <w:lang w:val="en-GB" w:eastAsia="tr-TR" w:bidi="ar-SA"/>
              </w:rPr>
              <w:t xml:space="preserve"> </w:t>
            </w:r>
            <w:r w:rsidR="00487078">
              <w:rPr>
                <w:rFonts w:ascii="Calibri" w:eastAsia="Times New Roman" w:hAnsi="Calibri" w:cs="Times New Roman"/>
                <w:b/>
                <w:bCs/>
                <w:color w:val="FFFFFF"/>
                <w:lang w:val="en-GB" w:eastAsia="tr-TR" w:bidi="ar-SA"/>
              </w:rPr>
              <w:t xml:space="preserve">   </w:t>
            </w:r>
          </w:p>
          <w:p w:rsidR="00BD499D" w:rsidRPr="00F876CB" w:rsidRDefault="00487078" w:rsidP="00BD499D">
            <w:pPr>
              <w:spacing w:after="0" w:line="240" w:lineRule="auto"/>
              <w:rPr>
                <w:rFonts w:ascii="Calibri" w:eastAsia="Times New Roman" w:hAnsi="Calibri" w:cs="Times New Roman"/>
                <w:b/>
                <w:bCs/>
                <w:color w:val="FFFFFF"/>
                <w:lang w:val="en-GB" w:eastAsia="tr-TR" w:bidi="ar-SA"/>
              </w:rPr>
            </w:pPr>
            <w:r>
              <w:rPr>
                <w:rFonts w:ascii="Calibri" w:eastAsia="Times New Roman" w:hAnsi="Calibri" w:cs="Times New Roman"/>
                <w:b/>
                <w:bCs/>
                <w:color w:val="FFFFFF"/>
                <w:lang w:val="en-GB" w:eastAsia="tr-TR" w:bidi="ar-SA"/>
              </w:rPr>
              <w:t xml:space="preserve">   </w:t>
            </w:r>
            <w:r w:rsidR="00BD499D" w:rsidRPr="00F876CB">
              <w:rPr>
                <w:rFonts w:ascii="Calibri" w:eastAsia="Times New Roman" w:hAnsi="Calibri" w:cs="Times New Roman"/>
                <w:b/>
                <w:bCs/>
                <w:color w:val="FFFFFF"/>
                <w:lang w:val="en-GB" w:eastAsia="tr-TR" w:bidi="ar-SA"/>
              </w:rPr>
              <w:t>(MW)</w:t>
            </w:r>
          </w:p>
        </w:tc>
      </w:tr>
      <w:tr w:rsidR="00C46293" w:rsidRPr="00F876CB" w:rsidTr="00487078">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F876CB" w:rsidRDefault="004B277E" w:rsidP="00BD499D">
            <w:pPr>
              <w:spacing w:after="0" w:line="240" w:lineRule="auto"/>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Licensed Producers</w:t>
            </w:r>
          </w:p>
        </w:tc>
        <w:tc>
          <w:tcPr>
            <w:tcW w:w="969"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88</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1.813,12</w:t>
            </w:r>
          </w:p>
        </w:tc>
        <w:tc>
          <w:tcPr>
            <w:tcW w:w="91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88</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1.813,12</w:t>
            </w:r>
          </w:p>
        </w:tc>
        <w:tc>
          <w:tcPr>
            <w:tcW w:w="913"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w:t>
            </w:r>
            <w:r w:rsidR="00C46293" w:rsidRPr="00F876CB">
              <w:rPr>
                <w:rFonts w:ascii="Calibri" w:hAnsi="Calibri"/>
                <w:color w:val="000000"/>
                <w:lang w:val="en-GB"/>
              </w:rPr>
              <w:t> </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0,00</w:t>
            </w:r>
            <w:r w:rsidR="00C46293" w:rsidRPr="00F876CB">
              <w:rPr>
                <w:rFonts w:ascii="Calibri" w:hAnsi="Calibri"/>
                <w:color w:val="000000"/>
                <w:lang w:val="en-GB"/>
              </w:rPr>
              <w:t> </w:t>
            </w:r>
          </w:p>
        </w:tc>
        <w:tc>
          <w:tcPr>
            <w:tcW w:w="99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w:t>
            </w:r>
          </w:p>
        </w:tc>
        <w:tc>
          <w:tcPr>
            <w:tcW w:w="99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0,00</w:t>
            </w:r>
          </w:p>
        </w:tc>
      </w:tr>
      <w:tr w:rsidR="007F4721" w:rsidRPr="00F876CB" w:rsidTr="00487078">
        <w:trPr>
          <w:trHeight w:val="288"/>
        </w:trPr>
        <w:tc>
          <w:tcPr>
            <w:tcW w:w="1660" w:type="dxa"/>
            <w:tcBorders>
              <w:top w:val="nil"/>
              <w:left w:val="single" w:sz="8" w:space="0" w:color="auto"/>
              <w:bottom w:val="single" w:sz="8" w:space="0" w:color="auto"/>
              <w:right w:val="single" w:sz="8" w:space="0" w:color="auto"/>
            </w:tcBorders>
            <w:shd w:val="clear" w:color="000000" w:fill="FF5050"/>
            <w:noWrap/>
            <w:vAlign w:val="center"/>
          </w:tcPr>
          <w:p w:rsidR="007F4721" w:rsidRPr="00F876CB" w:rsidRDefault="004B277E" w:rsidP="00BD499D">
            <w:pPr>
              <w:spacing w:after="0" w:line="240" w:lineRule="auto"/>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Unlicensed Producers</w:t>
            </w:r>
          </w:p>
        </w:tc>
        <w:tc>
          <w:tcPr>
            <w:tcW w:w="969"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7</w:t>
            </w:r>
          </w:p>
        </w:tc>
        <w:tc>
          <w:tcPr>
            <w:tcW w:w="107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58,26</w:t>
            </w:r>
          </w:p>
        </w:tc>
        <w:tc>
          <w:tcPr>
            <w:tcW w:w="91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6</w:t>
            </w:r>
          </w:p>
        </w:tc>
        <w:tc>
          <w:tcPr>
            <w:tcW w:w="107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48,66</w:t>
            </w:r>
          </w:p>
        </w:tc>
        <w:tc>
          <w:tcPr>
            <w:tcW w:w="913"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0</w:t>
            </w:r>
          </w:p>
        </w:tc>
        <w:tc>
          <w:tcPr>
            <w:tcW w:w="107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0,00</w:t>
            </w:r>
          </w:p>
        </w:tc>
        <w:tc>
          <w:tcPr>
            <w:tcW w:w="99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1</w:t>
            </w:r>
          </w:p>
        </w:tc>
        <w:tc>
          <w:tcPr>
            <w:tcW w:w="992" w:type="dxa"/>
            <w:tcBorders>
              <w:top w:val="nil"/>
              <w:left w:val="nil"/>
              <w:bottom w:val="single" w:sz="8" w:space="0" w:color="auto"/>
              <w:right w:val="single" w:sz="8" w:space="0" w:color="auto"/>
            </w:tcBorders>
            <w:shd w:val="clear" w:color="auto" w:fill="auto"/>
            <w:noWrap/>
            <w:vAlign w:val="bottom"/>
          </w:tcPr>
          <w:p w:rsidR="007F4721" w:rsidRPr="00F876CB" w:rsidRDefault="007F4721" w:rsidP="00C46293">
            <w:pPr>
              <w:jc w:val="right"/>
              <w:rPr>
                <w:rFonts w:ascii="Calibri" w:hAnsi="Calibri"/>
                <w:color w:val="000000"/>
                <w:lang w:val="en-GB"/>
              </w:rPr>
            </w:pPr>
            <w:r w:rsidRPr="00F876CB">
              <w:rPr>
                <w:rFonts w:ascii="Calibri" w:hAnsi="Calibri"/>
                <w:color w:val="000000"/>
                <w:lang w:val="en-GB"/>
              </w:rPr>
              <w:t>9,60</w:t>
            </w:r>
          </w:p>
        </w:tc>
      </w:tr>
      <w:tr w:rsidR="00C46293" w:rsidRPr="00F876CB" w:rsidTr="00487078">
        <w:trPr>
          <w:trHeight w:val="22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C46293" w:rsidRPr="00F876CB" w:rsidRDefault="004B277E" w:rsidP="00BD499D">
            <w:pPr>
              <w:spacing w:after="0" w:line="240" w:lineRule="auto"/>
              <w:rPr>
                <w:rFonts w:ascii="Arial" w:eastAsia="Times New Roman" w:hAnsi="Arial" w:cs="Arial"/>
                <w:b/>
                <w:bCs/>
                <w:color w:val="FFFFFF"/>
                <w:sz w:val="20"/>
                <w:szCs w:val="20"/>
                <w:lang w:val="en-GB" w:eastAsia="tr-TR" w:bidi="ar-SA"/>
              </w:rPr>
            </w:pPr>
            <w:r w:rsidRPr="00F876CB">
              <w:rPr>
                <w:rFonts w:ascii="Arial" w:eastAsia="Times New Roman" w:hAnsi="Arial" w:cs="Arial"/>
                <w:b/>
                <w:bCs/>
                <w:color w:val="FFFFFF"/>
                <w:sz w:val="20"/>
                <w:szCs w:val="20"/>
                <w:lang w:val="en-GB" w:eastAsia="tr-TR" w:bidi="ar-SA"/>
              </w:rPr>
              <w:t>Consumer</w:t>
            </w:r>
          </w:p>
        </w:tc>
        <w:tc>
          <w:tcPr>
            <w:tcW w:w="969"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16</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1.087,00</w:t>
            </w:r>
          </w:p>
        </w:tc>
        <w:tc>
          <w:tcPr>
            <w:tcW w:w="91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15</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837,00</w:t>
            </w:r>
          </w:p>
        </w:tc>
        <w:tc>
          <w:tcPr>
            <w:tcW w:w="913"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w:t>
            </w:r>
          </w:p>
        </w:tc>
        <w:tc>
          <w:tcPr>
            <w:tcW w:w="107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0,00</w:t>
            </w:r>
          </w:p>
        </w:tc>
        <w:tc>
          <w:tcPr>
            <w:tcW w:w="99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1</w:t>
            </w:r>
          </w:p>
        </w:tc>
        <w:tc>
          <w:tcPr>
            <w:tcW w:w="992" w:type="dxa"/>
            <w:tcBorders>
              <w:top w:val="nil"/>
              <w:left w:val="nil"/>
              <w:bottom w:val="single" w:sz="8" w:space="0" w:color="auto"/>
              <w:right w:val="single" w:sz="8" w:space="0" w:color="auto"/>
            </w:tcBorders>
            <w:shd w:val="clear" w:color="auto" w:fill="auto"/>
            <w:noWrap/>
            <w:vAlign w:val="bottom"/>
          </w:tcPr>
          <w:p w:rsidR="00C46293" w:rsidRPr="00F876CB" w:rsidRDefault="007F4721" w:rsidP="00C46293">
            <w:pPr>
              <w:jc w:val="right"/>
              <w:rPr>
                <w:rFonts w:ascii="Calibri" w:hAnsi="Calibri"/>
                <w:color w:val="000000"/>
                <w:lang w:val="en-GB"/>
              </w:rPr>
            </w:pPr>
            <w:r w:rsidRPr="00F876CB">
              <w:rPr>
                <w:rFonts w:ascii="Calibri" w:hAnsi="Calibri"/>
                <w:color w:val="000000"/>
                <w:lang w:val="en-GB"/>
              </w:rPr>
              <w:t>250,00</w:t>
            </w:r>
          </w:p>
        </w:tc>
      </w:tr>
    </w:tbl>
    <w:p w:rsidR="00252FDF" w:rsidRPr="00F876CB" w:rsidRDefault="00252FDF" w:rsidP="00252FDF">
      <w:pPr>
        <w:pStyle w:val="11ilebalayanlar"/>
        <w:rPr>
          <w:lang w:val="en-GB"/>
        </w:rPr>
      </w:pPr>
    </w:p>
    <w:p w:rsidR="006A36E7" w:rsidRPr="00F876CB" w:rsidRDefault="006A36E7" w:rsidP="00CD5A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In 2019, a total of 1</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813</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12 MW connection applications were made by licensed </w:t>
      </w:r>
      <w:r w:rsidR="00D925E4">
        <w:rPr>
          <w:rFonts w:asciiTheme="minorHAnsi" w:hAnsiTheme="minorHAnsi" w:cstheme="minorHAnsi"/>
          <w:sz w:val="24"/>
          <w:szCs w:val="24"/>
          <w:lang w:val="en-GB"/>
        </w:rPr>
        <w:t>producers</w:t>
      </w:r>
      <w:r w:rsidRPr="00F876CB">
        <w:rPr>
          <w:rFonts w:asciiTheme="minorHAnsi" w:hAnsiTheme="minorHAnsi" w:cstheme="minorHAnsi"/>
          <w:sz w:val="24"/>
          <w:szCs w:val="24"/>
          <w:lang w:val="en-GB"/>
        </w:rPr>
        <w:t xml:space="preserve"> and all of these applications were made.</w:t>
      </w:r>
    </w:p>
    <w:p w:rsidR="006A36E7" w:rsidRPr="00F876CB" w:rsidRDefault="006A36E7" w:rsidP="00CD5A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In addition, applications for connection capacity of 58</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26 MW have been made by unlicensed </w:t>
      </w:r>
      <w:r w:rsidR="00D925E4">
        <w:rPr>
          <w:rFonts w:asciiTheme="minorHAnsi" w:hAnsiTheme="minorHAnsi" w:cstheme="minorHAnsi"/>
          <w:sz w:val="24"/>
          <w:szCs w:val="24"/>
          <w:lang w:val="en-GB"/>
        </w:rPr>
        <w:t>producers</w:t>
      </w:r>
      <w:r w:rsidRPr="00F876CB">
        <w:rPr>
          <w:rFonts w:asciiTheme="minorHAnsi" w:hAnsiTheme="minorHAnsi" w:cstheme="minorHAnsi"/>
          <w:sz w:val="24"/>
          <w:szCs w:val="24"/>
          <w:lang w:val="en-GB"/>
        </w:rPr>
        <w:t>, 48</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66 MW of these applications have been accepted, and 1 application of 9</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60 MW is in the evaluation stage.</w:t>
      </w:r>
    </w:p>
    <w:p w:rsidR="00252FDF" w:rsidRPr="00F876CB" w:rsidRDefault="006A36E7" w:rsidP="00CD5A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On the other hand, a connection capacity application of 1.087,00 MW has been made by consumers, 837</w:t>
      </w:r>
      <w:r w:rsidR="00E5054B">
        <w:rPr>
          <w:rFonts w:asciiTheme="minorHAnsi" w:hAnsiTheme="minorHAnsi" w:cstheme="minorHAnsi"/>
          <w:sz w:val="24"/>
          <w:szCs w:val="24"/>
          <w:lang w:val="en-GB"/>
        </w:rPr>
        <w:t>,</w:t>
      </w:r>
      <w:r w:rsidRPr="00F876CB">
        <w:rPr>
          <w:rFonts w:asciiTheme="minorHAnsi" w:hAnsiTheme="minorHAnsi" w:cstheme="minorHAnsi"/>
          <w:sz w:val="24"/>
          <w:szCs w:val="24"/>
          <w:lang w:val="en-GB"/>
        </w:rPr>
        <w:t>00 MW of these applications have been accepted and the remaining 250,00 MW is still under evaluation.</w:t>
      </w:r>
    </w:p>
    <w:p w:rsidR="00252FDF" w:rsidRDefault="00252FDF" w:rsidP="00DB31D9">
      <w:pPr>
        <w:pStyle w:val="11ilebalayanlar"/>
        <w:numPr>
          <w:ilvl w:val="1"/>
          <w:numId w:val="9"/>
        </w:numPr>
        <w:rPr>
          <w:lang w:val="en-GB"/>
        </w:rPr>
      </w:pPr>
      <w:bookmarkStart w:id="901" w:name="_Toc44508303"/>
      <w:r w:rsidRPr="00F876CB">
        <w:rPr>
          <w:lang w:val="en-GB"/>
        </w:rPr>
        <w:t>Tar</w:t>
      </w:r>
      <w:r w:rsidR="00DB31D9" w:rsidRPr="00F876CB">
        <w:rPr>
          <w:lang w:val="en-GB"/>
        </w:rPr>
        <w:t>iffs</w:t>
      </w:r>
      <w:bookmarkEnd w:id="901"/>
    </w:p>
    <w:p w:rsidR="00D925E4" w:rsidRPr="00F876CB" w:rsidRDefault="00D925E4" w:rsidP="00D925E4">
      <w:pPr>
        <w:pStyle w:val="11ilebalayanlar"/>
        <w:ind w:left="576"/>
        <w:rPr>
          <w:lang w:val="en-GB"/>
        </w:rPr>
      </w:pPr>
    </w:p>
    <w:p w:rsidR="00DB31D9" w:rsidRPr="00F876CB" w:rsidRDefault="00DB31D9" w:rsidP="00CD5A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Transmission system </w:t>
      </w:r>
      <w:proofErr w:type="spellStart"/>
      <w:r w:rsidRPr="00F876CB">
        <w:rPr>
          <w:rFonts w:asciiTheme="minorHAnsi" w:hAnsiTheme="minorHAnsi" w:cstheme="minorHAnsi"/>
          <w:sz w:val="24"/>
          <w:szCs w:val="24"/>
          <w:lang w:val="en-GB"/>
        </w:rPr>
        <w:t>system</w:t>
      </w:r>
      <w:proofErr w:type="spellEnd"/>
      <w:r w:rsidRPr="00F876CB">
        <w:rPr>
          <w:rFonts w:asciiTheme="minorHAnsi" w:hAnsiTheme="minorHAnsi" w:cstheme="minorHAnsi"/>
          <w:sz w:val="24"/>
          <w:szCs w:val="24"/>
          <w:lang w:val="en-GB"/>
        </w:rPr>
        <w:t xml:space="preserve"> usage and system operation tariffs applied by TEİAŞ to be implemented as of 01/01/2019 have been determined by the Board Decision dated 20/12/2018 and numbered 8272 for manufacturers and consumers on 14 regions basis. In addition, with the Decision No. 8121, dated 12/10/2018, in accordance with subparagraph (h) of sub-paragraph (h) and sub-paragraph (e) of sub-paragraph (a) of Article 5 of the Law on the Organization and Duties of the Energy Market Regulatory Authority No. 4628 2019 in the applied transmission surcharge, Turkey Electricity transmission Corporation 0</w:t>
      </w:r>
      <w:r w:rsidR="00CD5AFA">
        <w:rPr>
          <w:rFonts w:asciiTheme="minorHAnsi" w:hAnsiTheme="minorHAnsi" w:cstheme="minorHAnsi"/>
          <w:sz w:val="24"/>
          <w:szCs w:val="24"/>
          <w:lang w:val="en-GB"/>
        </w:rPr>
        <w:t>,</w:t>
      </w:r>
      <w:r w:rsidRPr="00F876CB">
        <w:rPr>
          <w:rFonts w:asciiTheme="minorHAnsi" w:hAnsiTheme="minorHAnsi" w:cstheme="minorHAnsi"/>
          <w:sz w:val="24"/>
          <w:szCs w:val="24"/>
          <w:lang w:val="en-GB"/>
        </w:rPr>
        <w:t>5% of the</w:t>
      </w:r>
      <w:r w:rsidR="00CD5AFA">
        <w:rPr>
          <w:rFonts w:asciiTheme="minorHAnsi" w:hAnsiTheme="minorHAnsi" w:cstheme="minorHAnsi"/>
          <w:sz w:val="24"/>
          <w:szCs w:val="24"/>
          <w:lang w:val="en-GB"/>
        </w:rPr>
        <w:t xml:space="preserve"> company's transmission tariffs</w:t>
      </w:r>
      <w:r w:rsidRPr="00F876CB">
        <w:rPr>
          <w:rFonts w:asciiTheme="minorHAnsi" w:hAnsiTheme="minorHAnsi" w:cstheme="minorHAnsi"/>
          <w:sz w:val="24"/>
          <w:szCs w:val="24"/>
          <w:lang w:val="en-GB"/>
        </w:rPr>
        <w:t xml:space="preserve"> ratio is determined.</w:t>
      </w:r>
    </w:p>
    <w:p w:rsidR="00DB31D9" w:rsidRPr="00F876CB" w:rsidRDefault="00DB31D9" w:rsidP="00DB31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GB" w:eastAsia="tr-TR" w:bidi="ar-SA"/>
        </w:rPr>
      </w:pPr>
      <w:bookmarkStart w:id="902" w:name="_Ref402426935"/>
      <w:bookmarkStart w:id="903" w:name="_Toc450300309"/>
      <w:bookmarkStart w:id="904" w:name="_Toc450309969"/>
      <w:r w:rsidRPr="00F876CB">
        <w:rPr>
          <w:rFonts w:ascii="Times New Roman" w:eastAsia="Times New Roman" w:hAnsi="Times New Roman" w:cs="Times New Roman"/>
          <w:color w:val="212121"/>
          <w:sz w:val="24"/>
          <w:szCs w:val="24"/>
          <w:lang w:val="en-GB" w:eastAsia="tr-TR" w:bidi="ar-SA"/>
        </w:rPr>
        <w:lastRenderedPageBreak/>
        <w:t>System use and system operation tariffs implemented in 20</w:t>
      </w:r>
      <w:r w:rsidR="00D925E4">
        <w:rPr>
          <w:rFonts w:ascii="Times New Roman" w:eastAsia="Times New Roman" w:hAnsi="Times New Roman" w:cs="Times New Roman"/>
          <w:color w:val="212121"/>
          <w:sz w:val="24"/>
          <w:szCs w:val="24"/>
          <w:lang w:val="en-GB" w:eastAsia="tr-TR" w:bidi="ar-SA"/>
        </w:rPr>
        <w:t>19</w:t>
      </w:r>
      <w:r w:rsidRPr="00F876CB">
        <w:rPr>
          <w:rFonts w:ascii="Times New Roman" w:eastAsia="Times New Roman" w:hAnsi="Times New Roman" w:cs="Times New Roman"/>
          <w:color w:val="212121"/>
          <w:sz w:val="24"/>
          <w:szCs w:val="24"/>
          <w:lang w:val="en-GB" w:eastAsia="tr-TR" w:bidi="ar-SA"/>
        </w:rPr>
        <w:t xml:space="preserve"> are shown in Table 4.4 for production and consumption in 14 regions.</w:t>
      </w:r>
    </w:p>
    <w:p w:rsidR="00252FDF" w:rsidRPr="00F876CB" w:rsidRDefault="00015994" w:rsidP="00252FDF">
      <w:pPr>
        <w:pStyle w:val="Balk5"/>
        <w:rPr>
          <w:lang w:val="en-GB"/>
        </w:rPr>
      </w:pPr>
      <w:bookmarkStart w:id="905" w:name="_Toc44508342"/>
      <w:r w:rsidRPr="00F876CB">
        <w:rPr>
          <w:lang w:val="en-GB"/>
        </w:rPr>
        <w:t>Table</w:t>
      </w:r>
      <w:r w:rsidR="00252FDF" w:rsidRPr="00F876CB">
        <w:rPr>
          <w:lang w:val="en-GB"/>
        </w:rPr>
        <w:t xml:space="preserve"> </w:t>
      </w:r>
      <w:r w:rsidR="00C47B3A" w:rsidRPr="00F876CB">
        <w:rPr>
          <w:lang w:val="en-GB"/>
        </w:rPr>
        <w:t>4</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B57767" w:rsidRPr="00F876CB">
        <w:rPr>
          <w:lang w:val="en-GB"/>
        </w:rPr>
        <w:t>4</w:t>
      </w:r>
      <w:r w:rsidR="00252FDF" w:rsidRPr="00F876CB">
        <w:rPr>
          <w:lang w:val="en-GB"/>
        </w:rPr>
        <w:t xml:space="preserve">: </w:t>
      </w:r>
      <w:bookmarkEnd w:id="902"/>
      <w:bookmarkEnd w:id="903"/>
      <w:bookmarkEnd w:id="904"/>
      <w:r w:rsidR="00DB31D9" w:rsidRPr="00F876CB">
        <w:rPr>
          <w:lang w:val="en-GB"/>
        </w:rPr>
        <w:t>System Usage and System Operation Tariffs Applied in 2019 (TL/MW-Year, TL/MWh)</w:t>
      </w:r>
      <w:bookmarkEnd w:id="905"/>
    </w:p>
    <w:tbl>
      <w:tblPr>
        <w:tblW w:w="9062" w:type="dxa"/>
        <w:jc w:val="center"/>
        <w:tblCellMar>
          <w:left w:w="70" w:type="dxa"/>
          <w:right w:w="70" w:type="dxa"/>
        </w:tblCellMar>
        <w:tblLook w:val="04A0" w:firstRow="1" w:lastRow="0" w:firstColumn="1" w:lastColumn="0" w:noHBand="0" w:noVBand="1"/>
      </w:tblPr>
      <w:tblGrid>
        <w:gridCol w:w="878"/>
        <w:gridCol w:w="1464"/>
        <w:gridCol w:w="984"/>
        <w:gridCol w:w="1451"/>
        <w:gridCol w:w="1428"/>
        <w:gridCol w:w="1049"/>
        <w:gridCol w:w="1808"/>
      </w:tblGrid>
      <w:tr w:rsidR="009238DB" w:rsidRPr="00F876CB" w:rsidTr="00D925E4">
        <w:trPr>
          <w:trHeight w:val="297"/>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9238DB" w:rsidRPr="00F876CB" w:rsidRDefault="00584DCD"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Region No.</w:t>
            </w:r>
          </w:p>
        </w:tc>
        <w:tc>
          <w:tcPr>
            <w:tcW w:w="3899" w:type="dxa"/>
            <w:gridSpan w:val="3"/>
            <w:tcBorders>
              <w:top w:val="single" w:sz="8" w:space="0" w:color="auto"/>
              <w:left w:val="nil"/>
              <w:bottom w:val="single" w:sz="8" w:space="0" w:color="auto"/>
              <w:right w:val="single" w:sz="8" w:space="0" w:color="000000"/>
            </w:tcBorders>
            <w:shd w:val="clear" w:color="000000" w:fill="FF0000"/>
            <w:vAlign w:val="center"/>
            <w:hideMark/>
          </w:tcPr>
          <w:p w:rsidR="009238DB" w:rsidRPr="00F876CB" w:rsidRDefault="00584DCD"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Generation</w:t>
            </w:r>
            <w:r w:rsidR="009238DB" w:rsidRPr="00F876CB">
              <w:rPr>
                <w:rFonts w:ascii="Times New Roman" w:eastAsia="Times New Roman" w:hAnsi="Times New Roman" w:cs="Times New Roman"/>
                <w:color w:val="FFFFFF"/>
                <w:lang w:val="en-GB" w:eastAsia="tr-TR" w:bidi="ar-SA"/>
              </w:rPr>
              <w:t xml:space="preserve"> (*) (**)</w:t>
            </w:r>
          </w:p>
        </w:tc>
        <w:tc>
          <w:tcPr>
            <w:tcW w:w="4285" w:type="dxa"/>
            <w:gridSpan w:val="3"/>
            <w:tcBorders>
              <w:top w:val="single" w:sz="8" w:space="0" w:color="auto"/>
              <w:left w:val="nil"/>
              <w:bottom w:val="single" w:sz="8" w:space="0" w:color="auto"/>
              <w:right w:val="single" w:sz="8" w:space="0" w:color="000000"/>
            </w:tcBorders>
            <w:shd w:val="clear" w:color="000000" w:fill="FF0000"/>
            <w:vAlign w:val="center"/>
            <w:hideMark/>
          </w:tcPr>
          <w:p w:rsidR="009238DB" w:rsidRPr="00F876CB" w:rsidRDefault="00584DCD"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Consumption</w:t>
            </w:r>
            <w:r w:rsidR="009238DB" w:rsidRPr="00F876CB">
              <w:rPr>
                <w:rFonts w:ascii="Times New Roman" w:eastAsia="Times New Roman" w:hAnsi="Times New Roman" w:cs="Times New Roman"/>
                <w:color w:val="FFFFFF"/>
                <w:lang w:val="en-GB" w:eastAsia="tr-TR" w:bidi="ar-SA"/>
              </w:rPr>
              <w:t xml:space="preserve"> (*)</w:t>
            </w:r>
          </w:p>
        </w:tc>
      </w:tr>
      <w:tr w:rsidR="009238DB" w:rsidRPr="00F876CB" w:rsidTr="00D925E4">
        <w:trPr>
          <w:trHeight w:val="551"/>
          <w:jc w:val="center"/>
        </w:trPr>
        <w:tc>
          <w:tcPr>
            <w:tcW w:w="878" w:type="dxa"/>
            <w:vMerge/>
            <w:tcBorders>
              <w:top w:val="single" w:sz="8" w:space="0" w:color="auto"/>
              <w:left w:val="single" w:sz="8" w:space="0" w:color="auto"/>
              <w:bottom w:val="single" w:sz="8" w:space="0" w:color="000000"/>
              <w:right w:val="single" w:sz="8" w:space="0" w:color="auto"/>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244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9238DB" w:rsidRPr="00F876CB" w:rsidRDefault="00584DCD"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themeColor="background1"/>
                <w:lang w:val="en-GB" w:eastAsia="tr-TR" w:bidi="ar-SA"/>
              </w:rPr>
              <w:t>System Usage Tariffs</w:t>
            </w:r>
          </w:p>
        </w:tc>
        <w:tc>
          <w:tcPr>
            <w:tcW w:w="1451"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584DCD" w:rsidRPr="00F876CB" w:rsidRDefault="00584DCD" w:rsidP="00584DCD">
            <w:pPr>
              <w:spacing w:after="0" w:line="240" w:lineRule="auto"/>
              <w:jc w:val="center"/>
              <w:rPr>
                <w:rFonts w:ascii="Times New Roman" w:eastAsia="Times New Roman" w:hAnsi="Times New Roman" w:cs="Times New Roman"/>
                <w:color w:val="FFFFFF" w:themeColor="background1"/>
                <w:lang w:val="en-GB" w:eastAsia="tr-TR" w:bidi="ar-SA"/>
              </w:rPr>
            </w:pPr>
            <w:r w:rsidRPr="00F876CB">
              <w:rPr>
                <w:rFonts w:ascii="Times New Roman" w:eastAsia="Times New Roman" w:hAnsi="Times New Roman" w:cs="Times New Roman"/>
                <w:color w:val="FFFFFF" w:themeColor="background1"/>
                <w:lang w:val="en-GB" w:eastAsia="tr-TR" w:bidi="ar-SA"/>
              </w:rPr>
              <w:t>System</w:t>
            </w:r>
          </w:p>
          <w:p w:rsidR="00584DCD" w:rsidRPr="00F876CB" w:rsidRDefault="00584DCD" w:rsidP="00584DCD">
            <w:pPr>
              <w:spacing w:after="0" w:line="240" w:lineRule="auto"/>
              <w:jc w:val="center"/>
              <w:rPr>
                <w:rFonts w:ascii="Times New Roman" w:eastAsia="Times New Roman" w:hAnsi="Times New Roman" w:cs="Times New Roman"/>
                <w:color w:val="FFFFFF" w:themeColor="background1"/>
                <w:lang w:val="en-GB" w:eastAsia="tr-TR" w:bidi="ar-SA"/>
              </w:rPr>
            </w:pPr>
            <w:r w:rsidRPr="00F876CB">
              <w:rPr>
                <w:rFonts w:ascii="Times New Roman" w:eastAsia="Times New Roman" w:hAnsi="Times New Roman" w:cs="Times New Roman"/>
                <w:color w:val="FFFFFF" w:themeColor="background1"/>
                <w:lang w:val="en-GB" w:eastAsia="tr-TR" w:bidi="ar-SA"/>
              </w:rPr>
              <w:t>Operation</w:t>
            </w:r>
          </w:p>
          <w:p w:rsidR="009238DB" w:rsidRPr="00F876CB" w:rsidRDefault="00584DCD" w:rsidP="00584DCD">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themeColor="background1"/>
                <w:lang w:val="en-GB" w:eastAsia="tr-TR" w:bidi="ar-SA"/>
              </w:rPr>
              <w:t>Tariffs</w:t>
            </w:r>
          </w:p>
        </w:tc>
        <w:tc>
          <w:tcPr>
            <w:tcW w:w="2477"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9238DB" w:rsidRPr="00F876CB" w:rsidRDefault="00584DCD"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themeColor="background1"/>
                <w:lang w:val="en-GB" w:eastAsia="tr-TR" w:bidi="ar-SA"/>
              </w:rPr>
              <w:t>System Usage Tariffs</w:t>
            </w:r>
          </w:p>
        </w:tc>
        <w:tc>
          <w:tcPr>
            <w:tcW w:w="1808"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584DCD" w:rsidRPr="00F876CB" w:rsidRDefault="00584DCD" w:rsidP="00584DCD">
            <w:pPr>
              <w:spacing w:after="0" w:line="240" w:lineRule="auto"/>
              <w:jc w:val="center"/>
              <w:rPr>
                <w:rFonts w:ascii="Times New Roman" w:eastAsia="Times New Roman" w:hAnsi="Times New Roman" w:cs="Times New Roman"/>
                <w:color w:val="FFFFFF" w:themeColor="background1"/>
                <w:lang w:val="en-GB" w:eastAsia="tr-TR" w:bidi="ar-SA"/>
              </w:rPr>
            </w:pPr>
            <w:r w:rsidRPr="00F876CB">
              <w:rPr>
                <w:rFonts w:ascii="Times New Roman" w:eastAsia="Times New Roman" w:hAnsi="Times New Roman" w:cs="Times New Roman"/>
                <w:color w:val="FFFFFF" w:themeColor="background1"/>
                <w:lang w:val="en-GB" w:eastAsia="tr-TR" w:bidi="ar-SA"/>
              </w:rPr>
              <w:t>System</w:t>
            </w:r>
          </w:p>
          <w:p w:rsidR="00584DCD" w:rsidRPr="00F876CB" w:rsidRDefault="00584DCD" w:rsidP="00584DCD">
            <w:pPr>
              <w:spacing w:after="0" w:line="240" w:lineRule="auto"/>
              <w:jc w:val="center"/>
              <w:rPr>
                <w:rFonts w:ascii="Times New Roman" w:eastAsia="Times New Roman" w:hAnsi="Times New Roman" w:cs="Times New Roman"/>
                <w:color w:val="FFFFFF" w:themeColor="background1"/>
                <w:lang w:val="en-GB" w:eastAsia="tr-TR" w:bidi="ar-SA"/>
              </w:rPr>
            </w:pPr>
            <w:r w:rsidRPr="00F876CB">
              <w:rPr>
                <w:rFonts w:ascii="Times New Roman" w:eastAsia="Times New Roman" w:hAnsi="Times New Roman" w:cs="Times New Roman"/>
                <w:color w:val="FFFFFF" w:themeColor="background1"/>
                <w:lang w:val="en-GB" w:eastAsia="tr-TR" w:bidi="ar-SA"/>
              </w:rPr>
              <w:t>Operation</w:t>
            </w:r>
          </w:p>
          <w:p w:rsidR="009238DB" w:rsidRPr="00F876CB" w:rsidRDefault="00584DCD" w:rsidP="00584DCD">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themeColor="background1"/>
                <w:lang w:val="en-GB" w:eastAsia="tr-TR" w:bidi="ar-SA"/>
              </w:rPr>
              <w:t>Tariffs</w:t>
            </w:r>
          </w:p>
        </w:tc>
      </w:tr>
      <w:tr w:rsidR="009238DB" w:rsidRPr="00F876CB" w:rsidTr="00D925E4">
        <w:trPr>
          <w:trHeight w:val="466"/>
          <w:jc w:val="center"/>
        </w:trPr>
        <w:tc>
          <w:tcPr>
            <w:tcW w:w="878" w:type="dxa"/>
            <w:vMerge/>
            <w:tcBorders>
              <w:top w:val="single" w:sz="8" w:space="0" w:color="auto"/>
              <w:left w:val="single" w:sz="8" w:space="0" w:color="auto"/>
              <w:bottom w:val="single" w:sz="8" w:space="0" w:color="000000"/>
              <w:right w:val="single" w:sz="8" w:space="0" w:color="auto"/>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2448" w:type="dxa"/>
            <w:gridSpan w:val="2"/>
            <w:vMerge/>
            <w:tcBorders>
              <w:top w:val="single" w:sz="8" w:space="0" w:color="auto"/>
              <w:left w:val="single" w:sz="8" w:space="0" w:color="auto"/>
              <w:bottom w:val="single" w:sz="8" w:space="0" w:color="000000"/>
              <w:right w:val="single" w:sz="8" w:space="0" w:color="000000"/>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1451" w:type="dxa"/>
            <w:vMerge/>
            <w:tcBorders>
              <w:top w:val="nil"/>
              <w:left w:val="single" w:sz="8" w:space="0" w:color="000000"/>
              <w:bottom w:val="single" w:sz="8" w:space="0" w:color="000000"/>
              <w:right w:val="single" w:sz="8" w:space="0" w:color="auto"/>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2477" w:type="dxa"/>
            <w:gridSpan w:val="2"/>
            <w:vMerge/>
            <w:tcBorders>
              <w:top w:val="single" w:sz="8" w:space="0" w:color="auto"/>
              <w:left w:val="single" w:sz="8" w:space="0" w:color="auto"/>
              <w:bottom w:val="single" w:sz="8" w:space="0" w:color="000000"/>
              <w:right w:val="single" w:sz="8" w:space="0" w:color="000000"/>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1808" w:type="dxa"/>
            <w:vMerge/>
            <w:tcBorders>
              <w:top w:val="nil"/>
              <w:left w:val="single" w:sz="8" w:space="0" w:color="000000"/>
              <w:bottom w:val="single" w:sz="8" w:space="0" w:color="000000"/>
              <w:right w:val="single" w:sz="8" w:space="0" w:color="auto"/>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r>
      <w:tr w:rsidR="009238DB" w:rsidRPr="00F876CB" w:rsidTr="00D925E4">
        <w:trPr>
          <w:trHeight w:val="229"/>
          <w:jc w:val="center"/>
        </w:trPr>
        <w:tc>
          <w:tcPr>
            <w:tcW w:w="878" w:type="dxa"/>
            <w:vMerge/>
            <w:tcBorders>
              <w:top w:val="single" w:sz="8" w:space="0" w:color="auto"/>
              <w:left w:val="single" w:sz="8" w:space="0" w:color="auto"/>
              <w:bottom w:val="single" w:sz="8" w:space="0" w:color="000000"/>
              <w:right w:val="single" w:sz="8" w:space="0" w:color="auto"/>
            </w:tcBorders>
            <w:vAlign w:val="center"/>
            <w:hideMark/>
          </w:tcPr>
          <w:p w:rsidR="009238DB" w:rsidRPr="00F876CB" w:rsidRDefault="009238DB" w:rsidP="009238DB">
            <w:pPr>
              <w:spacing w:after="0" w:line="240" w:lineRule="auto"/>
              <w:rPr>
                <w:rFonts w:ascii="Times New Roman" w:eastAsia="Times New Roman" w:hAnsi="Times New Roman" w:cs="Times New Roman"/>
                <w:color w:val="FFFFFF"/>
                <w:lang w:val="en-GB" w:eastAsia="tr-TR" w:bidi="ar-SA"/>
              </w:rPr>
            </w:pPr>
          </w:p>
        </w:tc>
        <w:tc>
          <w:tcPr>
            <w:tcW w:w="1464"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TL/MW-Y</w:t>
            </w:r>
            <w:r w:rsidR="00584DCD" w:rsidRPr="00F876CB">
              <w:rPr>
                <w:rFonts w:ascii="Times New Roman" w:eastAsia="Times New Roman" w:hAnsi="Times New Roman" w:cs="Times New Roman"/>
                <w:color w:val="FFFFFF"/>
                <w:lang w:val="en-GB" w:eastAsia="tr-TR" w:bidi="ar-SA"/>
              </w:rPr>
              <w:t>ear</w:t>
            </w:r>
          </w:p>
        </w:tc>
        <w:tc>
          <w:tcPr>
            <w:tcW w:w="984"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TL/MWh</w:t>
            </w:r>
          </w:p>
        </w:tc>
        <w:tc>
          <w:tcPr>
            <w:tcW w:w="1451"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TL/MWh</w:t>
            </w:r>
          </w:p>
        </w:tc>
        <w:tc>
          <w:tcPr>
            <w:tcW w:w="1428"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TL/MW-Y</w:t>
            </w:r>
            <w:r w:rsidR="00584DCD" w:rsidRPr="00F876CB">
              <w:rPr>
                <w:rFonts w:ascii="Times New Roman" w:eastAsia="Times New Roman" w:hAnsi="Times New Roman" w:cs="Times New Roman"/>
                <w:color w:val="FFFFFF"/>
                <w:lang w:val="en-GB" w:eastAsia="tr-TR" w:bidi="ar-SA"/>
              </w:rPr>
              <w:t>ear</w:t>
            </w:r>
          </w:p>
        </w:tc>
        <w:tc>
          <w:tcPr>
            <w:tcW w:w="1049"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TL/MWh</w:t>
            </w:r>
          </w:p>
        </w:tc>
        <w:tc>
          <w:tcPr>
            <w:tcW w:w="1808" w:type="dxa"/>
            <w:tcBorders>
              <w:top w:val="nil"/>
              <w:left w:val="nil"/>
              <w:bottom w:val="single" w:sz="8" w:space="0" w:color="auto"/>
              <w:right w:val="single" w:sz="8" w:space="0" w:color="auto"/>
            </w:tcBorders>
            <w:shd w:val="clear" w:color="000000" w:fill="FF000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TL/MWh</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31.888,23</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56.389,88</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2</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34.764,81</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54.785,77</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3</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35.082,33</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54.900,23</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4</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35.536,39</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54.327,54</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5</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37.081,69</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53.474,50</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6</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38.967,37</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52.046,79</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7</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39.190,97</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50.780,19</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8</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43.168,32</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49.259,94</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9</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44.864,33</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47.596,74</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10</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49.817,94</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45.343,64</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11</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52.741,90</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43.634,42</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12</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54.714,44</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42.089,39</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13</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57.059,70</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41.010,52</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r w:rsidR="009238DB" w:rsidRPr="00F876CB" w:rsidTr="00D925E4">
        <w:trPr>
          <w:trHeight w:val="297"/>
          <w:jc w:val="center"/>
        </w:trPr>
        <w:tc>
          <w:tcPr>
            <w:tcW w:w="878" w:type="dxa"/>
            <w:tcBorders>
              <w:top w:val="nil"/>
              <w:left w:val="single" w:sz="8" w:space="0" w:color="auto"/>
              <w:bottom w:val="single" w:sz="8" w:space="0" w:color="auto"/>
              <w:right w:val="single" w:sz="8" w:space="0" w:color="auto"/>
            </w:tcBorders>
            <w:shd w:val="clear" w:color="000000" w:fill="FF5050"/>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FFFFFF"/>
                <w:lang w:val="en-GB" w:eastAsia="tr-TR" w:bidi="ar-SA"/>
              </w:rPr>
            </w:pPr>
            <w:r w:rsidRPr="00F876CB">
              <w:rPr>
                <w:rFonts w:ascii="Times New Roman" w:eastAsia="Times New Roman" w:hAnsi="Times New Roman" w:cs="Times New Roman"/>
                <w:color w:val="FFFFFF"/>
                <w:lang w:val="en-GB" w:eastAsia="tr-TR" w:bidi="ar-SA"/>
              </w:rPr>
              <w:t>14</w:t>
            </w:r>
          </w:p>
        </w:tc>
        <w:tc>
          <w:tcPr>
            <w:tcW w:w="146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61.205,80</w:t>
            </w:r>
          </w:p>
        </w:tc>
        <w:tc>
          <w:tcPr>
            <w:tcW w:w="984"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7,17</w:t>
            </w:r>
          </w:p>
        </w:tc>
        <w:tc>
          <w:tcPr>
            <w:tcW w:w="1451"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1,40</w:t>
            </w:r>
          </w:p>
        </w:tc>
        <w:tc>
          <w:tcPr>
            <w:tcW w:w="142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37.792,32</w:t>
            </w:r>
          </w:p>
        </w:tc>
        <w:tc>
          <w:tcPr>
            <w:tcW w:w="1049"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6,50</w:t>
            </w:r>
          </w:p>
        </w:tc>
        <w:tc>
          <w:tcPr>
            <w:tcW w:w="1808" w:type="dxa"/>
            <w:tcBorders>
              <w:top w:val="nil"/>
              <w:left w:val="nil"/>
              <w:bottom w:val="single" w:sz="8" w:space="0" w:color="auto"/>
              <w:right w:val="single" w:sz="8" w:space="0" w:color="auto"/>
            </w:tcBorders>
            <w:shd w:val="clear" w:color="auto" w:fill="auto"/>
            <w:vAlign w:val="center"/>
            <w:hideMark/>
          </w:tcPr>
          <w:p w:rsidR="009238DB" w:rsidRPr="00F876CB" w:rsidRDefault="009238DB" w:rsidP="009238DB">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1,46</w:t>
            </w:r>
          </w:p>
        </w:tc>
      </w:tr>
    </w:tbl>
    <w:p w:rsidR="009238DB" w:rsidRPr="00F876CB" w:rsidRDefault="00252FDF" w:rsidP="009238DB">
      <w:pPr>
        <w:spacing w:after="0"/>
        <w:ind w:left="425" w:hanging="425"/>
        <w:jc w:val="both"/>
        <w:rPr>
          <w:rFonts w:ascii="Times New Roman" w:hAnsi="Times New Roman" w:cs="Times New Roman"/>
          <w:sz w:val="20"/>
          <w:szCs w:val="20"/>
          <w:lang w:val="en-GB"/>
        </w:rPr>
      </w:pPr>
      <w:r w:rsidRPr="00F876CB">
        <w:rPr>
          <w:rFonts w:ascii="Times New Roman" w:hAnsi="Times New Roman" w:cs="Times New Roman"/>
          <w:sz w:val="20"/>
          <w:szCs w:val="20"/>
          <w:lang w:val="en-GB"/>
        </w:rPr>
        <w:t xml:space="preserve">(*)   </w:t>
      </w:r>
      <w:r w:rsidR="00DC4D1C" w:rsidRPr="00F876CB">
        <w:rPr>
          <w:rFonts w:ascii="Times New Roman" w:hAnsi="Times New Roman" w:cs="Times New Roman"/>
          <w:sz w:val="20"/>
          <w:szCs w:val="20"/>
          <w:lang w:val="en-GB"/>
        </w:rPr>
        <w:t>Transmission Surcharge is not included.</w:t>
      </w:r>
    </w:p>
    <w:p w:rsidR="00DC4D1C" w:rsidRPr="00F876CB" w:rsidRDefault="00252FDF" w:rsidP="00DC4D1C">
      <w:pPr>
        <w:spacing w:after="0"/>
        <w:jc w:val="both"/>
        <w:rPr>
          <w:rFonts w:ascii="Times New Roman" w:hAnsi="Times New Roman" w:cs="Times New Roman"/>
          <w:sz w:val="20"/>
          <w:szCs w:val="20"/>
          <w:lang w:val="en-GB"/>
        </w:rPr>
      </w:pPr>
      <w:r w:rsidRPr="00F876CB">
        <w:rPr>
          <w:rFonts w:ascii="Times New Roman" w:hAnsi="Times New Roman" w:cs="Times New Roman"/>
          <w:sz w:val="20"/>
          <w:szCs w:val="20"/>
          <w:lang w:val="en-GB"/>
        </w:rPr>
        <w:t xml:space="preserve">(**) </w:t>
      </w:r>
      <w:r w:rsidR="00DC4D1C" w:rsidRPr="00F876CB">
        <w:rPr>
          <w:rFonts w:ascii="Times New Roman" w:hAnsi="Times New Roman" w:cs="Times New Roman"/>
          <w:sz w:val="20"/>
          <w:szCs w:val="20"/>
          <w:lang w:val="en-GB"/>
        </w:rPr>
        <w:t xml:space="preserve">50 % discount is applied for generation connections within the scope of temporary article 4 of the    </w:t>
      </w:r>
    </w:p>
    <w:p w:rsidR="00DC4D1C" w:rsidRPr="00F876CB" w:rsidRDefault="00DC4D1C" w:rsidP="00DC4D1C">
      <w:pPr>
        <w:spacing w:after="0"/>
        <w:ind w:left="708"/>
        <w:rPr>
          <w:rFonts w:ascii="Times New Roman" w:hAnsi="Times New Roman" w:cs="Times New Roman"/>
          <w:sz w:val="20"/>
          <w:szCs w:val="20"/>
          <w:lang w:val="en-GB"/>
        </w:rPr>
      </w:pPr>
      <w:r w:rsidRPr="00F876CB">
        <w:rPr>
          <w:rFonts w:ascii="Times New Roman" w:hAnsi="Times New Roman" w:cs="Times New Roman"/>
          <w:sz w:val="20"/>
          <w:szCs w:val="20"/>
          <w:lang w:val="en-GB"/>
        </w:rPr>
        <w:t xml:space="preserve">           Electricity Market Law numbered 6446.</w:t>
      </w:r>
    </w:p>
    <w:p w:rsidR="00252FDF" w:rsidRPr="00F876CB" w:rsidRDefault="00252FDF" w:rsidP="002A40F9">
      <w:pPr>
        <w:spacing w:after="0"/>
        <w:rPr>
          <w:rFonts w:ascii="Times New Roman" w:hAnsi="Times New Roman" w:cs="Times New Roman"/>
          <w:sz w:val="20"/>
          <w:szCs w:val="20"/>
          <w:lang w:val="en-GB"/>
        </w:rPr>
      </w:pPr>
    </w:p>
    <w:p w:rsidR="005D5E4D" w:rsidRPr="00F876CB" w:rsidRDefault="00015994" w:rsidP="005D5E4D">
      <w:pPr>
        <w:pStyle w:val="Balk6"/>
        <w:rPr>
          <w:lang w:val="en-GB"/>
        </w:rPr>
      </w:pPr>
      <w:bookmarkStart w:id="906" w:name="_Toc44508419"/>
      <w:bookmarkStart w:id="907" w:name="_Toc450307010"/>
      <w:bookmarkStart w:id="908" w:name="_Toc450307121"/>
      <w:bookmarkStart w:id="909" w:name="_Toc450307945"/>
      <w:r w:rsidRPr="00F876CB">
        <w:rPr>
          <w:lang w:val="en-GB"/>
        </w:rPr>
        <w:t>Figure</w:t>
      </w:r>
      <w:r w:rsidR="005D5E4D" w:rsidRPr="00F876CB">
        <w:rPr>
          <w:lang w:val="en-GB"/>
        </w:rPr>
        <w:t xml:space="preserve"> </w:t>
      </w:r>
      <w:r w:rsidR="00C47B3A" w:rsidRPr="00F876CB">
        <w:rPr>
          <w:lang w:val="en-GB"/>
        </w:rPr>
        <w:t>4</w:t>
      </w:r>
      <w:r w:rsidR="005D5E4D" w:rsidRPr="00F876CB">
        <w:rPr>
          <w:lang w:val="en-GB"/>
        </w:rPr>
        <w:fldChar w:fldCharType="begin"/>
      </w:r>
      <w:r w:rsidR="005D5E4D" w:rsidRPr="00F876CB">
        <w:rPr>
          <w:lang w:val="en-GB"/>
        </w:rPr>
        <w:instrText xml:space="preserve"> STYLEREF 1 \s </w:instrText>
      </w:r>
      <w:r w:rsidR="005D5E4D" w:rsidRPr="00F876CB">
        <w:rPr>
          <w:lang w:val="en-GB"/>
        </w:rPr>
        <w:fldChar w:fldCharType="end"/>
      </w:r>
      <w:r w:rsidR="005D5E4D" w:rsidRPr="00F876CB">
        <w:rPr>
          <w:lang w:val="en-GB"/>
        </w:rPr>
        <w:t>.</w:t>
      </w:r>
      <w:r w:rsidR="00B57767" w:rsidRPr="00F876CB">
        <w:rPr>
          <w:lang w:val="en-GB"/>
        </w:rPr>
        <w:t>2</w:t>
      </w:r>
      <w:r w:rsidR="005D5E4D" w:rsidRPr="00F876CB">
        <w:rPr>
          <w:lang w:val="en-GB"/>
        </w:rPr>
        <w:t>:</w:t>
      </w:r>
      <w:r w:rsidR="005D5E4D" w:rsidRPr="00F876CB">
        <w:rPr>
          <w:caps/>
          <w:lang w:val="en-GB"/>
        </w:rPr>
        <w:t xml:space="preserve"> </w:t>
      </w:r>
      <w:r w:rsidR="005D5E4D" w:rsidRPr="00F876CB">
        <w:rPr>
          <w:lang w:val="en-GB"/>
        </w:rPr>
        <w:t xml:space="preserve"> </w:t>
      </w:r>
      <w:r w:rsidR="002A40F9" w:rsidRPr="00F876CB">
        <w:rPr>
          <w:lang w:val="en-GB"/>
        </w:rPr>
        <w:t>Capacity Based Regional Transmission System Usage Tariffs Applied in 2019 (TL/MW-Year)</w:t>
      </w:r>
      <w:bookmarkEnd w:id="906"/>
    </w:p>
    <w:p w:rsidR="005D5E4D" w:rsidRPr="00F876CB" w:rsidRDefault="00D925E4" w:rsidP="001D38B7">
      <w:pPr>
        <w:jc w:val="center"/>
        <w:rPr>
          <w:lang w:val="en-GB"/>
        </w:rPr>
      </w:pPr>
      <w:r>
        <w:rPr>
          <w:noProof/>
          <w:lang w:eastAsia="tr-TR" w:bidi="ar-SA"/>
        </w:rPr>
        <w:drawing>
          <wp:inline distT="0" distB="0" distL="0" distR="0" wp14:anchorId="6CF4DFDD">
            <wp:extent cx="5121275" cy="2667000"/>
            <wp:effectExtent l="0" t="0" r="317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21275" cy="2667000"/>
                    </a:xfrm>
                    <a:prstGeom prst="rect">
                      <a:avLst/>
                    </a:prstGeom>
                    <a:noFill/>
                  </pic:spPr>
                </pic:pic>
              </a:graphicData>
            </a:graphic>
          </wp:inline>
        </w:drawing>
      </w:r>
    </w:p>
    <w:p w:rsidR="00252FDF" w:rsidRPr="00F876CB" w:rsidRDefault="00932099" w:rsidP="00A5413B">
      <w:pPr>
        <w:pStyle w:val="11ilebalayanlar"/>
        <w:numPr>
          <w:ilvl w:val="1"/>
          <w:numId w:val="24"/>
        </w:numPr>
        <w:rPr>
          <w:lang w:val="en-GB"/>
        </w:rPr>
      </w:pPr>
      <w:bookmarkStart w:id="910" w:name="_Toc44508304"/>
      <w:bookmarkEnd w:id="907"/>
      <w:bookmarkEnd w:id="908"/>
      <w:bookmarkEnd w:id="909"/>
      <w:r w:rsidRPr="00F876CB">
        <w:rPr>
          <w:lang w:val="en-GB"/>
        </w:rPr>
        <w:lastRenderedPageBreak/>
        <w:t>Amount of Investment</w:t>
      </w:r>
      <w:bookmarkEnd w:id="910"/>
    </w:p>
    <w:p w:rsidR="00252FDF" w:rsidRPr="00F876CB" w:rsidRDefault="00252FDF" w:rsidP="00252FDF">
      <w:pPr>
        <w:pStyle w:val="11ilebalayanlar"/>
        <w:ind w:left="576"/>
        <w:rPr>
          <w:lang w:val="en-GB"/>
        </w:rPr>
      </w:pPr>
    </w:p>
    <w:p w:rsidR="00932099" w:rsidRPr="00D925E4" w:rsidRDefault="00CD5AFA" w:rsidP="00D925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GB" w:eastAsia="tr-TR" w:bidi="ar-SA"/>
        </w:rPr>
      </w:pPr>
      <w:bookmarkStart w:id="911" w:name="_Toc450300311"/>
      <w:bookmarkStart w:id="912" w:name="_Toc450309971"/>
      <w:r w:rsidRPr="00CD5AFA">
        <w:rPr>
          <w:rFonts w:ascii="Times New Roman" w:eastAsia="Times New Roman" w:hAnsi="Times New Roman" w:cs="Times New Roman"/>
          <w:color w:val="212121"/>
          <w:sz w:val="24"/>
          <w:szCs w:val="24"/>
          <w:lang w:val="en-GB" w:eastAsia="tr-TR" w:bidi="ar-SA"/>
        </w:rPr>
        <w:t xml:space="preserve">The amount of investment made by TEİAŞ is shown in table 4.5. </w:t>
      </w:r>
      <w:r>
        <w:rPr>
          <w:rFonts w:ascii="Times New Roman" w:eastAsia="Times New Roman" w:hAnsi="Times New Roman" w:cs="Times New Roman"/>
          <w:color w:val="212121"/>
          <w:sz w:val="24"/>
          <w:szCs w:val="24"/>
          <w:lang w:val="en-GB" w:eastAsia="tr-TR" w:bidi="ar-SA"/>
        </w:rPr>
        <w:t xml:space="preserve"> </w:t>
      </w:r>
      <w:r w:rsidR="00932099" w:rsidRPr="00D925E4">
        <w:rPr>
          <w:rFonts w:ascii="Times New Roman" w:eastAsia="Times New Roman" w:hAnsi="Times New Roman" w:cs="Times New Roman"/>
          <w:color w:val="212121"/>
          <w:sz w:val="24"/>
          <w:szCs w:val="24"/>
          <w:lang w:val="en-GB" w:eastAsia="tr-TR" w:bidi="ar-SA"/>
        </w:rPr>
        <w:t>It is observed that the amount of investment decreased by 6</w:t>
      </w:r>
      <w:r w:rsidR="00E5054B">
        <w:rPr>
          <w:rFonts w:ascii="Times New Roman" w:eastAsia="Times New Roman" w:hAnsi="Times New Roman" w:cs="Times New Roman"/>
          <w:color w:val="212121"/>
          <w:sz w:val="24"/>
          <w:szCs w:val="24"/>
          <w:lang w:val="en-GB" w:eastAsia="tr-TR" w:bidi="ar-SA"/>
        </w:rPr>
        <w:t>,</w:t>
      </w:r>
      <w:r w:rsidR="00932099" w:rsidRPr="00D925E4">
        <w:rPr>
          <w:rFonts w:ascii="Times New Roman" w:eastAsia="Times New Roman" w:hAnsi="Times New Roman" w:cs="Times New Roman"/>
          <w:color w:val="212121"/>
          <w:sz w:val="24"/>
          <w:szCs w:val="24"/>
          <w:lang w:val="en-GB" w:eastAsia="tr-TR" w:bidi="ar-SA"/>
        </w:rPr>
        <w:t>82% in 2019.</w:t>
      </w:r>
    </w:p>
    <w:p w:rsidR="00252FDF" w:rsidRPr="00F876CB" w:rsidRDefault="00015994" w:rsidP="00252FDF">
      <w:pPr>
        <w:pStyle w:val="Balk5"/>
        <w:rPr>
          <w:lang w:val="en-GB"/>
        </w:rPr>
      </w:pPr>
      <w:bookmarkStart w:id="913" w:name="_Toc44508343"/>
      <w:r w:rsidRPr="00F876CB">
        <w:rPr>
          <w:lang w:val="en-GB"/>
        </w:rPr>
        <w:t>Table</w:t>
      </w:r>
      <w:r w:rsidR="00252FDF" w:rsidRPr="00F876CB">
        <w:rPr>
          <w:lang w:val="en-GB"/>
        </w:rPr>
        <w:t xml:space="preserve"> </w:t>
      </w:r>
      <w:r w:rsidR="00C47B3A" w:rsidRPr="00F876CB">
        <w:rPr>
          <w:lang w:val="en-GB"/>
        </w:rPr>
        <w:t>4</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B57767" w:rsidRPr="00F876CB">
        <w:rPr>
          <w:lang w:val="en-GB"/>
        </w:rPr>
        <w:t>5</w:t>
      </w:r>
      <w:r w:rsidR="00252FDF" w:rsidRPr="00F876CB">
        <w:rPr>
          <w:lang w:val="en-GB"/>
        </w:rPr>
        <w:t xml:space="preserve">: </w:t>
      </w:r>
      <w:r w:rsidR="00932099" w:rsidRPr="00F876CB">
        <w:rPr>
          <w:lang w:val="en-GB"/>
        </w:rPr>
        <w:t xml:space="preserve">Comparison of 2018 and 2019 Investment Amount </w:t>
      </w:r>
      <w:r w:rsidR="00252FDF" w:rsidRPr="00F876CB">
        <w:rPr>
          <w:lang w:val="en-GB"/>
        </w:rPr>
        <w:t>(TL-%)</w:t>
      </w:r>
      <w:bookmarkEnd w:id="911"/>
      <w:bookmarkEnd w:id="912"/>
      <w:bookmarkEnd w:id="913"/>
    </w:p>
    <w:tbl>
      <w:tblPr>
        <w:tblW w:w="8789" w:type="dxa"/>
        <w:tblInd w:w="70" w:type="dxa"/>
        <w:tblCellMar>
          <w:left w:w="70" w:type="dxa"/>
          <w:right w:w="70" w:type="dxa"/>
        </w:tblCellMar>
        <w:tblLook w:val="04A0" w:firstRow="1" w:lastRow="0" w:firstColumn="1" w:lastColumn="0" w:noHBand="0" w:noVBand="1"/>
      </w:tblPr>
      <w:tblGrid>
        <w:gridCol w:w="2280"/>
        <w:gridCol w:w="1548"/>
        <w:gridCol w:w="1134"/>
        <w:gridCol w:w="1432"/>
        <w:gridCol w:w="1134"/>
        <w:gridCol w:w="1261"/>
      </w:tblGrid>
      <w:tr w:rsidR="003644F1" w:rsidRPr="00F876CB" w:rsidTr="00D925E4">
        <w:trPr>
          <w:trHeight w:val="173"/>
        </w:trPr>
        <w:tc>
          <w:tcPr>
            <w:tcW w:w="2280" w:type="dxa"/>
            <w:tcBorders>
              <w:top w:val="nil"/>
              <w:left w:val="nil"/>
              <w:bottom w:val="nil"/>
              <w:right w:val="nil"/>
            </w:tcBorders>
            <w:shd w:val="clear" w:color="auto" w:fill="auto"/>
            <w:noWrap/>
            <w:vAlign w:val="bottom"/>
            <w:hideMark/>
          </w:tcPr>
          <w:p w:rsidR="003644F1" w:rsidRPr="00F876CB" w:rsidRDefault="003644F1" w:rsidP="003644F1">
            <w:pPr>
              <w:spacing w:after="0" w:line="240" w:lineRule="auto"/>
              <w:rPr>
                <w:rFonts w:ascii="Times New Roman" w:eastAsia="Times New Roman" w:hAnsi="Times New Roman" w:cs="Times New Roman"/>
                <w:sz w:val="24"/>
                <w:szCs w:val="24"/>
                <w:lang w:val="en-GB" w:eastAsia="tr-TR" w:bidi="ar-SA"/>
              </w:rPr>
            </w:pPr>
          </w:p>
        </w:tc>
        <w:tc>
          <w:tcPr>
            <w:tcW w:w="2682" w:type="dxa"/>
            <w:gridSpan w:val="2"/>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rsidR="003644F1" w:rsidRPr="00F876CB" w:rsidRDefault="003644F1"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w:t>
            </w:r>
          </w:p>
        </w:tc>
        <w:tc>
          <w:tcPr>
            <w:tcW w:w="256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644F1" w:rsidRPr="00F876CB" w:rsidRDefault="003644F1"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2019</w:t>
            </w:r>
          </w:p>
        </w:tc>
        <w:tc>
          <w:tcPr>
            <w:tcW w:w="1261"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3644F1" w:rsidRPr="00F876CB" w:rsidRDefault="00932099"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Change</w:t>
            </w:r>
            <w:r w:rsidR="003644F1" w:rsidRPr="00F876CB">
              <w:rPr>
                <w:rFonts w:ascii="Calibri" w:eastAsia="Times New Roman" w:hAnsi="Calibri" w:cs="Calibri"/>
                <w:b/>
                <w:bCs/>
                <w:color w:val="FFFFFF"/>
                <w:lang w:val="en-GB" w:eastAsia="tr-TR" w:bidi="ar-SA"/>
              </w:rPr>
              <w:t xml:space="preserve"> (%)</w:t>
            </w:r>
          </w:p>
        </w:tc>
      </w:tr>
      <w:tr w:rsidR="003644F1" w:rsidRPr="00F876CB" w:rsidTr="00D925E4">
        <w:trPr>
          <w:trHeight w:val="405"/>
        </w:trPr>
        <w:tc>
          <w:tcPr>
            <w:tcW w:w="22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644F1" w:rsidRPr="00F876CB" w:rsidRDefault="00932099" w:rsidP="003644F1">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sz w:val="20"/>
                <w:lang w:val="en-GB" w:eastAsia="tr-TR" w:bidi="ar-SA"/>
              </w:rPr>
              <w:t>Investment Payment Type</w:t>
            </w:r>
          </w:p>
        </w:tc>
        <w:tc>
          <w:tcPr>
            <w:tcW w:w="1548" w:type="dxa"/>
            <w:tcBorders>
              <w:top w:val="nil"/>
              <w:left w:val="nil"/>
              <w:bottom w:val="single" w:sz="8" w:space="0" w:color="auto"/>
              <w:right w:val="single" w:sz="8" w:space="0" w:color="auto"/>
            </w:tcBorders>
            <w:shd w:val="clear" w:color="000000" w:fill="FF0000"/>
            <w:noWrap/>
            <w:vAlign w:val="center"/>
            <w:hideMark/>
          </w:tcPr>
          <w:p w:rsidR="003644F1" w:rsidRPr="00F876CB" w:rsidRDefault="00932099"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Amount</w:t>
            </w:r>
            <w:r w:rsidR="003644F1" w:rsidRPr="00F876CB">
              <w:rPr>
                <w:rFonts w:ascii="Calibri" w:eastAsia="Times New Roman" w:hAnsi="Calibri" w:cs="Calibri"/>
                <w:b/>
                <w:bCs/>
                <w:color w:val="FFFFFF"/>
                <w:lang w:val="en-GB" w:eastAsia="tr-TR" w:bidi="ar-SA"/>
              </w:rPr>
              <w:t xml:space="preserve"> (TL)</w:t>
            </w:r>
          </w:p>
        </w:tc>
        <w:tc>
          <w:tcPr>
            <w:tcW w:w="1134" w:type="dxa"/>
            <w:tcBorders>
              <w:top w:val="nil"/>
              <w:left w:val="nil"/>
              <w:bottom w:val="single" w:sz="8" w:space="0" w:color="auto"/>
              <w:right w:val="single" w:sz="8" w:space="0" w:color="auto"/>
            </w:tcBorders>
            <w:shd w:val="clear" w:color="000000" w:fill="FF0000"/>
            <w:noWrap/>
            <w:vAlign w:val="center"/>
            <w:hideMark/>
          </w:tcPr>
          <w:p w:rsidR="003644F1" w:rsidRPr="00F876CB" w:rsidRDefault="00932099"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Share</w:t>
            </w:r>
            <w:r w:rsidR="003644F1" w:rsidRPr="00F876CB">
              <w:rPr>
                <w:rFonts w:ascii="Calibri" w:eastAsia="Times New Roman" w:hAnsi="Calibri" w:cs="Calibri"/>
                <w:b/>
                <w:bCs/>
                <w:color w:val="FFFFFF"/>
                <w:lang w:val="en-GB" w:eastAsia="tr-TR" w:bidi="ar-SA"/>
              </w:rPr>
              <w:t xml:space="preserve"> (%)</w:t>
            </w:r>
          </w:p>
        </w:tc>
        <w:tc>
          <w:tcPr>
            <w:tcW w:w="1432" w:type="dxa"/>
            <w:tcBorders>
              <w:top w:val="nil"/>
              <w:left w:val="nil"/>
              <w:bottom w:val="single" w:sz="8" w:space="0" w:color="auto"/>
              <w:right w:val="single" w:sz="8" w:space="0" w:color="auto"/>
            </w:tcBorders>
            <w:shd w:val="clear" w:color="000000" w:fill="FF0000"/>
            <w:noWrap/>
            <w:vAlign w:val="center"/>
            <w:hideMark/>
          </w:tcPr>
          <w:p w:rsidR="003644F1" w:rsidRPr="00F876CB" w:rsidRDefault="00932099"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Amount</w:t>
            </w:r>
            <w:r w:rsidR="003644F1" w:rsidRPr="00F876CB">
              <w:rPr>
                <w:rFonts w:ascii="Calibri" w:eastAsia="Times New Roman" w:hAnsi="Calibri" w:cs="Calibri"/>
                <w:b/>
                <w:bCs/>
                <w:color w:val="FFFFFF"/>
                <w:lang w:val="en-GB" w:eastAsia="tr-TR" w:bidi="ar-SA"/>
              </w:rPr>
              <w:t xml:space="preserve"> (TL)</w:t>
            </w:r>
          </w:p>
        </w:tc>
        <w:tc>
          <w:tcPr>
            <w:tcW w:w="1134" w:type="dxa"/>
            <w:tcBorders>
              <w:top w:val="nil"/>
              <w:left w:val="nil"/>
              <w:bottom w:val="single" w:sz="8" w:space="0" w:color="auto"/>
              <w:right w:val="single" w:sz="8" w:space="0" w:color="auto"/>
            </w:tcBorders>
            <w:shd w:val="clear" w:color="000000" w:fill="FF0000"/>
            <w:noWrap/>
            <w:vAlign w:val="center"/>
            <w:hideMark/>
          </w:tcPr>
          <w:p w:rsidR="003644F1" w:rsidRPr="00F876CB" w:rsidRDefault="00932099" w:rsidP="003644F1">
            <w:pPr>
              <w:spacing w:after="0" w:line="240" w:lineRule="auto"/>
              <w:jc w:val="center"/>
              <w:rPr>
                <w:rFonts w:ascii="Calibri" w:eastAsia="Times New Roman" w:hAnsi="Calibri" w:cs="Calibri"/>
                <w:bCs/>
                <w:color w:val="FFFFFF"/>
                <w:lang w:val="en-GB" w:eastAsia="tr-TR" w:bidi="ar-SA"/>
              </w:rPr>
            </w:pPr>
            <w:r w:rsidRPr="00F876CB">
              <w:rPr>
                <w:rFonts w:ascii="Calibri" w:eastAsia="Times New Roman" w:hAnsi="Calibri" w:cs="Calibri"/>
                <w:b/>
                <w:color w:val="FFFFFF"/>
                <w:lang w:val="en-GB" w:eastAsia="tr-TR" w:bidi="ar-SA"/>
              </w:rPr>
              <w:t>Share</w:t>
            </w:r>
            <w:r w:rsidR="003644F1" w:rsidRPr="00F876CB">
              <w:rPr>
                <w:rFonts w:ascii="Calibri" w:eastAsia="Times New Roman" w:hAnsi="Calibri" w:cs="Calibri"/>
                <w:bCs/>
                <w:color w:val="FFFFFF"/>
                <w:lang w:val="en-GB" w:eastAsia="tr-TR" w:bidi="ar-SA"/>
              </w:rPr>
              <w:t xml:space="preserve"> (%)</w:t>
            </w:r>
          </w:p>
        </w:tc>
        <w:tc>
          <w:tcPr>
            <w:tcW w:w="1261" w:type="dxa"/>
            <w:vMerge/>
            <w:tcBorders>
              <w:top w:val="single" w:sz="8" w:space="0" w:color="auto"/>
              <w:left w:val="nil"/>
              <w:bottom w:val="single" w:sz="8" w:space="0" w:color="000000"/>
              <w:right w:val="single" w:sz="8" w:space="0" w:color="auto"/>
            </w:tcBorders>
            <w:vAlign w:val="center"/>
            <w:hideMark/>
          </w:tcPr>
          <w:p w:rsidR="003644F1" w:rsidRPr="00F876CB" w:rsidRDefault="003644F1" w:rsidP="003644F1">
            <w:pPr>
              <w:spacing w:after="0" w:line="240" w:lineRule="auto"/>
              <w:rPr>
                <w:rFonts w:ascii="Calibri" w:eastAsia="Times New Roman" w:hAnsi="Calibri" w:cs="Calibri"/>
                <w:b/>
                <w:bCs/>
                <w:color w:val="FFFFFF"/>
                <w:lang w:val="en-GB" w:eastAsia="tr-TR" w:bidi="ar-SA"/>
              </w:rPr>
            </w:pP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C875EC" w:rsidP="003644F1">
            <w:pPr>
              <w:spacing w:after="0" w:line="240" w:lineRule="auto"/>
              <w:rPr>
                <w:rFonts w:ascii="Calibri" w:eastAsia="Times New Roman" w:hAnsi="Calibri" w:cs="Calibri"/>
                <w:color w:val="FFFFFF"/>
                <w:lang w:val="en-GB" w:eastAsia="tr-TR" w:bidi="ar-SA"/>
              </w:rPr>
            </w:pPr>
            <w:r w:rsidRPr="00F876CB">
              <w:rPr>
                <w:rFonts w:ascii="Calibri" w:eastAsia="Times New Roman" w:hAnsi="Calibri" w:cs="Times New Roman"/>
                <w:color w:val="FFFFFF" w:themeColor="background1"/>
                <w:lang w:val="en-GB" w:eastAsia="tr-TR" w:bidi="ar-SA"/>
              </w:rPr>
              <w:t>New Transformer Investment</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1.599.019.000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54,73</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1.545.469.910</w:t>
            </w:r>
          </w:p>
        </w:tc>
        <w:tc>
          <w:tcPr>
            <w:tcW w:w="1134"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56,76</w:t>
            </w:r>
          </w:p>
        </w:tc>
        <w:tc>
          <w:tcPr>
            <w:tcW w:w="1261"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-3,35</w:t>
            </w: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C875EC" w:rsidP="003644F1">
            <w:pPr>
              <w:spacing w:after="0" w:line="240" w:lineRule="auto"/>
              <w:rPr>
                <w:rFonts w:ascii="Calibri" w:eastAsia="Times New Roman" w:hAnsi="Calibri" w:cs="Calibri"/>
                <w:color w:val="FFFFFF"/>
                <w:lang w:val="en-GB" w:eastAsia="tr-TR" w:bidi="ar-SA"/>
              </w:rPr>
            </w:pPr>
            <w:r w:rsidRPr="00F876CB">
              <w:rPr>
                <w:rFonts w:ascii="Calibri" w:eastAsia="Times New Roman" w:hAnsi="Calibri" w:cs="Times New Roman"/>
                <w:color w:val="FFFFFF" w:themeColor="background1"/>
                <w:lang w:val="en-GB" w:eastAsia="tr-TR" w:bidi="ar-SA"/>
              </w:rPr>
              <w:t>New Line Investment</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1.037.280.000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35,50</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822.659.320</w:t>
            </w:r>
          </w:p>
        </w:tc>
        <w:tc>
          <w:tcPr>
            <w:tcW w:w="1134"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30,21</w:t>
            </w:r>
          </w:p>
        </w:tc>
        <w:tc>
          <w:tcPr>
            <w:tcW w:w="1261"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-20,69</w:t>
            </w: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C875EC" w:rsidP="003644F1">
            <w:pPr>
              <w:spacing w:after="0" w:line="240" w:lineRule="auto"/>
              <w:rPr>
                <w:rFonts w:ascii="Calibri" w:eastAsia="Times New Roman" w:hAnsi="Calibri" w:cs="Calibri"/>
                <w:color w:val="FFFFFF"/>
                <w:lang w:val="en-GB" w:eastAsia="tr-TR" w:bidi="ar-SA"/>
              </w:rPr>
            </w:pPr>
            <w:r w:rsidRPr="00F876CB">
              <w:rPr>
                <w:rFonts w:ascii="Calibri" w:eastAsia="Times New Roman" w:hAnsi="Calibri" w:cs="Times New Roman"/>
                <w:color w:val="FFFFFF" w:themeColor="background1"/>
                <w:lang w:val="en-GB" w:eastAsia="tr-TR" w:bidi="ar-SA"/>
              </w:rPr>
              <w:t>Operational Investment</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160.744.000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5,50</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208.307.000</w:t>
            </w:r>
          </w:p>
        </w:tc>
        <w:tc>
          <w:tcPr>
            <w:tcW w:w="1134"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7,65</w:t>
            </w:r>
          </w:p>
        </w:tc>
        <w:tc>
          <w:tcPr>
            <w:tcW w:w="1261"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29,59</w:t>
            </w: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C875EC" w:rsidP="003644F1">
            <w:pPr>
              <w:spacing w:after="0" w:line="240" w:lineRule="auto"/>
              <w:rPr>
                <w:rFonts w:ascii="Calibri" w:eastAsia="Times New Roman" w:hAnsi="Calibri" w:cs="Calibri"/>
                <w:color w:val="FFFFFF"/>
                <w:lang w:val="en-GB" w:eastAsia="tr-TR" w:bidi="ar-SA"/>
              </w:rPr>
            </w:pPr>
            <w:r w:rsidRPr="00F876CB">
              <w:rPr>
                <w:rFonts w:ascii="Calibri" w:eastAsia="Times New Roman" w:hAnsi="Calibri" w:cs="Times New Roman"/>
                <w:color w:val="FFFFFF" w:themeColor="background1"/>
                <w:lang w:val="en-GB" w:eastAsia="tr-TR" w:bidi="ar-SA"/>
              </w:rPr>
              <w:t>Machine and Equipment</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108.324.000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3,71</w:t>
            </w:r>
          </w:p>
        </w:tc>
        <w:tc>
          <w:tcPr>
            <w:tcW w:w="1432"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146.318.000</w:t>
            </w:r>
          </w:p>
        </w:tc>
        <w:tc>
          <w:tcPr>
            <w:tcW w:w="1134"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5,37</w:t>
            </w:r>
          </w:p>
        </w:tc>
        <w:tc>
          <w:tcPr>
            <w:tcW w:w="1261"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35,07</w:t>
            </w: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C875EC" w:rsidP="003644F1">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Other</w:t>
            </w:r>
          </w:p>
        </w:tc>
        <w:tc>
          <w:tcPr>
            <w:tcW w:w="1548"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16.540.100</w:t>
            </w:r>
          </w:p>
        </w:tc>
        <w:tc>
          <w:tcPr>
            <w:tcW w:w="1134"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0,57</w:t>
            </w:r>
          </w:p>
        </w:tc>
        <w:tc>
          <w:tcPr>
            <w:tcW w:w="1432" w:type="dxa"/>
            <w:tcBorders>
              <w:top w:val="nil"/>
              <w:left w:val="nil"/>
              <w:bottom w:val="single" w:sz="8" w:space="0" w:color="auto"/>
              <w:right w:val="single" w:sz="8" w:space="0" w:color="auto"/>
            </w:tcBorders>
            <w:shd w:val="clear" w:color="auto" w:fill="auto"/>
            <w:noWrap/>
            <w:vAlign w:val="center"/>
            <w:hideMark/>
          </w:tcPr>
          <w:p w:rsidR="003644F1" w:rsidRPr="00F876CB" w:rsidRDefault="003644F1" w:rsidP="003644F1">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w:t>
            </w:r>
          </w:p>
        </w:tc>
        <w:tc>
          <w:tcPr>
            <w:tcW w:w="1134"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0,00</w:t>
            </w:r>
          </w:p>
        </w:tc>
        <w:tc>
          <w:tcPr>
            <w:tcW w:w="1261" w:type="dxa"/>
            <w:tcBorders>
              <w:top w:val="nil"/>
              <w:left w:val="nil"/>
              <w:bottom w:val="single" w:sz="8" w:space="0" w:color="auto"/>
              <w:right w:val="single" w:sz="8" w:space="0" w:color="auto"/>
            </w:tcBorders>
            <w:shd w:val="clear" w:color="auto" w:fill="auto"/>
            <w:vAlign w:val="center"/>
            <w:hideMark/>
          </w:tcPr>
          <w:p w:rsidR="003644F1" w:rsidRPr="00F876CB" w:rsidRDefault="003644F1" w:rsidP="003644F1">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-100,00</w:t>
            </w:r>
          </w:p>
        </w:tc>
      </w:tr>
      <w:tr w:rsidR="003644F1" w:rsidRPr="00F876CB" w:rsidTr="003644F1">
        <w:trPr>
          <w:trHeight w:val="315"/>
        </w:trPr>
        <w:tc>
          <w:tcPr>
            <w:tcW w:w="2280" w:type="dxa"/>
            <w:tcBorders>
              <w:top w:val="nil"/>
              <w:left w:val="single" w:sz="8" w:space="0" w:color="auto"/>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w:t>
            </w:r>
            <w:r w:rsidR="00C875EC" w:rsidRPr="00F876CB">
              <w:rPr>
                <w:rFonts w:ascii="Calibri" w:eastAsia="Times New Roman" w:hAnsi="Calibri" w:cs="Calibri"/>
                <w:b/>
                <w:bCs/>
                <w:color w:val="FFFFFF"/>
                <w:lang w:val="en-GB" w:eastAsia="tr-TR" w:bidi="ar-SA"/>
              </w:rPr>
              <w:t>ta</w:t>
            </w:r>
            <w:r w:rsidRPr="00F876CB">
              <w:rPr>
                <w:rFonts w:ascii="Calibri" w:eastAsia="Times New Roman" w:hAnsi="Calibri" w:cs="Calibri"/>
                <w:b/>
                <w:bCs/>
                <w:color w:val="FFFFFF"/>
                <w:lang w:val="en-GB" w:eastAsia="tr-TR" w:bidi="ar-SA"/>
              </w:rPr>
              <w:t>l</w:t>
            </w:r>
          </w:p>
        </w:tc>
        <w:tc>
          <w:tcPr>
            <w:tcW w:w="1548" w:type="dxa"/>
            <w:tcBorders>
              <w:top w:val="nil"/>
              <w:left w:val="nil"/>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2.921.907.100</w:t>
            </w:r>
          </w:p>
        </w:tc>
        <w:tc>
          <w:tcPr>
            <w:tcW w:w="1134" w:type="dxa"/>
            <w:tcBorders>
              <w:top w:val="nil"/>
              <w:left w:val="nil"/>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c>
          <w:tcPr>
            <w:tcW w:w="1432" w:type="dxa"/>
            <w:tcBorders>
              <w:top w:val="nil"/>
              <w:left w:val="nil"/>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2.722.754.230</w:t>
            </w:r>
          </w:p>
        </w:tc>
        <w:tc>
          <w:tcPr>
            <w:tcW w:w="1134" w:type="dxa"/>
            <w:tcBorders>
              <w:top w:val="nil"/>
              <w:left w:val="nil"/>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100,00</w:t>
            </w:r>
          </w:p>
        </w:tc>
        <w:tc>
          <w:tcPr>
            <w:tcW w:w="1261" w:type="dxa"/>
            <w:tcBorders>
              <w:top w:val="nil"/>
              <w:left w:val="nil"/>
              <w:bottom w:val="single" w:sz="8" w:space="0" w:color="auto"/>
              <w:right w:val="single" w:sz="8" w:space="0" w:color="auto"/>
            </w:tcBorders>
            <w:shd w:val="clear" w:color="000000" w:fill="FF5050"/>
            <w:noWrap/>
            <w:vAlign w:val="center"/>
            <w:hideMark/>
          </w:tcPr>
          <w:p w:rsidR="003644F1" w:rsidRPr="00F876CB" w:rsidRDefault="003644F1" w:rsidP="003644F1">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-6,82</w:t>
            </w:r>
          </w:p>
        </w:tc>
      </w:tr>
    </w:tbl>
    <w:p w:rsidR="00252FDF" w:rsidRPr="00F876CB" w:rsidRDefault="00252FDF" w:rsidP="00252FDF">
      <w:pPr>
        <w:rPr>
          <w:lang w:val="en-GB"/>
        </w:rPr>
      </w:pPr>
    </w:p>
    <w:p w:rsidR="00252FDF" w:rsidRPr="00F876CB" w:rsidRDefault="00D925E4" w:rsidP="009B0C41">
      <w:pPr>
        <w:pStyle w:val="11ilebalayanlar"/>
        <w:numPr>
          <w:ilvl w:val="1"/>
          <w:numId w:val="24"/>
        </w:numPr>
        <w:rPr>
          <w:caps/>
          <w:lang w:val="en-GB"/>
        </w:rPr>
      </w:pPr>
      <w:bookmarkStart w:id="914" w:name="_Toc44508305"/>
      <w:r>
        <w:rPr>
          <w:lang w:val="en-GB"/>
        </w:rPr>
        <w:t>Loss</w:t>
      </w:r>
      <w:r w:rsidR="00AA12A7" w:rsidRPr="00F876CB">
        <w:rPr>
          <w:lang w:val="en-GB"/>
        </w:rPr>
        <w:t>es</w:t>
      </w:r>
      <w:bookmarkEnd w:id="914"/>
      <w:r w:rsidR="00252FDF" w:rsidRPr="00F876CB">
        <w:rPr>
          <w:caps/>
          <w:lang w:val="en-GB"/>
        </w:rPr>
        <w:t xml:space="preserve"> </w:t>
      </w:r>
    </w:p>
    <w:p w:rsidR="005D5E4D" w:rsidRPr="00F876CB" w:rsidRDefault="005D5E4D" w:rsidP="005D5E4D">
      <w:pPr>
        <w:pStyle w:val="11ilebalayanlar"/>
        <w:ind w:left="576"/>
        <w:rPr>
          <w:caps/>
          <w:lang w:val="en-GB"/>
        </w:rPr>
      </w:pPr>
    </w:p>
    <w:p w:rsidR="00AA12A7" w:rsidRPr="00D925E4" w:rsidRDefault="00AA12A7" w:rsidP="00D925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GB" w:eastAsia="tr-TR" w:bidi="ar-SA"/>
        </w:rPr>
      </w:pPr>
      <w:bookmarkStart w:id="915" w:name="_Ref402431902"/>
      <w:bookmarkStart w:id="916" w:name="_Toc450307011"/>
      <w:bookmarkStart w:id="917" w:name="_Toc450307122"/>
      <w:bookmarkStart w:id="918" w:name="_Toc450307946"/>
      <w:r w:rsidRPr="00D925E4">
        <w:rPr>
          <w:rFonts w:ascii="Times New Roman" w:eastAsia="Times New Roman" w:hAnsi="Times New Roman" w:cs="Times New Roman"/>
          <w:color w:val="212121"/>
          <w:sz w:val="24"/>
          <w:szCs w:val="24"/>
          <w:lang w:val="en-GB" w:eastAsia="tr-TR" w:bidi="ar-SA"/>
        </w:rPr>
        <w:t xml:space="preserve">The transmission system loss (TSL) rate varies depending on the demand, load flows, temperature and investments in the system. </w:t>
      </w:r>
      <w:r w:rsidR="00CD5AFA">
        <w:rPr>
          <w:rFonts w:ascii="Times New Roman" w:eastAsia="Times New Roman" w:hAnsi="Times New Roman" w:cs="Times New Roman"/>
          <w:color w:val="212121"/>
          <w:sz w:val="24"/>
          <w:szCs w:val="24"/>
          <w:lang w:val="en-GB" w:eastAsia="tr-TR" w:bidi="ar-SA"/>
        </w:rPr>
        <w:t>It</w:t>
      </w:r>
      <w:r w:rsidRPr="00D925E4">
        <w:rPr>
          <w:rFonts w:ascii="Times New Roman" w:eastAsia="Times New Roman" w:hAnsi="Times New Roman" w:cs="Times New Roman"/>
          <w:color w:val="212121"/>
          <w:sz w:val="24"/>
          <w:szCs w:val="24"/>
          <w:lang w:val="en-GB" w:eastAsia="tr-TR" w:bidi="ar-SA"/>
        </w:rPr>
        <w:t xml:space="preserve"> is calculated hourly and the annual average change over the years is shown in Figure 4.3. The transmission system losses established according to European standards in accordance with the population density of our country, the location of the supply sources and geographical conditions are at the level of international performance.</w:t>
      </w:r>
    </w:p>
    <w:p w:rsidR="00B05484" w:rsidRPr="00F876CB" w:rsidRDefault="00252FDF" w:rsidP="00252FDF">
      <w:pPr>
        <w:pStyle w:val="Balk6"/>
        <w:jc w:val="left"/>
        <w:rPr>
          <w:lang w:val="en-GB"/>
        </w:rPr>
      </w:pPr>
      <w:r w:rsidRPr="00F876CB">
        <w:rPr>
          <w:lang w:val="en-GB"/>
        </w:rPr>
        <w:t xml:space="preserve">  </w:t>
      </w:r>
    </w:p>
    <w:p w:rsidR="00252FDF" w:rsidRPr="00F876CB" w:rsidRDefault="00015994" w:rsidP="00252FDF">
      <w:pPr>
        <w:pStyle w:val="Balk6"/>
        <w:jc w:val="left"/>
        <w:rPr>
          <w:lang w:val="en-GB"/>
        </w:rPr>
      </w:pPr>
      <w:bookmarkStart w:id="919" w:name="_Toc44508420"/>
      <w:r w:rsidRPr="00F876CB">
        <w:rPr>
          <w:lang w:val="en-GB"/>
        </w:rPr>
        <w:t>Figure</w:t>
      </w:r>
      <w:r w:rsidR="00252FDF" w:rsidRPr="00F876CB">
        <w:rPr>
          <w:lang w:val="en-GB"/>
        </w:rPr>
        <w:t xml:space="preserve"> </w:t>
      </w:r>
      <w:r w:rsidR="00C47B3A" w:rsidRPr="00F876CB">
        <w:rPr>
          <w:lang w:val="en-GB"/>
        </w:rPr>
        <w:t>4</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B57767" w:rsidRPr="00F876CB">
        <w:rPr>
          <w:lang w:val="en-GB"/>
        </w:rPr>
        <w:t>3</w:t>
      </w:r>
      <w:r w:rsidR="00252FDF" w:rsidRPr="00F876CB">
        <w:rPr>
          <w:lang w:val="en-GB"/>
        </w:rPr>
        <w:t xml:space="preserve">: </w:t>
      </w:r>
      <w:bookmarkEnd w:id="915"/>
      <w:bookmarkEnd w:id="916"/>
      <w:bookmarkEnd w:id="917"/>
      <w:bookmarkEnd w:id="918"/>
      <w:r w:rsidR="002E594A" w:rsidRPr="00F876CB">
        <w:rPr>
          <w:lang w:val="en-GB"/>
        </w:rPr>
        <w:t xml:space="preserve">Transmission System Losses </w:t>
      </w:r>
      <w:r w:rsidR="00252FDF" w:rsidRPr="00F876CB">
        <w:rPr>
          <w:lang w:val="en-GB"/>
        </w:rPr>
        <w:t>(GWh-%)</w:t>
      </w:r>
      <w:bookmarkEnd w:id="919"/>
    </w:p>
    <w:p w:rsidR="00252FDF" w:rsidRPr="00F876CB" w:rsidRDefault="00D925E4" w:rsidP="00252FDF">
      <w:pPr>
        <w:spacing w:line="360" w:lineRule="auto"/>
        <w:jc w:val="both"/>
        <w:rPr>
          <w:noProof/>
          <w:lang w:val="en-GB" w:eastAsia="tr-TR" w:bidi="ar-SA"/>
        </w:rPr>
      </w:pPr>
      <w:r>
        <w:rPr>
          <w:noProof/>
          <w:lang w:eastAsia="tr-TR" w:bidi="ar-SA"/>
        </w:rPr>
        <w:drawing>
          <wp:inline distT="0" distB="0" distL="0" distR="0" wp14:anchorId="6D5E56E7">
            <wp:extent cx="4968875" cy="2571750"/>
            <wp:effectExtent l="0" t="0" r="317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68875" cy="2571750"/>
                    </a:xfrm>
                    <a:prstGeom prst="rect">
                      <a:avLst/>
                    </a:prstGeom>
                    <a:noFill/>
                  </pic:spPr>
                </pic:pic>
              </a:graphicData>
            </a:graphic>
          </wp:inline>
        </w:drawing>
      </w:r>
    </w:p>
    <w:p w:rsidR="00252FDF" w:rsidRPr="00F876CB" w:rsidRDefault="00252FDF" w:rsidP="00252FDF">
      <w:pPr>
        <w:rPr>
          <w:rFonts w:ascii="Times New Roman" w:hAnsi="Times New Roman"/>
          <w:b/>
          <w:spacing w:val="10"/>
          <w:sz w:val="24"/>
          <w:lang w:val="en-GB"/>
        </w:rPr>
      </w:pPr>
      <w:r w:rsidRPr="00F876CB">
        <w:rPr>
          <w:lang w:val="en-GB"/>
        </w:rPr>
        <w:lastRenderedPageBreak/>
        <w:t xml:space="preserve">  </w:t>
      </w:r>
      <w:r w:rsidR="00015994" w:rsidRPr="00F876CB">
        <w:rPr>
          <w:rFonts w:ascii="Times New Roman" w:hAnsi="Times New Roman"/>
          <w:b/>
          <w:spacing w:val="10"/>
          <w:sz w:val="24"/>
          <w:lang w:val="en-GB"/>
        </w:rPr>
        <w:t>Figure</w:t>
      </w:r>
      <w:r w:rsidRPr="00F876CB">
        <w:rPr>
          <w:rFonts w:ascii="Times New Roman" w:hAnsi="Times New Roman"/>
          <w:b/>
          <w:spacing w:val="10"/>
          <w:sz w:val="24"/>
          <w:lang w:val="en-GB"/>
        </w:rPr>
        <w:t xml:space="preserve"> </w:t>
      </w:r>
      <w:r w:rsidR="00C47B3A" w:rsidRPr="00F876CB">
        <w:rPr>
          <w:rFonts w:ascii="Times New Roman" w:hAnsi="Times New Roman"/>
          <w:b/>
          <w:spacing w:val="10"/>
          <w:sz w:val="24"/>
          <w:lang w:val="en-GB"/>
        </w:rPr>
        <w:t>4</w:t>
      </w:r>
      <w:r w:rsidRPr="00F876CB">
        <w:rPr>
          <w:rFonts w:ascii="Times New Roman" w:hAnsi="Times New Roman"/>
          <w:b/>
          <w:spacing w:val="10"/>
          <w:sz w:val="24"/>
          <w:lang w:val="en-GB"/>
        </w:rPr>
        <w:fldChar w:fldCharType="begin"/>
      </w:r>
      <w:r w:rsidRPr="00F876CB">
        <w:rPr>
          <w:rFonts w:ascii="Times New Roman" w:hAnsi="Times New Roman"/>
          <w:b/>
          <w:spacing w:val="10"/>
          <w:sz w:val="24"/>
          <w:lang w:val="en-GB"/>
        </w:rPr>
        <w:instrText xml:space="preserve"> STYLEREF 1 \s </w:instrText>
      </w:r>
      <w:r w:rsidRPr="00F876CB">
        <w:rPr>
          <w:rFonts w:ascii="Times New Roman" w:hAnsi="Times New Roman"/>
          <w:b/>
          <w:spacing w:val="10"/>
          <w:sz w:val="24"/>
          <w:lang w:val="en-GB"/>
        </w:rPr>
        <w:fldChar w:fldCharType="end"/>
      </w:r>
      <w:r w:rsidRPr="00F876CB">
        <w:rPr>
          <w:rFonts w:ascii="Times New Roman" w:hAnsi="Times New Roman"/>
          <w:b/>
          <w:spacing w:val="10"/>
          <w:sz w:val="24"/>
          <w:lang w:val="en-GB"/>
        </w:rPr>
        <w:t>.</w:t>
      </w:r>
      <w:r w:rsidR="00B57767" w:rsidRPr="00F876CB">
        <w:rPr>
          <w:rFonts w:ascii="Times New Roman" w:hAnsi="Times New Roman"/>
          <w:b/>
          <w:spacing w:val="10"/>
          <w:sz w:val="24"/>
          <w:lang w:val="en-GB"/>
        </w:rPr>
        <w:t>4</w:t>
      </w:r>
      <w:r w:rsidRPr="00F876CB">
        <w:rPr>
          <w:rFonts w:ascii="Times New Roman" w:hAnsi="Times New Roman"/>
          <w:b/>
          <w:spacing w:val="10"/>
          <w:sz w:val="24"/>
          <w:lang w:val="en-GB"/>
        </w:rPr>
        <w:t xml:space="preserve">:  </w:t>
      </w:r>
      <w:r w:rsidR="002E594A" w:rsidRPr="00F876CB">
        <w:rPr>
          <w:rFonts w:ascii="Times New Roman" w:hAnsi="Times New Roman"/>
          <w:b/>
          <w:spacing w:val="10"/>
          <w:sz w:val="24"/>
          <w:lang w:val="en-GB"/>
        </w:rPr>
        <w:t xml:space="preserve">Transmission System Loses by </w:t>
      </w:r>
      <w:proofErr w:type="gramStart"/>
      <w:r w:rsidR="002E594A" w:rsidRPr="00F876CB">
        <w:rPr>
          <w:rFonts w:ascii="Times New Roman" w:hAnsi="Times New Roman"/>
          <w:b/>
          <w:spacing w:val="10"/>
          <w:sz w:val="24"/>
          <w:lang w:val="en-GB"/>
        </w:rPr>
        <w:t>Hour</w:t>
      </w:r>
      <w:r w:rsidRPr="00F876CB">
        <w:rPr>
          <w:rFonts w:ascii="Times New Roman" w:hAnsi="Times New Roman"/>
          <w:b/>
          <w:spacing w:val="10"/>
          <w:sz w:val="24"/>
          <w:lang w:val="en-GB"/>
        </w:rPr>
        <w:t>(</w:t>
      </w:r>
      <w:proofErr w:type="gramEnd"/>
      <w:r w:rsidRPr="00F876CB">
        <w:rPr>
          <w:rFonts w:ascii="Times New Roman" w:hAnsi="Times New Roman"/>
          <w:b/>
          <w:spacing w:val="10"/>
          <w:sz w:val="24"/>
          <w:lang w:val="en-GB"/>
        </w:rPr>
        <w:t>%)</w:t>
      </w:r>
      <w:r w:rsidRPr="00F876CB">
        <w:rPr>
          <w:rFonts w:asciiTheme="minorHAnsi" w:hAnsiTheme="minorHAnsi" w:cstheme="minorHAnsi"/>
          <w:szCs w:val="24"/>
          <w:lang w:val="en-GB"/>
        </w:rPr>
        <w:tab/>
      </w:r>
    </w:p>
    <w:p w:rsidR="00252FDF" w:rsidRPr="00F876CB" w:rsidRDefault="00D925E4" w:rsidP="00252FDF">
      <w:pPr>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31D58FE2">
            <wp:extent cx="5696585" cy="3171825"/>
            <wp:effectExtent l="0" t="0" r="0" b="952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96585" cy="3171825"/>
                    </a:xfrm>
                    <a:prstGeom prst="rect">
                      <a:avLst/>
                    </a:prstGeom>
                    <a:noFill/>
                  </pic:spPr>
                </pic:pic>
              </a:graphicData>
            </a:graphic>
          </wp:inline>
        </w:drawing>
      </w:r>
    </w:p>
    <w:p w:rsidR="00252FDF" w:rsidRPr="00F876CB" w:rsidRDefault="000E70EC" w:rsidP="000E70EC">
      <w:pPr>
        <w:spacing w:line="360" w:lineRule="auto"/>
        <w:ind w:firstLine="360"/>
        <w:rPr>
          <w:rFonts w:asciiTheme="minorHAnsi" w:hAnsiTheme="minorHAnsi" w:cstheme="minorHAnsi"/>
          <w:sz w:val="24"/>
          <w:szCs w:val="24"/>
          <w:lang w:val="en-GB"/>
        </w:rPr>
        <w:sectPr w:rsidR="00252FDF" w:rsidRPr="00F876CB" w:rsidSect="00151A3B">
          <w:pgSz w:w="11906" w:h="16838"/>
          <w:pgMar w:top="1418" w:right="1418" w:bottom="1418" w:left="1418" w:header="709" w:footer="709" w:gutter="0"/>
          <w:cols w:space="708"/>
          <w:docGrid w:linePitch="360"/>
        </w:sectPr>
      </w:pPr>
      <w:r w:rsidRPr="00F876CB">
        <w:rPr>
          <w:rFonts w:asciiTheme="minorHAnsi" w:hAnsiTheme="minorHAnsi" w:cstheme="minorHAnsi"/>
          <w:sz w:val="24"/>
          <w:szCs w:val="24"/>
          <w:lang w:val="en-GB"/>
        </w:rPr>
        <w:t xml:space="preserve">      </w:t>
      </w:r>
      <w:r w:rsidR="002E594A" w:rsidRPr="00F876CB">
        <w:rPr>
          <w:rFonts w:asciiTheme="minorHAnsi" w:hAnsiTheme="minorHAnsi" w:cstheme="minorHAnsi"/>
          <w:sz w:val="24"/>
          <w:szCs w:val="24"/>
          <w:lang w:val="en-GB"/>
        </w:rPr>
        <w:t>Considering the development of transmission system loss according to hours, it is seen that the highest loss rate is at 11:00.</w:t>
      </w:r>
    </w:p>
    <w:p w:rsidR="00252FDF" w:rsidRPr="00F876CB" w:rsidRDefault="00252FDF" w:rsidP="00897368">
      <w:pPr>
        <w:pStyle w:val="AnaBalklar"/>
        <w:numPr>
          <w:ilvl w:val="0"/>
          <w:numId w:val="32"/>
        </w:numPr>
        <w:rPr>
          <w:lang w:val="en-GB"/>
        </w:rPr>
      </w:pPr>
      <w:bookmarkStart w:id="920" w:name="_Toc326331441"/>
      <w:bookmarkStart w:id="921" w:name="_Toc44508306"/>
      <w:r w:rsidRPr="00F876CB">
        <w:rPr>
          <w:lang w:val="en-GB"/>
        </w:rPr>
        <w:lastRenderedPageBreak/>
        <w:t>D</w:t>
      </w:r>
      <w:bookmarkEnd w:id="920"/>
      <w:r w:rsidR="00897368" w:rsidRPr="00F876CB">
        <w:rPr>
          <w:lang w:val="en-GB"/>
        </w:rPr>
        <w:t>ISTRIBUTION</w:t>
      </w:r>
      <w:bookmarkEnd w:id="921"/>
      <w:r w:rsidRPr="00F876CB">
        <w:rPr>
          <w:lang w:val="en-GB"/>
        </w:rPr>
        <w:t xml:space="preserve"> </w:t>
      </w:r>
    </w:p>
    <w:p w:rsidR="00252FDF" w:rsidRPr="00F876CB" w:rsidRDefault="00252FDF" w:rsidP="00252FDF">
      <w:pPr>
        <w:spacing w:line="360" w:lineRule="auto"/>
        <w:ind w:firstLine="708"/>
        <w:jc w:val="both"/>
        <w:rPr>
          <w:lang w:val="en-GB"/>
        </w:rPr>
      </w:pPr>
    </w:p>
    <w:p w:rsidR="00252FDF" w:rsidRPr="00F876CB"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GB"/>
        </w:rPr>
      </w:pPr>
      <w:bookmarkStart w:id="922" w:name="_Toc333488669"/>
      <w:bookmarkStart w:id="923" w:name="_Toc333488798"/>
      <w:bookmarkStart w:id="924" w:name="_Toc333488871"/>
      <w:bookmarkStart w:id="925" w:name="_Toc333488917"/>
      <w:bookmarkStart w:id="926" w:name="_Toc333488986"/>
      <w:bookmarkStart w:id="927" w:name="_Toc333501294"/>
      <w:bookmarkStart w:id="928" w:name="_Toc335986580"/>
      <w:bookmarkStart w:id="929" w:name="_Toc336004576"/>
      <w:bookmarkStart w:id="930" w:name="_Toc400527934"/>
      <w:bookmarkStart w:id="931" w:name="_Toc400527993"/>
      <w:bookmarkStart w:id="932" w:name="_Toc401766172"/>
      <w:bookmarkStart w:id="933" w:name="_Toc401766227"/>
      <w:bookmarkStart w:id="934" w:name="_Toc402451236"/>
      <w:bookmarkStart w:id="935" w:name="_Toc402512366"/>
      <w:bookmarkStart w:id="936" w:name="_Toc402512406"/>
      <w:bookmarkStart w:id="937" w:name="_Toc402770691"/>
      <w:bookmarkStart w:id="938" w:name="_Toc402780593"/>
      <w:bookmarkStart w:id="939" w:name="_Toc402796292"/>
      <w:bookmarkStart w:id="940" w:name="_Toc402798386"/>
      <w:bookmarkStart w:id="941" w:name="_Toc402798439"/>
      <w:bookmarkStart w:id="942" w:name="_Toc404347622"/>
      <w:bookmarkStart w:id="943" w:name="_Toc404588161"/>
      <w:bookmarkStart w:id="944" w:name="_Toc404863990"/>
      <w:bookmarkStart w:id="945" w:name="_Toc404864394"/>
      <w:bookmarkStart w:id="946" w:name="_Toc404864549"/>
      <w:bookmarkStart w:id="947" w:name="_Toc404864659"/>
      <w:bookmarkStart w:id="948" w:name="_Toc404865508"/>
      <w:bookmarkStart w:id="949" w:name="_Toc405476979"/>
      <w:bookmarkStart w:id="950" w:name="_Toc405817154"/>
      <w:bookmarkStart w:id="951" w:name="_Toc423947009"/>
      <w:bookmarkStart w:id="952" w:name="_Toc428360349"/>
      <w:bookmarkStart w:id="953" w:name="_Toc428422452"/>
      <w:bookmarkStart w:id="954" w:name="_Toc428456332"/>
      <w:bookmarkStart w:id="955" w:name="_Toc428709061"/>
      <w:bookmarkStart w:id="956" w:name="_Toc428709102"/>
      <w:bookmarkStart w:id="957" w:name="_Toc428709733"/>
      <w:bookmarkStart w:id="958" w:name="_Toc428716837"/>
      <w:bookmarkStart w:id="959" w:name="_Toc428716871"/>
      <w:bookmarkStart w:id="960" w:name="_Toc428786953"/>
      <w:bookmarkStart w:id="961" w:name="_Toc429402398"/>
      <w:bookmarkStart w:id="962" w:name="_Toc429469241"/>
      <w:bookmarkStart w:id="963" w:name="_Toc429475760"/>
      <w:bookmarkStart w:id="964" w:name="_Toc432164563"/>
      <w:bookmarkStart w:id="965" w:name="_Toc449713782"/>
      <w:bookmarkStart w:id="966" w:name="_Toc450223285"/>
      <w:bookmarkStart w:id="967" w:name="_Toc450300246"/>
      <w:bookmarkStart w:id="968" w:name="_Toc450300285"/>
      <w:bookmarkStart w:id="969" w:name="_Toc450309742"/>
      <w:bookmarkStart w:id="970" w:name="_Toc450309817"/>
      <w:bookmarkStart w:id="971" w:name="_Toc450309930"/>
      <w:bookmarkStart w:id="972" w:name="_Toc450314148"/>
      <w:bookmarkStart w:id="973" w:name="_Toc450319875"/>
      <w:bookmarkStart w:id="974" w:name="_Toc450555919"/>
      <w:bookmarkStart w:id="975" w:name="_Toc452044478"/>
      <w:bookmarkStart w:id="976" w:name="_Toc452044892"/>
      <w:bookmarkStart w:id="977" w:name="_Toc452106922"/>
      <w:bookmarkStart w:id="978" w:name="_Toc452111722"/>
      <w:bookmarkStart w:id="979" w:name="_Toc480375606"/>
      <w:bookmarkStart w:id="980" w:name="_Toc480451686"/>
      <w:bookmarkStart w:id="981" w:name="_Toc480535006"/>
      <w:bookmarkStart w:id="982" w:name="_Toc480899369"/>
      <w:bookmarkStart w:id="983" w:name="_Toc480991781"/>
      <w:bookmarkStart w:id="984" w:name="_Toc481497652"/>
      <w:bookmarkStart w:id="985" w:name="_Toc482801138"/>
      <w:bookmarkStart w:id="986" w:name="_Toc483791454"/>
      <w:bookmarkStart w:id="987" w:name="_Toc483791708"/>
      <w:bookmarkStart w:id="988" w:name="_Toc511123191"/>
      <w:bookmarkStart w:id="989" w:name="_Toc511123230"/>
      <w:bookmarkStart w:id="990" w:name="_Toc511221813"/>
      <w:bookmarkStart w:id="991" w:name="_Toc512429810"/>
      <w:bookmarkStart w:id="992" w:name="_Toc512431648"/>
      <w:bookmarkStart w:id="993" w:name="_Toc512431687"/>
      <w:bookmarkStart w:id="994" w:name="_Toc7172763"/>
      <w:bookmarkStart w:id="995" w:name="_Toc7172803"/>
      <w:bookmarkStart w:id="996" w:name="_Toc7181392"/>
      <w:bookmarkStart w:id="997" w:name="_Toc7431184"/>
      <w:bookmarkStart w:id="998" w:name="_Toc8987878"/>
      <w:bookmarkStart w:id="999" w:name="_Toc37374493"/>
      <w:bookmarkStart w:id="1000" w:name="_Toc40103326"/>
      <w:bookmarkStart w:id="1001" w:name="_Toc40103794"/>
      <w:bookmarkStart w:id="1002" w:name="_Toc40142173"/>
      <w:bookmarkStart w:id="1003" w:name="_Toc40956378"/>
      <w:bookmarkStart w:id="1004" w:name="_Toc40961425"/>
      <w:bookmarkStart w:id="1005" w:name="_Toc40966006"/>
      <w:bookmarkStart w:id="1006" w:name="_Toc43987877"/>
      <w:bookmarkStart w:id="1007" w:name="_Toc43988491"/>
      <w:bookmarkStart w:id="1008" w:name="_Toc44060054"/>
      <w:bookmarkStart w:id="1009" w:name="_Toc44073388"/>
      <w:bookmarkStart w:id="1010" w:name="_Toc44073427"/>
      <w:bookmarkStart w:id="1011" w:name="_Toc44073466"/>
      <w:bookmarkStart w:id="1012" w:name="_Toc44508307"/>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rsidR="009A2B48" w:rsidRPr="00F876CB"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val="en-GB" w:bidi="ar-SA"/>
        </w:rPr>
      </w:pPr>
      <w:bookmarkStart w:id="1013" w:name="_Toc428716838"/>
      <w:bookmarkStart w:id="1014" w:name="_Toc428716872"/>
      <w:bookmarkStart w:id="1015" w:name="_Toc428786954"/>
      <w:bookmarkStart w:id="1016" w:name="_Toc429402399"/>
      <w:bookmarkStart w:id="1017" w:name="_Toc429469242"/>
      <w:bookmarkStart w:id="1018" w:name="_Toc429475761"/>
      <w:bookmarkStart w:id="1019" w:name="_Toc432164564"/>
      <w:bookmarkStart w:id="1020" w:name="_Toc449713783"/>
      <w:bookmarkStart w:id="1021" w:name="_Toc450223286"/>
      <w:bookmarkStart w:id="1022" w:name="_Toc450300247"/>
      <w:bookmarkStart w:id="1023" w:name="_Toc450300286"/>
      <w:bookmarkStart w:id="1024" w:name="_Toc450309743"/>
      <w:bookmarkStart w:id="1025" w:name="_Toc450309818"/>
      <w:bookmarkStart w:id="1026" w:name="_Toc450309931"/>
      <w:bookmarkStart w:id="1027" w:name="_Toc450314149"/>
      <w:bookmarkStart w:id="1028" w:name="_Toc450319876"/>
      <w:bookmarkStart w:id="1029" w:name="_Toc450555920"/>
      <w:bookmarkStart w:id="1030" w:name="_Toc452044479"/>
      <w:bookmarkStart w:id="1031" w:name="_Toc452044893"/>
      <w:bookmarkStart w:id="1032" w:name="_Toc452106923"/>
      <w:bookmarkStart w:id="1033" w:name="_Toc452111723"/>
      <w:bookmarkStart w:id="1034" w:name="_Toc480375607"/>
      <w:bookmarkStart w:id="1035" w:name="_Toc480451687"/>
      <w:bookmarkStart w:id="1036" w:name="_Toc480535007"/>
      <w:bookmarkStart w:id="1037" w:name="_Toc480899370"/>
      <w:bookmarkStart w:id="1038" w:name="_Toc480991782"/>
      <w:bookmarkStart w:id="1039" w:name="_Toc481497653"/>
      <w:bookmarkStart w:id="1040" w:name="_Toc482801139"/>
      <w:bookmarkStart w:id="1041" w:name="_Toc483791455"/>
      <w:bookmarkStart w:id="1042" w:name="_Toc483791709"/>
      <w:bookmarkStart w:id="1043" w:name="_Toc511123192"/>
      <w:bookmarkStart w:id="1044" w:name="_Toc511123231"/>
      <w:bookmarkStart w:id="1045" w:name="_Toc511221814"/>
      <w:bookmarkStart w:id="1046" w:name="_Toc512429811"/>
      <w:bookmarkStart w:id="1047" w:name="_Toc512431649"/>
      <w:bookmarkStart w:id="1048" w:name="_Toc512431688"/>
      <w:bookmarkStart w:id="1049" w:name="_Toc7172764"/>
      <w:bookmarkStart w:id="1050" w:name="_Toc7172804"/>
      <w:bookmarkStart w:id="1051" w:name="_Toc7181393"/>
      <w:bookmarkStart w:id="1052" w:name="_Toc7431185"/>
      <w:bookmarkStart w:id="1053" w:name="_Toc8987879"/>
      <w:bookmarkStart w:id="1054" w:name="_Toc37374494"/>
      <w:bookmarkStart w:id="1055" w:name="_Toc40103327"/>
      <w:bookmarkStart w:id="1056" w:name="_Toc40103795"/>
      <w:bookmarkStart w:id="1057" w:name="_Toc40142174"/>
      <w:bookmarkStart w:id="1058" w:name="_Toc40956379"/>
      <w:bookmarkStart w:id="1059" w:name="_Toc40961426"/>
      <w:bookmarkStart w:id="1060" w:name="_Toc40966007"/>
      <w:bookmarkStart w:id="1061" w:name="_Toc43987878"/>
      <w:bookmarkStart w:id="1062" w:name="_Toc43988492"/>
      <w:bookmarkStart w:id="1063" w:name="_Toc44060055"/>
      <w:bookmarkStart w:id="1064" w:name="_Toc44073389"/>
      <w:bookmarkStart w:id="1065" w:name="_Toc44073428"/>
      <w:bookmarkStart w:id="1066" w:name="_Toc44073467"/>
      <w:bookmarkStart w:id="1067" w:name="_Toc44508308"/>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rsidR="00252FDF" w:rsidRPr="00F876CB" w:rsidRDefault="005935B1" w:rsidP="009A2B48">
      <w:pPr>
        <w:pStyle w:val="11ilebalayanlar"/>
        <w:numPr>
          <w:ilvl w:val="1"/>
          <w:numId w:val="26"/>
        </w:numPr>
        <w:rPr>
          <w:lang w:val="en-GB"/>
        </w:rPr>
      </w:pPr>
      <w:bookmarkStart w:id="1068" w:name="_Toc44508309"/>
      <w:r w:rsidRPr="00F876CB">
        <w:rPr>
          <w:lang w:val="en-GB"/>
        </w:rPr>
        <w:t>Number of Consumers</w:t>
      </w:r>
      <w:bookmarkEnd w:id="1068"/>
    </w:p>
    <w:p w:rsidR="00252FDF" w:rsidRPr="00F876CB" w:rsidRDefault="00252FDF" w:rsidP="00252FDF">
      <w:pPr>
        <w:pStyle w:val="11ilebalayanlar"/>
        <w:ind w:left="576"/>
        <w:rPr>
          <w:lang w:val="en-GB"/>
        </w:rPr>
      </w:pPr>
    </w:p>
    <w:p w:rsidR="0061689C" w:rsidRPr="00D925E4" w:rsidRDefault="00D925E4" w:rsidP="000E0FFA">
      <w:pPr>
        <w:spacing w:line="360" w:lineRule="auto"/>
        <w:rPr>
          <w:rFonts w:asciiTheme="minorHAnsi" w:hAnsiTheme="minorHAnsi" w:cstheme="minorHAnsi"/>
          <w:sz w:val="24"/>
          <w:szCs w:val="24"/>
          <w:lang w:val="en-GB"/>
        </w:rPr>
      </w:pPr>
      <w:bookmarkStart w:id="1069" w:name="_Toc406663204"/>
      <w:bookmarkStart w:id="1070" w:name="_Toc450300312"/>
      <w:bookmarkStart w:id="1071" w:name="_Toc450309972"/>
      <w:r w:rsidRPr="00D925E4">
        <w:rPr>
          <w:rFonts w:asciiTheme="minorHAnsi" w:hAnsiTheme="minorHAnsi" w:cstheme="minorHAnsi"/>
          <w:sz w:val="24"/>
          <w:szCs w:val="24"/>
          <w:lang w:val="en-GB"/>
        </w:rPr>
        <w:t>By</w:t>
      </w:r>
      <w:r w:rsidR="0061689C" w:rsidRPr="00D925E4">
        <w:rPr>
          <w:rFonts w:asciiTheme="minorHAnsi" w:hAnsiTheme="minorHAnsi" w:cstheme="minorHAnsi"/>
          <w:sz w:val="24"/>
          <w:szCs w:val="24"/>
          <w:lang w:val="en-GB"/>
        </w:rPr>
        <w:t xml:space="preserve"> 2019, the total number of consumers using the distribution system increased by 2</w:t>
      </w:r>
      <w:r>
        <w:rPr>
          <w:rFonts w:asciiTheme="minorHAnsi" w:hAnsiTheme="minorHAnsi" w:cstheme="minorHAnsi"/>
          <w:sz w:val="24"/>
          <w:szCs w:val="24"/>
          <w:lang w:val="en-GB"/>
        </w:rPr>
        <w:t>,</w:t>
      </w:r>
      <w:r w:rsidR="0061689C" w:rsidRPr="00D925E4">
        <w:rPr>
          <w:rFonts w:asciiTheme="minorHAnsi" w:hAnsiTheme="minorHAnsi" w:cstheme="minorHAnsi"/>
          <w:sz w:val="24"/>
          <w:szCs w:val="24"/>
          <w:lang w:val="en-GB"/>
        </w:rPr>
        <w:t>99% compared to the previous year and reached 44</w:t>
      </w:r>
      <w:r>
        <w:rPr>
          <w:rFonts w:asciiTheme="minorHAnsi" w:hAnsiTheme="minorHAnsi" w:cstheme="minorHAnsi"/>
          <w:sz w:val="24"/>
          <w:szCs w:val="24"/>
          <w:lang w:val="en-GB"/>
        </w:rPr>
        <w:t>.958.</w:t>
      </w:r>
      <w:r w:rsidR="0061689C" w:rsidRPr="00D925E4">
        <w:rPr>
          <w:rFonts w:asciiTheme="minorHAnsi" w:hAnsiTheme="minorHAnsi" w:cstheme="minorHAnsi"/>
          <w:sz w:val="24"/>
          <w:szCs w:val="24"/>
          <w:lang w:val="en-GB"/>
        </w:rPr>
        <w:t>326.</w:t>
      </w:r>
    </w:p>
    <w:p w:rsidR="00252FDF" w:rsidRPr="00F876CB" w:rsidRDefault="00015994" w:rsidP="00252FDF">
      <w:pPr>
        <w:pStyle w:val="Balk5"/>
        <w:rPr>
          <w:lang w:val="en-GB"/>
        </w:rPr>
      </w:pPr>
      <w:bookmarkStart w:id="1072" w:name="_Toc44508344"/>
      <w:r w:rsidRPr="00F876CB">
        <w:rPr>
          <w:rFonts w:eastAsiaTheme="minorEastAsia"/>
          <w:bCs/>
          <w:caps/>
          <w:lang w:val="en-GB"/>
        </w:rPr>
        <w:t>T</w:t>
      </w:r>
      <w:r w:rsidR="009800AC" w:rsidRPr="00F876CB">
        <w:rPr>
          <w:rFonts w:eastAsiaTheme="minorEastAsia"/>
          <w:bCs/>
          <w:lang w:val="en-GB"/>
        </w:rPr>
        <w:t>able</w:t>
      </w:r>
      <w:r w:rsidR="00252FDF" w:rsidRPr="00F876CB">
        <w:rPr>
          <w:rFonts w:eastAsiaTheme="minorEastAsia"/>
          <w:bCs/>
          <w:caps/>
          <w:lang w:val="en-GB"/>
        </w:rPr>
        <w:t xml:space="preserve"> </w:t>
      </w:r>
      <w:r w:rsidR="00C47B3A" w:rsidRPr="00F876CB">
        <w:rPr>
          <w:rFonts w:eastAsiaTheme="minorEastAsia"/>
          <w:bCs/>
          <w:caps/>
          <w:lang w:val="en-GB"/>
        </w:rPr>
        <w:t>5</w:t>
      </w:r>
      <w:r w:rsidR="00252FDF" w:rsidRPr="00F876CB">
        <w:rPr>
          <w:rFonts w:eastAsiaTheme="minorEastAsia"/>
          <w:bCs/>
          <w:caps/>
          <w:lang w:val="en-GB"/>
        </w:rPr>
        <w:fldChar w:fldCharType="begin"/>
      </w:r>
      <w:r w:rsidR="00252FDF" w:rsidRPr="00F876CB">
        <w:rPr>
          <w:rFonts w:eastAsiaTheme="minorEastAsia"/>
          <w:bCs/>
          <w:caps/>
          <w:lang w:val="en-GB"/>
        </w:rPr>
        <w:instrText xml:space="preserve"> STYLEREF 1 \s </w:instrText>
      </w:r>
      <w:r w:rsidR="00252FDF" w:rsidRPr="00F876CB">
        <w:rPr>
          <w:rFonts w:eastAsiaTheme="minorEastAsia"/>
          <w:bCs/>
          <w:caps/>
          <w:lang w:val="en-GB"/>
        </w:rPr>
        <w:fldChar w:fldCharType="end"/>
      </w:r>
      <w:r w:rsidR="00252FDF" w:rsidRPr="00F876CB">
        <w:rPr>
          <w:rFonts w:eastAsiaTheme="minorEastAsia"/>
          <w:bCs/>
          <w:caps/>
          <w:lang w:val="en-GB"/>
        </w:rPr>
        <w:t>.</w:t>
      </w:r>
      <w:r w:rsidR="00C47B3A" w:rsidRPr="00F876CB">
        <w:rPr>
          <w:rFonts w:eastAsiaTheme="minorEastAsia"/>
          <w:bCs/>
          <w:caps/>
          <w:lang w:val="en-GB"/>
        </w:rPr>
        <w:t>1</w:t>
      </w:r>
      <w:r w:rsidR="00252FDF" w:rsidRPr="00F876CB">
        <w:rPr>
          <w:rFonts w:eastAsiaTheme="minorEastAsia"/>
          <w:bCs/>
          <w:caps/>
          <w:lang w:val="en-GB"/>
        </w:rPr>
        <w:t>:</w:t>
      </w:r>
      <w:r w:rsidR="00252FDF" w:rsidRPr="00F876CB">
        <w:rPr>
          <w:caps/>
          <w:lang w:val="en-GB"/>
        </w:rPr>
        <w:t xml:space="preserve"> </w:t>
      </w:r>
      <w:bookmarkEnd w:id="1069"/>
      <w:bookmarkEnd w:id="1070"/>
      <w:bookmarkEnd w:id="1071"/>
      <w:r w:rsidR="0061689C" w:rsidRPr="00F876CB">
        <w:rPr>
          <w:lang w:val="en-GB"/>
        </w:rPr>
        <w:t>Number of Consumers Using Distribution System by the end of 2019 (Number-%)</w:t>
      </w:r>
      <w:bookmarkEnd w:id="1072"/>
    </w:p>
    <w:tbl>
      <w:tblPr>
        <w:tblW w:w="8940" w:type="dxa"/>
        <w:tblInd w:w="80" w:type="dxa"/>
        <w:tblCellMar>
          <w:left w:w="70" w:type="dxa"/>
          <w:right w:w="70" w:type="dxa"/>
        </w:tblCellMar>
        <w:tblLook w:val="04A0" w:firstRow="1" w:lastRow="0" w:firstColumn="1" w:lastColumn="0" w:noHBand="0" w:noVBand="1"/>
      </w:tblPr>
      <w:tblGrid>
        <w:gridCol w:w="1840"/>
        <w:gridCol w:w="1707"/>
        <w:gridCol w:w="1707"/>
        <w:gridCol w:w="1707"/>
        <w:gridCol w:w="1979"/>
      </w:tblGrid>
      <w:tr w:rsidR="00BA5D72" w:rsidRPr="00F876CB" w:rsidTr="00BA5D72">
        <w:trPr>
          <w:trHeight w:val="300"/>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A5D72" w:rsidRPr="00F876CB" w:rsidRDefault="00E427D6"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Distribution Company</w:t>
            </w:r>
          </w:p>
        </w:tc>
        <w:tc>
          <w:tcPr>
            <w:tcW w:w="5121"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BA5D72" w:rsidRPr="00F876CB" w:rsidRDefault="00E427D6"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Number of Consumers</w:t>
            </w:r>
          </w:p>
        </w:tc>
        <w:tc>
          <w:tcPr>
            <w:tcW w:w="1979"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A5D72" w:rsidRPr="00F876CB" w:rsidRDefault="00BA5D72"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2018-2019</w:t>
            </w:r>
            <w:r w:rsidRPr="00F876CB">
              <w:rPr>
                <w:rFonts w:ascii="Calibri" w:eastAsia="Times New Roman" w:hAnsi="Calibri" w:cs="Calibri"/>
                <w:b/>
                <w:bCs/>
                <w:color w:val="FFFFFF"/>
                <w:lang w:val="en-GB" w:eastAsia="tr-TR" w:bidi="ar-SA"/>
              </w:rPr>
              <w:br/>
            </w:r>
            <w:r w:rsidR="00E427D6" w:rsidRPr="00F876CB">
              <w:rPr>
                <w:rFonts w:ascii="Calibri" w:eastAsia="Times New Roman" w:hAnsi="Calibri" w:cs="Calibri"/>
                <w:b/>
                <w:bCs/>
                <w:color w:val="FFFFFF"/>
                <w:lang w:val="en-GB" w:eastAsia="tr-TR" w:bidi="ar-SA"/>
              </w:rPr>
              <w:t>Change</w:t>
            </w:r>
            <w:r w:rsidRPr="00F876CB">
              <w:rPr>
                <w:rFonts w:ascii="Calibri" w:eastAsia="Times New Roman" w:hAnsi="Calibri" w:cs="Calibri"/>
                <w:b/>
                <w:bCs/>
                <w:color w:val="FFFFFF"/>
                <w:lang w:val="en-GB" w:eastAsia="tr-TR" w:bidi="ar-SA"/>
              </w:rPr>
              <w:t xml:space="preserve"> (%)</w:t>
            </w:r>
          </w:p>
        </w:tc>
      </w:tr>
      <w:tr w:rsidR="00BA5D72" w:rsidRPr="00F876CB" w:rsidTr="00BA5D72">
        <w:trPr>
          <w:trHeight w:val="31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BA5D72" w:rsidRPr="00F876CB" w:rsidRDefault="00BA5D72" w:rsidP="00BA5D72">
            <w:pPr>
              <w:spacing w:after="0" w:line="240" w:lineRule="auto"/>
              <w:rPr>
                <w:rFonts w:ascii="Calibri" w:eastAsia="Times New Roman" w:hAnsi="Calibri" w:cs="Calibri"/>
                <w:b/>
                <w:bCs/>
                <w:color w:val="FFFFFF"/>
                <w:lang w:val="en-GB" w:eastAsia="tr-TR" w:bidi="ar-SA"/>
              </w:rPr>
            </w:pPr>
          </w:p>
        </w:tc>
        <w:tc>
          <w:tcPr>
            <w:tcW w:w="1707"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rsidR="00BA5D72" w:rsidRPr="00F876CB" w:rsidRDefault="00BA5D72"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2017</w:t>
            </w:r>
          </w:p>
        </w:tc>
        <w:tc>
          <w:tcPr>
            <w:tcW w:w="1707" w:type="dxa"/>
            <w:tcBorders>
              <w:top w:val="single" w:sz="4" w:space="0" w:color="auto"/>
              <w:left w:val="nil"/>
              <w:bottom w:val="single" w:sz="8" w:space="0" w:color="auto"/>
              <w:right w:val="single" w:sz="4" w:space="0" w:color="auto"/>
            </w:tcBorders>
            <w:shd w:val="clear" w:color="000000" w:fill="FF0000"/>
            <w:noWrap/>
            <w:vAlign w:val="center"/>
            <w:hideMark/>
          </w:tcPr>
          <w:p w:rsidR="00BA5D72" w:rsidRPr="00F876CB" w:rsidRDefault="00BA5D72"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w:t>
            </w:r>
          </w:p>
        </w:tc>
        <w:tc>
          <w:tcPr>
            <w:tcW w:w="1707" w:type="dxa"/>
            <w:tcBorders>
              <w:top w:val="nil"/>
              <w:left w:val="single" w:sz="4" w:space="0" w:color="auto"/>
              <w:bottom w:val="single" w:sz="8" w:space="0" w:color="auto"/>
              <w:right w:val="single" w:sz="8" w:space="0" w:color="auto"/>
            </w:tcBorders>
            <w:shd w:val="clear" w:color="000000" w:fill="FF0000"/>
            <w:noWrap/>
            <w:vAlign w:val="center"/>
            <w:hideMark/>
          </w:tcPr>
          <w:p w:rsidR="00BA5D72" w:rsidRPr="00F876CB" w:rsidRDefault="00BA5D72"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2019</w:t>
            </w:r>
          </w:p>
        </w:tc>
        <w:tc>
          <w:tcPr>
            <w:tcW w:w="1979" w:type="dxa"/>
            <w:vMerge/>
            <w:tcBorders>
              <w:top w:val="single" w:sz="8" w:space="0" w:color="auto"/>
              <w:left w:val="single" w:sz="8" w:space="0" w:color="auto"/>
              <w:bottom w:val="single" w:sz="8" w:space="0" w:color="000000"/>
              <w:right w:val="single" w:sz="8" w:space="0" w:color="auto"/>
            </w:tcBorders>
            <w:vAlign w:val="center"/>
            <w:hideMark/>
          </w:tcPr>
          <w:p w:rsidR="00BA5D72" w:rsidRPr="00F876CB" w:rsidRDefault="00BA5D72" w:rsidP="00BA5D72">
            <w:pPr>
              <w:spacing w:after="0" w:line="240" w:lineRule="auto"/>
              <w:rPr>
                <w:rFonts w:ascii="Calibri" w:eastAsia="Times New Roman" w:hAnsi="Calibri" w:cs="Calibri"/>
                <w:b/>
                <w:bCs/>
                <w:color w:val="FFFFFF"/>
                <w:lang w:val="en-GB" w:eastAsia="tr-TR" w:bidi="ar-SA"/>
              </w:rPr>
            </w:pP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BOĞAZİÇİ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4.910.115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5.029.273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5.134.980</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BAŞKENT</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4.218.812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4.199.135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4.278.785</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TOROSLAR</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3.805.358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3.877.734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3.997.925</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GDZ</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3.165.847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3.312.515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3.421.183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3,28</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ULUDAĞ</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3.092.199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3.189.831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3.285.323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DE51A2" w:rsidP="00DE51A2">
            <w:pPr>
              <w:spacing w:after="0" w:line="240" w:lineRule="auto"/>
              <w:rPr>
                <w:rFonts w:ascii="Calibri" w:eastAsia="Times New Roman" w:hAnsi="Calibri" w:cs="Calibri"/>
                <w:color w:val="FFFFFF"/>
                <w:lang w:val="en-GB" w:eastAsia="tr-TR" w:bidi="ar-SA"/>
              </w:rPr>
            </w:pPr>
            <w:r>
              <w:rPr>
                <w:rFonts w:ascii="Calibri" w:eastAsia="Times New Roman" w:hAnsi="Calibri" w:cs="Calibri"/>
                <w:color w:val="FFFFFF"/>
                <w:lang w:val="en-GB" w:eastAsia="tr-TR" w:bidi="ar-SA"/>
              </w:rPr>
              <w:t>İST. ANATOLIAN</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2.834.800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2.854.123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2.928.586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2,61</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AKDENİZ</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2.076.167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2.163.700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2.220.744</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2,64</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MERAM</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2.027.866</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2.094.254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2.169.733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YEŞİLIRMAK</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1.998.388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2.073.523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2.147.103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3,55</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ADM</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1.834.517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1.902.358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1.966.146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3,35</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DİCLE</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1.757.417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1.838.929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1.934.641</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1.742.528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1.831.677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1.905.188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4,01</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OSMANGAZİ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1.720.217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1.786.452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1.839.538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2,97</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ÇORUH</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1.303.909</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1.359.781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1.389.748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2,20</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TRAKYA</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1.042.995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1.089.247</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1.125.936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3,37</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ARAS</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963.072</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1.002.743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1.029.869</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ÇAMLIBEL</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946.381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974.544</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1.005.503</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3,18</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FIRAT</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917.488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957.081</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977.424</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2,13</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 VE CİVARI</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695.210</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718.723</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748.858</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4,19</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AKEDAŞ</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678.775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713.348</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740.416</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3,79</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VANGÖLÜ</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650.555</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684.366</w:t>
            </w:r>
          </w:p>
        </w:tc>
        <w:tc>
          <w:tcPr>
            <w:tcW w:w="1707"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710.697</w:t>
            </w:r>
          </w:p>
        </w:tc>
        <w:tc>
          <w:tcPr>
            <w:tcW w:w="1979" w:type="dxa"/>
            <w:tcBorders>
              <w:top w:val="nil"/>
              <w:left w:val="nil"/>
              <w:bottom w:val="single" w:sz="8" w:space="0" w:color="auto"/>
              <w:right w:val="single" w:sz="8" w:space="0" w:color="auto"/>
            </w:tcBorders>
            <w:shd w:val="clear" w:color="auto" w:fill="auto"/>
            <w:noWrap/>
            <w:vAlign w:val="center"/>
            <w:hideMark/>
          </w:tcPr>
          <w:p w:rsidR="00BA5D72" w:rsidRPr="00F876CB" w:rsidRDefault="00BA5D72" w:rsidP="00BA5D72">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3,85</w:t>
            </w:r>
          </w:p>
        </w:tc>
      </w:tr>
      <w:tr w:rsidR="00BA5D72" w:rsidRPr="00F876CB" w:rsidTr="00BA5D72">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A5D72" w:rsidRPr="00F876CB" w:rsidRDefault="00E427D6" w:rsidP="00BA5D7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Total</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42.382.616</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43.653.337</w:t>
            </w:r>
          </w:p>
        </w:tc>
        <w:tc>
          <w:tcPr>
            <w:tcW w:w="1707" w:type="dxa"/>
            <w:tcBorders>
              <w:top w:val="nil"/>
              <w:left w:val="nil"/>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44.958.326</w:t>
            </w:r>
          </w:p>
        </w:tc>
        <w:tc>
          <w:tcPr>
            <w:tcW w:w="1979" w:type="dxa"/>
            <w:tcBorders>
              <w:top w:val="nil"/>
              <w:left w:val="nil"/>
              <w:bottom w:val="single" w:sz="8" w:space="0" w:color="auto"/>
              <w:right w:val="single" w:sz="8" w:space="0" w:color="auto"/>
            </w:tcBorders>
            <w:shd w:val="clear" w:color="000000" w:fill="FF5050"/>
            <w:noWrap/>
            <w:vAlign w:val="center"/>
            <w:hideMark/>
          </w:tcPr>
          <w:p w:rsidR="00BA5D72" w:rsidRPr="00F876CB" w:rsidRDefault="00BA5D72" w:rsidP="00BA5D7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2,99</w:t>
            </w:r>
          </w:p>
        </w:tc>
      </w:tr>
    </w:tbl>
    <w:p w:rsidR="00252FDF" w:rsidRPr="00F876CB" w:rsidRDefault="00252FDF" w:rsidP="00252FDF">
      <w:pPr>
        <w:spacing w:line="360" w:lineRule="auto"/>
        <w:ind w:firstLine="708"/>
        <w:jc w:val="both"/>
        <w:rPr>
          <w:lang w:val="en-GB"/>
        </w:rPr>
      </w:pPr>
    </w:p>
    <w:p w:rsidR="007D2B6E" w:rsidRPr="00F876CB" w:rsidRDefault="007D2B6E" w:rsidP="000E0F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When we look at Table 5.1, it is seen that the distribution regions with the highest number of consumers are </w:t>
      </w:r>
      <w:proofErr w:type="spellStart"/>
      <w:r w:rsidRPr="00F876CB">
        <w:rPr>
          <w:rFonts w:asciiTheme="minorHAnsi" w:hAnsiTheme="minorHAnsi" w:cstheme="minorHAnsi"/>
          <w:sz w:val="24"/>
          <w:szCs w:val="24"/>
          <w:lang w:val="en-GB"/>
        </w:rPr>
        <w:t>Boğaziçi</w:t>
      </w:r>
      <w:proofErr w:type="spellEnd"/>
      <w:r w:rsidRPr="00F876CB">
        <w:rPr>
          <w:rFonts w:asciiTheme="minorHAnsi" w:hAnsiTheme="minorHAnsi" w:cstheme="minorHAnsi"/>
          <w:sz w:val="24"/>
          <w:szCs w:val="24"/>
          <w:lang w:val="en-GB"/>
        </w:rPr>
        <w:t xml:space="preserve"> with 5</w:t>
      </w:r>
      <w:r w:rsidR="000E0FFA">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13 million, </w:t>
      </w:r>
      <w:proofErr w:type="spellStart"/>
      <w:r w:rsidR="009800AC">
        <w:rPr>
          <w:rFonts w:asciiTheme="minorHAnsi" w:hAnsiTheme="minorHAnsi" w:cstheme="minorHAnsi"/>
          <w:sz w:val="24"/>
          <w:szCs w:val="24"/>
          <w:lang w:val="en-GB"/>
        </w:rPr>
        <w:t>Başkent</w:t>
      </w:r>
      <w:proofErr w:type="spellEnd"/>
      <w:r w:rsidRPr="00F876CB">
        <w:rPr>
          <w:rFonts w:asciiTheme="minorHAnsi" w:hAnsiTheme="minorHAnsi" w:cstheme="minorHAnsi"/>
          <w:sz w:val="24"/>
          <w:szCs w:val="24"/>
          <w:lang w:val="en-GB"/>
        </w:rPr>
        <w:t xml:space="preserve"> with 4</w:t>
      </w:r>
      <w:r w:rsidR="000E0FFA">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28 million and </w:t>
      </w:r>
      <w:proofErr w:type="spellStart"/>
      <w:r w:rsidR="009800AC">
        <w:rPr>
          <w:rFonts w:asciiTheme="minorHAnsi" w:hAnsiTheme="minorHAnsi" w:cstheme="minorHAnsi"/>
          <w:sz w:val="24"/>
          <w:szCs w:val="24"/>
          <w:lang w:val="en-GB"/>
        </w:rPr>
        <w:t>Toroslar</w:t>
      </w:r>
      <w:proofErr w:type="spellEnd"/>
      <w:r w:rsidRPr="00F876CB">
        <w:rPr>
          <w:rFonts w:asciiTheme="minorHAnsi" w:hAnsiTheme="minorHAnsi" w:cstheme="minorHAnsi"/>
          <w:sz w:val="24"/>
          <w:szCs w:val="24"/>
          <w:lang w:val="en-GB"/>
        </w:rPr>
        <w:t xml:space="preserve"> with 4 million, respectively.</w:t>
      </w:r>
    </w:p>
    <w:p w:rsidR="005310FC" w:rsidRPr="009800AC" w:rsidRDefault="009800AC" w:rsidP="000E0FFA">
      <w:pPr>
        <w:spacing w:line="360" w:lineRule="auto"/>
        <w:jc w:val="both"/>
        <w:rPr>
          <w:rFonts w:asciiTheme="minorHAnsi" w:hAnsiTheme="minorHAnsi" w:cstheme="minorHAnsi"/>
          <w:sz w:val="24"/>
          <w:szCs w:val="24"/>
          <w:lang w:val="en-GB"/>
        </w:rPr>
      </w:pPr>
      <w:bookmarkStart w:id="1073" w:name="_Ref402449030"/>
      <w:bookmarkStart w:id="1074" w:name="_Toc406663205"/>
      <w:bookmarkStart w:id="1075" w:name="_Toc450307012"/>
      <w:bookmarkStart w:id="1076" w:name="_Toc450307123"/>
      <w:bookmarkStart w:id="1077" w:name="_Toc450307947"/>
      <w:r w:rsidRPr="009800AC">
        <w:rPr>
          <w:rFonts w:asciiTheme="minorHAnsi" w:hAnsiTheme="minorHAnsi" w:cstheme="minorHAnsi"/>
          <w:sz w:val="24"/>
          <w:szCs w:val="24"/>
          <w:lang w:val="en-GB"/>
        </w:rPr>
        <w:lastRenderedPageBreak/>
        <w:t>In the following figure, the number of consumers connected to distribution network and the total consum</w:t>
      </w:r>
      <w:r>
        <w:rPr>
          <w:rFonts w:asciiTheme="minorHAnsi" w:hAnsiTheme="minorHAnsi" w:cstheme="minorHAnsi"/>
          <w:sz w:val="24"/>
          <w:szCs w:val="24"/>
          <w:lang w:val="en-GB"/>
        </w:rPr>
        <w:t>ption of these consumers by 2019</w:t>
      </w:r>
      <w:r w:rsidRPr="009800AC">
        <w:rPr>
          <w:rFonts w:asciiTheme="minorHAnsi" w:hAnsiTheme="minorHAnsi" w:cstheme="minorHAnsi"/>
          <w:sz w:val="24"/>
          <w:szCs w:val="24"/>
          <w:lang w:val="en-GB"/>
        </w:rPr>
        <w:t xml:space="preserve"> are shown.</w:t>
      </w:r>
    </w:p>
    <w:p w:rsidR="00F56F00" w:rsidRPr="00F876CB" w:rsidRDefault="00F56F00" w:rsidP="00252FDF">
      <w:pPr>
        <w:pStyle w:val="Balk6"/>
        <w:rPr>
          <w:lang w:val="en-GB"/>
        </w:rPr>
      </w:pPr>
    </w:p>
    <w:p w:rsidR="00252FDF" w:rsidRPr="00F876CB" w:rsidRDefault="00015994" w:rsidP="00252FDF">
      <w:pPr>
        <w:pStyle w:val="Balk6"/>
        <w:rPr>
          <w:rFonts w:eastAsia="Times New Roman"/>
          <w:bCs/>
          <w:color w:val="000000"/>
          <w:lang w:val="en-GB" w:eastAsia="tr-TR" w:bidi="ar-SA"/>
        </w:rPr>
      </w:pPr>
      <w:bookmarkStart w:id="1078" w:name="_Toc44508421"/>
      <w:r w:rsidRPr="00F876CB">
        <w:rPr>
          <w:lang w:val="en-GB"/>
        </w:rPr>
        <w:t>Figure</w:t>
      </w:r>
      <w:r w:rsidR="00252FDF" w:rsidRPr="00F876CB">
        <w:rPr>
          <w:lang w:val="en-GB"/>
        </w:rPr>
        <w:t xml:space="preserve"> </w:t>
      </w:r>
      <w:r w:rsidR="00C47B3A"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C47B3A" w:rsidRPr="00F876CB">
        <w:rPr>
          <w:lang w:val="en-GB"/>
        </w:rPr>
        <w:t>1</w:t>
      </w:r>
      <w:r w:rsidR="00252FDF" w:rsidRPr="00F876CB">
        <w:rPr>
          <w:lang w:val="en-GB"/>
        </w:rPr>
        <w:t xml:space="preserve">: </w:t>
      </w:r>
      <w:bookmarkEnd w:id="1073"/>
      <w:bookmarkEnd w:id="1074"/>
      <w:bookmarkEnd w:id="1075"/>
      <w:bookmarkEnd w:id="1076"/>
      <w:bookmarkEnd w:id="1077"/>
      <w:r w:rsidR="005310FC" w:rsidRPr="00F876CB">
        <w:rPr>
          <w:lang w:val="en-GB"/>
        </w:rPr>
        <w:t>Number and Consumption of Consumers</w:t>
      </w:r>
      <w:r w:rsidR="005310FC" w:rsidRPr="00F876CB">
        <w:rPr>
          <w:rFonts w:eastAsia="Times New Roman"/>
          <w:color w:val="000000"/>
          <w:lang w:val="en-GB" w:eastAsia="tr-TR" w:bidi="ar-SA"/>
        </w:rPr>
        <w:t xml:space="preserve"> (Number- MWh)</w:t>
      </w:r>
      <w:bookmarkEnd w:id="1078"/>
    </w:p>
    <w:p w:rsidR="00252FDF" w:rsidRPr="00F876CB" w:rsidRDefault="003F5AC1" w:rsidP="00252FDF">
      <w:pPr>
        <w:spacing w:line="360" w:lineRule="auto"/>
        <w:rPr>
          <w:rFonts w:eastAsia="Times New Roman" w:cstheme="minorHAnsi"/>
          <w:bCs/>
          <w:color w:val="000000"/>
          <w:sz w:val="24"/>
          <w:szCs w:val="24"/>
          <w:lang w:val="en-GB" w:eastAsia="tr-TR" w:bidi="ar-SA"/>
        </w:rPr>
      </w:pPr>
      <w:r>
        <w:rPr>
          <w:rFonts w:eastAsia="Times New Roman" w:cstheme="minorHAnsi"/>
          <w:bCs/>
          <w:noProof/>
          <w:color w:val="000000"/>
          <w:sz w:val="24"/>
          <w:szCs w:val="24"/>
          <w:lang w:eastAsia="tr-TR" w:bidi="ar-SA"/>
        </w:rPr>
        <w:drawing>
          <wp:inline distT="0" distB="0" distL="0" distR="0" wp14:anchorId="4C2D0F8E">
            <wp:extent cx="5930265" cy="3800475"/>
            <wp:effectExtent l="0" t="0" r="0"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30265" cy="3800475"/>
                    </a:xfrm>
                    <a:prstGeom prst="rect">
                      <a:avLst/>
                    </a:prstGeom>
                    <a:noFill/>
                  </pic:spPr>
                </pic:pic>
              </a:graphicData>
            </a:graphic>
          </wp:inline>
        </w:drawing>
      </w:r>
    </w:p>
    <w:p w:rsidR="00DE49E6" w:rsidRPr="00F876CB" w:rsidRDefault="00DE49E6" w:rsidP="00252FDF">
      <w:pPr>
        <w:spacing w:line="360" w:lineRule="auto"/>
        <w:rPr>
          <w:rFonts w:eastAsia="Times New Roman" w:cstheme="minorHAnsi"/>
          <w:bCs/>
          <w:color w:val="000000"/>
          <w:sz w:val="24"/>
          <w:szCs w:val="24"/>
          <w:lang w:val="en-GB" w:eastAsia="tr-TR" w:bidi="ar-SA"/>
        </w:rPr>
      </w:pPr>
    </w:p>
    <w:p w:rsidR="00540E25" w:rsidRPr="00F876CB" w:rsidRDefault="00540E25" w:rsidP="00540E25">
      <w:pPr>
        <w:pStyle w:val="11ilebalayanlar"/>
        <w:ind w:left="576"/>
        <w:rPr>
          <w:lang w:val="en-GB"/>
        </w:rPr>
      </w:pPr>
    </w:p>
    <w:p w:rsidR="00252FDF" w:rsidRPr="00F876CB" w:rsidRDefault="00852E03" w:rsidP="009A2B48">
      <w:pPr>
        <w:pStyle w:val="11ilebalayanlar"/>
        <w:numPr>
          <w:ilvl w:val="1"/>
          <w:numId w:val="25"/>
        </w:numPr>
        <w:rPr>
          <w:lang w:val="en-GB"/>
        </w:rPr>
      </w:pPr>
      <w:bookmarkStart w:id="1079" w:name="_Toc44508310"/>
      <w:r w:rsidRPr="00F876CB">
        <w:rPr>
          <w:lang w:val="en-GB"/>
        </w:rPr>
        <w:t>Ratio of Losses</w:t>
      </w:r>
      <w:bookmarkEnd w:id="1079"/>
    </w:p>
    <w:p w:rsidR="00252FDF" w:rsidRPr="00F876CB" w:rsidRDefault="00252FDF" w:rsidP="00252FDF">
      <w:pPr>
        <w:pStyle w:val="11ilebalayanlar"/>
        <w:ind w:left="576"/>
        <w:rPr>
          <w:lang w:val="en-GB"/>
        </w:rPr>
      </w:pPr>
    </w:p>
    <w:p w:rsidR="00301F7B" w:rsidRPr="000E0FFA" w:rsidRDefault="00B82E0E" w:rsidP="000E0FFA">
      <w:pPr>
        <w:spacing w:line="360" w:lineRule="auto"/>
        <w:jc w:val="both"/>
        <w:rPr>
          <w:rFonts w:asciiTheme="minorHAnsi" w:hAnsiTheme="minorHAnsi" w:cstheme="minorHAnsi"/>
          <w:sz w:val="24"/>
          <w:szCs w:val="24"/>
          <w:lang w:val="en-GB"/>
        </w:rPr>
      </w:pPr>
      <w:bookmarkStart w:id="1080" w:name="_Ref402449484"/>
      <w:bookmarkStart w:id="1081" w:name="_Toc450309973"/>
      <w:r w:rsidRPr="000E0FFA">
        <w:rPr>
          <w:rFonts w:asciiTheme="minorHAnsi" w:hAnsiTheme="minorHAnsi" w:cstheme="minorHAnsi"/>
          <w:sz w:val="24"/>
          <w:szCs w:val="24"/>
          <w:lang w:val="en-GB"/>
        </w:rPr>
        <w:t>The targeted and realized loss values on the basis of the distribution company are shown in Table 5.2.</w:t>
      </w:r>
    </w:p>
    <w:p w:rsidR="00301F7B" w:rsidRPr="00F876CB" w:rsidRDefault="00301F7B" w:rsidP="00252FDF">
      <w:pPr>
        <w:pStyle w:val="Balk5"/>
        <w:rPr>
          <w:rFonts w:eastAsiaTheme="minorEastAsia"/>
          <w:bCs/>
          <w:lang w:val="en-GB"/>
        </w:rPr>
      </w:pPr>
    </w:p>
    <w:p w:rsidR="00B82E0E" w:rsidRPr="00F876CB" w:rsidRDefault="00B82E0E" w:rsidP="00B82E0E">
      <w:pPr>
        <w:rPr>
          <w:lang w:val="en-GB"/>
        </w:rPr>
      </w:pPr>
    </w:p>
    <w:p w:rsidR="00B82E0E" w:rsidRPr="00F876CB" w:rsidRDefault="00B82E0E" w:rsidP="00B82E0E">
      <w:pPr>
        <w:rPr>
          <w:lang w:val="en-GB"/>
        </w:rPr>
      </w:pPr>
    </w:p>
    <w:p w:rsidR="00B82E0E" w:rsidRPr="00F876CB" w:rsidRDefault="00B82E0E" w:rsidP="00B82E0E">
      <w:pPr>
        <w:rPr>
          <w:lang w:val="en-GB"/>
        </w:rPr>
      </w:pPr>
    </w:p>
    <w:p w:rsidR="00E62A66" w:rsidRPr="00F876CB" w:rsidRDefault="00E62A66" w:rsidP="00E62A66">
      <w:pPr>
        <w:rPr>
          <w:lang w:val="en-GB"/>
        </w:rPr>
      </w:pPr>
    </w:p>
    <w:p w:rsidR="00B82E0E" w:rsidRPr="00F876CB" w:rsidRDefault="00B82E0E" w:rsidP="00E62A66">
      <w:pPr>
        <w:rPr>
          <w:lang w:val="en-GB"/>
        </w:rPr>
      </w:pPr>
    </w:p>
    <w:p w:rsidR="00E62A66" w:rsidRPr="00F876CB" w:rsidRDefault="00E62A66" w:rsidP="00E62A66">
      <w:pPr>
        <w:rPr>
          <w:lang w:val="en-GB"/>
        </w:rPr>
      </w:pPr>
    </w:p>
    <w:p w:rsidR="00252FDF" w:rsidRPr="00F876CB" w:rsidRDefault="00015994" w:rsidP="00252FDF">
      <w:pPr>
        <w:pStyle w:val="Balk5"/>
        <w:rPr>
          <w:lang w:val="en-GB"/>
        </w:rPr>
      </w:pPr>
      <w:bookmarkStart w:id="1082" w:name="_Toc44508345"/>
      <w:r w:rsidRPr="00F876CB">
        <w:rPr>
          <w:rFonts w:eastAsiaTheme="minorEastAsia"/>
          <w:bCs/>
          <w:lang w:val="en-GB"/>
        </w:rPr>
        <w:lastRenderedPageBreak/>
        <w:t>Table</w:t>
      </w:r>
      <w:r w:rsidR="00252FDF" w:rsidRPr="00F876CB">
        <w:rPr>
          <w:rFonts w:eastAsiaTheme="minorEastAsia"/>
          <w:bCs/>
          <w:lang w:val="en-GB"/>
        </w:rPr>
        <w:t xml:space="preserve"> </w:t>
      </w:r>
      <w:r w:rsidR="00C47B3A" w:rsidRPr="00F876CB">
        <w:rPr>
          <w:rFonts w:eastAsiaTheme="minorEastAsia"/>
          <w:bCs/>
          <w:lang w:val="en-GB"/>
        </w:rPr>
        <w:t>5</w:t>
      </w:r>
      <w:r w:rsidR="00252FDF" w:rsidRPr="00F876CB">
        <w:rPr>
          <w:rFonts w:eastAsiaTheme="minorEastAsia"/>
          <w:bCs/>
          <w:lang w:val="en-GB"/>
        </w:rPr>
        <w:fldChar w:fldCharType="begin"/>
      </w:r>
      <w:r w:rsidR="00252FDF" w:rsidRPr="00F876CB">
        <w:rPr>
          <w:rFonts w:eastAsiaTheme="minorEastAsia"/>
          <w:bCs/>
          <w:lang w:val="en-GB"/>
        </w:rPr>
        <w:instrText xml:space="preserve"> STYLEREF 1 \s </w:instrText>
      </w:r>
      <w:r w:rsidR="00252FDF" w:rsidRPr="00F876CB">
        <w:rPr>
          <w:rFonts w:eastAsiaTheme="minorEastAsia"/>
          <w:bCs/>
          <w:lang w:val="en-GB"/>
        </w:rPr>
        <w:fldChar w:fldCharType="end"/>
      </w:r>
      <w:r w:rsidR="00252FDF" w:rsidRPr="00F876CB">
        <w:rPr>
          <w:rFonts w:eastAsiaTheme="minorEastAsia"/>
          <w:bCs/>
          <w:lang w:val="en-GB"/>
        </w:rPr>
        <w:t>.2:</w:t>
      </w:r>
      <w:r w:rsidR="00252FDF" w:rsidRPr="00F876CB">
        <w:rPr>
          <w:lang w:val="en-GB"/>
        </w:rPr>
        <w:t xml:space="preserve"> </w:t>
      </w:r>
      <w:bookmarkEnd w:id="1080"/>
      <w:bookmarkEnd w:id="1081"/>
      <w:r w:rsidR="009D3CFC" w:rsidRPr="00F876CB">
        <w:rPr>
          <w:lang w:val="en-GB"/>
        </w:rPr>
        <w:t>Loss Rates of Distribution Companies (%)</w:t>
      </w:r>
      <w:bookmarkEnd w:id="1082"/>
    </w:p>
    <w:tbl>
      <w:tblPr>
        <w:tblW w:w="8662" w:type="dxa"/>
        <w:tblInd w:w="55" w:type="dxa"/>
        <w:tblCellMar>
          <w:left w:w="70" w:type="dxa"/>
          <w:right w:w="70" w:type="dxa"/>
        </w:tblCellMar>
        <w:tblLook w:val="04A0" w:firstRow="1" w:lastRow="0" w:firstColumn="1" w:lastColumn="0" w:noHBand="0" w:noVBand="1"/>
      </w:tblPr>
      <w:tblGrid>
        <w:gridCol w:w="2000"/>
        <w:gridCol w:w="992"/>
        <w:gridCol w:w="851"/>
        <w:gridCol w:w="1275"/>
        <w:gridCol w:w="1418"/>
        <w:gridCol w:w="2131"/>
      </w:tblGrid>
      <w:tr w:rsidR="00301F7B" w:rsidRPr="00F876CB" w:rsidTr="001A44CA">
        <w:trPr>
          <w:trHeight w:val="846"/>
        </w:trPr>
        <w:tc>
          <w:tcPr>
            <w:tcW w:w="2000" w:type="dxa"/>
            <w:vMerge w:val="restart"/>
            <w:tcBorders>
              <w:top w:val="single" w:sz="8" w:space="0" w:color="auto"/>
              <w:left w:val="single" w:sz="8" w:space="0" w:color="auto"/>
              <w:bottom w:val="nil"/>
              <w:right w:val="single" w:sz="8" w:space="0" w:color="auto"/>
            </w:tcBorders>
            <w:shd w:val="clear" w:color="000000" w:fill="FF0000"/>
            <w:vAlign w:val="center"/>
            <w:hideMark/>
          </w:tcPr>
          <w:p w:rsidR="00301F7B" w:rsidRPr="00F876CB" w:rsidRDefault="009D3CFC"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Distribution Company</w:t>
            </w:r>
          </w:p>
        </w:tc>
        <w:tc>
          <w:tcPr>
            <w:tcW w:w="3118" w:type="dxa"/>
            <w:gridSpan w:val="3"/>
            <w:tcBorders>
              <w:top w:val="single" w:sz="8" w:space="0" w:color="auto"/>
              <w:left w:val="nil"/>
              <w:bottom w:val="nil"/>
              <w:right w:val="single" w:sz="8" w:space="0" w:color="000000"/>
            </w:tcBorders>
            <w:shd w:val="clear" w:color="000000" w:fill="FF0000"/>
            <w:vAlign w:val="center"/>
            <w:hideMark/>
          </w:tcPr>
          <w:p w:rsidR="00301F7B" w:rsidRPr="00F876CB" w:rsidRDefault="009D3CFC" w:rsidP="002E1B74">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REALIZED LOSS RATES</w:t>
            </w:r>
          </w:p>
        </w:tc>
        <w:tc>
          <w:tcPr>
            <w:tcW w:w="1418" w:type="dxa"/>
            <w:tcBorders>
              <w:top w:val="single" w:sz="8" w:space="0" w:color="auto"/>
              <w:left w:val="nil"/>
              <w:bottom w:val="nil"/>
              <w:right w:val="single" w:sz="8" w:space="0" w:color="auto"/>
            </w:tcBorders>
            <w:shd w:val="clear" w:color="000000" w:fill="FF0000"/>
            <w:vAlign w:val="center"/>
            <w:hideMark/>
          </w:tcPr>
          <w:p w:rsidR="00301F7B" w:rsidRPr="00F876CB" w:rsidRDefault="009D3CFC" w:rsidP="002E1B74">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TARGETED LOSS RATES</w:t>
            </w:r>
          </w:p>
        </w:tc>
        <w:tc>
          <w:tcPr>
            <w:tcW w:w="2126" w:type="dxa"/>
            <w:tcBorders>
              <w:top w:val="single" w:sz="8" w:space="0" w:color="auto"/>
              <w:left w:val="nil"/>
              <w:bottom w:val="nil"/>
              <w:right w:val="single" w:sz="8" w:space="0" w:color="auto"/>
            </w:tcBorders>
            <w:shd w:val="clear" w:color="000000" w:fill="FF0000"/>
            <w:vAlign w:val="center"/>
            <w:hideMark/>
          </w:tcPr>
          <w:p w:rsidR="00301F7B" w:rsidRPr="00F876CB" w:rsidRDefault="009D3CFC"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DIFFERENCE OF REALIZED&amp;TARGETED LOSS RATES</w:t>
            </w:r>
          </w:p>
        </w:tc>
      </w:tr>
      <w:tr w:rsidR="00301F7B" w:rsidRPr="00F876CB" w:rsidTr="001A44CA">
        <w:trPr>
          <w:trHeight w:val="600"/>
        </w:trPr>
        <w:tc>
          <w:tcPr>
            <w:tcW w:w="2000" w:type="dxa"/>
            <w:vMerge/>
            <w:tcBorders>
              <w:top w:val="single" w:sz="8" w:space="0" w:color="auto"/>
              <w:left w:val="single" w:sz="8" w:space="0" w:color="auto"/>
              <w:bottom w:val="nil"/>
              <w:right w:val="single" w:sz="8" w:space="0" w:color="auto"/>
            </w:tcBorders>
            <w:vAlign w:val="center"/>
            <w:hideMark/>
          </w:tcPr>
          <w:p w:rsidR="00301F7B" w:rsidRPr="00F876CB" w:rsidRDefault="00301F7B" w:rsidP="00301F7B">
            <w:pPr>
              <w:spacing w:after="0" w:line="240" w:lineRule="auto"/>
              <w:rPr>
                <w:rFonts w:ascii="Calibri" w:eastAsia="Times New Roman" w:hAnsi="Calibri" w:cs="Times New Roman"/>
                <w:b/>
                <w:bCs/>
                <w:color w:val="FFFFFF"/>
                <w:lang w:val="en-GB" w:eastAsia="tr-TR" w:bidi="ar-SA"/>
              </w:rPr>
            </w:pPr>
          </w:p>
        </w:tc>
        <w:tc>
          <w:tcPr>
            <w:tcW w:w="992" w:type="dxa"/>
            <w:tcBorders>
              <w:top w:val="single" w:sz="8" w:space="0" w:color="auto"/>
              <w:left w:val="nil"/>
              <w:bottom w:val="nil"/>
              <w:right w:val="single" w:sz="8" w:space="0" w:color="auto"/>
            </w:tcBorders>
            <w:shd w:val="clear" w:color="000000" w:fill="FF0000"/>
            <w:noWrap/>
            <w:vAlign w:val="center"/>
            <w:hideMark/>
          </w:tcPr>
          <w:p w:rsidR="00301F7B" w:rsidRPr="00F876CB" w:rsidRDefault="007E77C7"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2018</w:t>
            </w:r>
          </w:p>
        </w:tc>
        <w:tc>
          <w:tcPr>
            <w:tcW w:w="851" w:type="dxa"/>
            <w:tcBorders>
              <w:top w:val="single" w:sz="8" w:space="0" w:color="auto"/>
              <w:left w:val="nil"/>
              <w:bottom w:val="nil"/>
              <w:right w:val="single" w:sz="8" w:space="0" w:color="auto"/>
            </w:tcBorders>
            <w:shd w:val="clear" w:color="000000" w:fill="FF0000"/>
            <w:noWrap/>
            <w:vAlign w:val="center"/>
            <w:hideMark/>
          </w:tcPr>
          <w:p w:rsidR="00301F7B" w:rsidRPr="00F876CB" w:rsidRDefault="007E77C7"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2019</w:t>
            </w:r>
          </w:p>
        </w:tc>
        <w:tc>
          <w:tcPr>
            <w:tcW w:w="1275" w:type="dxa"/>
            <w:tcBorders>
              <w:top w:val="single" w:sz="8" w:space="0" w:color="auto"/>
              <w:left w:val="nil"/>
              <w:bottom w:val="nil"/>
              <w:right w:val="single" w:sz="8" w:space="0" w:color="auto"/>
            </w:tcBorders>
            <w:shd w:val="clear" w:color="000000" w:fill="FF0000"/>
            <w:vAlign w:val="center"/>
            <w:hideMark/>
          </w:tcPr>
          <w:p w:rsidR="00301F7B" w:rsidRPr="00F876CB" w:rsidRDefault="007E77C7" w:rsidP="007E77C7">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2018</w:t>
            </w:r>
            <w:r w:rsidR="00301F7B" w:rsidRPr="00F876CB">
              <w:rPr>
                <w:rFonts w:ascii="Calibri" w:eastAsia="Times New Roman" w:hAnsi="Calibri" w:cs="Times New Roman"/>
                <w:b/>
                <w:bCs/>
                <w:color w:val="FFFFFF"/>
                <w:lang w:val="en-GB" w:eastAsia="tr-TR" w:bidi="ar-SA"/>
              </w:rPr>
              <w:t>-</w:t>
            </w:r>
            <w:r w:rsidRPr="00F876CB">
              <w:rPr>
                <w:rFonts w:ascii="Calibri" w:eastAsia="Times New Roman" w:hAnsi="Calibri" w:cs="Times New Roman"/>
                <w:b/>
                <w:bCs/>
                <w:color w:val="FFFFFF"/>
                <w:lang w:val="en-GB" w:eastAsia="tr-TR" w:bidi="ar-SA"/>
              </w:rPr>
              <w:t>2019</w:t>
            </w:r>
            <w:r w:rsidR="00301F7B" w:rsidRPr="00F876CB">
              <w:rPr>
                <w:rFonts w:ascii="Calibri" w:eastAsia="Times New Roman" w:hAnsi="Calibri" w:cs="Times New Roman"/>
                <w:b/>
                <w:bCs/>
                <w:color w:val="FFFFFF"/>
                <w:lang w:val="en-GB" w:eastAsia="tr-TR" w:bidi="ar-SA"/>
              </w:rPr>
              <w:t xml:space="preserve"> </w:t>
            </w:r>
            <w:r w:rsidR="00301F7B" w:rsidRPr="00F876CB">
              <w:rPr>
                <w:rFonts w:ascii="Calibri" w:eastAsia="Times New Roman" w:hAnsi="Calibri" w:cs="Times New Roman"/>
                <w:b/>
                <w:bCs/>
                <w:color w:val="FFFFFF"/>
                <w:lang w:val="en-GB" w:eastAsia="tr-TR" w:bidi="ar-SA"/>
              </w:rPr>
              <w:br/>
            </w:r>
            <w:r w:rsidR="009D3CFC" w:rsidRPr="00F876CB">
              <w:rPr>
                <w:rFonts w:ascii="Calibri" w:eastAsia="Times New Roman" w:hAnsi="Calibri" w:cs="Times New Roman"/>
                <w:b/>
                <w:bCs/>
                <w:color w:val="FFFFFF"/>
                <w:lang w:val="en-GB" w:eastAsia="tr-TR" w:bidi="ar-SA"/>
              </w:rPr>
              <w:t>Change</w:t>
            </w:r>
          </w:p>
        </w:tc>
        <w:tc>
          <w:tcPr>
            <w:tcW w:w="1418" w:type="dxa"/>
            <w:tcBorders>
              <w:top w:val="single" w:sz="8" w:space="0" w:color="auto"/>
              <w:left w:val="nil"/>
              <w:bottom w:val="nil"/>
              <w:right w:val="single" w:sz="8" w:space="0" w:color="auto"/>
            </w:tcBorders>
            <w:shd w:val="clear" w:color="000000" w:fill="FF0000"/>
            <w:noWrap/>
            <w:vAlign w:val="center"/>
            <w:hideMark/>
          </w:tcPr>
          <w:p w:rsidR="00301F7B" w:rsidRPr="00F876CB" w:rsidRDefault="007E77C7"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2019</w:t>
            </w:r>
          </w:p>
        </w:tc>
        <w:tc>
          <w:tcPr>
            <w:tcW w:w="2126" w:type="dxa"/>
            <w:tcBorders>
              <w:top w:val="single" w:sz="8" w:space="0" w:color="auto"/>
              <w:left w:val="nil"/>
              <w:bottom w:val="nil"/>
              <w:right w:val="single" w:sz="8" w:space="0" w:color="auto"/>
            </w:tcBorders>
            <w:shd w:val="clear" w:color="000000" w:fill="FF0000"/>
            <w:noWrap/>
            <w:vAlign w:val="center"/>
            <w:hideMark/>
          </w:tcPr>
          <w:p w:rsidR="00301F7B" w:rsidRPr="00F876CB" w:rsidRDefault="007E77C7" w:rsidP="00301F7B">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2019</w:t>
            </w:r>
          </w:p>
        </w:tc>
      </w:tr>
      <w:tr w:rsidR="007D59D7" w:rsidRPr="00F876CB" w:rsidTr="001A44CA">
        <w:trPr>
          <w:trHeight w:val="5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DİCLE</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54,94</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51,32</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3,62</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65,99</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14,67</w:t>
            </w:r>
          </w:p>
        </w:tc>
      </w:tr>
      <w:tr w:rsidR="007D59D7" w:rsidRPr="00F876CB" w:rsidTr="001A44CA">
        <w:trPr>
          <w:trHeight w:val="46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VANGÖLÜ</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49,16</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47,56</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1,60</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54,74</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7,18</w:t>
            </w:r>
          </w:p>
        </w:tc>
      </w:tr>
      <w:tr w:rsidR="007D59D7" w:rsidRPr="00F876CB" w:rsidTr="001A44CA">
        <w:trPr>
          <w:trHeight w:val="53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ARAS</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23,55</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21,64</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1,91</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24,97</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3,33</w:t>
            </w:r>
          </w:p>
        </w:tc>
      </w:tr>
      <w:tr w:rsidR="007D59D7" w:rsidRPr="00F876CB" w:rsidTr="001A44CA">
        <w:trPr>
          <w:trHeight w:val="49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ÇAMLIBEL</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5,08</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4,75</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0,33</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2,56</w:t>
            </w:r>
          </w:p>
        </w:tc>
      </w:tr>
      <w:tr w:rsidR="007D59D7" w:rsidRPr="00F876CB" w:rsidTr="001A44CA">
        <w:trPr>
          <w:trHeight w:val="44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TRAKYA</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4,37</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4,49</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-0,12</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6,87</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2,38</w:t>
            </w:r>
          </w:p>
        </w:tc>
      </w:tr>
      <w:tr w:rsidR="007D59D7" w:rsidRPr="00F876CB" w:rsidTr="001A44CA">
        <w:trPr>
          <w:trHeight w:val="3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DE51A2">
            <w:pPr>
              <w:rPr>
                <w:rFonts w:ascii="Calibri" w:hAnsi="Calibri" w:cs="Calibri"/>
                <w:b/>
                <w:bCs/>
                <w:color w:val="FFFFFF"/>
                <w:lang w:val="en-GB"/>
              </w:rPr>
            </w:pPr>
            <w:r w:rsidRPr="00F876CB">
              <w:rPr>
                <w:rFonts w:ascii="Calibri" w:hAnsi="Calibri" w:cs="Calibri"/>
                <w:b/>
                <w:bCs/>
                <w:color w:val="FFFFFF"/>
                <w:lang w:val="en-GB"/>
              </w:rPr>
              <w:t>İST.</w:t>
            </w:r>
            <w:r w:rsidR="00DE51A2">
              <w:rPr>
                <w:rFonts w:ascii="Calibri" w:hAnsi="Calibri" w:cs="Calibri"/>
                <w:b/>
                <w:bCs/>
                <w:color w:val="FFFFFF"/>
                <w:lang w:val="en-GB"/>
              </w:rPr>
              <w:t xml:space="preserve"> ANATOLIAN</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6,04</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5,05</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0,99</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2,26</w:t>
            </w:r>
          </w:p>
        </w:tc>
      </w:tr>
      <w:tr w:rsidR="007D59D7" w:rsidRPr="00F876CB" w:rsidTr="001A44CA">
        <w:trPr>
          <w:trHeight w:val="48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ULUDAĞ</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4,20</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4,82</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-0,62</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6,73</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1,91</w:t>
            </w:r>
          </w:p>
        </w:tc>
      </w:tr>
      <w:tr w:rsidR="007D59D7" w:rsidRPr="00F876CB" w:rsidTr="001A44CA">
        <w:trPr>
          <w:trHeight w:val="431"/>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BAŞKENT</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6,11</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5,89</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0,22</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7,33</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1,44</w:t>
            </w:r>
          </w:p>
        </w:tc>
      </w:tr>
      <w:tr w:rsidR="007D59D7" w:rsidRPr="00F876CB" w:rsidTr="001A44CA">
        <w:trPr>
          <w:trHeight w:val="38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AKDENİZ</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5,78</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5,91</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-0,13</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7,31</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1,40</w:t>
            </w:r>
          </w:p>
        </w:tc>
      </w:tr>
      <w:tr w:rsidR="007D59D7" w:rsidRPr="00F876CB" w:rsidTr="001A44CA">
        <w:trPr>
          <w:trHeight w:val="470"/>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SAKARYA</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6,52</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5,96</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0,56</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7,28</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1,32</w:t>
            </w:r>
          </w:p>
        </w:tc>
      </w:tr>
      <w:tr w:rsidR="007D59D7" w:rsidRPr="00F876CB" w:rsidTr="001A44CA">
        <w:trPr>
          <w:trHeight w:val="417"/>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ÇORUH</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7,85</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7,38</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0,47</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8,68</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1,30</w:t>
            </w:r>
          </w:p>
        </w:tc>
      </w:tr>
      <w:tr w:rsidR="007D59D7" w:rsidRPr="00F876CB" w:rsidTr="001A44CA">
        <w:trPr>
          <w:trHeight w:val="50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ADM</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5,53</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5,63</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-0,10</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6,72</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1,09</w:t>
            </w:r>
          </w:p>
        </w:tc>
      </w:tr>
      <w:tr w:rsidR="007D59D7" w:rsidRPr="00F876CB" w:rsidTr="001A44CA">
        <w:trPr>
          <w:trHeight w:val="45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MERAM</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6,69</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6,22</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0,47</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7,30</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1,08</w:t>
            </w:r>
          </w:p>
        </w:tc>
      </w:tr>
      <w:tr w:rsidR="007D59D7" w:rsidRPr="00F876CB" w:rsidTr="001A44CA">
        <w:trPr>
          <w:trHeight w:val="40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KAYSERİ VE CİVARI</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6,57</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6,02</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0,55</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6,94</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0,92</w:t>
            </w:r>
          </w:p>
        </w:tc>
      </w:tr>
      <w:tr w:rsidR="007D59D7" w:rsidRPr="00F876CB" w:rsidTr="001A44CA">
        <w:trPr>
          <w:trHeight w:val="494"/>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OSMANGAZİ</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6,41</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6,61</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-0,20</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7,43</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0,82</w:t>
            </w:r>
          </w:p>
        </w:tc>
      </w:tr>
      <w:tr w:rsidR="007D59D7" w:rsidRPr="00F876CB" w:rsidTr="001A44CA">
        <w:trPr>
          <w:trHeight w:val="44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YEŞİLIRMAK</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7,63</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7,13</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0,50</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7,94</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0,81</w:t>
            </w:r>
          </w:p>
        </w:tc>
      </w:tr>
      <w:tr w:rsidR="007D59D7" w:rsidRPr="00F876CB" w:rsidTr="001A44CA">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AKEDAŞ</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5,51</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6,46</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-0,95</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7,08</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0,62</w:t>
            </w:r>
          </w:p>
        </w:tc>
      </w:tr>
      <w:tr w:rsidR="007D59D7" w:rsidRPr="00F876CB" w:rsidTr="001A44CA">
        <w:trPr>
          <w:trHeight w:val="479"/>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FIRAT</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10,32</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9,93</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0,39</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10,53</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0,60</w:t>
            </w:r>
          </w:p>
        </w:tc>
      </w:tr>
      <w:tr w:rsidR="007D59D7" w:rsidRPr="00F876CB" w:rsidTr="001A44CA">
        <w:trPr>
          <w:trHeight w:val="428"/>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GDZ</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6,63</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7,55</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-0,92</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7,66</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0,11</w:t>
            </w:r>
          </w:p>
        </w:tc>
      </w:tr>
      <w:tr w:rsidR="007D59D7" w:rsidRPr="00F876CB" w:rsidTr="001A44CA">
        <w:trPr>
          <w:trHeight w:val="532"/>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TOROSLAR</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11,85</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11,76</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0,09</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11,74</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-0,02</w:t>
            </w:r>
          </w:p>
        </w:tc>
      </w:tr>
      <w:tr w:rsidR="007D59D7" w:rsidRPr="00F876CB" w:rsidTr="001A44CA">
        <w:trPr>
          <w:trHeight w:val="466"/>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7D59D7" w:rsidRPr="00F876CB" w:rsidRDefault="007D59D7" w:rsidP="007D59D7">
            <w:pPr>
              <w:rPr>
                <w:rFonts w:ascii="Calibri" w:hAnsi="Calibri" w:cs="Calibri"/>
                <w:b/>
                <w:bCs/>
                <w:color w:val="FFFFFF"/>
                <w:lang w:val="en-GB"/>
              </w:rPr>
            </w:pPr>
            <w:r w:rsidRPr="00F876CB">
              <w:rPr>
                <w:rFonts w:ascii="Calibri" w:hAnsi="Calibri" w:cs="Calibri"/>
                <w:b/>
                <w:bCs/>
                <w:color w:val="FFFFFF"/>
                <w:lang w:val="en-GB"/>
              </w:rPr>
              <w:t>BOĞAZİÇİ</w:t>
            </w:r>
          </w:p>
        </w:tc>
        <w:tc>
          <w:tcPr>
            <w:tcW w:w="992"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6,59</w:t>
            </w:r>
          </w:p>
        </w:tc>
        <w:tc>
          <w:tcPr>
            <w:tcW w:w="851"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7,96</w:t>
            </w:r>
          </w:p>
        </w:tc>
        <w:tc>
          <w:tcPr>
            <w:tcW w:w="1275"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-1,37</w:t>
            </w:r>
          </w:p>
        </w:tc>
        <w:tc>
          <w:tcPr>
            <w:tcW w:w="1418"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7,63</w:t>
            </w:r>
          </w:p>
        </w:tc>
        <w:tc>
          <w:tcPr>
            <w:tcW w:w="2126" w:type="dxa"/>
            <w:tcBorders>
              <w:top w:val="nil"/>
              <w:left w:val="nil"/>
              <w:bottom w:val="single" w:sz="8" w:space="0" w:color="auto"/>
              <w:right w:val="single" w:sz="8" w:space="0" w:color="auto"/>
            </w:tcBorders>
            <w:shd w:val="clear" w:color="auto" w:fill="auto"/>
            <w:noWrap/>
            <w:vAlign w:val="center"/>
          </w:tcPr>
          <w:p w:rsidR="007D59D7" w:rsidRPr="00F876CB" w:rsidRDefault="007D59D7" w:rsidP="007D59D7">
            <w:pPr>
              <w:jc w:val="right"/>
              <w:rPr>
                <w:rFonts w:ascii="Calibri" w:hAnsi="Calibri" w:cs="Calibri"/>
                <w:color w:val="000000"/>
                <w:lang w:val="en-GB"/>
              </w:rPr>
            </w:pPr>
            <w:r w:rsidRPr="00F876CB">
              <w:rPr>
                <w:rFonts w:ascii="Calibri" w:hAnsi="Calibri" w:cs="Calibri"/>
                <w:color w:val="000000"/>
                <w:lang w:val="en-GB"/>
              </w:rPr>
              <w:t>-0,33</w:t>
            </w:r>
          </w:p>
        </w:tc>
      </w:tr>
    </w:tbl>
    <w:p w:rsidR="00540E25" w:rsidRPr="00F876CB" w:rsidRDefault="00540E25" w:rsidP="00252FDF">
      <w:pPr>
        <w:spacing w:line="360" w:lineRule="auto"/>
        <w:ind w:firstLine="708"/>
        <w:jc w:val="both"/>
        <w:rPr>
          <w:rFonts w:asciiTheme="minorHAnsi" w:hAnsiTheme="minorHAnsi" w:cstheme="minorHAnsi"/>
          <w:sz w:val="24"/>
          <w:szCs w:val="24"/>
          <w:lang w:val="en-GB"/>
        </w:rPr>
      </w:pPr>
    </w:p>
    <w:p w:rsidR="001A44CA" w:rsidRPr="00F876CB" w:rsidRDefault="001A44CA" w:rsidP="00252FDF">
      <w:pPr>
        <w:spacing w:line="360" w:lineRule="auto"/>
        <w:ind w:firstLine="708"/>
        <w:jc w:val="both"/>
        <w:rPr>
          <w:rFonts w:asciiTheme="minorHAnsi" w:hAnsiTheme="minorHAnsi" w:cstheme="minorHAnsi"/>
          <w:sz w:val="24"/>
          <w:szCs w:val="24"/>
          <w:lang w:val="en-GB"/>
        </w:rPr>
      </w:pPr>
    </w:p>
    <w:p w:rsidR="000354C5" w:rsidRPr="00F876CB" w:rsidRDefault="000E0FFA" w:rsidP="000E0FFA">
      <w:pPr>
        <w:spacing w:line="360" w:lineRule="auto"/>
        <w:jc w:val="both"/>
        <w:rPr>
          <w:rFonts w:asciiTheme="minorHAnsi" w:hAnsiTheme="minorHAnsi" w:cstheme="minorHAnsi"/>
          <w:sz w:val="24"/>
          <w:szCs w:val="24"/>
          <w:lang w:val="en-GB"/>
        </w:rPr>
      </w:pPr>
      <w:r w:rsidRPr="000E0FFA">
        <w:rPr>
          <w:rFonts w:asciiTheme="minorHAnsi" w:hAnsiTheme="minorHAnsi" w:cstheme="minorHAnsi"/>
          <w:sz w:val="24"/>
          <w:szCs w:val="24"/>
          <w:lang w:val="en-GB"/>
        </w:rPr>
        <w:lastRenderedPageBreak/>
        <w:t xml:space="preserve">When Table 5.2 is examined, 21 of all distribution companies </w:t>
      </w:r>
      <w:r w:rsidR="000354C5" w:rsidRPr="00F876CB">
        <w:rPr>
          <w:rFonts w:asciiTheme="minorHAnsi" w:hAnsiTheme="minorHAnsi" w:cstheme="minorHAnsi"/>
          <w:sz w:val="24"/>
          <w:szCs w:val="24"/>
          <w:lang w:val="en-GB"/>
        </w:rPr>
        <w:t xml:space="preserve">except </w:t>
      </w:r>
      <w:proofErr w:type="spellStart"/>
      <w:r w:rsidR="000354C5" w:rsidRPr="00F876CB">
        <w:rPr>
          <w:rFonts w:asciiTheme="minorHAnsi" w:hAnsiTheme="minorHAnsi" w:cstheme="minorHAnsi"/>
          <w:sz w:val="24"/>
          <w:szCs w:val="24"/>
          <w:lang w:val="en-GB"/>
        </w:rPr>
        <w:t>Toroslar</w:t>
      </w:r>
      <w:proofErr w:type="spellEnd"/>
      <w:r w:rsidR="000354C5" w:rsidRPr="00F876CB">
        <w:rPr>
          <w:rFonts w:asciiTheme="minorHAnsi" w:hAnsiTheme="minorHAnsi" w:cstheme="minorHAnsi"/>
          <w:sz w:val="24"/>
          <w:szCs w:val="24"/>
          <w:lang w:val="en-GB"/>
        </w:rPr>
        <w:t xml:space="preserve"> and </w:t>
      </w:r>
      <w:proofErr w:type="spellStart"/>
      <w:r w:rsidR="000354C5" w:rsidRPr="00F876CB">
        <w:rPr>
          <w:rFonts w:asciiTheme="minorHAnsi" w:hAnsiTheme="minorHAnsi" w:cstheme="minorHAnsi"/>
          <w:sz w:val="24"/>
          <w:szCs w:val="24"/>
          <w:lang w:val="en-GB"/>
        </w:rPr>
        <w:t>Boğaziçi</w:t>
      </w:r>
      <w:proofErr w:type="spellEnd"/>
      <w:r w:rsidR="000354C5" w:rsidRPr="00F876CB">
        <w:rPr>
          <w:rFonts w:asciiTheme="minorHAnsi" w:hAnsiTheme="minorHAnsi" w:cstheme="minorHAnsi"/>
          <w:sz w:val="24"/>
          <w:szCs w:val="24"/>
          <w:lang w:val="en-GB"/>
        </w:rPr>
        <w:t xml:space="preserve">, achieved the targeted loss rate for 2019, and distribution companies performed successfully in 2019 in terms of loss targets. According to the target, the highest development occurred in </w:t>
      </w:r>
      <w:proofErr w:type="spellStart"/>
      <w:r w:rsidR="000354C5" w:rsidRPr="00F876CB">
        <w:rPr>
          <w:rFonts w:asciiTheme="minorHAnsi" w:hAnsiTheme="minorHAnsi" w:cstheme="minorHAnsi"/>
          <w:sz w:val="24"/>
          <w:szCs w:val="24"/>
          <w:lang w:val="en-GB"/>
        </w:rPr>
        <w:t>Dicle</w:t>
      </w:r>
      <w:proofErr w:type="spellEnd"/>
      <w:r w:rsidR="000354C5" w:rsidRPr="00F876CB">
        <w:rPr>
          <w:rFonts w:asciiTheme="minorHAnsi" w:hAnsiTheme="minorHAnsi" w:cstheme="minorHAnsi"/>
          <w:sz w:val="24"/>
          <w:szCs w:val="24"/>
          <w:lang w:val="en-GB"/>
        </w:rPr>
        <w:t xml:space="preserve"> (14</w:t>
      </w:r>
      <w:r w:rsidR="003F5AC1">
        <w:rPr>
          <w:rFonts w:asciiTheme="minorHAnsi" w:hAnsiTheme="minorHAnsi" w:cstheme="minorHAnsi"/>
          <w:sz w:val="24"/>
          <w:szCs w:val="24"/>
          <w:lang w:val="en-GB"/>
        </w:rPr>
        <w:t>,</w:t>
      </w:r>
      <w:r w:rsidR="000354C5" w:rsidRPr="00F876CB">
        <w:rPr>
          <w:rFonts w:asciiTheme="minorHAnsi" w:hAnsiTheme="minorHAnsi" w:cstheme="minorHAnsi"/>
          <w:sz w:val="24"/>
          <w:szCs w:val="24"/>
          <w:lang w:val="en-GB"/>
        </w:rPr>
        <w:t xml:space="preserve">67%), </w:t>
      </w:r>
      <w:proofErr w:type="spellStart"/>
      <w:r w:rsidR="000354C5" w:rsidRPr="00F876CB">
        <w:rPr>
          <w:rFonts w:asciiTheme="minorHAnsi" w:hAnsiTheme="minorHAnsi" w:cstheme="minorHAnsi"/>
          <w:sz w:val="24"/>
          <w:szCs w:val="24"/>
          <w:lang w:val="en-GB"/>
        </w:rPr>
        <w:t>Vangölü</w:t>
      </w:r>
      <w:proofErr w:type="spellEnd"/>
      <w:r w:rsidR="000354C5" w:rsidRPr="00F876CB">
        <w:rPr>
          <w:rFonts w:asciiTheme="minorHAnsi" w:hAnsiTheme="minorHAnsi" w:cstheme="minorHAnsi"/>
          <w:sz w:val="24"/>
          <w:szCs w:val="24"/>
          <w:lang w:val="en-GB"/>
        </w:rPr>
        <w:t xml:space="preserve"> (7</w:t>
      </w:r>
      <w:r w:rsidR="003F5AC1">
        <w:rPr>
          <w:rFonts w:asciiTheme="minorHAnsi" w:hAnsiTheme="minorHAnsi" w:cstheme="minorHAnsi"/>
          <w:sz w:val="24"/>
          <w:szCs w:val="24"/>
          <w:lang w:val="en-GB"/>
        </w:rPr>
        <w:t>,</w:t>
      </w:r>
      <w:r w:rsidR="000354C5" w:rsidRPr="00F876CB">
        <w:rPr>
          <w:rFonts w:asciiTheme="minorHAnsi" w:hAnsiTheme="minorHAnsi" w:cstheme="minorHAnsi"/>
          <w:sz w:val="24"/>
          <w:szCs w:val="24"/>
          <w:lang w:val="en-GB"/>
        </w:rPr>
        <w:t>18%) and Aras (3</w:t>
      </w:r>
      <w:r w:rsidR="003F5AC1">
        <w:rPr>
          <w:rFonts w:asciiTheme="minorHAnsi" w:hAnsiTheme="minorHAnsi" w:cstheme="minorHAnsi"/>
          <w:sz w:val="24"/>
          <w:szCs w:val="24"/>
          <w:lang w:val="en-GB"/>
        </w:rPr>
        <w:t>,</w:t>
      </w:r>
      <w:r w:rsidR="000354C5" w:rsidRPr="00F876CB">
        <w:rPr>
          <w:rFonts w:asciiTheme="minorHAnsi" w:hAnsiTheme="minorHAnsi" w:cstheme="minorHAnsi"/>
          <w:sz w:val="24"/>
          <w:szCs w:val="24"/>
          <w:lang w:val="en-GB"/>
        </w:rPr>
        <w:t>33%) distribution regions, respectively.</w:t>
      </w:r>
    </w:p>
    <w:p w:rsidR="000354C5" w:rsidRPr="00F876CB" w:rsidRDefault="000354C5" w:rsidP="000E0FFA">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In addition, as can be seen from Table 5.2, the highest loss rates in 2019 were realized in </w:t>
      </w:r>
      <w:proofErr w:type="spellStart"/>
      <w:r w:rsidRPr="00F876CB">
        <w:rPr>
          <w:rFonts w:asciiTheme="minorHAnsi" w:hAnsiTheme="minorHAnsi" w:cstheme="minorHAnsi"/>
          <w:sz w:val="24"/>
          <w:szCs w:val="24"/>
          <w:lang w:val="en-GB"/>
        </w:rPr>
        <w:t>Dicle</w:t>
      </w:r>
      <w:proofErr w:type="spellEnd"/>
      <w:r w:rsidRPr="00F876CB">
        <w:rPr>
          <w:rFonts w:asciiTheme="minorHAnsi" w:hAnsiTheme="minorHAnsi" w:cstheme="minorHAnsi"/>
          <w:sz w:val="24"/>
          <w:szCs w:val="24"/>
          <w:lang w:val="en-GB"/>
        </w:rPr>
        <w:t xml:space="preserve"> 51</w:t>
      </w:r>
      <w:r w:rsidR="003F5AC1">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32%, </w:t>
      </w:r>
      <w:proofErr w:type="spellStart"/>
      <w:r w:rsidRPr="00F876CB">
        <w:rPr>
          <w:rFonts w:asciiTheme="minorHAnsi" w:hAnsiTheme="minorHAnsi" w:cstheme="minorHAnsi"/>
          <w:sz w:val="24"/>
          <w:szCs w:val="24"/>
          <w:lang w:val="en-GB"/>
        </w:rPr>
        <w:t>Vangölü</w:t>
      </w:r>
      <w:proofErr w:type="spellEnd"/>
      <w:r w:rsidRPr="00F876CB">
        <w:rPr>
          <w:rFonts w:asciiTheme="minorHAnsi" w:hAnsiTheme="minorHAnsi" w:cstheme="minorHAnsi"/>
          <w:sz w:val="24"/>
          <w:szCs w:val="24"/>
          <w:lang w:val="en-GB"/>
        </w:rPr>
        <w:t xml:space="preserve"> (47</w:t>
      </w:r>
      <w:r w:rsidR="003F5AC1">
        <w:rPr>
          <w:rFonts w:asciiTheme="minorHAnsi" w:hAnsiTheme="minorHAnsi" w:cstheme="minorHAnsi"/>
          <w:sz w:val="24"/>
          <w:szCs w:val="24"/>
          <w:lang w:val="en-GB"/>
        </w:rPr>
        <w:t>,</w:t>
      </w:r>
      <w:r w:rsidRPr="00F876CB">
        <w:rPr>
          <w:rFonts w:asciiTheme="minorHAnsi" w:hAnsiTheme="minorHAnsi" w:cstheme="minorHAnsi"/>
          <w:sz w:val="24"/>
          <w:szCs w:val="24"/>
          <w:lang w:val="en-GB"/>
        </w:rPr>
        <w:t>56%) and Aras (21</w:t>
      </w:r>
      <w:r w:rsidR="003F5AC1">
        <w:rPr>
          <w:rFonts w:asciiTheme="minorHAnsi" w:hAnsiTheme="minorHAnsi" w:cstheme="minorHAnsi"/>
          <w:sz w:val="24"/>
          <w:szCs w:val="24"/>
          <w:lang w:val="en-GB"/>
        </w:rPr>
        <w:t>,</w:t>
      </w:r>
      <w:r w:rsidRPr="00F876CB">
        <w:rPr>
          <w:rFonts w:asciiTheme="minorHAnsi" w:hAnsiTheme="minorHAnsi" w:cstheme="minorHAnsi"/>
          <w:sz w:val="24"/>
          <w:szCs w:val="24"/>
          <w:lang w:val="en-GB"/>
        </w:rPr>
        <w:t>64%) regions, respectively.</w:t>
      </w:r>
    </w:p>
    <w:p w:rsidR="00F56F00" w:rsidRPr="00F876CB" w:rsidRDefault="000354C5" w:rsidP="000E0FFA">
      <w:pPr>
        <w:pStyle w:val="Balk6"/>
        <w:jc w:val="left"/>
        <w:rPr>
          <w:rFonts w:asciiTheme="minorHAnsi" w:eastAsia="Times New Roman" w:hAnsiTheme="minorHAnsi" w:cstheme="minorHAnsi"/>
          <w:b w:val="0"/>
          <w:bCs/>
          <w:color w:val="000000"/>
          <w:spacing w:val="0"/>
          <w:szCs w:val="24"/>
          <w:lang w:val="en-GB" w:eastAsia="tr-TR" w:bidi="ar-SA"/>
        </w:rPr>
      </w:pPr>
      <w:bookmarkStart w:id="1083" w:name="_Toc44508422"/>
      <w:bookmarkStart w:id="1084" w:name="_Toc406663206"/>
      <w:bookmarkStart w:id="1085" w:name="_Toc450307013"/>
      <w:bookmarkStart w:id="1086" w:name="_Toc450307124"/>
      <w:bookmarkStart w:id="1087" w:name="_Toc450307948"/>
      <w:r w:rsidRPr="00F876CB">
        <w:rPr>
          <w:rFonts w:asciiTheme="minorHAnsi" w:eastAsia="Times New Roman" w:hAnsiTheme="minorHAnsi" w:cstheme="minorHAnsi"/>
          <w:b w:val="0"/>
          <w:bCs/>
          <w:color w:val="000000"/>
          <w:spacing w:val="0"/>
          <w:szCs w:val="24"/>
          <w:lang w:val="en-GB" w:eastAsia="tr-TR" w:bidi="ar-SA"/>
        </w:rPr>
        <w:t>In the figure below, the actual and targeted loss rates are shown together.</w:t>
      </w:r>
      <w:bookmarkEnd w:id="1083"/>
    </w:p>
    <w:p w:rsidR="000354C5" w:rsidRPr="00F876CB" w:rsidRDefault="000354C5" w:rsidP="000354C5">
      <w:pPr>
        <w:rPr>
          <w:lang w:val="en-GB" w:eastAsia="tr-TR" w:bidi="ar-SA"/>
        </w:rPr>
      </w:pPr>
    </w:p>
    <w:p w:rsidR="00252FDF" w:rsidRPr="00F876CB" w:rsidRDefault="00015994" w:rsidP="00252FDF">
      <w:pPr>
        <w:pStyle w:val="Balk6"/>
        <w:rPr>
          <w:lang w:val="en-GB"/>
        </w:rPr>
      </w:pPr>
      <w:bookmarkStart w:id="1088" w:name="_Toc44508423"/>
      <w:r w:rsidRPr="00F876CB">
        <w:rPr>
          <w:lang w:val="en-GB"/>
        </w:rPr>
        <w:t>Figure</w:t>
      </w:r>
      <w:r w:rsidR="00252FDF" w:rsidRPr="00F876CB">
        <w:rPr>
          <w:lang w:val="en-GB"/>
        </w:rPr>
        <w:t xml:space="preserve"> </w:t>
      </w:r>
      <w:r w:rsidR="00C47B3A"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C47B3A" w:rsidRPr="00F876CB">
        <w:rPr>
          <w:lang w:val="en-GB"/>
        </w:rPr>
        <w:t>2</w:t>
      </w:r>
      <w:r w:rsidR="00252FDF" w:rsidRPr="00F876CB">
        <w:rPr>
          <w:lang w:val="en-GB"/>
        </w:rPr>
        <w:t xml:space="preserve">: </w:t>
      </w:r>
      <w:r w:rsidR="00C87326" w:rsidRPr="00F876CB">
        <w:rPr>
          <w:lang w:val="en-GB"/>
        </w:rPr>
        <w:t xml:space="preserve">Real and Target Loss Rates in 2019 </w:t>
      </w:r>
      <w:r w:rsidR="00252FDF" w:rsidRPr="00F876CB">
        <w:rPr>
          <w:lang w:val="en-GB"/>
        </w:rPr>
        <w:t>(%)</w:t>
      </w:r>
      <w:bookmarkEnd w:id="1084"/>
      <w:bookmarkEnd w:id="1085"/>
      <w:bookmarkEnd w:id="1086"/>
      <w:bookmarkEnd w:id="1087"/>
      <w:bookmarkEnd w:id="1088"/>
    </w:p>
    <w:p w:rsidR="001A44CA" w:rsidRDefault="003F5AC1" w:rsidP="00252FDF">
      <w:pPr>
        <w:rPr>
          <w:lang w:val="en-GB"/>
        </w:rPr>
      </w:pPr>
      <w:r>
        <w:rPr>
          <w:noProof/>
          <w:lang w:eastAsia="tr-TR" w:bidi="ar-SA"/>
        </w:rPr>
        <w:drawing>
          <wp:inline distT="0" distB="0" distL="0" distR="0" wp14:anchorId="0F1BA6DA">
            <wp:extent cx="5852160" cy="348615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52160" cy="3486150"/>
                    </a:xfrm>
                    <a:prstGeom prst="rect">
                      <a:avLst/>
                    </a:prstGeom>
                    <a:noFill/>
                  </pic:spPr>
                </pic:pic>
              </a:graphicData>
            </a:graphic>
          </wp:inline>
        </w:drawing>
      </w:r>
    </w:p>
    <w:p w:rsidR="003F5AC1" w:rsidRDefault="003F5AC1" w:rsidP="00252FDF">
      <w:pPr>
        <w:rPr>
          <w:lang w:val="en-GB"/>
        </w:rPr>
      </w:pPr>
    </w:p>
    <w:p w:rsidR="003F5AC1" w:rsidRDefault="003F5AC1" w:rsidP="00252FDF">
      <w:pPr>
        <w:rPr>
          <w:lang w:val="en-GB"/>
        </w:rPr>
      </w:pPr>
    </w:p>
    <w:p w:rsidR="00252FDF" w:rsidRPr="00F876CB" w:rsidRDefault="00252FDF" w:rsidP="00252FDF">
      <w:pPr>
        <w:pStyle w:val="11ilebalayanlar"/>
        <w:rPr>
          <w:lang w:val="en-GB"/>
        </w:rPr>
      </w:pPr>
      <w:bookmarkStart w:id="1089" w:name="_Toc44508311"/>
      <w:r w:rsidRPr="00F876CB">
        <w:rPr>
          <w:lang w:val="en-GB"/>
        </w:rPr>
        <w:t xml:space="preserve">5.3 </w:t>
      </w:r>
      <w:r w:rsidR="0061612E" w:rsidRPr="00F876CB">
        <w:rPr>
          <w:lang w:val="en-GB"/>
        </w:rPr>
        <w:t>Employment</w:t>
      </w:r>
      <w:bookmarkEnd w:id="1089"/>
    </w:p>
    <w:p w:rsidR="000E0FFA" w:rsidRDefault="000E0FFA" w:rsidP="000E0FFA">
      <w:pPr>
        <w:spacing w:line="360" w:lineRule="auto"/>
        <w:jc w:val="both"/>
        <w:rPr>
          <w:rFonts w:ascii="Times New Roman" w:eastAsia="Times New Roman" w:hAnsi="Times New Roman" w:cs="Times New Roman"/>
          <w:bCs/>
          <w:color w:val="000000"/>
          <w:sz w:val="24"/>
          <w:szCs w:val="24"/>
          <w:lang w:val="en-GB" w:eastAsia="tr-TR" w:bidi="ar-SA"/>
        </w:rPr>
      </w:pPr>
      <w:bookmarkStart w:id="1090" w:name="_Toc450309974"/>
    </w:p>
    <w:p w:rsidR="00EC326B" w:rsidRDefault="000E0FFA" w:rsidP="000E0FFA">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t>By</w:t>
      </w:r>
      <w:r w:rsidR="00EC326B" w:rsidRPr="003F5AC1">
        <w:rPr>
          <w:rFonts w:asciiTheme="minorHAnsi" w:hAnsiTheme="minorHAnsi" w:cstheme="minorHAnsi"/>
          <w:sz w:val="24"/>
          <w:szCs w:val="24"/>
          <w:lang w:val="en-GB"/>
        </w:rPr>
        <w:t xml:space="preserve"> </w:t>
      </w:r>
      <w:r>
        <w:rPr>
          <w:rFonts w:asciiTheme="minorHAnsi" w:hAnsiTheme="minorHAnsi" w:cstheme="minorHAnsi"/>
          <w:sz w:val="24"/>
          <w:szCs w:val="24"/>
          <w:lang w:val="en-GB"/>
        </w:rPr>
        <w:t>t</w:t>
      </w:r>
      <w:r w:rsidR="00EC326B" w:rsidRPr="003F5AC1">
        <w:rPr>
          <w:rFonts w:asciiTheme="minorHAnsi" w:hAnsiTheme="minorHAnsi" w:cstheme="minorHAnsi"/>
          <w:sz w:val="24"/>
          <w:szCs w:val="24"/>
          <w:lang w:val="en-GB"/>
        </w:rPr>
        <w:t>he end of 2019, 56</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903 people are employed in the electricity distribution sector; 24</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211 people work as distribution company staff and 32</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 xml:space="preserve">692 people work as subcontractor staff. The table below shows the number of employees by distribution companies. While </w:t>
      </w:r>
      <w:proofErr w:type="spellStart"/>
      <w:r w:rsidR="00EC326B" w:rsidRPr="003F5AC1">
        <w:rPr>
          <w:rFonts w:asciiTheme="minorHAnsi" w:hAnsiTheme="minorHAnsi" w:cstheme="minorHAnsi"/>
          <w:sz w:val="24"/>
          <w:szCs w:val="24"/>
          <w:lang w:val="en-GB"/>
        </w:rPr>
        <w:t>Dicle</w:t>
      </w:r>
      <w:proofErr w:type="spellEnd"/>
      <w:r w:rsidR="00EC326B" w:rsidRPr="003F5AC1">
        <w:rPr>
          <w:rFonts w:asciiTheme="minorHAnsi" w:hAnsiTheme="minorHAnsi" w:cstheme="minorHAnsi"/>
          <w:sz w:val="24"/>
          <w:szCs w:val="24"/>
          <w:lang w:val="en-GB"/>
        </w:rPr>
        <w:t xml:space="preserve"> EDAŞ had the highest number of employees with a total of 7</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 xml:space="preserve">098 employees, the distribution company with the highest number of permanent </w:t>
      </w:r>
      <w:proofErr w:type="gramStart"/>
      <w:r w:rsidR="00EC326B" w:rsidRPr="003F5AC1">
        <w:rPr>
          <w:rFonts w:asciiTheme="minorHAnsi" w:hAnsiTheme="minorHAnsi" w:cstheme="minorHAnsi"/>
          <w:sz w:val="24"/>
          <w:szCs w:val="24"/>
          <w:lang w:val="en-GB"/>
        </w:rPr>
        <w:t>staff</w:t>
      </w:r>
      <w:proofErr w:type="gramEnd"/>
      <w:r w:rsidR="00EC326B" w:rsidRPr="003F5AC1">
        <w:rPr>
          <w:rFonts w:asciiTheme="minorHAnsi" w:hAnsiTheme="minorHAnsi" w:cstheme="minorHAnsi"/>
          <w:sz w:val="24"/>
          <w:szCs w:val="24"/>
          <w:lang w:val="en-GB"/>
        </w:rPr>
        <w:t xml:space="preserve"> was </w:t>
      </w:r>
      <w:proofErr w:type="spellStart"/>
      <w:r w:rsidR="00EC326B" w:rsidRPr="003F5AC1">
        <w:rPr>
          <w:rFonts w:asciiTheme="minorHAnsi" w:hAnsiTheme="minorHAnsi" w:cstheme="minorHAnsi"/>
          <w:sz w:val="24"/>
          <w:szCs w:val="24"/>
          <w:lang w:val="en-GB"/>
        </w:rPr>
        <w:t>Toroslar</w:t>
      </w:r>
      <w:proofErr w:type="spellEnd"/>
      <w:r w:rsidR="00EC326B" w:rsidRPr="003F5AC1">
        <w:rPr>
          <w:rFonts w:asciiTheme="minorHAnsi" w:hAnsiTheme="minorHAnsi" w:cstheme="minorHAnsi"/>
          <w:sz w:val="24"/>
          <w:szCs w:val="24"/>
          <w:lang w:val="en-GB"/>
        </w:rPr>
        <w:t xml:space="preserve"> EDAŞ with 3</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 xml:space="preserve">781 personnel, and the </w:t>
      </w:r>
      <w:r w:rsidR="00EC326B" w:rsidRPr="003F5AC1">
        <w:rPr>
          <w:rFonts w:asciiTheme="minorHAnsi" w:hAnsiTheme="minorHAnsi" w:cstheme="minorHAnsi"/>
          <w:sz w:val="24"/>
          <w:szCs w:val="24"/>
          <w:lang w:val="en-GB"/>
        </w:rPr>
        <w:lastRenderedPageBreak/>
        <w:t xml:space="preserve">region with the highest number of subcontractors was </w:t>
      </w:r>
      <w:proofErr w:type="spellStart"/>
      <w:r w:rsidR="00EC326B" w:rsidRPr="003F5AC1">
        <w:rPr>
          <w:rFonts w:asciiTheme="minorHAnsi" w:hAnsiTheme="minorHAnsi" w:cstheme="minorHAnsi"/>
          <w:sz w:val="24"/>
          <w:szCs w:val="24"/>
          <w:lang w:val="en-GB"/>
        </w:rPr>
        <w:t>Dicle</w:t>
      </w:r>
      <w:proofErr w:type="spellEnd"/>
      <w:r w:rsidR="00EC326B" w:rsidRPr="003F5AC1">
        <w:rPr>
          <w:rFonts w:asciiTheme="minorHAnsi" w:hAnsiTheme="minorHAnsi" w:cstheme="minorHAnsi"/>
          <w:sz w:val="24"/>
          <w:szCs w:val="24"/>
          <w:lang w:val="en-GB"/>
        </w:rPr>
        <w:t xml:space="preserve"> EDAŞ with 3</w:t>
      </w:r>
      <w:r w:rsidR="003F5AC1">
        <w:rPr>
          <w:rFonts w:asciiTheme="minorHAnsi" w:hAnsiTheme="minorHAnsi" w:cstheme="minorHAnsi"/>
          <w:sz w:val="24"/>
          <w:szCs w:val="24"/>
          <w:lang w:val="en-GB"/>
        </w:rPr>
        <w:t>.</w:t>
      </w:r>
      <w:r w:rsidR="00EC326B" w:rsidRPr="003F5AC1">
        <w:rPr>
          <w:rFonts w:asciiTheme="minorHAnsi" w:hAnsiTheme="minorHAnsi" w:cstheme="minorHAnsi"/>
          <w:sz w:val="24"/>
          <w:szCs w:val="24"/>
          <w:lang w:val="en-GB"/>
        </w:rPr>
        <w:t xml:space="preserve">574 personnel. Kayseri and its Vicinity EDAŞ, on the other hand, became </w:t>
      </w:r>
      <w:proofErr w:type="gramStart"/>
      <w:r w:rsidR="00EC326B" w:rsidRPr="003F5AC1">
        <w:rPr>
          <w:rFonts w:asciiTheme="minorHAnsi" w:hAnsiTheme="minorHAnsi" w:cstheme="minorHAnsi"/>
          <w:sz w:val="24"/>
          <w:szCs w:val="24"/>
          <w:lang w:val="en-GB"/>
        </w:rPr>
        <w:t>the  distribution</w:t>
      </w:r>
      <w:proofErr w:type="gramEnd"/>
      <w:r w:rsidR="00EC326B" w:rsidRPr="003F5AC1">
        <w:rPr>
          <w:rFonts w:asciiTheme="minorHAnsi" w:hAnsiTheme="minorHAnsi" w:cstheme="minorHAnsi"/>
          <w:sz w:val="24"/>
          <w:szCs w:val="24"/>
          <w:lang w:val="en-GB"/>
        </w:rPr>
        <w:t xml:space="preserve"> company with the lowest number of employees with 913 personnel.</w:t>
      </w:r>
    </w:p>
    <w:p w:rsidR="003F5AC1" w:rsidRPr="003F5AC1" w:rsidRDefault="003F5AC1" w:rsidP="003F5AC1">
      <w:pPr>
        <w:spacing w:line="360" w:lineRule="auto"/>
        <w:ind w:firstLine="708"/>
        <w:jc w:val="both"/>
        <w:rPr>
          <w:rFonts w:asciiTheme="minorHAnsi" w:hAnsiTheme="minorHAnsi" w:cstheme="minorHAnsi"/>
          <w:sz w:val="24"/>
          <w:szCs w:val="24"/>
          <w:lang w:val="en-GB"/>
        </w:rPr>
      </w:pPr>
    </w:p>
    <w:p w:rsidR="00252FDF" w:rsidRPr="00F876CB" w:rsidRDefault="00015994" w:rsidP="00252FDF">
      <w:pPr>
        <w:pStyle w:val="Balk5"/>
        <w:rPr>
          <w:lang w:val="en-GB" w:eastAsia="tr-TR" w:bidi="ar-SA"/>
        </w:rPr>
      </w:pPr>
      <w:bookmarkStart w:id="1091" w:name="_Toc44508346"/>
      <w:r w:rsidRPr="00F876CB">
        <w:rPr>
          <w:rFonts w:eastAsiaTheme="minorEastAsia"/>
          <w:bCs/>
          <w:lang w:val="en-GB"/>
        </w:rPr>
        <w:t>Table</w:t>
      </w:r>
      <w:r w:rsidR="00252FDF" w:rsidRPr="00F876CB">
        <w:rPr>
          <w:rFonts w:eastAsiaTheme="minorEastAsia"/>
          <w:bCs/>
          <w:lang w:val="en-GB"/>
        </w:rPr>
        <w:t xml:space="preserve"> </w:t>
      </w:r>
      <w:r w:rsidR="00C47B3A" w:rsidRPr="00F876CB">
        <w:rPr>
          <w:rFonts w:eastAsiaTheme="minorEastAsia"/>
          <w:bCs/>
          <w:lang w:val="en-GB"/>
        </w:rPr>
        <w:t>5</w:t>
      </w:r>
      <w:r w:rsidR="00252FDF" w:rsidRPr="00F876CB">
        <w:rPr>
          <w:rFonts w:eastAsiaTheme="minorEastAsia"/>
          <w:bCs/>
          <w:lang w:val="en-GB"/>
        </w:rPr>
        <w:fldChar w:fldCharType="begin"/>
      </w:r>
      <w:r w:rsidR="00252FDF" w:rsidRPr="00F876CB">
        <w:rPr>
          <w:rFonts w:eastAsiaTheme="minorEastAsia"/>
          <w:bCs/>
          <w:lang w:val="en-GB"/>
        </w:rPr>
        <w:instrText xml:space="preserve"> STYLEREF 1 \s </w:instrText>
      </w:r>
      <w:r w:rsidR="00252FDF" w:rsidRPr="00F876CB">
        <w:rPr>
          <w:rFonts w:eastAsiaTheme="minorEastAsia"/>
          <w:bCs/>
          <w:lang w:val="en-GB"/>
        </w:rPr>
        <w:fldChar w:fldCharType="end"/>
      </w:r>
      <w:r w:rsidR="00252FDF" w:rsidRPr="00F876CB">
        <w:rPr>
          <w:rFonts w:eastAsiaTheme="minorEastAsia"/>
          <w:bCs/>
          <w:lang w:val="en-GB"/>
        </w:rPr>
        <w:t>.3:</w:t>
      </w:r>
      <w:r w:rsidR="00252FDF" w:rsidRPr="00F876CB">
        <w:rPr>
          <w:lang w:val="en-GB"/>
        </w:rPr>
        <w:t xml:space="preserve"> </w:t>
      </w:r>
      <w:bookmarkEnd w:id="1090"/>
      <w:r w:rsidR="00EC326B" w:rsidRPr="00F876CB">
        <w:rPr>
          <w:lang w:val="en-GB"/>
        </w:rPr>
        <w:t>Number of Employees of Distribution Companies (Number)</w:t>
      </w:r>
      <w:bookmarkEnd w:id="1091"/>
    </w:p>
    <w:tbl>
      <w:tblPr>
        <w:tblW w:w="8931" w:type="dxa"/>
        <w:tblInd w:w="70" w:type="dxa"/>
        <w:tblCellMar>
          <w:left w:w="70" w:type="dxa"/>
          <w:right w:w="70" w:type="dxa"/>
        </w:tblCellMar>
        <w:tblLook w:val="04A0" w:firstRow="1" w:lastRow="0" w:firstColumn="1" w:lastColumn="0" w:noHBand="0" w:noVBand="1"/>
      </w:tblPr>
      <w:tblGrid>
        <w:gridCol w:w="2694"/>
        <w:gridCol w:w="2551"/>
        <w:gridCol w:w="2126"/>
        <w:gridCol w:w="1560"/>
      </w:tblGrid>
      <w:tr w:rsidR="00401D62" w:rsidRPr="00F876CB" w:rsidTr="00401D62">
        <w:trPr>
          <w:trHeight w:val="600"/>
        </w:trPr>
        <w:tc>
          <w:tcPr>
            <w:tcW w:w="2694" w:type="dxa"/>
            <w:tcBorders>
              <w:top w:val="single" w:sz="8" w:space="0" w:color="auto"/>
              <w:left w:val="single" w:sz="8" w:space="0" w:color="auto"/>
              <w:bottom w:val="nil"/>
              <w:right w:val="single" w:sz="8" w:space="0" w:color="auto"/>
            </w:tcBorders>
            <w:shd w:val="clear" w:color="000000" w:fill="FF0000"/>
            <w:noWrap/>
            <w:vAlign w:val="center"/>
            <w:hideMark/>
          </w:tcPr>
          <w:p w:rsidR="00401D62" w:rsidRPr="00F876CB" w:rsidRDefault="00EC326B" w:rsidP="00401D6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Distribution Company</w:t>
            </w:r>
          </w:p>
        </w:tc>
        <w:tc>
          <w:tcPr>
            <w:tcW w:w="2551" w:type="dxa"/>
            <w:tcBorders>
              <w:top w:val="single" w:sz="8" w:space="0" w:color="auto"/>
              <w:left w:val="nil"/>
              <w:bottom w:val="nil"/>
              <w:right w:val="single" w:sz="8" w:space="0" w:color="auto"/>
            </w:tcBorders>
            <w:shd w:val="clear" w:color="000000" w:fill="FF0000"/>
            <w:vAlign w:val="center"/>
            <w:hideMark/>
          </w:tcPr>
          <w:p w:rsidR="00401D62" w:rsidRPr="00F876CB" w:rsidRDefault="00EC326B" w:rsidP="00401D6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Number of Permanent Employees</w:t>
            </w:r>
          </w:p>
        </w:tc>
        <w:tc>
          <w:tcPr>
            <w:tcW w:w="2126" w:type="dxa"/>
            <w:tcBorders>
              <w:top w:val="single" w:sz="8" w:space="0" w:color="auto"/>
              <w:left w:val="nil"/>
              <w:bottom w:val="nil"/>
              <w:right w:val="single" w:sz="8" w:space="0" w:color="auto"/>
            </w:tcBorders>
            <w:shd w:val="clear" w:color="000000" w:fill="FF0000"/>
            <w:vAlign w:val="center"/>
            <w:hideMark/>
          </w:tcPr>
          <w:p w:rsidR="00401D62" w:rsidRPr="00F876CB" w:rsidRDefault="00EC326B" w:rsidP="00401D6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Number of Subcontractor Employees</w:t>
            </w:r>
          </w:p>
        </w:tc>
        <w:tc>
          <w:tcPr>
            <w:tcW w:w="1560" w:type="dxa"/>
            <w:tcBorders>
              <w:top w:val="single" w:sz="8" w:space="0" w:color="auto"/>
              <w:left w:val="nil"/>
              <w:bottom w:val="nil"/>
              <w:right w:val="single" w:sz="8" w:space="0" w:color="auto"/>
            </w:tcBorders>
            <w:shd w:val="clear" w:color="000000" w:fill="FF0000"/>
            <w:noWrap/>
            <w:vAlign w:val="center"/>
            <w:hideMark/>
          </w:tcPr>
          <w:p w:rsidR="00401D62" w:rsidRPr="00F876CB" w:rsidRDefault="00401D62" w:rsidP="00401D62">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w:t>
            </w:r>
            <w:r w:rsidR="00EC326B" w:rsidRPr="00F876CB">
              <w:rPr>
                <w:rFonts w:ascii="Calibri" w:eastAsia="Times New Roman" w:hAnsi="Calibri" w:cs="Calibri"/>
                <w:b/>
                <w:bCs/>
                <w:color w:val="FFFFFF"/>
                <w:lang w:val="en-GB" w:eastAsia="tr-TR" w:bidi="ar-SA"/>
              </w:rPr>
              <w:t>tal</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DİCLE</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3.524</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3.574</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7.098</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TOROSLAR</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1.933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5.714</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BAŞKENT</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3.630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1.779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5.409</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BOĞAZİÇİ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3.866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4.559</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GDZ</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2.956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3.727</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ULUDAĞ</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2.001</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2.464</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DE51A2" w:rsidP="00401D62">
            <w:pPr>
              <w:spacing w:after="0" w:line="240" w:lineRule="auto"/>
              <w:rPr>
                <w:rFonts w:ascii="Calibri" w:eastAsia="Times New Roman" w:hAnsi="Calibri" w:cs="Calibri"/>
                <w:color w:val="FFFFFF"/>
                <w:lang w:val="en-GB" w:eastAsia="tr-TR" w:bidi="ar-SA"/>
              </w:rPr>
            </w:pPr>
            <w:r>
              <w:rPr>
                <w:rFonts w:ascii="Calibri" w:eastAsia="Times New Roman" w:hAnsi="Calibri" w:cs="Calibri"/>
                <w:color w:val="FFFFFF"/>
                <w:lang w:val="en-GB" w:eastAsia="tr-TR" w:bidi="ar-SA"/>
              </w:rPr>
              <w:t xml:space="preserve">İST. </w:t>
            </w:r>
            <w:r w:rsidR="00401D62" w:rsidRPr="00F876CB">
              <w:rPr>
                <w:rFonts w:ascii="Calibri" w:eastAsia="Times New Roman" w:hAnsi="Calibri" w:cs="Calibri"/>
                <w:color w:val="FFFFFF"/>
                <w:lang w:val="en-GB" w:eastAsia="tr-TR" w:bidi="ar-SA"/>
              </w:rPr>
              <w:t>ANA</w:t>
            </w:r>
            <w:r w:rsidR="00EC326B" w:rsidRPr="00F876CB">
              <w:rPr>
                <w:rFonts w:ascii="Calibri" w:eastAsia="Times New Roman" w:hAnsi="Calibri" w:cs="Calibri"/>
                <w:color w:val="FFFFFF"/>
                <w:lang w:val="en-GB" w:eastAsia="tr-TR" w:bidi="ar-SA"/>
              </w:rPr>
              <w:t>TOLIAN</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1.862</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937</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2.799</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ADM</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2.346</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2.927</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MERAM</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707</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2.430</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1.608</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488</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2.096</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YEŞİLIRMAK</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1.494</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2.084</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FIRAT</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280</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1.405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1.685</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VANGÖLÜ</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854</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2.073</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AKDENİZ</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1.751</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2.012</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ARAS</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497</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1.519</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2.016</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OSMANGAZİ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580</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1.811</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ÇORUH</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335</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1.700</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ÇAMLIBEL</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1.124</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AKEDAŞ</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781</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1.166</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TRAKYA</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823</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273</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1.096</w:t>
            </w:r>
          </w:p>
        </w:tc>
      </w:tr>
      <w:tr w:rsidR="00401D62" w:rsidRPr="00F876CB" w:rsidTr="00401D62">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 VE CİVARI</w:t>
            </w:r>
          </w:p>
        </w:tc>
        <w:tc>
          <w:tcPr>
            <w:tcW w:w="2551"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728</w:t>
            </w:r>
          </w:p>
        </w:tc>
        <w:tc>
          <w:tcPr>
            <w:tcW w:w="2126"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185</w:t>
            </w:r>
          </w:p>
        </w:tc>
        <w:tc>
          <w:tcPr>
            <w:tcW w:w="1560" w:type="dxa"/>
            <w:tcBorders>
              <w:top w:val="nil"/>
              <w:left w:val="nil"/>
              <w:bottom w:val="single" w:sz="8" w:space="0" w:color="auto"/>
              <w:right w:val="single" w:sz="8" w:space="0" w:color="auto"/>
            </w:tcBorders>
            <w:shd w:val="clear" w:color="auto" w:fill="auto"/>
            <w:noWrap/>
            <w:vAlign w:val="center"/>
            <w:hideMark/>
          </w:tcPr>
          <w:p w:rsidR="00401D62" w:rsidRPr="00F876CB" w:rsidRDefault="00401D62" w:rsidP="00401D62">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913</w:t>
            </w:r>
          </w:p>
        </w:tc>
      </w:tr>
      <w:tr w:rsidR="00401D62" w:rsidRPr="00F876CB" w:rsidTr="003F5AC1">
        <w:trPr>
          <w:trHeight w:val="60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401D62" w:rsidRPr="00F876CB" w:rsidRDefault="00EC326B" w:rsidP="00401D62">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Total</w:t>
            </w:r>
          </w:p>
        </w:tc>
        <w:tc>
          <w:tcPr>
            <w:tcW w:w="2551" w:type="dxa"/>
            <w:tcBorders>
              <w:top w:val="nil"/>
              <w:left w:val="nil"/>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24.211</w:t>
            </w:r>
          </w:p>
        </w:tc>
        <w:tc>
          <w:tcPr>
            <w:tcW w:w="2126" w:type="dxa"/>
            <w:tcBorders>
              <w:top w:val="nil"/>
              <w:left w:val="nil"/>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32.692</w:t>
            </w:r>
          </w:p>
        </w:tc>
        <w:tc>
          <w:tcPr>
            <w:tcW w:w="1560" w:type="dxa"/>
            <w:tcBorders>
              <w:top w:val="nil"/>
              <w:left w:val="nil"/>
              <w:bottom w:val="single" w:sz="8" w:space="0" w:color="auto"/>
              <w:right w:val="single" w:sz="8" w:space="0" w:color="auto"/>
            </w:tcBorders>
            <w:shd w:val="clear" w:color="000000" w:fill="FF5050"/>
            <w:noWrap/>
            <w:vAlign w:val="center"/>
            <w:hideMark/>
          </w:tcPr>
          <w:p w:rsidR="00401D62" w:rsidRPr="00F876CB" w:rsidRDefault="00401D62" w:rsidP="00401D62">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56.903</w:t>
            </w:r>
          </w:p>
        </w:tc>
      </w:tr>
    </w:tbl>
    <w:p w:rsidR="00252FDF" w:rsidRPr="00F876CB" w:rsidRDefault="00252FDF" w:rsidP="00252FDF">
      <w:pPr>
        <w:ind w:left="576"/>
        <w:rPr>
          <w:lang w:val="en-GB" w:eastAsia="tr-TR" w:bidi="ar-SA"/>
        </w:rPr>
      </w:pPr>
    </w:p>
    <w:p w:rsidR="00252FDF" w:rsidRPr="00F876CB" w:rsidRDefault="00252FDF" w:rsidP="00252FDF">
      <w:pPr>
        <w:ind w:left="576"/>
        <w:rPr>
          <w:lang w:val="en-GB" w:eastAsia="tr-TR" w:bidi="ar-SA"/>
        </w:rPr>
      </w:pPr>
    </w:p>
    <w:p w:rsidR="00247271" w:rsidRPr="00F876CB" w:rsidRDefault="00247271" w:rsidP="00252FDF">
      <w:pPr>
        <w:ind w:left="576"/>
        <w:rPr>
          <w:lang w:val="en-GB" w:eastAsia="tr-TR" w:bidi="ar-SA"/>
        </w:rPr>
      </w:pPr>
    </w:p>
    <w:p w:rsidR="00247271" w:rsidRDefault="00247271" w:rsidP="00252FDF">
      <w:pPr>
        <w:ind w:left="576"/>
        <w:rPr>
          <w:lang w:val="en-GB" w:eastAsia="tr-TR" w:bidi="ar-SA"/>
        </w:rPr>
      </w:pPr>
    </w:p>
    <w:p w:rsidR="003F5AC1" w:rsidRPr="00F876CB" w:rsidRDefault="003F5AC1" w:rsidP="00252FDF">
      <w:pPr>
        <w:ind w:left="576"/>
        <w:rPr>
          <w:lang w:val="en-GB" w:eastAsia="tr-TR" w:bidi="ar-SA"/>
        </w:rPr>
      </w:pPr>
    </w:p>
    <w:p w:rsidR="00DE51A2" w:rsidRDefault="00DE51A2" w:rsidP="00252FDF">
      <w:pPr>
        <w:pStyle w:val="Balk6"/>
        <w:rPr>
          <w:caps/>
          <w:lang w:val="en-GB"/>
        </w:rPr>
      </w:pPr>
      <w:bookmarkStart w:id="1092" w:name="_Toc450307014"/>
      <w:bookmarkStart w:id="1093" w:name="_Toc450307125"/>
      <w:bookmarkStart w:id="1094" w:name="_Toc450307949"/>
    </w:p>
    <w:p w:rsidR="00252FDF" w:rsidRPr="00F876CB" w:rsidRDefault="00015994" w:rsidP="00252FDF">
      <w:pPr>
        <w:pStyle w:val="Balk6"/>
        <w:rPr>
          <w:lang w:val="en-GB"/>
        </w:rPr>
      </w:pPr>
      <w:bookmarkStart w:id="1095" w:name="_Toc44508424"/>
      <w:r w:rsidRPr="00F876CB">
        <w:rPr>
          <w:caps/>
          <w:lang w:val="en-GB"/>
        </w:rPr>
        <w:lastRenderedPageBreak/>
        <w:t>F</w:t>
      </w:r>
      <w:r w:rsidR="003F5AC1" w:rsidRPr="00F876CB">
        <w:rPr>
          <w:lang w:val="en-GB"/>
        </w:rPr>
        <w:t>igure</w:t>
      </w:r>
      <w:r w:rsidR="00252FDF" w:rsidRPr="00F876CB">
        <w:rPr>
          <w:lang w:val="en-GB"/>
        </w:rPr>
        <w:t xml:space="preserve"> </w:t>
      </w:r>
      <w:r w:rsidR="00C47B3A"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C47B3A" w:rsidRPr="00F876CB">
        <w:rPr>
          <w:lang w:val="en-GB"/>
        </w:rPr>
        <w:t>3</w:t>
      </w:r>
      <w:r w:rsidR="00252FDF" w:rsidRPr="00F876CB">
        <w:rPr>
          <w:lang w:val="en-GB"/>
        </w:rPr>
        <w:t xml:space="preserve">: </w:t>
      </w:r>
      <w:bookmarkEnd w:id="1092"/>
      <w:bookmarkEnd w:id="1093"/>
      <w:bookmarkEnd w:id="1094"/>
      <w:r w:rsidR="00247271" w:rsidRPr="00F876CB">
        <w:rPr>
          <w:lang w:val="en-GB"/>
        </w:rPr>
        <w:t>Number of Employees of Distribution Companies by Year 2019</w:t>
      </w:r>
      <w:bookmarkEnd w:id="1095"/>
      <w:r w:rsidR="00247271" w:rsidRPr="00F876CB">
        <w:rPr>
          <w:lang w:val="en-GB"/>
        </w:rPr>
        <w:t xml:space="preserve"> </w:t>
      </w:r>
    </w:p>
    <w:p w:rsidR="00252FDF" w:rsidRPr="00F876CB" w:rsidRDefault="003F5AC1" w:rsidP="00252FDF">
      <w:pPr>
        <w:rPr>
          <w:lang w:val="en-GB"/>
        </w:rPr>
      </w:pPr>
      <w:r>
        <w:rPr>
          <w:noProof/>
          <w:lang w:eastAsia="tr-TR" w:bidi="ar-SA"/>
        </w:rPr>
        <w:drawing>
          <wp:inline distT="0" distB="0" distL="0" distR="0" wp14:anchorId="0FBC3A2D">
            <wp:extent cx="5965190" cy="3629025"/>
            <wp:effectExtent l="0" t="0" r="0" b="952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65190" cy="3629025"/>
                    </a:xfrm>
                    <a:prstGeom prst="rect">
                      <a:avLst/>
                    </a:prstGeom>
                    <a:noFill/>
                  </pic:spPr>
                </pic:pic>
              </a:graphicData>
            </a:graphic>
          </wp:inline>
        </w:drawing>
      </w:r>
    </w:p>
    <w:p w:rsidR="00252FDF" w:rsidRPr="00F876CB" w:rsidRDefault="00252FDF" w:rsidP="00252FDF">
      <w:pPr>
        <w:pStyle w:val="11ilebalayanlar"/>
        <w:rPr>
          <w:lang w:val="en-GB"/>
        </w:rPr>
      </w:pPr>
    </w:p>
    <w:p w:rsidR="00252FDF" w:rsidRPr="00F876CB" w:rsidRDefault="00252FDF" w:rsidP="00252FDF">
      <w:pPr>
        <w:pStyle w:val="11ilebalayanlar"/>
        <w:rPr>
          <w:lang w:val="en-GB"/>
        </w:rPr>
      </w:pPr>
    </w:p>
    <w:p w:rsidR="009250C2" w:rsidRPr="00F876CB" w:rsidRDefault="009250C2" w:rsidP="00252FDF">
      <w:pPr>
        <w:pStyle w:val="11ilebalayanlar"/>
        <w:rPr>
          <w:lang w:val="en-GB"/>
        </w:rPr>
      </w:pPr>
    </w:p>
    <w:p w:rsidR="00252FDF" w:rsidRPr="00F876CB" w:rsidRDefault="00252FDF" w:rsidP="00252FDF">
      <w:pPr>
        <w:pStyle w:val="11ilebalayanlar"/>
        <w:rPr>
          <w:caps/>
          <w:lang w:val="en-GB"/>
        </w:rPr>
      </w:pPr>
      <w:bookmarkStart w:id="1096" w:name="_Toc44508312"/>
      <w:r w:rsidRPr="00F876CB">
        <w:rPr>
          <w:lang w:val="en-GB"/>
        </w:rPr>
        <w:t xml:space="preserve">5.4 </w:t>
      </w:r>
      <w:r w:rsidR="005256B2" w:rsidRPr="00F876CB">
        <w:rPr>
          <w:lang w:val="en-GB"/>
        </w:rPr>
        <w:t>Information about Network</w:t>
      </w:r>
      <w:bookmarkEnd w:id="1096"/>
    </w:p>
    <w:p w:rsidR="00252FDF" w:rsidRPr="00F876CB" w:rsidRDefault="00252FDF" w:rsidP="00252FDF">
      <w:pPr>
        <w:spacing w:line="360" w:lineRule="auto"/>
        <w:ind w:firstLine="576"/>
        <w:jc w:val="both"/>
        <w:rPr>
          <w:rFonts w:asciiTheme="minorHAnsi" w:hAnsiTheme="minorHAnsi" w:cstheme="minorHAnsi"/>
          <w:sz w:val="24"/>
          <w:szCs w:val="24"/>
          <w:lang w:val="en-GB"/>
        </w:rPr>
      </w:pPr>
    </w:p>
    <w:p w:rsidR="005256B2" w:rsidRPr="00F876CB" w:rsidRDefault="005256B2" w:rsidP="005256B2">
      <w:pPr>
        <w:spacing w:line="360" w:lineRule="auto"/>
        <w:jc w:val="both"/>
        <w:rPr>
          <w:rFonts w:ascii="Times New Roman" w:eastAsia="Times New Roman" w:hAnsi="Times New Roman" w:cs="Times New Roman"/>
          <w:bCs/>
          <w:color w:val="000000"/>
          <w:sz w:val="24"/>
          <w:szCs w:val="24"/>
          <w:lang w:val="en-GB" w:eastAsia="tr-TR" w:bidi="ar-SA"/>
        </w:rPr>
      </w:pPr>
      <w:r w:rsidRPr="00F876CB">
        <w:rPr>
          <w:rFonts w:ascii="Times New Roman" w:eastAsia="Times New Roman" w:hAnsi="Times New Roman" w:cs="Times New Roman"/>
          <w:bCs/>
          <w:color w:val="000000"/>
          <w:sz w:val="24"/>
          <w:szCs w:val="24"/>
          <w:lang w:val="en-GB" w:eastAsia="tr-TR" w:bidi="ar-SA"/>
        </w:rPr>
        <w:t>This section contains basic data on the distribution system. In this context, information on line lengths, transformer capacities and transformer numbers in the distribution voltage level is included in the following tables and figures.</w:t>
      </w:r>
    </w:p>
    <w:p w:rsidR="005256B2" w:rsidRPr="00F876CB" w:rsidRDefault="005256B2"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As </w:t>
      </w:r>
      <w:r w:rsidR="00DE51A2">
        <w:rPr>
          <w:rFonts w:asciiTheme="minorHAnsi" w:hAnsiTheme="minorHAnsi" w:cstheme="minorHAnsi"/>
          <w:sz w:val="24"/>
          <w:szCs w:val="24"/>
          <w:lang w:val="en-GB"/>
        </w:rPr>
        <w:t xml:space="preserve">it </w:t>
      </w:r>
      <w:r w:rsidRPr="00F876CB">
        <w:rPr>
          <w:rFonts w:asciiTheme="minorHAnsi" w:hAnsiTheme="minorHAnsi" w:cstheme="minorHAnsi"/>
          <w:sz w:val="24"/>
          <w:szCs w:val="24"/>
          <w:lang w:val="en-GB"/>
        </w:rPr>
        <w:t>is known, the power grid has reached all exceptions except Turkey. Except for the industrial facilities with large consumption, all small and medium consumers supply electrical energy through the distribution system. Table 5</w:t>
      </w:r>
      <w:r w:rsidR="00677F20">
        <w:rPr>
          <w:rFonts w:asciiTheme="minorHAnsi" w:hAnsiTheme="minorHAnsi" w:cstheme="minorHAnsi"/>
          <w:sz w:val="24"/>
          <w:szCs w:val="24"/>
          <w:lang w:val="en-GB"/>
        </w:rPr>
        <w:t>.</w:t>
      </w:r>
      <w:r w:rsidRPr="00F876CB">
        <w:rPr>
          <w:rFonts w:asciiTheme="minorHAnsi" w:hAnsiTheme="minorHAnsi" w:cstheme="minorHAnsi"/>
          <w:sz w:val="24"/>
          <w:szCs w:val="24"/>
          <w:lang w:val="en-GB"/>
        </w:rPr>
        <w:t>4 Turkey can be seen that the total length of distribution lines reached 1</w:t>
      </w:r>
      <w:r w:rsidR="003F5AC1">
        <w:rPr>
          <w:rFonts w:asciiTheme="minorHAnsi" w:hAnsiTheme="minorHAnsi" w:cstheme="minorHAnsi"/>
          <w:sz w:val="24"/>
          <w:szCs w:val="24"/>
          <w:lang w:val="en-GB"/>
        </w:rPr>
        <w:t>.</w:t>
      </w:r>
      <w:r w:rsidRPr="00F876CB">
        <w:rPr>
          <w:rFonts w:asciiTheme="minorHAnsi" w:hAnsiTheme="minorHAnsi" w:cstheme="minorHAnsi"/>
          <w:sz w:val="24"/>
          <w:szCs w:val="24"/>
          <w:lang w:val="en-GB"/>
        </w:rPr>
        <w:t>190</w:t>
      </w:r>
      <w:r w:rsidR="003F5AC1">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169 km. Considering the line lengths by distribution regions, </w:t>
      </w:r>
      <w:proofErr w:type="spellStart"/>
      <w:r w:rsidRPr="00F876CB">
        <w:rPr>
          <w:rFonts w:asciiTheme="minorHAnsi" w:hAnsiTheme="minorHAnsi" w:cstheme="minorHAnsi"/>
          <w:sz w:val="24"/>
          <w:szCs w:val="24"/>
          <w:lang w:val="en-GB"/>
        </w:rPr>
        <w:t>Başkent</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Toroslar</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Meram</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Yeşilırmak</w:t>
      </w:r>
      <w:proofErr w:type="spellEnd"/>
      <w:r w:rsidRPr="00F876CB">
        <w:rPr>
          <w:rFonts w:asciiTheme="minorHAnsi" w:hAnsiTheme="minorHAnsi" w:cstheme="minorHAnsi"/>
          <w:sz w:val="24"/>
          <w:szCs w:val="24"/>
          <w:lang w:val="en-GB"/>
        </w:rPr>
        <w:t xml:space="preserve"> and </w:t>
      </w:r>
      <w:proofErr w:type="spellStart"/>
      <w:r w:rsidRPr="00F876CB">
        <w:rPr>
          <w:rFonts w:asciiTheme="minorHAnsi" w:hAnsiTheme="minorHAnsi" w:cstheme="minorHAnsi"/>
          <w:sz w:val="24"/>
          <w:szCs w:val="24"/>
          <w:lang w:val="en-GB"/>
        </w:rPr>
        <w:t>Dicle</w:t>
      </w:r>
      <w:proofErr w:type="spellEnd"/>
      <w:r w:rsidRPr="00F876CB">
        <w:rPr>
          <w:rFonts w:asciiTheme="minorHAnsi" w:hAnsiTheme="minorHAnsi" w:cstheme="minorHAnsi"/>
          <w:sz w:val="24"/>
          <w:szCs w:val="24"/>
          <w:lang w:val="en-GB"/>
        </w:rPr>
        <w:t xml:space="preserve"> distribution regions constitute the first five regions in terms of distribution line length. It is also seen from this order that there is a correct ratio between the distribution line lengths and the width of the distribution region and the distribution network.</w:t>
      </w:r>
    </w:p>
    <w:p w:rsidR="009250C2" w:rsidRPr="00F876CB" w:rsidRDefault="005256B2" w:rsidP="00E5054B">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lastRenderedPageBreak/>
        <w:t xml:space="preserve">On the other hand, when looking at the distribution regions in terms of transformer capacity, it is seen that the </w:t>
      </w:r>
      <w:proofErr w:type="spellStart"/>
      <w:r w:rsidRPr="00F876CB">
        <w:rPr>
          <w:rFonts w:asciiTheme="minorHAnsi" w:hAnsiTheme="minorHAnsi" w:cstheme="minorHAnsi"/>
          <w:sz w:val="24"/>
          <w:szCs w:val="24"/>
          <w:lang w:val="en-GB"/>
        </w:rPr>
        <w:t>Boğaziçi</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Toroslar</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Başkent</w:t>
      </w:r>
      <w:proofErr w:type="spellEnd"/>
      <w:r w:rsidRPr="00F876CB">
        <w:rPr>
          <w:rFonts w:asciiTheme="minorHAnsi" w:hAnsiTheme="minorHAnsi" w:cstheme="minorHAnsi"/>
          <w:sz w:val="24"/>
          <w:szCs w:val="24"/>
          <w:lang w:val="en-GB"/>
        </w:rPr>
        <w:t xml:space="preserve">, </w:t>
      </w:r>
      <w:proofErr w:type="spellStart"/>
      <w:r w:rsidRPr="00F876CB">
        <w:rPr>
          <w:rFonts w:asciiTheme="minorHAnsi" w:hAnsiTheme="minorHAnsi" w:cstheme="minorHAnsi"/>
          <w:sz w:val="24"/>
          <w:szCs w:val="24"/>
          <w:lang w:val="en-GB"/>
        </w:rPr>
        <w:t>Gdz</w:t>
      </w:r>
      <w:proofErr w:type="spellEnd"/>
      <w:r w:rsidRPr="00F876CB">
        <w:rPr>
          <w:rFonts w:asciiTheme="minorHAnsi" w:hAnsiTheme="minorHAnsi" w:cstheme="minorHAnsi"/>
          <w:sz w:val="24"/>
          <w:szCs w:val="24"/>
          <w:lang w:val="en-GB"/>
        </w:rPr>
        <w:t xml:space="preserve"> and </w:t>
      </w:r>
      <w:proofErr w:type="spellStart"/>
      <w:r w:rsidRPr="00F876CB">
        <w:rPr>
          <w:rFonts w:asciiTheme="minorHAnsi" w:hAnsiTheme="minorHAnsi" w:cstheme="minorHAnsi"/>
          <w:sz w:val="24"/>
          <w:szCs w:val="24"/>
          <w:lang w:val="en-GB"/>
        </w:rPr>
        <w:t>Dicle</w:t>
      </w:r>
      <w:proofErr w:type="spellEnd"/>
      <w:r w:rsidRPr="00F876CB">
        <w:rPr>
          <w:rFonts w:asciiTheme="minorHAnsi" w:hAnsiTheme="minorHAnsi" w:cstheme="minorHAnsi"/>
          <w:sz w:val="24"/>
          <w:szCs w:val="24"/>
          <w:lang w:val="en-GB"/>
        </w:rPr>
        <w:t xml:space="preserve"> electricity distribution regions are in the top five.</w:t>
      </w:r>
    </w:p>
    <w:p w:rsidR="00252FDF" w:rsidRPr="00F876CB" w:rsidRDefault="00015994" w:rsidP="00252FDF">
      <w:pPr>
        <w:pStyle w:val="Balk5"/>
        <w:rPr>
          <w:caps/>
          <w:lang w:val="en-GB"/>
        </w:rPr>
      </w:pPr>
      <w:bookmarkStart w:id="1097" w:name="_Toc450309975"/>
      <w:bookmarkStart w:id="1098" w:name="_Toc44508347"/>
      <w:r w:rsidRPr="00F876CB">
        <w:rPr>
          <w:rFonts w:eastAsiaTheme="minorEastAsia"/>
          <w:bCs/>
          <w:lang w:val="en-GB"/>
        </w:rPr>
        <w:t>Table</w:t>
      </w:r>
      <w:r w:rsidR="00252FDF" w:rsidRPr="00F876CB">
        <w:rPr>
          <w:rFonts w:eastAsiaTheme="minorEastAsia"/>
          <w:bCs/>
          <w:lang w:val="en-GB"/>
        </w:rPr>
        <w:t xml:space="preserve"> </w:t>
      </w:r>
      <w:r w:rsidR="00C47B3A" w:rsidRPr="00F876CB">
        <w:rPr>
          <w:rFonts w:eastAsiaTheme="minorEastAsia"/>
          <w:bCs/>
          <w:lang w:val="en-GB"/>
        </w:rPr>
        <w:t>5</w:t>
      </w:r>
      <w:r w:rsidR="00252FDF" w:rsidRPr="00F876CB">
        <w:rPr>
          <w:rFonts w:eastAsiaTheme="minorEastAsia"/>
          <w:bCs/>
          <w:lang w:val="en-GB"/>
        </w:rPr>
        <w:fldChar w:fldCharType="begin"/>
      </w:r>
      <w:r w:rsidR="00252FDF" w:rsidRPr="00F876CB">
        <w:rPr>
          <w:rFonts w:eastAsiaTheme="minorEastAsia"/>
          <w:bCs/>
          <w:lang w:val="en-GB"/>
        </w:rPr>
        <w:instrText xml:space="preserve"> STYLEREF 1 \s </w:instrText>
      </w:r>
      <w:r w:rsidR="00252FDF" w:rsidRPr="00F876CB">
        <w:rPr>
          <w:rFonts w:eastAsiaTheme="minorEastAsia"/>
          <w:bCs/>
          <w:lang w:val="en-GB"/>
        </w:rPr>
        <w:fldChar w:fldCharType="end"/>
      </w:r>
      <w:r w:rsidR="00252FDF" w:rsidRPr="00F876CB">
        <w:rPr>
          <w:rFonts w:eastAsiaTheme="minorEastAsia"/>
          <w:bCs/>
          <w:lang w:val="en-GB"/>
        </w:rPr>
        <w:t xml:space="preserve">.4: </w:t>
      </w:r>
      <w:bookmarkEnd w:id="1097"/>
      <w:r w:rsidR="00EC60C7" w:rsidRPr="00F876CB">
        <w:rPr>
          <w:lang w:val="en-GB"/>
        </w:rPr>
        <w:t>Line Lengths, Number of Transformers and Transformer Capacities Based on Distribution Companies by end of 2019 (km-MVA-Number)</w:t>
      </w:r>
      <w:r w:rsidR="00677F20">
        <w:rPr>
          <w:rStyle w:val="DipnotBavurusu"/>
          <w:lang w:val="en-GB"/>
        </w:rPr>
        <w:footnoteReference w:id="4"/>
      </w:r>
      <w:bookmarkEnd w:id="1098"/>
    </w:p>
    <w:p w:rsidR="00252FDF" w:rsidRPr="00F876CB" w:rsidRDefault="00252FDF" w:rsidP="00252FDF">
      <w:pPr>
        <w:keepNext/>
        <w:spacing w:after="0"/>
        <w:jc w:val="center"/>
        <w:rPr>
          <w:rFonts w:asciiTheme="minorHAnsi" w:hAnsiTheme="minorHAnsi" w:cstheme="minorHAnsi"/>
          <w:caps/>
          <w:spacing w:val="10"/>
          <w:sz w:val="24"/>
          <w:szCs w:val="24"/>
          <w:lang w:val="en-GB"/>
        </w:rPr>
      </w:pPr>
    </w:p>
    <w:tbl>
      <w:tblPr>
        <w:tblW w:w="9072" w:type="dxa"/>
        <w:tblInd w:w="70" w:type="dxa"/>
        <w:tblCellMar>
          <w:left w:w="70" w:type="dxa"/>
          <w:right w:w="70" w:type="dxa"/>
        </w:tblCellMar>
        <w:tblLook w:val="04A0" w:firstRow="1" w:lastRow="0" w:firstColumn="1" w:lastColumn="0" w:noHBand="0" w:noVBand="1"/>
      </w:tblPr>
      <w:tblGrid>
        <w:gridCol w:w="2694"/>
        <w:gridCol w:w="2126"/>
        <w:gridCol w:w="2268"/>
        <w:gridCol w:w="1984"/>
      </w:tblGrid>
      <w:tr w:rsidR="003C671E" w:rsidRPr="00F876CB" w:rsidTr="003C671E">
        <w:trPr>
          <w:trHeight w:val="600"/>
        </w:trPr>
        <w:tc>
          <w:tcPr>
            <w:tcW w:w="2694" w:type="dxa"/>
            <w:tcBorders>
              <w:top w:val="nil"/>
              <w:left w:val="single" w:sz="8" w:space="0" w:color="auto"/>
              <w:bottom w:val="nil"/>
              <w:right w:val="single" w:sz="8" w:space="0" w:color="auto"/>
            </w:tcBorders>
            <w:shd w:val="clear" w:color="000000" w:fill="FF0000"/>
            <w:vAlign w:val="center"/>
            <w:hideMark/>
          </w:tcPr>
          <w:p w:rsidR="003C671E" w:rsidRPr="00F876CB" w:rsidRDefault="00EC60C7" w:rsidP="003C671E">
            <w:pPr>
              <w:spacing w:after="0" w:line="240" w:lineRule="auto"/>
              <w:jc w:val="center"/>
              <w:rPr>
                <w:rFonts w:ascii="Calibri" w:eastAsia="Times New Roman" w:hAnsi="Calibri" w:cs="Calibri"/>
                <w:b/>
                <w:bCs/>
                <w:color w:val="FFFFFF"/>
                <w:lang w:val="en-GB" w:eastAsia="tr-TR" w:bidi="ar-SA"/>
              </w:rPr>
            </w:pPr>
            <w:bookmarkStart w:id="1099" w:name="_Toc450307015"/>
            <w:bookmarkStart w:id="1100" w:name="_Toc450307126"/>
            <w:r w:rsidRPr="00F876CB">
              <w:rPr>
                <w:rFonts w:ascii="Calibri" w:eastAsia="Times New Roman" w:hAnsi="Calibri" w:cs="Times New Roman"/>
                <w:b/>
                <w:bCs/>
                <w:color w:val="FFFFFF"/>
                <w:lang w:val="en-GB" w:eastAsia="tr-TR" w:bidi="ar-SA"/>
              </w:rPr>
              <w:t>Distribution Company</w:t>
            </w:r>
          </w:p>
        </w:tc>
        <w:tc>
          <w:tcPr>
            <w:tcW w:w="2126" w:type="dxa"/>
            <w:tcBorders>
              <w:top w:val="nil"/>
              <w:left w:val="nil"/>
              <w:bottom w:val="nil"/>
              <w:right w:val="single" w:sz="8" w:space="0" w:color="auto"/>
            </w:tcBorders>
            <w:shd w:val="clear" w:color="000000" w:fill="FF0000"/>
            <w:vAlign w:val="center"/>
            <w:hideMark/>
          </w:tcPr>
          <w:p w:rsidR="003C671E" w:rsidRPr="00F876CB" w:rsidRDefault="00EC60C7" w:rsidP="003448AE">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Line Length (Km)</w:t>
            </w:r>
          </w:p>
        </w:tc>
        <w:tc>
          <w:tcPr>
            <w:tcW w:w="2268" w:type="dxa"/>
            <w:tcBorders>
              <w:top w:val="nil"/>
              <w:left w:val="nil"/>
              <w:bottom w:val="nil"/>
              <w:right w:val="single" w:sz="8" w:space="0" w:color="auto"/>
            </w:tcBorders>
            <w:shd w:val="clear" w:color="000000" w:fill="FF0000"/>
            <w:vAlign w:val="center"/>
            <w:hideMark/>
          </w:tcPr>
          <w:p w:rsidR="003C671E" w:rsidRPr="00F876CB" w:rsidRDefault="00EC60C7" w:rsidP="003C671E">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 xml:space="preserve">Transformer Capacity </w:t>
            </w:r>
            <w:r w:rsidRPr="00F876CB">
              <w:rPr>
                <w:rFonts w:ascii="Calibri" w:eastAsia="Times New Roman" w:hAnsi="Calibri" w:cs="Times New Roman"/>
                <w:b/>
                <w:bCs/>
                <w:color w:val="FFFFFF"/>
                <w:lang w:val="en-GB" w:eastAsia="tr-TR" w:bidi="ar-SA"/>
              </w:rPr>
              <w:br/>
              <w:t>(MVA)</w:t>
            </w:r>
          </w:p>
        </w:tc>
        <w:tc>
          <w:tcPr>
            <w:tcW w:w="1984" w:type="dxa"/>
            <w:tcBorders>
              <w:top w:val="nil"/>
              <w:left w:val="nil"/>
              <w:bottom w:val="nil"/>
              <w:right w:val="single" w:sz="8" w:space="0" w:color="auto"/>
            </w:tcBorders>
            <w:shd w:val="clear" w:color="000000" w:fill="FF0000"/>
            <w:vAlign w:val="center"/>
            <w:hideMark/>
          </w:tcPr>
          <w:p w:rsidR="003C671E" w:rsidRPr="00F876CB" w:rsidRDefault="00EC60C7" w:rsidP="00677F20">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Number of Transformers</w:t>
            </w:r>
            <w:r w:rsidR="003C671E" w:rsidRPr="00F876CB">
              <w:rPr>
                <w:rFonts w:ascii="Calibri" w:eastAsia="Times New Roman" w:hAnsi="Calibri" w:cs="Calibri"/>
                <w:b/>
                <w:bCs/>
                <w:color w:val="FFFFFF"/>
                <w:lang w:val="en-GB" w:eastAsia="tr-TR" w:bidi="ar-SA"/>
              </w:rPr>
              <w:t xml:space="preserve"> </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69.538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8.263</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21.888</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66.755</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7.670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19.471</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26.524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3.804</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12.440</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56.971</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3.043</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13.734</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113.814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15.327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33.530</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47.138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17.850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14.682</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46.638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12.457</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59.404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3.239</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12.376</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75.984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12.494</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65.368</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47.812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3.286</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12.635</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57.804</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15.151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33.214</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DE51A2" w:rsidP="003C671E">
            <w:pPr>
              <w:spacing w:after="0" w:line="240" w:lineRule="auto"/>
              <w:rPr>
                <w:rFonts w:ascii="Calibri" w:eastAsia="Times New Roman" w:hAnsi="Calibri" w:cs="Calibri"/>
                <w:color w:val="FFFFFF"/>
                <w:lang w:val="en-GB" w:eastAsia="tr-TR" w:bidi="ar-SA"/>
              </w:rPr>
            </w:pPr>
            <w:r>
              <w:rPr>
                <w:rFonts w:ascii="Calibri" w:eastAsia="Times New Roman" w:hAnsi="Calibri" w:cs="Calibri"/>
                <w:color w:val="FFFFFF"/>
                <w:lang w:val="en-GB" w:eastAsia="tr-TR" w:bidi="ar-SA"/>
              </w:rPr>
              <w:t>İST.</w:t>
            </w:r>
            <w:r w:rsidR="003C671E" w:rsidRPr="00F876CB">
              <w:rPr>
                <w:rFonts w:ascii="Calibri" w:eastAsia="Times New Roman" w:hAnsi="Calibri" w:cs="Calibri"/>
                <w:color w:val="FFFFFF"/>
                <w:lang w:val="en-GB" w:eastAsia="tr-TR" w:bidi="ar-SA"/>
              </w:rPr>
              <w:t xml:space="preserve"> </w:t>
            </w:r>
            <w:r w:rsidR="003C7C7B" w:rsidRPr="00F876CB">
              <w:rPr>
                <w:rFonts w:ascii="Calibri" w:eastAsia="Times New Roman" w:hAnsi="Calibri" w:cs="Calibri"/>
                <w:color w:val="FFFFFF"/>
                <w:lang w:val="en-GB" w:eastAsia="tr-TR" w:bidi="ar-SA"/>
              </w:rPr>
              <w:t>ANATOLIAN</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24.715</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8.640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7.767</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25.220</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2.579</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7.840</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89.877</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11.707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56.990</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49.472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7.407</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25.698</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37.386</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7.908</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17.169</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93.053</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15.821</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47.267</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28.538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5.140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11.431</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50.798</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9.648</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25.875</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38.839</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2.692</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11.954</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83.892</w:t>
            </w:r>
          </w:p>
        </w:tc>
        <w:tc>
          <w:tcPr>
            <w:tcW w:w="2268"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4.770</w:t>
            </w:r>
          </w:p>
        </w:tc>
        <w:tc>
          <w:tcPr>
            <w:tcW w:w="1984" w:type="dxa"/>
            <w:tcBorders>
              <w:top w:val="nil"/>
              <w:left w:val="nil"/>
              <w:bottom w:val="single" w:sz="8" w:space="0" w:color="auto"/>
              <w:right w:val="single" w:sz="8" w:space="0" w:color="auto"/>
            </w:tcBorders>
            <w:shd w:val="clear" w:color="auto" w:fill="auto"/>
            <w:noWrap/>
            <w:vAlign w:val="center"/>
            <w:hideMark/>
          </w:tcPr>
          <w:p w:rsidR="003C671E" w:rsidRPr="00F876CB" w:rsidRDefault="003C671E" w:rsidP="003C671E">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22.147</w:t>
            </w:r>
          </w:p>
        </w:tc>
      </w:tr>
      <w:tr w:rsidR="003C671E" w:rsidRPr="00F876CB" w:rsidTr="003C671E">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3C671E" w:rsidRPr="00F876CB" w:rsidRDefault="003C7C7B" w:rsidP="003C671E">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Total</w:t>
            </w:r>
          </w:p>
        </w:tc>
        <w:tc>
          <w:tcPr>
            <w:tcW w:w="2126" w:type="dxa"/>
            <w:tcBorders>
              <w:top w:val="nil"/>
              <w:left w:val="nil"/>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1.190.169</w:t>
            </w:r>
          </w:p>
        </w:tc>
        <w:tc>
          <w:tcPr>
            <w:tcW w:w="2268" w:type="dxa"/>
            <w:tcBorders>
              <w:top w:val="nil"/>
              <w:left w:val="nil"/>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169.060</w:t>
            </w:r>
          </w:p>
        </w:tc>
        <w:tc>
          <w:tcPr>
            <w:tcW w:w="1984" w:type="dxa"/>
            <w:tcBorders>
              <w:top w:val="nil"/>
              <w:left w:val="nil"/>
              <w:bottom w:val="single" w:sz="8" w:space="0" w:color="auto"/>
              <w:right w:val="single" w:sz="8" w:space="0" w:color="auto"/>
            </w:tcBorders>
            <w:shd w:val="clear" w:color="000000" w:fill="FF5050"/>
            <w:noWrap/>
            <w:vAlign w:val="center"/>
            <w:hideMark/>
          </w:tcPr>
          <w:p w:rsidR="003C671E" w:rsidRPr="00F876CB" w:rsidRDefault="003C671E" w:rsidP="003C671E">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485.933</w:t>
            </w:r>
          </w:p>
        </w:tc>
      </w:tr>
    </w:tbl>
    <w:p w:rsidR="009250C2" w:rsidRPr="00F876CB" w:rsidRDefault="009250C2" w:rsidP="00252FDF">
      <w:pPr>
        <w:pStyle w:val="Balk6"/>
        <w:rPr>
          <w:caps/>
          <w:lang w:val="en-GB"/>
        </w:rPr>
      </w:pPr>
    </w:p>
    <w:p w:rsidR="009250C2" w:rsidRPr="00F876CB" w:rsidRDefault="009250C2" w:rsidP="00252FDF">
      <w:pPr>
        <w:pStyle w:val="Balk6"/>
        <w:rPr>
          <w:caps/>
          <w:lang w:val="en-GB"/>
        </w:rPr>
      </w:pPr>
    </w:p>
    <w:p w:rsidR="009250C2" w:rsidRPr="00F876CB" w:rsidRDefault="009250C2" w:rsidP="00252FDF">
      <w:pPr>
        <w:pStyle w:val="Balk6"/>
        <w:rPr>
          <w:caps/>
          <w:lang w:val="en-GB"/>
        </w:rPr>
      </w:pPr>
    </w:p>
    <w:p w:rsidR="00EC60C7" w:rsidRPr="00F876CB" w:rsidRDefault="00EC60C7" w:rsidP="00EC60C7">
      <w:pPr>
        <w:rPr>
          <w:lang w:val="en-GB"/>
        </w:rPr>
      </w:pPr>
    </w:p>
    <w:p w:rsidR="00EC60C7" w:rsidRPr="00F876CB" w:rsidRDefault="00EC60C7" w:rsidP="00EC60C7">
      <w:pPr>
        <w:rPr>
          <w:lang w:val="en-GB"/>
        </w:rPr>
      </w:pPr>
    </w:p>
    <w:p w:rsidR="00EC60C7" w:rsidRPr="00F876CB" w:rsidRDefault="00EC60C7" w:rsidP="00EC60C7">
      <w:pPr>
        <w:rPr>
          <w:lang w:val="en-GB"/>
        </w:rPr>
      </w:pPr>
    </w:p>
    <w:p w:rsidR="00252FDF" w:rsidRPr="00F876CB" w:rsidRDefault="00015994" w:rsidP="00252FDF">
      <w:pPr>
        <w:pStyle w:val="Balk6"/>
        <w:rPr>
          <w:rFonts w:asciiTheme="minorHAnsi" w:hAnsiTheme="minorHAnsi" w:cstheme="minorHAnsi"/>
          <w:szCs w:val="24"/>
          <w:lang w:val="en-GB"/>
        </w:rPr>
      </w:pPr>
      <w:bookmarkStart w:id="1101" w:name="_Toc44508425"/>
      <w:r w:rsidRPr="00F876CB">
        <w:rPr>
          <w:caps/>
          <w:lang w:val="en-GB"/>
        </w:rPr>
        <w:lastRenderedPageBreak/>
        <w:t>F</w:t>
      </w:r>
      <w:r w:rsidR="00677F20" w:rsidRPr="00F876CB">
        <w:rPr>
          <w:lang w:val="en-GB"/>
        </w:rPr>
        <w:t>igure</w:t>
      </w:r>
      <w:r w:rsidR="00252FDF" w:rsidRPr="00F876CB">
        <w:rPr>
          <w:lang w:val="en-GB"/>
        </w:rPr>
        <w:t xml:space="preserve"> </w:t>
      </w:r>
      <w:r w:rsidR="00C47B3A"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C47B3A" w:rsidRPr="00F876CB">
        <w:rPr>
          <w:lang w:val="en-GB"/>
        </w:rPr>
        <w:t>4</w:t>
      </w:r>
      <w:r w:rsidR="009250C2" w:rsidRPr="00F876CB">
        <w:rPr>
          <w:lang w:val="en-GB"/>
        </w:rPr>
        <w:t xml:space="preserve">: </w:t>
      </w:r>
      <w:bookmarkEnd w:id="1099"/>
      <w:bookmarkEnd w:id="1100"/>
      <w:r w:rsidR="00EC60C7" w:rsidRPr="00F876CB">
        <w:rPr>
          <w:lang w:val="en-GB"/>
        </w:rPr>
        <w:t xml:space="preserve">Line Lengths and Transformer Capacities on the Basis of Distribution Companies at the end of </w:t>
      </w:r>
      <w:proofErr w:type="gramStart"/>
      <w:r w:rsidR="00EC60C7" w:rsidRPr="00F876CB">
        <w:rPr>
          <w:lang w:val="en-GB"/>
        </w:rPr>
        <w:t>2019  (</w:t>
      </w:r>
      <w:proofErr w:type="gramEnd"/>
      <w:r w:rsidR="00EC60C7" w:rsidRPr="00F876CB">
        <w:rPr>
          <w:lang w:val="en-GB"/>
        </w:rPr>
        <w:t>km-MVA)</w:t>
      </w:r>
      <w:bookmarkEnd w:id="1101"/>
    </w:p>
    <w:p w:rsidR="00252FDF" w:rsidRPr="00F876CB" w:rsidRDefault="00083611" w:rsidP="00252FDF">
      <w:pPr>
        <w:spacing w:line="360" w:lineRule="auto"/>
        <w:jc w:val="both"/>
        <w:rPr>
          <w:rFonts w:asciiTheme="minorHAnsi" w:hAnsiTheme="minorHAnsi" w:cstheme="minorHAnsi"/>
          <w:sz w:val="24"/>
          <w:szCs w:val="24"/>
          <w:lang w:val="en-GB"/>
        </w:rPr>
      </w:pPr>
      <w:r>
        <w:rPr>
          <w:rFonts w:asciiTheme="minorHAnsi" w:hAnsiTheme="minorHAnsi" w:cstheme="minorHAnsi"/>
          <w:noProof/>
          <w:sz w:val="24"/>
          <w:szCs w:val="24"/>
          <w:lang w:eastAsia="tr-TR" w:bidi="ar-SA"/>
        </w:rPr>
        <w:drawing>
          <wp:inline distT="0" distB="0" distL="0" distR="0" wp14:anchorId="75759774">
            <wp:extent cx="5788025" cy="3905250"/>
            <wp:effectExtent l="0" t="0" r="317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88025" cy="3905250"/>
                    </a:xfrm>
                    <a:prstGeom prst="rect">
                      <a:avLst/>
                    </a:prstGeom>
                    <a:noFill/>
                  </pic:spPr>
                </pic:pic>
              </a:graphicData>
            </a:graphic>
          </wp:inline>
        </w:drawing>
      </w:r>
    </w:p>
    <w:p w:rsidR="00DE51A2" w:rsidRDefault="00DE51A2" w:rsidP="00DE51A2">
      <w:pPr>
        <w:spacing w:line="360" w:lineRule="auto"/>
        <w:jc w:val="both"/>
        <w:rPr>
          <w:rFonts w:asciiTheme="minorHAnsi" w:hAnsiTheme="minorHAnsi" w:cstheme="minorHAnsi"/>
          <w:sz w:val="24"/>
          <w:szCs w:val="24"/>
          <w:lang w:val="en-GB"/>
        </w:rPr>
      </w:pPr>
    </w:p>
    <w:p w:rsidR="00252FDF" w:rsidRPr="00083611" w:rsidRDefault="00083611" w:rsidP="00DE51A2">
      <w:pPr>
        <w:spacing w:line="360" w:lineRule="auto"/>
        <w:jc w:val="both"/>
        <w:rPr>
          <w:rFonts w:asciiTheme="minorHAnsi" w:hAnsiTheme="minorHAnsi" w:cstheme="minorHAnsi"/>
          <w:sz w:val="24"/>
          <w:szCs w:val="24"/>
          <w:lang w:val="en-GB"/>
        </w:rPr>
      </w:pPr>
      <w:r w:rsidRPr="00083611">
        <w:rPr>
          <w:rFonts w:asciiTheme="minorHAnsi" w:hAnsiTheme="minorHAnsi" w:cstheme="minorHAnsi"/>
          <w:sz w:val="24"/>
          <w:szCs w:val="24"/>
          <w:lang w:val="en-GB"/>
        </w:rPr>
        <w:t>The lengths</w:t>
      </w:r>
      <w:r w:rsidR="00935DAF" w:rsidRPr="00F876CB">
        <w:rPr>
          <w:rFonts w:asciiTheme="minorHAnsi" w:hAnsiTheme="minorHAnsi" w:cstheme="minorHAnsi"/>
          <w:sz w:val="24"/>
          <w:szCs w:val="24"/>
          <w:lang w:val="en-GB"/>
        </w:rPr>
        <w:t xml:space="preserve"> of distribution lines can be seen in Table 5.5. As can be seen from the tabl</w:t>
      </w:r>
      <w:r w:rsidR="00F57CDA">
        <w:rPr>
          <w:rFonts w:asciiTheme="minorHAnsi" w:hAnsiTheme="minorHAnsi" w:cstheme="minorHAnsi"/>
          <w:sz w:val="24"/>
          <w:szCs w:val="24"/>
          <w:lang w:val="en-GB"/>
        </w:rPr>
        <w:t>e, overhead lines constitute 81</w:t>
      </w:r>
      <w:r w:rsidR="00DE51A2">
        <w:rPr>
          <w:rFonts w:asciiTheme="minorHAnsi" w:hAnsiTheme="minorHAnsi" w:cstheme="minorHAnsi"/>
          <w:sz w:val="24"/>
          <w:szCs w:val="24"/>
          <w:lang w:val="en-GB"/>
        </w:rPr>
        <w:t>,</w:t>
      </w:r>
      <w:r w:rsidR="00935DAF" w:rsidRPr="00F876CB">
        <w:rPr>
          <w:rFonts w:asciiTheme="minorHAnsi" w:hAnsiTheme="minorHAnsi" w:cstheme="minorHAnsi"/>
          <w:sz w:val="24"/>
          <w:szCs w:val="24"/>
          <w:lang w:val="en-GB"/>
        </w:rPr>
        <w:t>25% of the total distribution lines. The share of underground lines within the total distribution lines is 18</w:t>
      </w:r>
      <w:r w:rsidR="00DE51A2">
        <w:rPr>
          <w:rFonts w:asciiTheme="minorHAnsi" w:hAnsiTheme="minorHAnsi" w:cstheme="minorHAnsi"/>
          <w:sz w:val="24"/>
          <w:szCs w:val="24"/>
          <w:lang w:val="en-GB"/>
        </w:rPr>
        <w:t>,</w:t>
      </w:r>
      <w:r w:rsidR="00935DAF" w:rsidRPr="00F876CB">
        <w:rPr>
          <w:rFonts w:asciiTheme="minorHAnsi" w:hAnsiTheme="minorHAnsi" w:cstheme="minorHAnsi"/>
          <w:sz w:val="24"/>
          <w:szCs w:val="24"/>
          <w:lang w:val="en-GB"/>
        </w:rPr>
        <w:t>75%. This shows that the distribution lines are open to external influence. The mentioned external effects may be natural disasters, climate or human. In particular, natural events such as heavy rains and heavy winds can directly or indirectly cause damage to the distribution lines.</w:t>
      </w:r>
    </w:p>
    <w:p w:rsidR="00F4224A" w:rsidRPr="00F876CB" w:rsidRDefault="00F4224A" w:rsidP="00252FDF">
      <w:pPr>
        <w:jc w:val="center"/>
        <w:rPr>
          <w:rFonts w:asciiTheme="minorHAnsi" w:eastAsiaTheme="minorEastAsia" w:hAnsiTheme="minorHAnsi" w:cstheme="minorHAnsi"/>
          <w:bCs/>
          <w:sz w:val="24"/>
          <w:szCs w:val="24"/>
          <w:lang w:val="en-GB"/>
        </w:rPr>
      </w:pPr>
    </w:p>
    <w:p w:rsidR="00F4224A" w:rsidRPr="00F876CB" w:rsidRDefault="00F4224A" w:rsidP="00252FDF">
      <w:pPr>
        <w:jc w:val="center"/>
        <w:rPr>
          <w:rFonts w:asciiTheme="minorHAnsi" w:eastAsiaTheme="minorEastAsia" w:hAnsiTheme="minorHAnsi" w:cstheme="minorHAnsi"/>
          <w:bCs/>
          <w:sz w:val="24"/>
          <w:szCs w:val="24"/>
          <w:lang w:val="en-GB"/>
        </w:rPr>
      </w:pPr>
    </w:p>
    <w:p w:rsidR="00F4224A" w:rsidRPr="00F876CB" w:rsidRDefault="00F4224A" w:rsidP="00252FDF">
      <w:pPr>
        <w:jc w:val="center"/>
        <w:rPr>
          <w:rFonts w:asciiTheme="minorHAnsi" w:eastAsiaTheme="minorEastAsia" w:hAnsiTheme="minorHAnsi" w:cstheme="minorHAnsi"/>
          <w:bCs/>
          <w:sz w:val="24"/>
          <w:szCs w:val="24"/>
          <w:lang w:val="en-GB"/>
        </w:rPr>
      </w:pPr>
    </w:p>
    <w:p w:rsidR="00F4224A" w:rsidRPr="00F876CB" w:rsidRDefault="00F4224A" w:rsidP="00252FDF">
      <w:pPr>
        <w:jc w:val="center"/>
        <w:rPr>
          <w:rFonts w:asciiTheme="minorHAnsi" w:eastAsiaTheme="minorEastAsia" w:hAnsiTheme="minorHAnsi" w:cstheme="minorHAnsi"/>
          <w:bCs/>
          <w:sz w:val="24"/>
          <w:szCs w:val="24"/>
          <w:lang w:val="en-GB"/>
        </w:rPr>
      </w:pPr>
    </w:p>
    <w:p w:rsidR="00935DAF" w:rsidRPr="00F876CB" w:rsidRDefault="00935DAF" w:rsidP="00252FDF">
      <w:pPr>
        <w:jc w:val="center"/>
        <w:rPr>
          <w:rFonts w:asciiTheme="minorHAnsi" w:eastAsiaTheme="minorEastAsia" w:hAnsiTheme="minorHAnsi" w:cstheme="minorHAnsi"/>
          <w:bCs/>
          <w:sz w:val="24"/>
          <w:szCs w:val="24"/>
          <w:lang w:val="en-GB"/>
        </w:rPr>
      </w:pPr>
    </w:p>
    <w:p w:rsidR="00935DAF" w:rsidRPr="00F876CB" w:rsidRDefault="00935DAF" w:rsidP="00252FDF">
      <w:pPr>
        <w:jc w:val="center"/>
        <w:rPr>
          <w:rFonts w:asciiTheme="minorHAnsi" w:eastAsiaTheme="minorEastAsia" w:hAnsiTheme="minorHAnsi" w:cstheme="minorHAnsi"/>
          <w:bCs/>
          <w:sz w:val="24"/>
          <w:szCs w:val="24"/>
          <w:lang w:val="en-GB"/>
        </w:rPr>
      </w:pPr>
    </w:p>
    <w:p w:rsidR="00F57CDA" w:rsidRDefault="00F57CDA" w:rsidP="00252FDF">
      <w:pPr>
        <w:pStyle w:val="Balk5"/>
        <w:rPr>
          <w:rFonts w:eastAsiaTheme="minorEastAsia"/>
          <w:bCs/>
          <w:lang w:val="en-GB"/>
        </w:rPr>
      </w:pPr>
      <w:bookmarkStart w:id="1102" w:name="_Toc450309976"/>
    </w:p>
    <w:p w:rsidR="00252FDF" w:rsidRPr="00F876CB" w:rsidRDefault="00015994" w:rsidP="00252FDF">
      <w:pPr>
        <w:pStyle w:val="Balk5"/>
        <w:rPr>
          <w:caps/>
          <w:lang w:val="en-GB"/>
        </w:rPr>
      </w:pPr>
      <w:bookmarkStart w:id="1103" w:name="_Toc44508348"/>
      <w:r w:rsidRPr="00F876CB">
        <w:rPr>
          <w:rFonts w:eastAsiaTheme="minorEastAsia"/>
          <w:bCs/>
          <w:lang w:val="en-GB"/>
        </w:rPr>
        <w:lastRenderedPageBreak/>
        <w:t>Table</w:t>
      </w:r>
      <w:r w:rsidR="00252FDF" w:rsidRPr="00F876CB">
        <w:rPr>
          <w:rFonts w:eastAsiaTheme="minorEastAsia"/>
          <w:bCs/>
          <w:lang w:val="en-GB"/>
        </w:rPr>
        <w:t xml:space="preserve"> </w:t>
      </w:r>
      <w:r w:rsidR="00C47B3A" w:rsidRPr="00F876CB">
        <w:rPr>
          <w:rFonts w:eastAsiaTheme="minorEastAsia"/>
          <w:bCs/>
          <w:lang w:val="en-GB"/>
        </w:rPr>
        <w:t>5</w:t>
      </w:r>
      <w:r w:rsidR="00252FDF" w:rsidRPr="00F876CB">
        <w:rPr>
          <w:rFonts w:eastAsiaTheme="minorEastAsia"/>
          <w:bCs/>
          <w:lang w:val="en-GB"/>
        </w:rPr>
        <w:fldChar w:fldCharType="begin"/>
      </w:r>
      <w:r w:rsidR="00252FDF" w:rsidRPr="00F876CB">
        <w:rPr>
          <w:rFonts w:eastAsiaTheme="minorEastAsia"/>
          <w:bCs/>
          <w:lang w:val="en-GB"/>
        </w:rPr>
        <w:instrText xml:space="preserve"> STYLEREF 1 \s </w:instrText>
      </w:r>
      <w:r w:rsidR="00252FDF" w:rsidRPr="00F876CB">
        <w:rPr>
          <w:rFonts w:eastAsiaTheme="minorEastAsia"/>
          <w:bCs/>
          <w:lang w:val="en-GB"/>
        </w:rPr>
        <w:fldChar w:fldCharType="end"/>
      </w:r>
      <w:r w:rsidR="00252FDF" w:rsidRPr="00F876CB">
        <w:rPr>
          <w:rFonts w:eastAsiaTheme="minorEastAsia"/>
          <w:bCs/>
          <w:lang w:val="en-GB"/>
        </w:rPr>
        <w:t>.5:</w:t>
      </w:r>
      <w:r w:rsidR="00252FDF" w:rsidRPr="00F876CB">
        <w:rPr>
          <w:lang w:val="en-GB"/>
        </w:rPr>
        <w:t xml:space="preserve"> </w:t>
      </w:r>
      <w:bookmarkEnd w:id="1102"/>
      <w:r w:rsidR="006B2C11" w:rsidRPr="00F876CB">
        <w:rPr>
          <w:rFonts w:asciiTheme="minorHAnsi" w:hAnsiTheme="minorHAnsi" w:cstheme="minorHAnsi"/>
          <w:szCs w:val="24"/>
          <w:lang w:val="en-GB"/>
        </w:rPr>
        <w:t xml:space="preserve">The Lengths of Distribution Lines </w:t>
      </w:r>
      <w:r w:rsidR="006B2C11" w:rsidRPr="00F876CB">
        <w:rPr>
          <w:lang w:val="en-GB"/>
        </w:rPr>
        <w:t>(Km)</w:t>
      </w:r>
      <w:bookmarkEnd w:id="1103"/>
    </w:p>
    <w:tbl>
      <w:tblPr>
        <w:tblW w:w="9072" w:type="dxa"/>
        <w:tblInd w:w="70" w:type="dxa"/>
        <w:tblCellMar>
          <w:left w:w="70" w:type="dxa"/>
          <w:right w:w="70" w:type="dxa"/>
        </w:tblCellMar>
        <w:tblLook w:val="04A0" w:firstRow="1" w:lastRow="0" w:firstColumn="1" w:lastColumn="0" w:noHBand="0" w:noVBand="1"/>
      </w:tblPr>
      <w:tblGrid>
        <w:gridCol w:w="2835"/>
        <w:gridCol w:w="2127"/>
        <w:gridCol w:w="1984"/>
        <w:gridCol w:w="2126"/>
      </w:tblGrid>
      <w:tr w:rsidR="00AC6A95" w:rsidRPr="00F876CB" w:rsidTr="00AC6A95">
        <w:trPr>
          <w:trHeight w:val="315"/>
        </w:trPr>
        <w:tc>
          <w:tcPr>
            <w:tcW w:w="283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C6A95" w:rsidRPr="00F876CB" w:rsidRDefault="006B2C11" w:rsidP="00AC6A95">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Distribution Company</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F876CB" w:rsidRDefault="006B2C11" w:rsidP="003448AE">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 xml:space="preserve">Overhead </w:t>
            </w:r>
            <w:r w:rsidR="00AC6A95" w:rsidRPr="00F876CB">
              <w:rPr>
                <w:rFonts w:ascii="Times New Roman" w:eastAsia="Times New Roman" w:hAnsi="Times New Roman" w:cs="Times New Roman"/>
                <w:b/>
                <w:bCs/>
                <w:color w:val="FFFFFF"/>
                <w:lang w:val="en-GB" w:eastAsia="tr-TR" w:bidi="ar-SA"/>
              </w:rPr>
              <w:t>(</w:t>
            </w:r>
            <w:r w:rsidR="003448AE" w:rsidRPr="00F876CB">
              <w:rPr>
                <w:rFonts w:ascii="Times New Roman" w:eastAsia="Times New Roman" w:hAnsi="Times New Roman" w:cs="Times New Roman"/>
                <w:b/>
                <w:bCs/>
                <w:color w:val="FFFFFF"/>
                <w:lang w:val="en-GB" w:eastAsia="tr-TR" w:bidi="ar-SA"/>
              </w:rPr>
              <w:t>k</w:t>
            </w:r>
            <w:r w:rsidR="00AC6A95" w:rsidRPr="00F876CB">
              <w:rPr>
                <w:rFonts w:ascii="Times New Roman" w:eastAsia="Times New Roman" w:hAnsi="Times New Roman" w:cs="Times New Roman"/>
                <w:b/>
                <w:bCs/>
                <w:color w:val="FFFFFF"/>
                <w:lang w:val="en-GB" w:eastAsia="tr-TR" w:bidi="ar-SA"/>
              </w:rPr>
              <w:t>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F876CB" w:rsidRDefault="006B2C11" w:rsidP="003448AE">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Underground</w:t>
            </w:r>
            <w:r w:rsidR="00AC6A95" w:rsidRPr="00F876CB">
              <w:rPr>
                <w:rFonts w:ascii="Times New Roman" w:eastAsia="Times New Roman" w:hAnsi="Times New Roman" w:cs="Times New Roman"/>
                <w:b/>
                <w:bCs/>
                <w:color w:val="FFFFFF"/>
                <w:lang w:val="en-GB" w:eastAsia="tr-TR" w:bidi="ar-SA"/>
              </w:rPr>
              <w:t xml:space="preserve"> (</w:t>
            </w:r>
            <w:r w:rsidR="003448AE" w:rsidRPr="00F876CB">
              <w:rPr>
                <w:rFonts w:ascii="Times New Roman" w:eastAsia="Times New Roman" w:hAnsi="Times New Roman" w:cs="Times New Roman"/>
                <w:b/>
                <w:bCs/>
                <w:color w:val="FFFFFF"/>
                <w:lang w:val="en-GB" w:eastAsia="tr-TR" w:bidi="ar-SA"/>
              </w:rPr>
              <w:t>k</w:t>
            </w:r>
            <w:r w:rsidR="00AC6A95" w:rsidRPr="00F876CB">
              <w:rPr>
                <w:rFonts w:ascii="Times New Roman" w:eastAsia="Times New Roman" w:hAnsi="Times New Roman" w:cs="Times New Roman"/>
                <w:b/>
                <w:bCs/>
                <w:color w:val="FFFFFF"/>
                <w:lang w:val="en-GB" w:eastAsia="tr-TR" w:bidi="ar-SA"/>
              </w:rPr>
              <w:t>m)</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AC6A95" w:rsidRPr="00F876CB" w:rsidRDefault="00AC6A95" w:rsidP="003448AE">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To</w:t>
            </w:r>
            <w:r w:rsidR="006B2C11" w:rsidRPr="00F876CB">
              <w:rPr>
                <w:rFonts w:ascii="Times New Roman" w:eastAsia="Times New Roman" w:hAnsi="Times New Roman" w:cs="Times New Roman"/>
                <w:b/>
                <w:bCs/>
                <w:color w:val="FFFFFF"/>
                <w:lang w:val="en-GB" w:eastAsia="tr-TR" w:bidi="ar-SA"/>
              </w:rPr>
              <w:t>tal</w:t>
            </w:r>
            <w:r w:rsidRPr="00F876CB">
              <w:rPr>
                <w:rFonts w:ascii="Times New Roman" w:eastAsia="Times New Roman" w:hAnsi="Times New Roman" w:cs="Times New Roman"/>
                <w:b/>
                <w:bCs/>
                <w:color w:val="FFFFFF"/>
                <w:lang w:val="en-GB" w:eastAsia="tr-TR" w:bidi="ar-SA"/>
              </w:rPr>
              <w:t xml:space="preserve"> (</w:t>
            </w:r>
            <w:r w:rsidR="003448AE" w:rsidRPr="00F876CB">
              <w:rPr>
                <w:rFonts w:ascii="Times New Roman" w:eastAsia="Times New Roman" w:hAnsi="Times New Roman" w:cs="Times New Roman"/>
                <w:b/>
                <w:bCs/>
                <w:color w:val="FFFFFF"/>
                <w:lang w:val="en-GB" w:eastAsia="tr-TR" w:bidi="ar-SA"/>
              </w:rPr>
              <w:t>k</w:t>
            </w:r>
            <w:r w:rsidRPr="00F876CB">
              <w:rPr>
                <w:rFonts w:ascii="Times New Roman" w:eastAsia="Times New Roman" w:hAnsi="Times New Roman" w:cs="Times New Roman"/>
                <w:b/>
                <w:bCs/>
                <w:color w:val="FFFFFF"/>
                <w:lang w:val="en-GB" w:eastAsia="tr-TR" w:bidi="ar-SA"/>
              </w:rPr>
              <w:t>m)</w:t>
            </w:r>
          </w:p>
        </w:tc>
      </w:tr>
      <w:tr w:rsidR="00AC6A95" w:rsidRPr="00F876CB" w:rsidTr="00AC6A95">
        <w:trPr>
          <w:trHeight w:val="22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ADM</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59.861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9.676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69.538</w:t>
            </w:r>
          </w:p>
        </w:tc>
      </w:tr>
      <w:tr w:rsidR="00AC6A95" w:rsidRPr="00F876CB" w:rsidTr="00AC6A95">
        <w:trPr>
          <w:trHeight w:val="21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AKDENİZ</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51.189</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15.566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66.755</w:t>
            </w:r>
          </w:p>
        </w:tc>
      </w:tr>
      <w:tr w:rsidR="00AC6A95" w:rsidRPr="00F876CB" w:rsidTr="00AC6A95">
        <w:trPr>
          <w:trHeight w:val="20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AKEDAŞ</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23.587</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2.937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26.524</w:t>
            </w:r>
          </w:p>
        </w:tc>
      </w:tr>
      <w:tr w:rsidR="00AC6A95" w:rsidRPr="00F876CB" w:rsidTr="00AC6A95">
        <w:trPr>
          <w:trHeight w:val="21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ARAS</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51.723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5.249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56.971</w:t>
            </w:r>
          </w:p>
        </w:tc>
      </w:tr>
      <w:tr w:rsidR="00AC6A95" w:rsidRPr="00F876CB" w:rsidTr="00AC6A95">
        <w:trPr>
          <w:trHeight w:val="7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BAŞKENT</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91.441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22.373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113.814</w:t>
            </w:r>
          </w:p>
        </w:tc>
      </w:tr>
      <w:tr w:rsidR="00AC6A95" w:rsidRPr="00F876CB" w:rsidTr="00AC6A95">
        <w:trPr>
          <w:trHeight w:val="19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BOĞAZİÇİ</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10.754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36.384</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47.138</w:t>
            </w:r>
          </w:p>
        </w:tc>
      </w:tr>
      <w:tr w:rsidR="00AC6A95" w:rsidRPr="00F876CB" w:rsidTr="00AC6A95">
        <w:trPr>
          <w:trHeight w:val="19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ÇAMLIBEL</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40.994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5.643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46.638</w:t>
            </w:r>
          </w:p>
        </w:tc>
      </w:tr>
      <w:tr w:rsidR="00AC6A95" w:rsidRPr="00F876CB" w:rsidTr="00AC6A95">
        <w:trPr>
          <w:trHeight w:val="14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ÇORUH</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54.711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4.693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59.404</w:t>
            </w:r>
          </w:p>
        </w:tc>
      </w:tr>
      <w:tr w:rsidR="00AC6A95" w:rsidRPr="00F876CB" w:rsidTr="00AC6A95">
        <w:trPr>
          <w:trHeight w:val="23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DİCLE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66.148</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9.836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75.984</w:t>
            </w:r>
          </w:p>
        </w:tc>
      </w:tr>
      <w:tr w:rsidR="00AC6A95" w:rsidRPr="00F876CB" w:rsidTr="00AC6A95">
        <w:trPr>
          <w:trHeight w:val="18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FIRAT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43.643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4.169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47.812</w:t>
            </w:r>
          </w:p>
        </w:tc>
      </w:tr>
      <w:tr w:rsidR="00AC6A95" w:rsidRPr="00F876CB" w:rsidTr="00AC6A95">
        <w:trPr>
          <w:trHeight w:val="8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GDZ</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46.745</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11.059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57.804</w:t>
            </w:r>
          </w:p>
        </w:tc>
      </w:tr>
      <w:tr w:rsidR="00AC6A95" w:rsidRPr="00F876CB" w:rsidTr="00AC6A95">
        <w:trPr>
          <w:trHeight w:val="17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DE51A2" w:rsidP="00AC6A95">
            <w:pPr>
              <w:spacing w:after="0" w:line="240" w:lineRule="auto"/>
              <w:rPr>
                <w:rFonts w:ascii="Calibri" w:eastAsia="Times New Roman" w:hAnsi="Calibri" w:cs="Calibri"/>
                <w:color w:val="FFFFFF"/>
                <w:lang w:val="en-GB" w:eastAsia="tr-TR" w:bidi="ar-SA"/>
              </w:rPr>
            </w:pPr>
            <w:r>
              <w:rPr>
                <w:rFonts w:ascii="Calibri" w:eastAsia="Times New Roman" w:hAnsi="Calibri" w:cs="Calibri"/>
                <w:color w:val="FFFFFF"/>
                <w:lang w:val="en-GB" w:eastAsia="tr-TR" w:bidi="ar-SA"/>
              </w:rPr>
              <w:t>İST. ANATOLIAN</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5.595</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19.120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24.715</w:t>
            </w:r>
          </w:p>
        </w:tc>
      </w:tr>
      <w:tr w:rsidR="00AC6A95" w:rsidRPr="00F876CB" w:rsidTr="00AC6A95">
        <w:trPr>
          <w:trHeight w:val="16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 xml:space="preserve">KAYSERİ VE CİVARI </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18.913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6.307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25.220</w:t>
            </w:r>
          </w:p>
        </w:tc>
      </w:tr>
      <w:tr w:rsidR="00AC6A95" w:rsidRPr="00F876CB" w:rsidTr="00AC6A95">
        <w:trPr>
          <w:trHeight w:val="16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MERAM</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80.897</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8.980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89.877</w:t>
            </w:r>
          </w:p>
        </w:tc>
      </w:tr>
      <w:tr w:rsidR="00AC6A95" w:rsidRPr="00F876CB" w:rsidTr="00AC6A95">
        <w:trPr>
          <w:trHeight w:val="14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OSMANGAZİ</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42.012</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7.460</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49.472</w:t>
            </w:r>
          </w:p>
        </w:tc>
      </w:tr>
      <w:tr w:rsidR="00AC6A95" w:rsidRPr="00F876CB" w:rsidTr="00AC6A95">
        <w:trPr>
          <w:trHeight w:val="14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31.084</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6.302</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37.386</w:t>
            </w:r>
          </w:p>
        </w:tc>
      </w:tr>
      <w:tr w:rsidR="00AC6A95" w:rsidRPr="00F876CB" w:rsidTr="00AC6A95">
        <w:trPr>
          <w:trHeight w:val="29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TOROSLAR</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79.710</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13.343</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93.053</w:t>
            </w:r>
          </w:p>
        </w:tc>
      </w:tr>
      <w:tr w:rsidR="00AC6A95" w:rsidRPr="00F876CB" w:rsidTr="00AC6A95">
        <w:trPr>
          <w:trHeight w:val="10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TRAKYA</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23.686</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4.851</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28.538</w:t>
            </w:r>
          </w:p>
        </w:tc>
      </w:tr>
      <w:tr w:rsidR="00AC6A95" w:rsidRPr="00F876CB" w:rsidTr="00AC6A95">
        <w:trPr>
          <w:trHeight w:val="19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ULUDAĞ</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38.851</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11.947</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50.798</w:t>
            </w:r>
          </w:p>
        </w:tc>
      </w:tr>
      <w:tr w:rsidR="00AC6A95" w:rsidRPr="00F876CB" w:rsidTr="00AC6A95">
        <w:trPr>
          <w:trHeight w:val="10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VANGÖLÜ</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35.493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3.346</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38.839</w:t>
            </w:r>
          </w:p>
        </w:tc>
      </w:tr>
      <w:tr w:rsidR="00AC6A95" w:rsidRPr="00F876CB" w:rsidTr="00AC6A95">
        <w:trPr>
          <w:trHeight w:val="23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YEŞİLIRMAK</w:t>
            </w:r>
          </w:p>
        </w:tc>
        <w:tc>
          <w:tcPr>
            <w:tcW w:w="2127"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69.943</w:t>
            </w:r>
          </w:p>
        </w:tc>
        <w:tc>
          <w:tcPr>
            <w:tcW w:w="1984"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13.949</w:t>
            </w:r>
          </w:p>
        </w:tc>
        <w:tc>
          <w:tcPr>
            <w:tcW w:w="2126" w:type="dxa"/>
            <w:tcBorders>
              <w:top w:val="nil"/>
              <w:left w:val="nil"/>
              <w:bottom w:val="single" w:sz="8" w:space="0" w:color="auto"/>
              <w:right w:val="single" w:sz="8" w:space="0" w:color="auto"/>
            </w:tcBorders>
            <w:shd w:val="clear" w:color="auto" w:fill="auto"/>
            <w:noWrap/>
            <w:vAlign w:val="center"/>
            <w:hideMark/>
          </w:tcPr>
          <w:p w:rsidR="00AC6A95" w:rsidRPr="00F876CB" w:rsidRDefault="00AC6A95" w:rsidP="00AC6A95">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83.892</w:t>
            </w:r>
          </w:p>
        </w:tc>
      </w:tr>
      <w:tr w:rsidR="00AC6A95" w:rsidRPr="00F876CB" w:rsidTr="00AC6A95">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rsidR="00AC6A95" w:rsidRPr="00F876CB" w:rsidRDefault="006B2C11" w:rsidP="00AC6A95">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Total</w:t>
            </w:r>
          </w:p>
        </w:tc>
        <w:tc>
          <w:tcPr>
            <w:tcW w:w="2127" w:type="dxa"/>
            <w:tcBorders>
              <w:top w:val="nil"/>
              <w:left w:val="nil"/>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966.979</w:t>
            </w:r>
          </w:p>
        </w:tc>
        <w:tc>
          <w:tcPr>
            <w:tcW w:w="1984" w:type="dxa"/>
            <w:tcBorders>
              <w:top w:val="nil"/>
              <w:left w:val="nil"/>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223.190</w:t>
            </w:r>
          </w:p>
        </w:tc>
        <w:tc>
          <w:tcPr>
            <w:tcW w:w="2126" w:type="dxa"/>
            <w:tcBorders>
              <w:top w:val="nil"/>
              <w:left w:val="nil"/>
              <w:bottom w:val="single" w:sz="8" w:space="0" w:color="auto"/>
              <w:right w:val="single" w:sz="8" w:space="0" w:color="auto"/>
            </w:tcBorders>
            <w:shd w:val="clear" w:color="000000" w:fill="FF5050"/>
            <w:noWrap/>
            <w:vAlign w:val="center"/>
            <w:hideMark/>
          </w:tcPr>
          <w:p w:rsidR="00AC6A95" w:rsidRPr="00F876CB" w:rsidRDefault="00AC6A95" w:rsidP="00AC6A95">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1.190.169</w:t>
            </w:r>
          </w:p>
        </w:tc>
      </w:tr>
    </w:tbl>
    <w:p w:rsidR="00252FDF" w:rsidRPr="00F876CB" w:rsidRDefault="00252FDF" w:rsidP="001200B8">
      <w:pPr>
        <w:spacing w:line="360" w:lineRule="auto"/>
        <w:ind w:firstLine="708"/>
        <w:jc w:val="center"/>
        <w:rPr>
          <w:rFonts w:asciiTheme="minorHAnsi" w:hAnsiTheme="minorHAnsi" w:cstheme="minorHAnsi"/>
          <w:sz w:val="24"/>
          <w:szCs w:val="24"/>
          <w:lang w:val="en-GB"/>
        </w:rPr>
      </w:pPr>
    </w:p>
    <w:p w:rsidR="00252FDF" w:rsidRPr="00F876CB" w:rsidRDefault="00015994" w:rsidP="00252FDF">
      <w:pPr>
        <w:pStyle w:val="Balk6"/>
        <w:rPr>
          <w:lang w:val="en-GB"/>
        </w:rPr>
      </w:pPr>
      <w:bookmarkStart w:id="1104" w:name="_Toc44508426"/>
      <w:r w:rsidRPr="00F876CB">
        <w:rPr>
          <w:caps/>
          <w:lang w:val="en-GB"/>
        </w:rPr>
        <w:t>F</w:t>
      </w:r>
      <w:r w:rsidR="00F57CDA" w:rsidRPr="00F876CB">
        <w:rPr>
          <w:lang w:val="en-GB"/>
        </w:rPr>
        <w:t>igure</w:t>
      </w:r>
      <w:r w:rsidR="00252FDF" w:rsidRPr="00F876CB">
        <w:rPr>
          <w:lang w:val="en-GB"/>
        </w:rPr>
        <w:t xml:space="preserve"> </w:t>
      </w:r>
      <w:r w:rsidR="00DE0519"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.5</w:t>
      </w:r>
      <w:r w:rsidR="00F4224A" w:rsidRPr="00F876CB">
        <w:rPr>
          <w:lang w:val="en-GB"/>
        </w:rPr>
        <w:t xml:space="preserve">: </w:t>
      </w:r>
      <w:r w:rsidR="00D10706" w:rsidRPr="00F876CB">
        <w:rPr>
          <w:lang w:val="en-GB"/>
        </w:rPr>
        <w:t>The Length of Lines on the Basis of Distribution Companies at the end of 2019</w:t>
      </w:r>
      <w:r w:rsidR="00F57CDA">
        <w:rPr>
          <w:lang w:val="en-GB"/>
        </w:rPr>
        <w:t xml:space="preserve"> </w:t>
      </w:r>
      <w:r w:rsidR="00D10706" w:rsidRPr="00F876CB">
        <w:rPr>
          <w:lang w:val="en-GB"/>
        </w:rPr>
        <w:t>(</w:t>
      </w:r>
      <w:r w:rsidR="00F57CDA">
        <w:rPr>
          <w:lang w:val="en-GB"/>
        </w:rPr>
        <w:t>k</w:t>
      </w:r>
      <w:r w:rsidR="00D10706" w:rsidRPr="00F876CB">
        <w:rPr>
          <w:lang w:val="en-GB"/>
        </w:rPr>
        <w:t>m)</w:t>
      </w:r>
      <w:bookmarkEnd w:id="1104"/>
    </w:p>
    <w:p w:rsidR="00252FDF" w:rsidRPr="00F876CB" w:rsidRDefault="00F57CDA" w:rsidP="00252FDF">
      <w:pPr>
        <w:jc w:val="center"/>
        <w:rPr>
          <w:lang w:val="en-GB"/>
        </w:rPr>
      </w:pPr>
      <w:r>
        <w:rPr>
          <w:noProof/>
          <w:lang w:eastAsia="tr-TR" w:bidi="ar-SA"/>
        </w:rPr>
        <w:drawing>
          <wp:inline distT="0" distB="0" distL="0" distR="0" wp14:anchorId="1BEDC52F">
            <wp:extent cx="5709920" cy="3352800"/>
            <wp:effectExtent l="0" t="0" r="508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09920" cy="3352800"/>
                    </a:xfrm>
                    <a:prstGeom prst="rect">
                      <a:avLst/>
                    </a:prstGeom>
                    <a:noFill/>
                  </pic:spPr>
                </pic:pic>
              </a:graphicData>
            </a:graphic>
          </wp:inline>
        </w:drawing>
      </w:r>
    </w:p>
    <w:p w:rsidR="00531B36" w:rsidRPr="00F876CB" w:rsidRDefault="00531B36"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lastRenderedPageBreak/>
        <w:t xml:space="preserve">As can be seen in the above figure, the share of underground line lengths in </w:t>
      </w:r>
      <w:proofErr w:type="spellStart"/>
      <w:r w:rsidR="00F57CDA">
        <w:rPr>
          <w:rFonts w:asciiTheme="minorHAnsi" w:hAnsiTheme="minorHAnsi" w:cstheme="minorHAnsi"/>
          <w:sz w:val="24"/>
          <w:szCs w:val="24"/>
          <w:lang w:val="en-GB"/>
        </w:rPr>
        <w:t>Boğaziçi</w:t>
      </w:r>
      <w:proofErr w:type="spellEnd"/>
      <w:r w:rsidR="00F57CDA">
        <w:rPr>
          <w:rFonts w:asciiTheme="minorHAnsi" w:hAnsiTheme="minorHAnsi" w:cstheme="minorHAnsi"/>
          <w:sz w:val="24"/>
          <w:szCs w:val="24"/>
          <w:lang w:val="en-GB"/>
        </w:rPr>
        <w:t xml:space="preserve"> </w:t>
      </w:r>
      <w:r w:rsidRPr="00F876CB">
        <w:rPr>
          <w:rFonts w:asciiTheme="minorHAnsi" w:hAnsiTheme="minorHAnsi" w:cstheme="minorHAnsi"/>
          <w:sz w:val="24"/>
          <w:szCs w:val="24"/>
          <w:lang w:val="en-GB"/>
        </w:rPr>
        <w:t>and Istanbul Anatolian Side regions, where the population is dense, is higher than the share of overhead lines.</w:t>
      </w:r>
    </w:p>
    <w:p w:rsidR="00531B36" w:rsidRPr="00F876CB" w:rsidRDefault="00531B36"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Table 5.6 shows the distribution line lengths and transformer capacities by provinces. According to the table, the first five provinces in the distribution line length ranking; Istanbul, Ankara, Konya, Antalya and Izmir.</w:t>
      </w:r>
    </w:p>
    <w:p w:rsidR="00531B36" w:rsidRPr="00F876CB" w:rsidRDefault="00531B36"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Considering the transformer capacities in the distribution system of the provinces, the first five provinces in terms of transformer capacity; Istanbul, Izmir, Ankara, Konya and Antalya.</w:t>
      </w:r>
    </w:p>
    <w:p w:rsidR="00021A7D" w:rsidRPr="00F876CB" w:rsidRDefault="00531B36"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 xml:space="preserve">Considering the number of transformers in the distribution system of the provinces, the first five provinces in terms of the number of transformers; Konya, </w:t>
      </w:r>
      <w:proofErr w:type="spellStart"/>
      <w:r w:rsidRPr="00F876CB">
        <w:rPr>
          <w:rFonts w:asciiTheme="minorHAnsi" w:hAnsiTheme="minorHAnsi" w:cstheme="minorHAnsi"/>
          <w:sz w:val="24"/>
          <w:szCs w:val="24"/>
          <w:lang w:val="en-GB"/>
        </w:rPr>
        <w:t>Şanlıurfa</w:t>
      </w:r>
      <w:proofErr w:type="spellEnd"/>
      <w:r w:rsidRPr="00F876CB">
        <w:rPr>
          <w:rFonts w:asciiTheme="minorHAnsi" w:hAnsiTheme="minorHAnsi" w:cstheme="minorHAnsi"/>
          <w:sz w:val="24"/>
          <w:szCs w:val="24"/>
          <w:lang w:val="en-GB"/>
        </w:rPr>
        <w:t>, İstanbul, İzmir and Ankara.</w:t>
      </w:r>
    </w:p>
    <w:p w:rsidR="00531B36" w:rsidRPr="00F876CB" w:rsidRDefault="00531B36" w:rsidP="00BA533D">
      <w:pPr>
        <w:spacing w:line="360" w:lineRule="auto"/>
        <w:ind w:firstLine="708"/>
        <w:jc w:val="both"/>
        <w:rPr>
          <w:rFonts w:asciiTheme="minorHAnsi" w:hAnsiTheme="minorHAnsi" w:cstheme="minorHAnsi"/>
          <w:sz w:val="24"/>
          <w:szCs w:val="24"/>
          <w:highlight w:val="yellow"/>
          <w:lang w:val="en-GB"/>
        </w:rPr>
      </w:pPr>
    </w:p>
    <w:p w:rsidR="00252FDF" w:rsidRPr="00F876CB" w:rsidRDefault="00015994" w:rsidP="00252FDF">
      <w:pPr>
        <w:pStyle w:val="Balk5"/>
        <w:rPr>
          <w:lang w:val="en-GB"/>
        </w:rPr>
      </w:pPr>
      <w:bookmarkStart w:id="1105" w:name="_Toc450309977"/>
      <w:bookmarkStart w:id="1106" w:name="_Toc44508349"/>
      <w:r w:rsidRPr="00F876CB">
        <w:rPr>
          <w:rFonts w:eastAsiaTheme="minorEastAsia"/>
          <w:bCs/>
          <w:lang w:val="en-GB"/>
        </w:rPr>
        <w:t>Table</w:t>
      </w:r>
      <w:r w:rsidR="00252FDF" w:rsidRPr="00F876CB">
        <w:rPr>
          <w:rFonts w:eastAsiaTheme="minorEastAsia"/>
          <w:bCs/>
          <w:lang w:val="en-GB"/>
        </w:rPr>
        <w:t xml:space="preserve"> </w:t>
      </w:r>
      <w:r w:rsidR="00DE0519" w:rsidRPr="00F876CB">
        <w:rPr>
          <w:rFonts w:eastAsiaTheme="minorEastAsia"/>
          <w:bCs/>
          <w:lang w:val="en-GB"/>
        </w:rPr>
        <w:t>5</w:t>
      </w:r>
      <w:r w:rsidR="00252FDF" w:rsidRPr="00F876CB">
        <w:rPr>
          <w:rFonts w:eastAsiaTheme="minorEastAsia"/>
          <w:bCs/>
          <w:lang w:val="en-GB"/>
        </w:rPr>
        <w:fldChar w:fldCharType="begin"/>
      </w:r>
      <w:r w:rsidR="00252FDF" w:rsidRPr="00F876CB">
        <w:rPr>
          <w:rFonts w:eastAsiaTheme="minorEastAsia"/>
          <w:bCs/>
          <w:lang w:val="en-GB"/>
        </w:rPr>
        <w:instrText xml:space="preserve"> STYLEREF 1 \s </w:instrText>
      </w:r>
      <w:r w:rsidR="00252FDF" w:rsidRPr="00F876CB">
        <w:rPr>
          <w:rFonts w:eastAsiaTheme="minorEastAsia"/>
          <w:bCs/>
          <w:lang w:val="en-GB"/>
        </w:rPr>
        <w:fldChar w:fldCharType="end"/>
      </w:r>
      <w:r w:rsidR="00252FDF" w:rsidRPr="00F876CB">
        <w:rPr>
          <w:rFonts w:eastAsiaTheme="minorEastAsia"/>
          <w:bCs/>
          <w:lang w:val="en-GB"/>
        </w:rPr>
        <w:t>.6:</w:t>
      </w:r>
      <w:r w:rsidR="00252FDF" w:rsidRPr="00F876CB">
        <w:rPr>
          <w:lang w:val="en-GB"/>
        </w:rPr>
        <w:t xml:space="preserve">  </w:t>
      </w:r>
      <w:bookmarkEnd w:id="1105"/>
      <w:r w:rsidR="000B0D65" w:rsidRPr="00F876CB">
        <w:rPr>
          <w:lang w:val="en-GB"/>
        </w:rPr>
        <w:t>Line Lengths at Distribution Voltage Levels, Number of Transformers and Transformer Capacities by Provinces in 2019 (Km-MVA-Number)</w:t>
      </w:r>
      <w:bookmarkEnd w:id="1106"/>
    </w:p>
    <w:tbl>
      <w:tblPr>
        <w:tblW w:w="8921" w:type="dxa"/>
        <w:tblInd w:w="80" w:type="dxa"/>
        <w:tblCellMar>
          <w:left w:w="70" w:type="dxa"/>
          <w:right w:w="70" w:type="dxa"/>
        </w:tblCellMar>
        <w:tblLook w:val="04A0" w:firstRow="1" w:lastRow="0" w:firstColumn="1" w:lastColumn="0" w:noHBand="0" w:noVBand="1"/>
      </w:tblPr>
      <w:tblGrid>
        <w:gridCol w:w="2542"/>
        <w:gridCol w:w="2268"/>
        <w:gridCol w:w="2268"/>
        <w:gridCol w:w="1843"/>
      </w:tblGrid>
      <w:tr w:rsidR="00570D5C" w:rsidRPr="00F876CB" w:rsidTr="00570D5C">
        <w:trPr>
          <w:trHeight w:val="615"/>
          <w:tblHeader/>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0D5C" w:rsidRPr="00F876CB" w:rsidRDefault="000B0D65" w:rsidP="00570D5C">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Provinces</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570D5C" w:rsidRPr="00F876CB" w:rsidRDefault="000B0D65" w:rsidP="003448AE">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Line Length</w:t>
            </w:r>
            <w:r w:rsidR="00570D5C" w:rsidRPr="00F876CB">
              <w:rPr>
                <w:rFonts w:ascii="Calibri" w:eastAsia="Times New Roman" w:hAnsi="Calibri" w:cs="Calibri"/>
                <w:b/>
                <w:bCs/>
                <w:color w:val="FFFFFF"/>
                <w:lang w:val="en-GB" w:eastAsia="tr-TR" w:bidi="ar-SA"/>
              </w:rPr>
              <w:br/>
              <w:t xml:space="preserve"> (</w:t>
            </w:r>
            <w:r w:rsidR="003448AE" w:rsidRPr="00F876CB">
              <w:rPr>
                <w:rFonts w:ascii="Calibri" w:eastAsia="Times New Roman" w:hAnsi="Calibri" w:cs="Calibri"/>
                <w:b/>
                <w:bCs/>
                <w:color w:val="FFFFFF"/>
                <w:lang w:val="en-GB" w:eastAsia="tr-TR" w:bidi="ar-SA"/>
              </w:rPr>
              <w:t>k</w:t>
            </w:r>
            <w:r w:rsidR="00570D5C" w:rsidRPr="00F876CB">
              <w:rPr>
                <w:rFonts w:ascii="Calibri" w:eastAsia="Times New Roman" w:hAnsi="Calibri" w:cs="Calibri"/>
                <w:b/>
                <w:bCs/>
                <w:color w:val="FFFFFF"/>
                <w:lang w:val="en-GB" w:eastAsia="tr-TR" w:bidi="ar-SA"/>
              </w:rPr>
              <w:t>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570D5C" w:rsidRPr="00F876CB" w:rsidRDefault="000B0D65" w:rsidP="00570D5C">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Transformer Capacity</w:t>
            </w:r>
            <w:r w:rsidR="00570D5C" w:rsidRPr="00F876CB">
              <w:rPr>
                <w:rFonts w:ascii="Calibri" w:eastAsia="Times New Roman" w:hAnsi="Calibri" w:cs="Calibri"/>
                <w:b/>
                <w:bCs/>
                <w:color w:val="FFFFFF"/>
                <w:lang w:val="en-GB" w:eastAsia="tr-TR" w:bidi="ar-SA"/>
              </w:rPr>
              <w:br/>
              <w:t>(MVA)</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570D5C" w:rsidRPr="00F876CB" w:rsidRDefault="00D65943" w:rsidP="00D65943">
            <w:pPr>
              <w:spacing w:after="0" w:line="240" w:lineRule="auto"/>
              <w:jc w:val="center"/>
              <w:rPr>
                <w:rFonts w:ascii="Calibri" w:eastAsia="Times New Roman" w:hAnsi="Calibri" w:cs="Calibri"/>
                <w:b/>
                <w:bCs/>
                <w:color w:val="FFFFFF"/>
                <w:lang w:val="en-GB" w:eastAsia="tr-TR" w:bidi="ar-SA"/>
              </w:rPr>
            </w:pPr>
            <w:r>
              <w:rPr>
                <w:rFonts w:ascii="Calibri" w:eastAsia="Times New Roman" w:hAnsi="Calibri" w:cs="Times New Roman"/>
                <w:b/>
                <w:bCs/>
                <w:color w:val="FFFFFF"/>
                <w:lang w:val="en-GB" w:eastAsia="tr-TR" w:bidi="ar-SA"/>
              </w:rPr>
              <w:t xml:space="preserve">Number of Transformers </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28.331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4.469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12.278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5.185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2.122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10.043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13.028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2.493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6.856</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8.148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2.916</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61.439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11.397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18.868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46.668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5.881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13.439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4.792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6.973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21.121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7.050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18.378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2.537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8.015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4.186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1.423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6.069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3.945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706</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4.291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1.992</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6.672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1.825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7.289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2.828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BOLU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7.155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2.785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9.384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2.933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19.627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11.779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10.096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4.857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6.593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14.875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4.728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21.765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2.451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6.598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18.916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3.207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12.940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9.043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4.015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12.179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4.129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7.034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2.119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17.671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4.659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13.120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2.412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7.638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15.331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2.790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10.887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15.809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3.070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1.286</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4.921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18.613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3.746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10.881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5.103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10.703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3.099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71.853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26.490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22.449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35.530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11.585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20.567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17.165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2.803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7.255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4.518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7.114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4.299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6.346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384</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1.698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13.462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850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4.566</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25.220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2.579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7.840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518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6.829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987</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2.359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5.894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2.182</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2.245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12.110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4.540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7.398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48.161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31.431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9.347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3.428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23.893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5.457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22.274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3.566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12.647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11.632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2.278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11.972</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lastRenderedPageBreak/>
              <w:t>MERSİN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21.496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3.843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9.792</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26.652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3.109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8.240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8.451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2.269</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8.625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1.311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6.427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9.486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1.225</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5.795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24.658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893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4.768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7.037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2.364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9.611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2.334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12.463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4.931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28.116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7.537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4.167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1.695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8.094</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359</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2.198</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19.322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4.783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30.425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4.802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31.005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4.775</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3.811</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12.666</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3.098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5.057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13.742</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3.314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20.791</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1.233</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4.005</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5.068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7.349</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811</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2.597</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18.178</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1.352</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5.234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2.697</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620</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1.224</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13.573</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4.360</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rPr>
                <w:rFonts w:ascii="Calibri" w:eastAsia="Times New Roman" w:hAnsi="Calibri" w:cs="Calibri"/>
                <w:color w:val="FFFFFF"/>
                <w:lang w:val="en-GB" w:eastAsia="tr-TR" w:bidi="ar-SA"/>
              </w:rPr>
            </w:pPr>
            <w:r w:rsidRPr="00F876CB">
              <w:rPr>
                <w:rFonts w:ascii="Calibri" w:eastAsia="Times New Roman" w:hAnsi="Calibri" w:cs="Calibri"/>
                <w:color w:val="FFFFFF"/>
                <w:lang w:val="en-GB"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12.150</w:t>
            </w:r>
          </w:p>
        </w:tc>
        <w:tc>
          <w:tcPr>
            <w:tcW w:w="2268"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1.096</w:t>
            </w:r>
          </w:p>
        </w:tc>
        <w:tc>
          <w:tcPr>
            <w:tcW w:w="1843" w:type="dxa"/>
            <w:tcBorders>
              <w:top w:val="nil"/>
              <w:left w:val="nil"/>
              <w:bottom w:val="single" w:sz="8" w:space="0" w:color="auto"/>
              <w:right w:val="single" w:sz="8" w:space="0" w:color="auto"/>
            </w:tcBorders>
            <w:shd w:val="clear" w:color="auto" w:fill="auto"/>
            <w:noWrap/>
            <w:vAlign w:val="center"/>
            <w:hideMark/>
          </w:tcPr>
          <w:p w:rsidR="00570D5C" w:rsidRPr="00F876CB" w:rsidRDefault="00570D5C" w:rsidP="00570D5C">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3.493</w:t>
            </w:r>
          </w:p>
        </w:tc>
      </w:tr>
      <w:tr w:rsidR="00570D5C" w:rsidRPr="00F876CB" w:rsidTr="00570D5C">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570D5C" w:rsidRPr="00F876CB" w:rsidRDefault="00CB43B8" w:rsidP="00570D5C">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Total</w:t>
            </w:r>
          </w:p>
        </w:tc>
        <w:tc>
          <w:tcPr>
            <w:tcW w:w="2268" w:type="dxa"/>
            <w:tcBorders>
              <w:top w:val="nil"/>
              <w:left w:val="nil"/>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1.190.169</w:t>
            </w:r>
          </w:p>
        </w:tc>
        <w:tc>
          <w:tcPr>
            <w:tcW w:w="2268" w:type="dxa"/>
            <w:tcBorders>
              <w:top w:val="nil"/>
              <w:left w:val="nil"/>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169.060</w:t>
            </w:r>
          </w:p>
        </w:tc>
        <w:tc>
          <w:tcPr>
            <w:tcW w:w="1843" w:type="dxa"/>
            <w:tcBorders>
              <w:top w:val="nil"/>
              <w:left w:val="nil"/>
              <w:bottom w:val="single" w:sz="8" w:space="0" w:color="auto"/>
              <w:right w:val="single" w:sz="8" w:space="0" w:color="auto"/>
            </w:tcBorders>
            <w:shd w:val="clear" w:color="000000" w:fill="FF5050"/>
            <w:noWrap/>
            <w:vAlign w:val="center"/>
            <w:hideMark/>
          </w:tcPr>
          <w:p w:rsidR="00570D5C" w:rsidRPr="00F876CB" w:rsidRDefault="00570D5C" w:rsidP="00570D5C">
            <w:pPr>
              <w:spacing w:after="0" w:line="240" w:lineRule="auto"/>
              <w:jc w:val="right"/>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485.933</w:t>
            </w:r>
          </w:p>
        </w:tc>
      </w:tr>
    </w:tbl>
    <w:p w:rsidR="00021A7D" w:rsidRPr="00F876CB" w:rsidRDefault="00021A7D" w:rsidP="00021A7D">
      <w:pPr>
        <w:rPr>
          <w:lang w:val="en-GB"/>
        </w:rPr>
      </w:pPr>
    </w:p>
    <w:p w:rsidR="00DE0519" w:rsidRPr="00F876CB" w:rsidRDefault="00DE0519" w:rsidP="00252FDF">
      <w:pPr>
        <w:pStyle w:val="11ilebalayanlar"/>
        <w:rPr>
          <w:lang w:val="en-GB"/>
        </w:rPr>
      </w:pPr>
    </w:p>
    <w:p w:rsidR="00252FDF" w:rsidRPr="00F876CB" w:rsidRDefault="00252FDF" w:rsidP="00252FDF">
      <w:pPr>
        <w:pStyle w:val="11ilebalayanlar"/>
        <w:rPr>
          <w:lang w:val="en-GB"/>
        </w:rPr>
      </w:pPr>
      <w:bookmarkStart w:id="1107" w:name="_Toc44508313"/>
      <w:r w:rsidRPr="00F876CB">
        <w:rPr>
          <w:lang w:val="en-GB"/>
        </w:rPr>
        <w:t xml:space="preserve">5.5 </w:t>
      </w:r>
      <w:r w:rsidR="00346962" w:rsidRPr="00F876CB">
        <w:rPr>
          <w:lang w:val="en-GB"/>
        </w:rPr>
        <w:t>Quality Indicators</w:t>
      </w:r>
      <w:bookmarkEnd w:id="1107"/>
    </w:p>
    <w:p w:rsidR="00252FDF" w:rsidRPr="00F876CB" w:rsidRDefault="00252FDF" w:rsidP="00252FDF">
      <w:pPr>
        <w:spacing w:line="360" w:lineRule="auto"/>
        <w:ind w:firstLine="708"/>
        <w:jc w:val="both"/>
        <w:rPr>
          <w:rFonts w:asciiTheme="minorHAnsi" w:hAnsiTheme="minorHAnsi" w:cstheme="minorHAnsi"/>
          <w:sz w:val="24"/>
          <w:szCs w:val="24"/>
          <w:lang w:val="en-GB"/>
        </w:rPr>
      </w:pPr>
    </w:p>
    <w:p w:rsidR="00346962" w:rsidRPr="00F876CB" w:rsidRDefault="00346962" w:rsidP="00346962">
      <w:pPr>
        <w:spacing w:line="360" w:lineRule="auto"/>
        <w:jc w:val="both"/>
        <w:rPr>
          <w:rFonts w:ascii="Times New Roman" w:hAnsi="Times New Roman" w:cs="Times New Roman"/>
          <w:sz w:val="24"/>
          <w:szCs w:val="24"/>
          <w:lang w:val="en-GB"/>
        </w:rPr>
      </w:pPr>
      <w:bookmarkStart w:id="1108" w:name="_Toc450309978"/>
      <w:bookmarkStart w:id="1109" w:name="_Toc483822854"/>
      <w:r w:rsidRPr="00F876CB">
        <w:rPr>
          <w:rFonts w:ascii="Times New Roman" w:hAnsi="Times New Roman" w:cs="Times New Roman"/>
          <w:sz w:val="24"/>
          <w:szCs w:val="24"/>
          <w:lang w:val="en-GB"/>
        </w:rPr>
        <w:t xml:space="preserve">Data on the technical quality of the electricity provided by the distribution companies are compiled and the tables below show </w:t>
      </w:r>
      <w:bookmarkStart w:id="1110" w:name="_Hlk82007734"/>
      <w:r w:rsidR="00C71FD5" w:rsidRPr="00C71FD5">
        <w:rPr>
          <w:rFonts w:ascii="Times New Roman" w:hAnsi="Times New Roman" w:cs="Times New Roman"/>
          <w:sz w:val="24"/>
          <w:szCs w:val="24"/>
        </w:rPr>
        <w:t>System Average Interruption Duration Index</w:t>
      </w:r>
      <w:r w:rsidR="00C71FD5">
        <w:rPr>
          <w:rFonts w:ascii="Times New Roman" w:hAnsi="Times New Roman" w:cs="Times New Roman"/>
          <w:sz w:val="24"/>
          <w:szCs w:val="24"/>
        </w:rPr>
        <w:t xml:space="preserve"> </w:t>
      </w:r>
      <w:bookmarkEnd w:id="1110"/>
      <w:r w:rsidR="00C71FD5">
        <w:rPr>
          <w:rFonts w:ascii="Times New Roman" w:hAnsi="Times New Roman" w:cs="Times New Roman"/>
          <w:sz w:val="24"/>
          <w:szCs w:val="24"/>
        </w:rPr>
        <w:t>(</w:t>
      </w:r>
      <w:r w:rsidR="00C71FD5" w:rsidRPr="00C71FD5">
        <w:rPr>
          <w:rFonts w:ascii="Times New Roman" w:hAnsi="Times New Roman" w:cs="Times New Roman"/>
          <w:sz w:val="24"/>
          <w:szCs w:val="24"/>
        </w:rPr>
        <w:t>SAIDI</w:t>
      </w:r>
      <w:r w:rsidR="00C71FD5">
        <w:rPr>
          <w:rFonts w:ascii="Times New Roman" w:hAnsi="Times New Roman" w:cs="Times New Roman"/>
          <w:sz w:val="24"/>
          <w:szCs w:val="24"/>
        </w:rPr>
        <w:t>)</w:t>
      </w:r>
      <w:r w:rsidR="00C71FD5" w:rsidRPr="00C71FD5">
        <w:rPr>
          <w:rFonts w:ascii="Times New Roman" w:hAnsi="Times New Roman" w:cs="Times New Roman"/>
          <w:sz w:val="24"/>
          <w:szCs w:val="24"/>
        </w:rPr>
        <w:t xml:space="preserve"> </w:t>
      </w:r>
      <w:r w:rsidRPr="00F876CB">
        <w:rPr>
          <w:rFonts w:ascii="Times New Roman" w:hAnsi="Times New Roman" w:cs="Times New Roman"/>
          <w:sz w:val="24"/>
          <w:szCs w:val="24"/>
          <w:lang w:val="en-GB"/>
        </w:rPr>
        <w:t xml:space="preserve">and </w:t>
      </w:r>
      <w:bookmarkStart w:id="1111" w:name="_Hlk82007966"/>
      <w:r w:rsidR="00C71FD5" w:rsidRPr="00C71FD5">
        <w:rPr>
          <w:rFonts w:ascii="Times New Roman" w:hAnsi="Times New Roman" w:cs="Times New Roman"/>
          <w:sz w:val="24"/>
          <w:szCs w:val="24"/>
          <w:lang w:val="en-GB"/>
        </w:rPr>
        <w:t>System Average Interruption Frequency Index</w:t>
      </w:r>
      <w:r w:rsidRPr="00F876CB">
        <w:rPr>
          <w:rFonts w:ascii="Times New Roman" w:hAnsi="Times New Roman" w:cs="Times New Roman"/>
          <w:sz w:val="24"/>
          <w:szCs w:val="24"/>
          <w:lang w:val="en-GB"/>
        </w:rPr>
        <w:t xml:space="preserve"> </w:t>
      </w:r>
      <w:bookmarkEnd w:id="1111"/>
      <w:r w:rsidRPr="00F876CB">
        <w:rPr>
          <w:rFonts w:ascii="Times New Roman" w:hAnsi="Times New Roman" w:cs="Times New Roman"/>
          <w:sz w:val="24"/>
          <w:szCs w:val="24"/>
          <w:lang w:val="en-GB"/>
        </w:rPr>
        <w:t>(</w:t>
      </w:r>
      <w:r w:rsidR="00C71FD5">
        <w:rPr>
          <w:rFonts w:ascii="Times New Roman" w:hAnsi="Times New Roman" w:cs="Times New Roman"/>
          <w:sz w:val="24"/>
          <w:szCs w:val="24"/>
          <w:lang w:val="en-GB"/>
        </w:rPr>
        <w:t>S</w:t>
      </w:r>
      <w:r w:rsidRPr="00F876CB">
        <w:rPr>
          <w:rFonts w:ascii="Times New Roman" w:hAnsi="Times New Roman" w:cs="Times New Roman"/>
          <w:sz w:val="24"/>
          <w:szCs w:val="24"/>
          <w:lang w:val="en-GB"/>
        </w:rPr>
        <w:t>AIFI).</w:t>
      </w:r>
    </w:p>
    <w:p w:rsidR="00DE0519" w:rsidRPr="00F876CB" w:rsidRDefault="00DE0519" w:rsidP="00A077AE">
      <w:pPr>
        <w:pStyle w:val="Balk5"/>
        <w:rPr>
          <w:rFonts w:eastAsiaTheme="minorEastAsia"/>
          <w:bCs/>
          <w:lang w:val="en-GB"/>
        </w:rPr>
      </w:pPr>
    </w:p>
    <w:p w:rsidR="00743FC1" w:rsidRDefault="00743FC1" w:rsidP="00743FC1">
      <w:pPr>
        <w:rPr>
          <w:lang w:val="en-GB"/>
        </w:rPr>
      </w:pPr>
    </w:p>
    <w:p w:rsidR="00767AED" w:rsidRPr="00F876CB" w:rsidRDefault="00767AED" w:rsidP="00743FC1">
      <w:pPr>
        <w:rPr>
          <w:lang w:val="en-GB"/>
        </w:rPr>
      </w:pPr>
    </w:p>
    <w:p w:rsidR="00A077AE" w:rsidRPr="00F876CB" w:rsidRDefault="00015994" w:rsidP="00A077AE">
      <w:pPr>
        <w:pStyle w:val="Balk5"/>
        <w:rPr>
          <w:lang w:val="en-GB"/>
        </w:rPr>
      </w:pPr>
      <w:bookmarkStart w:id="1112" w:name="_Toc44508350"/>
      <w:r w:rsidRPr="00F876CB">
        <w:rPr>
          <w:rFonts w:eastAsiaTheme="minorEastAsia"/>
          <w:bCs/>
          <w:lang w:val="en-GB"/>
        </w:rPr>
        <w:lastRenderedPageBreak/>
        <w:t>Table</w:t>
      </w:r>
      <w:r w:rsidR="00A077AE" w:rsidRPr="00F876CB">
        <w:rPr>
          <w:rFonts w:eastAsiaTheme="minorEastAsia"/>
          <w:bCs/>
          <w:lang w:val="en-GB"/>
        </w:rPr>
        <w:t xml:space="preserve"> </w:t>
      </w:r>
      <w:r w:rsidR="00DE0519" w:rsidRPr="00F876CB">
        <w:rPr>
          <w:rFonts w:eastAsiaTheme="minorEastAsia"/>
          <w:bCs/>
          <w:lang w:val="en-GB"/>
        </w:rPr>
        <w:t>5</w:t>
      </w:r>
      <w:r w:rsidR="00A077AE" w:rsidRPr="00F876CB">
        <w:rPr>
          <w:rFonts w:eastAsiaTheme="minorEastAsia"/>
          <w:bCs/>
          <w:lang w:val="en-GB"/>
        </w:rPr>
        <w:fldChar w:fldCharType="begin"/>
      </w:r>
      <w:r w:rsidR="00A077AE" w:rsidRPr="00F876CB">
        <w:rPr>
          <w:rFonts w:eastAsiaTheme="minorEastAsia"/>
          <w:bCs/>
          <w:lang w:val="en-GB"/>
        </w:rPr>
        <w:instrText xml:space="preserve"> STYLEREF 1 \s </w:instrText>
      </w:r>
      <w:r w:rsidR="00A077AE" w:rsidRPr="00F876CB">
        <w:rPr>
          <w:rFonts w:eastAsiaTheme="minorEastAsia"/>
          <w:bCs/>
          <w:lang w:val="en-GB"/>
        </w:rPr>
        <w:fldChar w:fldCharType="end"/>
      </w:r>
      <w:r w:rsidR="00A077AE" w:rsidRPr="00F876CB">
        <w:rPr>
          <w:rFonts w:eastAsiaTheme="minorEastAsia"/>
          <w:bCs/>
          <w:lang w:val="en-GB"/>
        </w:rPr>
        <w:t>.7:</w:t>
      </w:r>
      <w:r w:rsidR="00A077AE" w:rsidRPr="00F876CB">
        <w:rPr>
          <w:lang w:val="en-GB"/>
        </w:rPr>
        <w:t xml:space="preserve"> </w:t>
      </w:r>
      <w:bookmarkEnd w:id="1108"/>
      <w:bookmarkEnd w:id="1109"/>
      <w:r w:rsidR="00004ACA" w:rsidRPr="00F876CB">
        <w:rPr>
          <w:lang w:val="en-GB"/>
        </w:rPr>
        <w:t xml:space="preserve">Reported and </w:t>
      </w:r>
      <w:r w:rsidR="00601198" w:rsidRPr="00601198">
        <w:rPr>
          <w:lang w:val="en-GB"/>
        </w:rPr>
        <w:t>System Average Interruption Duration Ind</w:t>
      </w:r>
      <w:r w:rsidR="000A319E">
        <w:rPr>
          <w:lang w:val="en-GB"/>
        </w:rPr>
        <w:t>i</w:t>
      </w:r>
      <w:r w:rsidR="0021307F">
        <w:rPr>
          <w:lang w:val="en-GB"/>
        </w:rPr>
        <w:t>ces</w:t>
      </w:r>
      <w:r w:rsidR="00004ACA" w:rsidRPr="00F876CB">
        <w:rPr>
          <w:lang w:val="en-GB"/>
        </w:rPr>
        <w:t xml:space="preserve"> of Distribution Companies in 2018-2019 (min)</w:t>
      </w:r>
      <w:bookmarkEnd w:id="1112"/>
    </w:p>
    <w:tbl>
      <w:tblPr>
        <w:tblW w:w="9356" w:type="dxa"/>
        <w:tblInd w:w="70" w:type="dxa"/>
        <w:tblLayout w:type="fixed"/>
        <w:tblCellMar>
          <w:left w:w="70" w:type="dxa"/>
          <w:right w:w="70" w:type="dxa"/>
        </w:tblCellMar>
        <w:tblLook w:val="04A0" w:firstRow="1" w:lastRow="0" w:firstColumn="1" w:lastColumn="0" w:noHBand="0" w:noVBand="1"/>
      </w:tblPr>
      <w:tblGrid>
        <w:gridCol w:w="2091"/>
        <w:gridCol w:w="1015"/>
        <w:gridCol w:w="1144"/>
        <w:gridCol w:w="995"/>
        <w:gridCol w:w="1064"/>
        <w:gridCol w:w="1276"/>
        <w:gridCol w:w="850"/>
        <w:gridCol w:w="921"/>
      </w:tblGrid>
      <w:tr w:rsidR="00CA17AB" w:rsidRPr="00F876CB" w:rsidTr="00D65943">
        <w:trPr>
          <w:trHeight w:val="411"/>
        </w:trPr>
        <w:tc>
          <w:tcPr>
            <w:tcW w:w="2091" w:type="dxa"/>
            <w:tcBorders>
              <w:top w:val="nil"/>
              <w:left w:val="nil"/>
              <w:bottom w:val="nil"/>
              <w:right w:val="nil"/>
            </w:tcBorders>
            <w:shd w:val="clear" w:color="auto" w:fill="auto"/>
            <w:noWrap/>
            <w:vAlign w:val="bottom"/>
            <w:hideMark/>
          </w:tcPr>
          <w:p w:rsidR="00CA17AB" w:rsidRPr="00F876CB" w:rsidRDefault="00CA17AB" w:rsidP="00CA17AB">
            <w:pPr>
              <w:spacing w:after="0" w:line="240" w:lineRule="auto"/>
              <w:rPr>
                <w:rFonts w:ascii="Times New Roman" w:eastAsia="Times New Roman" w:hAnsi="Times New Roman" w:cs="Times New Roman"/>
                <w:sz w:val="24"/>
                <w:szCs w:val="24"/>
                <w:lang w:val="en-GB" w:eastAsia="tr-TR" w:bidi="ar-SA"/>
              </w:rPr>
            </w:pPr>
          </w:p>
        </w:tc>
        <w:tc>
          <w:tcPr>
            <w:tcW w:w="3154" w:type="dxa"/>
            <w:gridSpan w:val="3"/>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CA17AB" w:rsidRPr="00F876CB" w:rsidRDefault="00CA17AB" w:rsidP="00CA17AB">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2018</w:t>
            </w:r>
          </w:p>
        </w:tc>
        <w:tc>
          <w:tcPr>
            <w:tcW w:w="3190"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CA17AB" w:rsidRPr="00F876CB" w:rsidRDefault="00CA17AB" w:rsidP="00CA17AB">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2019</w:t>
            </w:r>
          </w:p>
        </w:tc>
        <w:tc>
          <w:tcPr>
            <w:tcW w:w="921" w:type="dxa"/>
            <w:vMerge w:val="restart"/>
            <w:tcBorders>
              <w:top w:val="single" w:sz="8" w:space="0" w:color="auto"/>
              <w:left w:val="nil"/>
              <w:bottom w:val="nil"/>
              <w:right w:val="single" w:sz="8" w:space="0" w:color="auto"/>
            </w:tcBorders>
            <w:shd w:val="clear" w:color="000000" w:fill="FF0000"/>
            <w:noWrap/>
            <w:vAlign w:val="center"/>
            <w:hideMark/>
          </w:tcPr>
          <w:p w:rsidR="00CA17AB" w:rsidRPr="00F876CB" w:rsidRDefault="00A228E9" w:rsidP="00CA17AB">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Change</w:t>
            </w:r>
            <w:r w:rsidR="00CA17AB" w:rsidRPr="00F876CB">
              <w:rPr>
                <w:rFonts w:ascii="Calibri" w:eastAsia="Times New Roman" w:hAnsi="Calibri" w:cs="Calibri"/>
                <w:b/>
                <w:bCs/>
                <w:color w:val="FFFFFF"/>
                <w:lang w:val="en-GB" w:eastAsia="tr-TR" w:bidi="ar-SA"/>
              </w:rPr>
              <w:t xml:space="preserve"> (%)</w:t>
            </w:r>
          </w:p>
        </w:tc>
      </w:tr>
      <w:tr w:rsidR="00CA17AB" w:rsidRPr="00F876CB" w:rsidTr="00D65943">
        <w:trPr>
          <w:trHeight w:val="1001"/>
        </w:trPr>
        <w:tc>
          <w:tcPr>
            <w:tcW w:w="2091" w:type="dxa"/>
            <w:tcBorders>
              <w:top w:val="single" w:sz="8" w:space="0" w:color="auto"/>
              <w:left w:val="single" w:sz="8" w:space="0" w:color="auto"/>
              <w:bottom w:val="nil"/>
              <w:right w:val="single" w:sz="8" w:space="0" w:color="auto"/>
            </w:tcBorders>
            <w:shd w:val="clear" w:color="000000" w:fill="FF0000"/>
            <w:noWrap/>
            <w:vAlign w:val="center"/>
            <w:hideMark/>
          </w:tcPr>
          <w:p w:rsidR="00CA17AB" w:rsidRPr="00F876CB" w:rsidRDefault="00A228E9"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DISTRIBUTION COMPANY</w:t>
            </w:r>
          </w:p>
        </w:tc>
        <w:tc>
          <w:tcPr>
            <w:tcW w:w="1015" w:type="dxa"/>
            <w:tcBorders>
              <w:top w:val="nil"/>
              <w:left w:val="nil"/>
              <w:bottom w:val="nil"/>
              <w:right w:val="single" w:sz="8" w:space="0" w:color="auto"/>
            </w:tcBorders>
            <w:shd w:val="clear" w:color="000000" w:fill="FF0000"/>
            <w:vAlign w:val="center"/>
            <w:hideMark/>
          </w:tcPr>
          <w:p w:rsidR="00A228E9" w:rsidRPr="00F876CB" w:rsidRDefault="00A228E9" w:rsidP="00A228E9">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Reported </w:t>
            </w:r>
            <w:r w:rsidR="00C71FD5">
              <w:rPr>
                <w:rFonts w:ascii="Calibri" w:eastAsia="Times New Roman" w:hAnsi="Calibri" w:cs="Times New Roman"/>
                <w:b/>
                <w:bCs/>
                <w:color w:val="FFFFFF"/>
                <w:lang w:val="en-GB" w:eastAsia="tr-TR" w:bidi="ar-SA"/>
              </w:rPr>
              <w:t>S</w:t>
            </w:r>
            <w:r w:rsidRPr="00F876CB">
              <w:rPr>
                <w:rFonts w:ascii="Calibri" w:eastAsia="Times New Roman" w:hAnsi="Calibri" w:cs="Times New Roman"/>
                <w:b/>
                <w:bCs/>
                <w:color w:val="FFFFFF"/>
                <w:lang w:val="en-GB" w:eastAsia="tr-TR" w:bidi="ar-SA"/>
              </w:rPr>
              <w:t>AIDI</w:t>
            </w:r>
          </w:p>
          <w:p w:rsidR="00CA17AB" w:rsidRPr="00F876CB" w:rsidRDefault="00A228E9" w:rsidP="00A228E9">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(min)</w:t>
            </w:r>
          </w:p>
        </w:tc>
        <w:tc>
          <w:tcPr>
            <w:tcW w:w="1144" w:type="dxa"/>
            <w:tcBorders>
              <w:top w:val="nil"/>
              <w:left w:val="nil"/>
              <w:bottom w:val="nil"/>
              <w:right w:val="single" w:sz="8" w:space="0" w:color="auto"/>
            </w:tcBorders>
            <w:shd w:val="clear" w:color="000000" w:fill="FF0000"/>
            <w:vAlign w:val="center"/>
            <w:hideMark/>
          </w:tcPr>
          <w:p w:rsidR="00A228E9" w:rsidRPr="00F876CB" w:rsidRDefault="00A228E9" w:rsidP="00A228E9">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Unreported </w:t>
            </w:r>
            <w:r w:rsidR="00C71FD5">
              <w:rPr>
                <w:rFonts w:ascii="Calibri" w:eastAsia="Times New Roman" w:hAnsi="Calibri" w:cs="Times New Roman"/>
                <w:b/>
                <w:bCs/>
                <w:color w:val="FFFFFF"/>
                <w:lang w:val="en-GB" w:eastAsia="tr-TR" w:bidi="ar-SA"/>
              </w:rPr>
              <w:t>S</w:t>
            </w:r>
            <w:r w:rsidRPr="00F876CB">
              <w:rPr>
                <w:rFonts w:ascii="Calibri" w:eastAsia="Times New Roman" w:hAnsi="Calibri" w:cs="Times New Roman"/>
                <w:b/>
                <w:bCs/>
                <w:color w:val="FFFFFF"/>
                <w:lang w:val="en-GB" w:eastAsia="tr-TR" w:bidi="ar-SA"/>
              </w:rPr>
              <w:t>AIDI</w:t>
            </w:r>
          </w:p>
          <w:p w:rsidR="00CA17AB" w:rsidRPr="00F876CB" w:rsidRDefault="00A228E9" w:rsidP="00A228E9">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(min)</w:t>
            </w:r>
          </w:p>
        </w:tc>
        <w:tc>
          <w:tcPr>
            <w:tcW w:w="995" w:type="dxa"/>
            <w:tcBorders>
              <w:top w:val="nil"/>
              <w:left w:val="nil"/>
              <w:bottom w:val="nil"/>
              <w:right w:val="single" w:sz="8" w:space="0" w:color="auto"/>
            </w:tcBorders>
            <w:shd w:val="clear" w:color="000000" w:fill="FF0000"/>
            <w:vAlign w:val="center"/>
            <w:hideMark/>
          </w:tcPr>
          <w:p w:rsidR="00A228E9" w:rsidRPr="00F876CB" w:rsidRDefault="00A228E9" w:rsidP="00A228E9">
            <w:pPr>
              <w:spacing w:after="0" w:line="240" w:lineRule="auto"/>
              <w:jc w:val="center"/>
              <w:rPr>
                <w:rFonts w:ascii="Calibri" w:eastAsia="Times New Roman" w:hAnsi="Calibri" w:cs="Times New Roman"/>
                <w:b/>
                <w:bCs/>
                <w:color w:val="FFFFFF"/>
                <w:lang w:val="en-GB" w:eastAsia="tr-TR" w:bidi="ar-SA"/>
              </w:rPr>
            </w:pPr>
            <w:r w:rsidRPr="00F876CB">
              <w:rPr>
                <w:rFonts w:ascii="Calibri" w:eastAsia="Times New Roman" w:hAnsi="Calibri" w:cs="Times New Roman"/>
                <w:b/>
                <w:bCs/>
                <w:color w:val="FFFFFF"/>
                <w:lang w:val="en-GB" w:eastAsia="tr-TR" w:bidi="ar-SA"/>
              </w:rPr>
              <w:t xml:space="preserve">Total </w:t>
            </w:r>
            <w:r w:rsidR="00C71FD5">
              <w:rPr>
                <w:rFonts w:ascii="Calibri" w:eastAsia="Times New Roman" w:hAnsi="Calibri" w:cs="Times New Roman"/>
                <w:b/>
                <w:bCs/>
                <w:color w:val="FFFFFF"/>
                <w:lang w:val="en-GB" w:eastAsia="tr-TR" w:bidi="ar-SA"/>
              </w:rPr>
              <w:t>S</w:t>
            </w:r>
            <w:r w:rsidRPr="00F876CB">
              <w:rPr>
                <w:rFonts w:ascii="Calibri" w:eastAsia="Times New Roman" w:hAnsi="Calibri" w:cs="Times New Roman"/>
                <w:b/>
                <w:bCs/>
                <w:color w:val="FFFFFF"/>
                <w:lang w:val="en-GB" w:eastAsia="tr-TR" w:bidi="ar-SA"/>
              </w:rPr>
              <w:t>AIDI</w:t>
            </w:r>
          </w:p>
          <w:p w:rsidR="00CA17AB" w:rsidRPr="00F876CB" w:rsidRDefault="00A228E9" w:rsidP="00A228E9">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(min)</w:t>
            </w:r>
          </w:p>
        </w:tc>
        <w:tc>
          <w:tcPr>
            <w:tcW w:w="1064" w:type="dxa"/>
            <w:tcBorders>
              <w:top w:val="nil"/>
              <w:left w:val="nil"/>
              <w:bottom w:val="nil"/>
              <w:right w:val="single" w:sz="8" w:space="0" w:color="auto"/>
            </w:tcBorders>
            <w:shd w:val="clear" w:color="000000" w:fill="FF0000"/>
            <w:vAlign w:val="center"/>
            <w:hideMark/>
          </w:tcPr>
          <w:p w:rsidR="00CA17AB" w:rsidRPr="00F876CB" w:rsidRDefault="00A228E9" w:rsidP="00CA17AB">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color w:val="FFFFFF" w:themeColor="background1"/>
                <w:highlight w:val="red"/>
                <w:lang w:val="en-GB" w:eastAsia="tr-TR" w:bidi="ar-SA"/>
              </w:rPr>
              <w:t>Reported</w:t>
            </w:r>
            <w:r w:rsidRPr="00F876CB">
              <w:rPr>
                <w:rFonts w:ascii="Calibri" w:eastAsia="Times New Roman" w:hAnsi="Calibri" w:cs="Times New Roman"/>
                <w:b/>
                <w:color w:val="FFFFFF" w:themeColor="background1"/>
                <w:highlight w:val="red"/>
                <w:lang w:val="en-GB" w:eastAsia="tr-TR" w:bidi="ar-SA"/>
              </w:rPr>
              <w:br/>
            </w:r>
            <w:r w:rsidR="00C71FD5">
              <w:rPr>
                <w:rFonts w:ascii="Calibri" w:eastAsia="Times New Roman" w:hAnsi="Calibri" w:cs="Times New Roman"/>
                <w:b/>
                <w:color w:val="FFFFFF" w:themeColor="background1"/>
                <w:highlight w:val="red"/>
                <w:lang w:val="en-GB" w:eastAsia="tr-TR" w:bidi="ar-SA"/>
              </w:rPr>
              <w:t>S</w:t>
            </w:r>
            <w:r w:rsidRPr="00F876CB">
              <w:rPr>
                <w:rFonts w:ascii="Calibri" w:eastAsia="Times New Roman" w:hAnsi="Calibri" w:cs="Times New Roman"/>
                <w:b/>
                <w:color w:val="FFFFFF" w:themeColor="background1"/>
                <w:highlight w:val="red"/>
                <w:lang w:val="en-GB" w:eastAsia="tr-TR" w:bidi="ar-SA"/>
              </w:rPr>
              <w:t>AIDI (min)</w:t>
            </w:r>
          </w:p>
        </w:tc>
        <w:tc>
          <w:tcPr>
            <w:tcW w:w="1276" w:type="dxa"/>
            <w:tcBorders>
              <w:top w:val="nil"/>
              <w:left w:val="nil"/>
              <w:bottom w:val="nil"/>
              <w:right w:val="single" w:sz="8" w:space="0" w:color="auto"/>
            </w:tcBorders>
            <w:shd w:val="clear" w:color="000000" w:fill="FF0000"/>
            <w:vAlign w:val="center"/>
            <w:hideMark/>
          </w:tcPr>
          <w:p w:rsidR="00A228E9" w:rsidRPr="00F876CB" w:rsidRDefault="00A228E9" w:rsidP="00A228E9">
            <w:pPr>
              <w:spacing w:after="0" w:line="240" w:lineRule="auto"/>
              <w:jc w:val="center"/>
              <w:rPr>
                <w:rFonts w:ascii="Calibri" w:eastAsia="Times New Roman" w:hAnsi="Calibri" w:cs="Times New Roman"/>
                <w:b/>
                <w:color w:val="FFFFFF" w:themeColor="background1"/>
                <w:highlight w:val="red"/>
                <w:lang w:val="en-GB" w:eastAsia="tr-TR" w:bidi="ar-SA"/>
              </w:rPr>
            </w:pPr>
            <w:r w:rsidRPr="00F876CB">
              <w:rPr>
                <w:rFonts w:ascii="Calibri" w:eastAsia="Times New Roman" w:hAnsi="Calibri" w:cs="Times New Roman"/>
                <w:b/>
                <w:color w:val="FFFFFF" w:themeColor="background1"/>
                <w:highlight w:val="red"/>
                <w:lang w:val="en-GB" w:eastAsia="tr-TR" w:bidi="ar-SA"/>
              </w:rPr>
              <w:t>Unreported</w:t>
            </w:r>
            <w:r w:rsidRPr="00F876CB">
              <w:rPr>
                <w:rFonts w:ascii="Calibri" w:eastAsia="Times New Roman" w:hAnsi="Calibri" w:cs="Times New Roman"/>
                <w:b/>
                <w:color w:val="FFFFFF" w:themeColor="background1"/>
                <w:highlight w:val="red"/>
                <w:lang w:val="en-GB" w:eastAsia="tr-TR" w:bidi="ar-SA"/>
              </w:rPr>
              <w:br/>
            </w:r>
            <w:r w:rsidR="00C71FD5">
              <w:rPr>
                <w:rFonts w:ascii="Calibri" w:eastAsia="Times New Roman" w:hAnsi="Calibri" w:cs="Times New Roman"/>
                <w:b/>
                <w:color w:val="FFFFFF" w:themeColor="background1"/>
                <w:highlight w:val="red"/>
                <w:lang w:val="en-GB" w:eastAsia="tr-TR" w:bidi="ar-SA"/>
              </w:rPr>
              <w:t>S</w:t>
            </w:r>
            <w:r w:rsidRPr="00F876CB">
              <w:rPr>
                <w:rFonts w:ascii="Calibri" w:eastAsia="Times New Roman" w:hAnsi="Calibri" w:cs="Times New Roman"/>
                <w:b/>
                <w:color w:val="FFFFFF" w:themeColor="background1"/>
                <w:highlight w:val="red"/>
                <w:lang w:val="en-GB" w:eastAsia="tr-TR" w:bidi="ar-SA"/>
              </w:rPr>
              <w:t>AIDI</w:t>
            </w:r>
          </w:p>
          <w:p w:rsidR="00CA17AB" w:rsidRPr="00F876CB" w:rsidRDefault="00A228E9" w:rsidP="00A228E9">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color w:val="FFFFFF" w:themeColor="background1"/>
                <w:highlight w:val="red"/>
                <w:lang w:val="en-GB" w:eastAsia="tr-TR" w:bidi="ar-SA"/>
              </w:rPr>
              <w:t>(min)</w:t>
            </w:r>
          </w:p>
        </w:tc>
        <w:tc>
          <w:tcPr>
            <w:tcW w:w="850" w:type="dxa"/>
            <w:tcBorders>
              <w:top w:val="nil"/>
              <w:left w:val="nil"/>
              <w:bottom w:val="nil"/>
              <w:right w:val="single" w:sz="8" w:space="0" w:color="auto"/>
            </w:tcBorders>
            <w:shd w:val="clear" w:color="000000" w:fill="FF0000"/>
            <w:vAlign w:val="center"/>
            <w:hideMark/>
          </w:tcPr>
          <w:p w:rsidR="00A228E9" w:rsidRPr="00F876CB" w:rsidRDefault="00A228E9" w:rsidP="00A228E9">
            <w:pPr>
              <w:spacing w:after="0" w:line="240" w:lineRule="auto"/>
              <w:jc w:val="center"/>
              <w:rPr>
                <w:rFonts w:ascii="Calibri" w:eastAsia="Times New Roman" w:hAnsi="Calibri" w:cs="Times New Roman"/>
                <w:b/>
                <w:color w:val="FFFFFF" w:themeColor="background1"/>
                <w:highlight w:val="red"/>
                <w:lang w:val="en-GB" w:eastAsia="tr-TR" w:bidi="ar-SA"/>
              </w:rPr>
            </w:pPr>
            <w:r w:rsidRPr="00F876CB">
              <w:rPr>
                <w:rFonts w:ascii="Calibri" w:eastAsia="Times New Roman" w:hAnsi="Calibri" w:cs="Times New Roman"/>
                <w:b/>
                <w:color w:val="FFFFFF" w:themeColor="background1"/>
                <w:highlight w:val="red"/>
                <w:lang w:val="en-GB" w:eastAsia="tr-TR" w:bidi="ar-SA"/>
              </w:rPr>
              <w:t xml:space="preserve">Total </w:t>
            </w:r>
            <w:r w:rsidRPr="00F876CB">
              <w:rPr>
                <w:rFonts w:ascii="Calibri" w:eastAsia="Times New Roman" w:hAnsi="Calibri" w:cs="Times New Roman"/>
                <w:b/>
                <w:color w:val="FFFFFF" w:themeColor="background1"/>
                <w:highlight w:val="red"/>
                <w:lang w:val="en-GB" w:eastAsia="tr-TR" w:bidi="ar-SA"/>
              </w:rPr>
              <w:br/>
            </w:r>
            <w:r w:rsidR="00C71FD5">
              <w:rPr>
                <w:rFonts w:ascii="Calibri" w:eastAsia="Times New Roman" w:hAnsi="Calibri" w:cs="Times New Roman"/>
                <w:b/>
                <w:color w:val="FFFFFF" w:themeColor="background1"/>
                <w:highlight w:val="red"/>
                <w:lang w:val="en-GB" w:eastAsia="tr-TR" w:bidi="ar-SA"/>
              </w:rPr>
              <w:t>S</w:t>
            </w:r>
            <w:r w:rsidRPr="00F876CB">
              <w:rPr>
                <w:rFonts w:ascii="Calibri" w:eastAsia="Times New Roman" w:hAnsi="Calibri" w:cs="Times New Roman"/>
                <w:b/>
                <w:color w:val="FFFFFF" w:themeColor="background1"/>
                <w:highlight w:val="red"/>
                <w:lang w:val="en-GB" w:eastAsia="tr-TR" w:bidi="ar-SA"/>
              </w:rPr>
              <w:t>AIDI</w:t>
            </w:r>
          </w:p>
          <w:p w:rsidR="00CA17AB" w:rsidRPr="00F876CB" w:rsidRDefault="00A228E9" w:rsidP="00A228E9">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color w:val="FFFFFF" w:themeColor="background1"/>
                <w:highlight w:val="red"/>
                <w:lang w:val="en-GB" w:eastAsia="tr-TR" w:bidi="ar-SA"/>
              </w:rPr>
              <w:t>(min)</w:t>
            </w:r>
          </w:p>
        </w:tc>
        <w:tc>
          <w:tcPr>
            <w:tcW w:w="921" w:type="dxa"/>
            <w:vMerge/>
            <w:tcBorders>
              <w:top w:val="single" w:sz="8" w:space="0" w:color="auto"/>
              <w:left w:val="nil"/>
              <w:bottom w:val="nil"/>
              <w:right w:val="single" w:sz="8" w:space="0" w:color="auto"/>
            </w:tcBorders>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p>
        </w:tc>
      </w:tr>
      <w:tr w:rsidR="00CA17AB" w:rsidRPr="00F876CB" w:rsidTr="00D65943">
        <w:trPr>
          <w:trHeight w:val="39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TOROSLAR</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571,9</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1.238,0</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1.809,9</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916,9</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2.816,3</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3.733,2</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106,27</w:t>
            </w:r>
          </w:p>
        </w:tc>
      </w:tr>
      <w:tr w:rsidR="00CA17AB" w:rsidRPr="00F876CB" w:rsidTr="00D65943">
        <w:trPr>
          <w:trHeight w:val="407"/>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VANGÖLÜ</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934,5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9.196,9</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10.131,3</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367,5</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2.553,4</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2.920,9</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-71,17</w:t>
            </w:r>
          </w:p>
        </w:tc>
      </w:tr>
      <w:tr w:rsidR="00CA17AB" w:rsidRPr="00F876CB" w:rsidTr="00D65943">
        <w:trPr>
          <w:trHeight w:val="399"/>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DİCLE</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429,8</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842,0</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1.271,9</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676,4</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1.756,7</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2.433,1</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91,30</w:t>
            </w:r>
          </w:p>
        </w:tc>
      </w:tr>
      <w:tr w:rsidR="00CA17AB" w:rsidRPr="00F876CB" w:rsidTr="00D65943">
        <w:trPr>
          <w:trHeight w:val="26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OSMANGAZİ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291,2</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779,6</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1.070,8</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598,3</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1.702,2</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2.300,5</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114,84</w:t>
            </w:r>
          </w:p>
        </w:tc>
      </w:tr>
      <w:tr w:rsidR="00CA17AB" w:rsidRPr="00F876CB" w:rsidTr="00D65943">
        <w:trPr>
          <w:trHeight w:val="409"/>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ARAS</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250,3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1.086,2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1.336,5</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442,0</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1.815,9</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2.257,9</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68,94</w:t>
            </w:r>
          </w:p>
        </w:tc>
      </w:tr>
      <w:tr w:rsidR="00CA17AB" w:rsidRPr="00F876CB" w:rsidTr="00D65943">
        <w:trPr>
          <w:trHeight w:val="415"/>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BAŞKENT</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325,5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961,1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1.286,6</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523,8</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1.681,3</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2.205,1</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71,39</w:t>
            </w:r>
          </w:p>
        </w:tc>
      </w:tr>
      <w:tr w:rsidR="00CA17AB" w:rsidRPr="00F876CB" w:rsidTr="00D65943">
        <w:trPr>
          <w:trHeight w:val="40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YEŞİLIRMAK</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591,3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729,8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1.321,0</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552,8</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1.466,6</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2.019,4</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52,87</w:t>
            </w:r>
          </w:p>
        </w:tc>
      </w:tr>
      <w:tr w:rsidR="00CA17AB" w:rsidRPr="00F876CB" w:rsidTr="00D65943">
        <w:trPr>
          <w:trHeight w:val="40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ÇORUH</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326,7</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1.106,1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1.432,8</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622,0</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1.390,1</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2.012,1</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40,43</w:t>
            </w:r>
          </w:p>
        </w:tc>
      </w:tr>
      <w:tr w:rsidR="00CA17AB" w:rsidRPr="00F876CB" w:rsidTr="00D65943">
        <w:trPr>
          <w:trHeight w:val="39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FIRAT</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2.281,8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2.480,9</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324,4</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1.439,2</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1.763,6</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-28,91</w:t>
            </w:r>
          </w:p>
        </w:tc>
      </w:tr>
      <w:tr w:rsidR="00CA17AB" w:rsidRPr="00F876CB" w:rsidTr="00D65943">
        <w:trPr>
          <w:trHeight w:val="396"/>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MERAM</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832,3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1.063,2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1.895,5</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722,4</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1.030,7</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1.753,0</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-7,52</w:t>
            </w:r>
          </w:p>
        </w:tc>
      </w:tr>
      <w:tr w:rsidR="00CA17AB" w:rsidRPr="00F876CB" w:rsidTr="00D65943">
        <w:trPr>
          <w:trHeight w:val="40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BOĞAZİÇİ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240,3</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3.767,5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4.007,7</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271,0</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1.457,4</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1.728,4</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-56,87</w:t>
            </w:r>
          </w:p>
        </w:tc>
      </w:tr>
      <w:tr w:rsidR="00CA17AB" w:rsidRPr="00F876CB" w:rsidTr="00D65943">
        <w:trPr>
          <w:trHeight w:val="376"/>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TRAKYA</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556,0</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1.205,3</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1.761,4</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824,0</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862,0</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1.686,0</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-4,28</w:t>
            </w:r>
          </w:p>
        </w:tc>
      </w:tr>
      <w:tr w:rsidR="00CA17AB" w:rsidRPr="00F876CB" w:rsidTr="00D65943">
        <w:trPr>
          <w:trHeight w:val="38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SAKARYA</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415,4</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1.295,7</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1.711,1</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420,3</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1.204,3</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1.624,7</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-5,05</w:t>
            </w:r>
          </w:p>
        </w:tc>
      </w:tr>
      <w:tr w:rsidR="00CA17AB" w:rsidRPr="00F876CB" w:rsidTr="00D65943">
        <w:trPr>
          <w:trHeight w:val="37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AKDENİZ</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313,5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688,1</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1.001,6</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398,3</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1.146,8</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1.545,2</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54,27</w:t>
            </w:r>
          </w:p>
        </w:tc>
      </w:tr>
      <w:tr w:rsidR="00CA17AB" w:rsidRPr="00F876CB" w:rsidTr="00D65943">
        <w:trPr>
          <w:trHeight w:val="37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GDZ</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384,1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1.125,7</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1.509,8</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523,5</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926,7</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1.450,2</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-3,95</w:t>
            </w:r>
          </w:p>
        </w:tc>
      </w:tr>
      <w:tr w:rsidR="00CA17AB" w:rsidRPr="00F876CB" w:rsidTr="00D65943">
        <w:trPr>
          <w:trHeight w:val="520"/>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AKEDAŞ</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635,4</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882,3</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1.517,6</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353,1</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880,9</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1.233,9</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-18,69</w:t>
            </w:r>
          </w:p>
        </w:tc>
      </w:tr>
      <w:tr w:rsidR="00CA17AB" w:rsidRPr="00F876CB" w:rsidTr="00D65943">
        <w:trPr>
          <w:trHeight w:val="35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ÇAMLIBEL</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478,1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823,5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1.301,6</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462,7</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713,9</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1.176,6</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-9,60</w:t>
            </w:r>
          </w:p>
        </w:tc>
      </w:tr>
      <w:tr w:rsidR="00CA17AB" w:rsidRPr="00F876CB" w:rsidTr="00D65943">
        <w:trPr>
          <w:trHeight w:val="35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ADM</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277,1</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770,5</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1.047,7</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231,7</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826,8</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1.058,5</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w:t>
            </w:r>
          </w:p>
        </w:tc>
      </w:tr>
      <w:tr w:rsidR="00CA17AB" w:rsidRPr="00F876CB" w:rsidTr="00D65943">
        <w:trPr>
          <w:trHeight w:val="348"/>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ULUDAĞ</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628,5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1.538,6</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2.167,1</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365,7</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507,3</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873,0</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-59,72</w:t>
            </w:r>
          </w:p>
        </w:tc>
      </w:tr>
      <w:tr w:rsidR="00CA17AB" w:rsidRPr="00F876CB" w:rsidTr="00D65943">
        <w:trPr>
          <w:trHeight w:val="352"/>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DE51A2">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İST</w:t>
            </w:r>
            <w:r w:rsidR="00DE51A2">
              <w:rPr>
                <w:rFonts w:ascii="Calibri" w:eastAsia="Times New Roman" w:hAnsi="Calibri" w:cs="Calibri"/>
                <w:b/>
                <w:bCs/>
                <w:color w:val="FFFFFF"/>
                <w:lang w:val="en-GB" w:eastAsia="tr-TR" w:bidi="ar-SA"/>
              </w:rPr>
              <w:t>.</w:t>
            </w:r>
            <w:r w:rsidRPr="00F876CB">
              <w:rPr>
                <w:rFonts w:ascii="Calibri" w:eastAsia="Times New Roman" w:hAnsi="Calibri" w:cs="Calibri"/>
                <w:b/>
                <w:bCs/>
                <w:color w:val="FFFFFF"/>
                <w:lang w:val="en-GB" w:eastAsia="tr-TR" w:bidi="ar-SA"/>
              </w:rPr>
              <w:t xml:space="preserve"> AN</w:t>
            </w:r>
            <w:r w:rsidR="00DE51A2">
              <w:rPr>
                <w:rFonts w:ascii="Calibri" w:eastAsia="Times New Roman" w:hAnsi="Calibri" w:cs="Calibri"/>
                <w:b/>
                <w:bCs/>
                <w:color w:val="FFFFFF"/>
                <w:lang w:val="en-GB" w:eastAsia="tr-TR" w:bidi="ar-SA"/>
              </w:rPr>
              <w:t>ATOLIAN</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183,6</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232,2</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415,8</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278,7</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468,4</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747,1</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79,68</w:t>
            </w:r>
          </w:p>
        </w:tc>
      </w:tr>
      <w:tr w:rsidR="00CA17AB" w:rsidRPr="00F876CB" w:rsidTr="00D65943">
        <w:trPr>
          <w:trHeight w:val="484"/>
        </w:trPr>
        <w:tc>
          <w:tcPr>
            <w:tcW w:w="2091" w:type="dxa"/>
            <w:tcBorders>
              <w:top w:val="nil"/>
              <w:left w:val="single" w:sz="8" w:space="0" w:color="auto"/>
              <w:bottom w:val="single" w:sz="8" w:space="0" w:color="auto"/>
              <w:right w:val="single" w:sz="8" w:space="0" w:color="auto"/>
            </w:tcBorders>
            <w:shd w:val="clear" w:color="000000" w:fill="FF5050"/>
            <w:noWrap/>
            <w:vAlign w:val="center"/>
            <w:hideMark/>
          </w:tcPr>
          <w:p w:rsidR="00CA17AB" w:rsidRPr="00F876CB" w:rsidRDefault="00CA17AB" w:rsidP="00CA17AB">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KAYSERİ VE CİVARI</w:t>
            </w:r>
          </w:p>
        </w:tc>
        <w:tc>
          <w:tcPr>
            <w:tcW w:w="101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329,5</w:t>
            </w:r>
          </w:p>
        </w:tc>
        <w:tc>
          <w:tcPr>
            <w:tcW w:w="114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258,8</w:t>
            </w:r>
          </w:p>
        </w:tc>
        <w:tc>
          <w:tcPr>
            <w:tcW w:w="995"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588,3</w:t>
            </w:r>
          </w:p>
        </w:tc>
        <w:tc>
          <w:tcPr>
            <w:tcW w:w="1064"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169,4</w:t>
            </w:r>
          </w:p>
        </w:tc>
        <w:tc>
          <w:tcPr>
            <w:tcW w:w="1276"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494,1</w:t>
            </w:r>
          </w:p>
        </w:tc>
        <w:tc>
          <w:tcPr>
            <w:tcW w:w="850"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663,5</w:t>
            </w:r>
          </w:p>
        </w:tc>
        <w:tc>
          <w:tcPr>
            <w:tcW w:w="921" w:type="dxa"/>
            <w:tcBorders>
              <w:top w:val="nil"/>
              <w:left w:val="nil"/>
              <w:bottom w:val="single" w:sz="8" w:space="0" w:color="auto"/>
              <w:right w:val="single" w:sz="8" w:space="0" w:color="auto"/>
            </w:tcBorders>
            <w:shd w:val="clear" w:color="auto" w:fill="auto"/>
            <w:noWrap/>
            <w:vAlign w:val="center"/>
            <w:hideMark/>
          </w:tcPr>
          <w:p w:rsidR="00CA17AB" w:rsidRPr="00F876CB" w:rsidRDefault="00CA17AB" w:rsidP="00CA17AB">
            <w:pPr>
              <w:spacing w:after="0" w:line="240" w:lineRule="auto"/>
              <w:jc w:val="center"/>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12,78</w:t>
            </w:r>
          </w:p>
        </w:tc>
      </w:tr>
    </w:tbl>
    <w:p w:rsidR="00A077AE" w:rsidRPr="00F876CB" w:rsidRDefault="00A077AE" w:rsidP="00A077AE">
      <w:pPr>
        <w:spacing w:line="360" w:lineRule="auto"/>
        <w:ind w:firstLine="708"/>
        <w:jc w:val="both"/>
        <w:rPr>
          <w:rFonts w:asciiTheme="minorHAnsi" w:hAnsiTheme="minorHAnsi" w:cstheme="minorHAnsi"/>
          <w:caps/>
          <w:sz w:val="24"/>
          <w:szCs w:val="24"/>
          <w:lang w:val="en-GB"/>
        </w:rPr>
      </w:pPr>
    </w:p>
    <w:p w:rsidR="00A077AE" w:rsidRPr="00F876CB" w:rsidRDefault="004E5768" w:rsidP="004E5768">
      <w:pPr>
        <w:spacing w:line="360" w:lineRule="auto"/>
        <w:jc w:val="both"/>
        <w:rPr>
          <w:rFonts w:ascii="Times New Roman" w:hAnsi="Times New Roman" w:cs="Times New Roman"/>
          <w:sz w:val="24"/>
          <w:szCs w:val="24"/>
          <w:lang w:val="en-GB"/>
        </w:rPr>
      </w:pPr>
      <w:r w:rsidRPr="00F876CB">
        <w:rPr>
          <w:rFonts w:ascii="Times New Roman" w:hAnsi="Times New Roman" w:cs="Times New Roman"/>
          <w:sz w:val="24"/>
          <w:szCs w:val="24"/>
          <w:lang w:val="en-GB"/>
        </w:rPr>
        <w:t xml:space="preserve">The table above shows the reported, unreported and total </w:t>
      </w:r>
      <w:r w:rsidR="00601198" w:rsidRPr="00601198">
        <w:rPr>
          <w:rFonts w:ascii="Times New Roman" w:hAnsi="Times New Roman" w:cs="Times New Roman"/>
          <w:sz w:val="24"/>
          <w:szCs w:val="24"/>
          <w:lang w:val="en-GB"/>
        </w:rPr>
        <w:t xml:space="preserve">System Average Interruption Duration Index </w:t>
      </w:r>
      <w:r w:rsidRPr="00F876CB">
        <w:rPr>
          <w:rFonts w:ascii="Times New Roman" w:hAnsi="Times New Roman" w:cs="Times New Roman"/>
          <w:sz w:val="24"/>
          <w:szCs w:val="24"/>
          <w:lang w:val="en-GB"/>
        </w:rPr>
        <w:t xml:space="preserve">in 2017 and 2018. While the first three regions were </w:t>
      </w:r>
      <w:proofErr w:type="spellStart"/>
      <w:r w:rsidRPr="00F876CB">
        <w:rPr>
          <w:rFonts w:ascii="Times New Roman" w:hAnsi="Times New Roman" w:cs="Times New Roman"/>
          <w:sz w:val="24"/>
          <w:szCs w:val="24"/>
          <w:lang w:val="en-GB"/>
        </w:rPr>
        <w:t>Toroslar</w:t>
      </w:r>
      <w:proofErr w:type="spellEnd"/>
      <w:r w:rsidRPr="00F876CB">
        <w:rPr>
          <w:rFonts w:ascii="Times New Roman" w:hAnsi="Times New Roman" w:cs="Times New Roman"/>
          <w:sz w:val="24"/>
          <w:szCs w:val="24"/>
          <w:lang w:val="en-GB"/>
        </w:rPr>
        <w:t xml:space="preserve">, Trakya and </w:t>
      </w:r>
      <w:proofErr w:type="spellStart"/>
      <w:r w:rsidRPr="00F876CB">
        <w:rPr>
          <w:rFonts w:ascii="Times New Roman" w:hAnsi="Times New Roman" w:cs="Times New Roman"/>
          <w:sz w:val="24"/>
          <w:szCs w:val="24"/>
          <w:lang w:val="en-GB"/>
        </w:rPr>
        <w:t>Meram</w:t>
      </w:r>
      <w:proofErr w:type="spellEnd"/>
      <w:r w:rsidRPr="00F876CB">
        <w:rPr>
          <w:rFonts w:ascii="Times New Roman" w:hAnsi="Times New Roman" w:cs="Times New Roman"/>
          <w:sz w:val="24"/>
          <w:szCs w:val="24"/>
          <w:lang w:val="en-GB"/>
        </w:rPr>
        <w:t xml:space="preserve"> regions according to reported interruptions, </w:t>
      </w:r>
      <w:proofErr w:type="spellStart"/>
      <w:r w:rsidRPr="00F876CB">
        <w:rPr>
          <w:rFonts w:ascii="Times New Roman" w:hAnsi="Times New Roman" w:cs="Times New Roman"/>
          <w:sz w:val="24"/>
          <w:szCs w:val="24"/>
          <w:lang w:val="en-GB"/>
        </w:rPr>
        <w:t>Vangölü</w:t>
      </w:r>
      <w:proofErr w:type="spellEnd"/>
      <w:r w:rsidRPr="00F876CB">
        <w:rPr>
          <w:rFonts w:ascii="Times New Roman" w:hAnsi="Times New Roman" w:cs="Times New Roman"/>
          <w:sz w:val="24"/>
          <w:szCs w:val="24"/>
          <w:lang w:val="en-GB"/>
        </w:rPr>
        <w:t xml:space="preserve">, </w:t>
      </w:r>
      <w:proofErr w:type="spellStart"/>
      <w:r w:rsidRPr="00F876CB">
        <w:rPr>
          <w:rFonts w:ascii="Times New Roman" w:hAnsi="Times New Roman" w:cs="Times New Roman"/>
          <w:sz w:val="24"/>
          <w:szCs w:val="24"/>
          <w:lang w:val="en-GB"/>
        </w:rPr>
        <w:t>Toroslar</w:t>
      </w:r>
      <w:proofErr w:type="spellEnd"/>
      <w:r w:rsidRPr="00F876CB">
        <w:rPr>
          <w:rFonts w:ascii="Times New Roman" w:hAnsi="Times New Roman" w:cs="Times New Roman"/>
          <w:sz w:val="24"/>
          <w:szCs w:val="24"/>
          <w:lang w:val="en-GB"/>
        </w:rPr>
        <w:t xml:space="preserve"> and Aras regions were the first three regarding unreported interruptions. </w:t>
      </w:r>
      <w:r w:rsidRPr="00F876CB">
        <w:rPr>
          <w:rFonts w:asciiTheme="minorHAnsi" w:hAnsiTheme="minorHAnsi" w:cstheme="minorHAnsi"/>
          <w:sz w:val="24"/>
          <w:szCs w:val="24"/>
          <w:lang w:val="en-GB"/>
        </w:rPr>
        <w:t xml:space="preserve">One of the most important reasons for the increase in the average interruption times and numbers in many distribution companies compared to the previous year is the integration between the supply continuity recording system and supply </w:t>
      </w:r>
      <w:r w:rsidRPr="00F876CB">
        <w:rPr>
          <w:rFonts w:asciiTheme="minorHAnsi" w:hAnsiTheme="minorHAnsi" w:cstheme="minorHAnsi"/>
          <w:sz w:val="24"/>
          <w:szCs w:val="24"/>
          <w:lang w:val="en-GB"/>
        </w:rPr>
        <w:lastRenderedPageBreak/>
        <w:t>continuity remote monitoring systems and other systems (CBS, MBS, AYS etc.), more accurate record keeping is considered.</w:t>
      </w:r>
    </w:p>
    <w:p w:rsidR="00DE0519" w:rsidRPr="00D65943" w:rsidRDefault="004E5768" w:rsidP="00D65943">
      <w:pPr>
        <w:spacing w:line="360" w:lineRule="auto"/>
        <w:jc w:val="both"/>
        <w:rPr>
          <w:rFonts w:ascii="Times New Roman" w:hAnsi="Times New Roman" w:cs="Times New Roman"/>
          <w:sz w:val="24"/>
          <w:szCs w:val="24"/>
          <w:lang w:val="en-GB"/>
        </w:rPr>
      </w:pPr>
      <w:bookmarkStart w:id="1113" w:name="_Toc450309979"/>
      <w:bookmarkStart w:id="1114" w:name="_Toc483822855"/>
      <w:r w:rsidRPr="00D65943">
        <w:rPr>
          <w:rFonts w:ascii="Times New Roman" w:hAnsi="Times New Roman" w:cs="Times New Roman"/>
          <w:sz w:val="24"/>
          <w:szCs w:val="24"/>
          <w:lang w:val="en-GB"/>
        </w:rPr>
        <w:t xml:space="preserve">The region with the highest average total interruption period was </w:t>
      </w:r>
      <w:proofErr w:type="spellStart"/>
      <w:r w:rsidR="00D65943">
        <w:rPr>
          <w:rFonts w:ascii="Times New Roman" w:hAnsi="Times New Roman" w:cs="Times New Roman"/>
          <w:sz w:val="24"/>
          <w:szCs w:val="24"/>
          <w:lang w:val="en-GB"/>
        </w:rPr>
        <w:t>Toroslar</w:t>
      </w:r>
      <w:proofErr w:type="spellEnd"/>
      <w:r w:rsidRPr="00D65943">
        <w:rPr>
          <w:rFonts w:ascii="Times New Roman" w:hAnsi="Times New Roman" w:cs="Times New Roman"/>
          <w:sz w:val="24"/>
          <w:szCs w:val="24"/>
          <w:lang w:val="en-GB"/>
        </w:rPr>
        <w:t xml:space="preserve"> with 3</w:t>
      </w:r>
      <w:r w:rsidR="00D65943">
        <w:rPr>
          <w:rFonts w:ascii="Times New Roman" w:hAnsi="Times New Roman" w:cs="Times New Roman"/>
          <w:sz w:val="24"/>
          <w:szCs w:val="24"/>
          <w:lang w:val="en-GB"/>
        </w:rPr>
        <w:t>.</w:t>
      </w:r>
      <w:r w:rsidRPr="00D65943">
        <w:rPr>
          <w:rFonts w:ascii="Times New Roman" w:hAnsi="Times New Roman" w:cs="Times New Roman"/>
          <w:sz w:val="24"/>
          <w:szCs w:val="24"/>
          <w:lang w:val="en-GB"/>
        </w:rPr>
        <w:t>733</w:t>
      </w:r>
      <w:r w:rsidR="00D65943">
        <w:rPr>
          <w:rFonts w:ascii="Times New Roman" w:hAnsi="Times New Roman" w:cs="Times New Roman"/>
          <w:sz w:val="24"/>
          <w:szCs w:val="24"/>
          <w:lang w:val="en-GB"/>
        </w:rPr>
        <w:t>,</w:t>
      </w:r>
      <w:r w:rsidRPr="00D65943">
        <w:rPr>
          <w:rFonts w:ascii="Times New Roman" w:hAnsi="Times New Roman" w:cs="Times New Roman"/>
          <w:sz w:val="24"/>
          <w:szCs w:val="24"/>
          <w:lang w:val="en-GB"/>
        </w:rPr>
        <w:t xml:space="preserve">2 minutes, and </w:t>
      </w:r>
      <w:proofErr w:type="spellStart"/>
      <w:r w:rsidR="00D65943">
        <w:rPr>
          <w:rFonts w:ascii="Times New Roman" w:hAnsi="Times New Roman" w:cs="Times New Roman"/>
          <w:sz w:val="24"/>
          <w:szCs w:val="24"/>
          <w:lang w:val="en-GB"/>
        </w:rPr>
        <w:t>Vangölü</w:t>
      </w:r>
      <w:proofErr w:type="spellEnd"/>
      <w:r w:rsidRPr="00D65943">
        <w:rPr>
          <w:rFonts w:ascii="Times New Roman" w:hAnsi="Times New Roman" w:cs="Times New Roman"/>
          <w:sz w:val="24"/>
          <w:szCs w:val="24"/>
          <w:lang w:val="en-GB"/>
        </w:rPr>
        <w:t xml:space="preserve"> region with the second place was 2.920</w:t>
      </w:r>
      <w:r w:rsidR="00D65943">
        <w:rPr>
          <w:rFonts w:ascii="Times New Roman" w:hAnsi="Times New Roman" w:cs="Times New Roman"/>
          <w:sz w:val="24"/>
          <w:szCs w:val="24"/>
          <w:lang w:val="en-GB"/>
        </w:rPr>
        <w:t>,</w:t>
      </w:r>
      <w:r w:rsidRPr="00D65943">
        <w:rPr>
          <w:rFonts w:ascii="Times New Roman" w:hAnsi="Times New Roman" w:cs="Times New Roman"/>
          <w:sz w:val="24"/>
          <w:szCs w:val="24"/>
          <w:lang w:val="en-GB"/>
        </w:rPr>
        <w:t>9 minutes.</w:t>
      </w:r>
    </w:p>
    <w:p w:rsidR="004E5768" w:rsidRPr="00F876CB" w:rsidRDefault="004E5768" w:rsidP="004E5768">
      <w:pPr>
        <w:rPr>
          <w:lang w:val="en-GB"/>
        </w:rPr>
      </w:pPr>
    </w:p>
    <w:p w:rsidR="00A077AE" w:rsidRPr="00F876CB" w:rsidRDefault="00015994" w:rsidP="00A077AE">
      <w:pPr>
        <w:pStyle w:val="Balk5"/>
        <w:rPr>
          <w:lang w:val="en-GB"/>
        </w:rPr>
      </w:pPr>
      <w:bookmarkStart w:id="1115" w:name="_Toc44508351"/>
      <w:r w:rsidRPr="00F876CB">
        <w:rPr>
          <w:rFonts w:eastAsiaTheme="minorEastAsia"/>
          <w:bCs/>
          <w:lang w:val="en-GB"/>
        </w:rPr>
        <w:t>Table</w:t>
      </w:r>
      <w:r w:rsidR="00A077AE" w:rsidRPr="00F876CB">
        <w:rPr>
          <w:rFonts w:eastAsiaTheme="minorEastAsia"/>
          <w:bCs/>
          <w:lang w:val="en-GB"/>
        </w:rPr>
        <w:t xml:space="preserve"> </w:t>
      </w:r>
      <w:r w:rsidR="00DE0519" w:rsidRPr="00F876CB">
        <w:rPr>
          <w:rFonts w:eastAsiaTheme="minorEastAsia"/>
          <w:bCs/>
          <w:lang w:val="en-GB"/>
        </w:rPr>
        <w:t>5</w:t>
      </w:r>
      <w:r w:rsidR="00A077AE" w:rsidRPr="00F876CB">
        <w:rPr>
          <w:rFonts w:eastAsiaTheme="minorEastAsia"/>
          <w:bCs/>
          <w:lang w:val="en-GB"/>
        </w:rPr>
        <w:fldChar w:fldCharType="begin"/>
      </w:r>
      <w:r w:rsidR="00A077AE" w:rsidRPr="00F876CB">
        <w:rPr>
          <w:rFonts w:eastAsiaTheme="minorEastAsia"/>
          <w:bCs/>
          <w:lang w:val="en-GB"/>
        </w:rPr>
        <w:instrText xml:space="preserve"> STYLEREF 1 \s </w:instrText>
      </w:r>
      <w:r w:rsidR="00A077AE" w:rsidRPr="00F876CB">
        <w:rPr>
          <w:rFonts w:eastAsiaTheme="minorEastAsia"/>
          <w:bCs/>
          <w:lang w:val="en-GB"/>
        </w:rPr>
        <w:fldChar w:fldCharType="end"/>
      </w:r>
      <w:r w:rsidR="00A077AE" w:rsidRPr="00F876CB">
        <w:rPr>
          <w:rFonts w:eastAsiaTheme="minorEastAsia"/>
          <w:bCs/>
          <w:lang w:val="en-GB"/>
        </w:rPr>
        <w:t>.8:</w:t>
      </w:r>
      <w:r w:rsidR="00A077AE" w:rsidRPr="00F876CB">
        <w:rPr>
          <w:lang w:val="en-GB"/>
        </w:rPr>
        <w:t xml:space="preserve">  </w:t>
      </w:r>
      <w:bookmarkEnd w:id="1113"/>
      <w:bookmarkEnd w:id="1114"/>
      <w:r w:rsidR="00601198" w:rsidRPr="00601198">
        <w:rPr>
          <w:lang w:val="en-GB"/>
        </w:rPr>
        <w:t>System Average Interruption Duration Ind</w:t>
      </w:r>
      <w:r w:rsidR="000A319E">
        <w:rPr>
          <w:lang w:val="en-GB"/>
        </w:rPr>
        <w:t>i</w:t>
      </w:r>
      <w:r w:rsidR="0021307F">
        <w:rPr>
          <w:lang w:val="en-GB"/>
        </w:rPr>
        <w:t>ces</w:t>
      </w:r>
      <w:r w:rsidR="00601198" w:rsidRPr="00601198">
        <w:rPr>
          <w:lang w:val="en-GB"/>
        </w:rPr>
        <w:t xml:space="preserve"> </w:t>
      </w:r>
      <w:r w:rsidR="004E5768" w:rsidRPr="00F876CB">
        <w:rPr>
          <w:lang w:val="en-GB"/>
        </w:rPr>
        <w:t>of Distribution Companies by reason in 2019 (min)</w:t>
      </w:r>
      <w:bookmarkEnd w:id="1115"/>
    </w:p>
    <w:tbl>
      <w:tblPr>
        <w:tblW w:w="9083" w:type="dxa"/>
        <w:tblInd w:w="70" w:type="dxa"/>
        <w:tblCellMar>
          <w:left w:w="70" w:type="dxa"/>
          <w:right w:w="70" w:type="dxa"/>
        </w:tblCellMar>
        <w:tblLook w:val="04A0" w:firstRow="1" w:lastRow="0" w:firstColumn="1" w:lastColumn="0" w:noHBand="0" w:noVBand="1"/>
      </w:tblPr>
      <w:tblGrid>
        <w:gridCol w:w="2268"/>
        <w:gridCol w:w="963"/>
        <w:gridCol w:w="1003"/>
        <w:gridCol w:w="1559"/>
        <w:gridCol w:w="1985"/>
        <w:gridCol w:w="1417"/>
      </w:tblGrid>
      <w:tr w:rsidR="00E31B0A" w:rsidRPr="00F876CB" w:rsidTr="00BB46BE">
        <w:trPr>
          <w:trHeight w:val="625"/>
        </w:trPr>
        <w:tc>
          <w:tcPr>
            <w:tcW w:w="226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31B0A" w:rsidRPr="00F876CB" w:rsidRDefault="004E5768"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DISTRIBUTION COMPANY</w:t>
            </w:r>
          </w:p>
        </w:tc>
        <w:tc>
          <w:tcPr>
            <w:tcW w:w="851"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F876CB" w:rsidRDefault="004E5768"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External</w:t>
            </w:r>
          </w:p>
        </w:tc>
        <w:tc>
          <w:tcPr>
            <w:tcW w:w="1003"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F876CB" w:rsidRDefault="004E5768"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Security</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F876CB" w:rsidRDefault="004E5768"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Force Major</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F876CB" w:rsidRDefault="004E5768"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Network Operator</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E31B0A" w:rsidRPr="00F876CB" w:rsidRDefault="00E31B0A" w:rsidP="00E31B0A">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To</w:t>
            </w:r>
            <w:r w:rsidR="004E5768" w:rsidRPr="00F876CB">
              <w:rPr>
                <w:rFonts w:ascii="Calibri" w:eastAsia="Times New Roman" w:hAnsi="Calibri" w:cs="Calibri"/>
                <w:b/>
                <w:bCs/>
                <w:color w:val="FFFFFF"/>
                <w:sz w:val="24"/>
                <w:szCs w:val="24"/>
                <w:lang w:val="en-GB" w:eastAsia="tr-TR" w:bidi="ar-SA"/>
              </w:rPr>
              <w:t>tal</w:t>
            </w:r>
          </w:p>
        </w:tc>
      </w:tr>
      <w:tr w:rsidR="00E31B0A" w:rsidRPr="00F876CB" w:rsidTr="00BB46BE">
        <w:trPr>
          <w:trHeight w:val="39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TOROSLAR </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43,2</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91,1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3.599,0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3.733,2</w:t>
            </w:r>
          </w:p>
        </w:tc>
      </w:tr>
      <w:tr w:rsidR="00E31B0A" w:rsidRPr="00F876CB" w:rsidTr="00BB46BE">
        <w:trPr>
          <w:trHeight w:val="41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VANGÖLÜ</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2.915,7</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2.920,9</w:t>
            </w:r>
          </w:p>
        </w:tc>
      </w:tr>
      <w:tr w:rsidR="00E31B0A" w:rsidRPr="00F876CB" w:rsidTr="00BB46BE">
        <w:trPr>
          <w:trHeight w:val="40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DİCLE</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2.414,0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2.433,1</w:t>
            </w:r>
          </w:p>
        </w:tc>
      </w:tr>
      <w:tr w:rsidR="00E31B0A" w:rsidRPr="00F876CB" w:rsidTr="00BB46BE">
        <w:trPr>
          <w:trHeight w:val="40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OSMANGAZİ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2.282,5</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2.300,5</w:t>
            </w:r>
          </w:p>
        </w:tc>
      </w:tr>
      <w:tr w:rsidR="00E31B0A" w:rsidRPr="00F876CB" w:rsidTr="00E31B0A">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ARAS</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734,9</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1.522,3</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2.257,9</w:t>
            </w:r>
          </w:p>
        </w:tc>
      </w:tr>
      <w:tr w:rsidR="00E31B0A" w:rsidRPr="00F876CB" w:rsidTr="00BB46BE">
        <w:trPr>
          <w:trHeight w:val="35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BAŞKENT</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50,3</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2.133,3</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2.205,1</w:t>
            </w:r>
          </w:p>
        </w:tc>
      </w:tr>
      <w:tr w:rsidR="00E31B0A" w:rsidRPr="00F876CB" w:rsidTr="00BB46BE">
        <w:trPr>
          <w:trHeight w:val="39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YEŞİLIRMAK</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41,3</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1.975,1</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2.019,4</w:t>
            </w:r>
          </w:p>
        </w:tc>
      </w:tr>
      <w:tr w:rsidR="00E31B0A" w:rsidRPr="00F876CB" w:rsidTr="00BB46BE">
        <w:trPr>
          <w:trHeight w:val="417"/>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ÇORUH</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30,8</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103,4</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1.867,9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2.012,1</w:t>
            </w:r>
          </w:p>
        </w:tc>
      </w:tr>
      <w:tr w:rsidR="00E31B0A" w:rsidRPr="00F876CB" w:rsidTr="00BB46BE">
        <w:trPr>
          <w:trHeight w:val="3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FIRAT</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18,7</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160,5</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1.581,8</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1.763,6</w:t>
            </w:r>
          </w:p>
        </w:tc>
      </w:tr>
      <w:tr w:rsidR="00E31B0A" w:rsidRPr="00F876CB" w:rsidTr="00E31B0A">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MERAM</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1.615,7</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1.753,0</w:t>
            </w:r>
          </w:p>
        </w:tc>
      </w:tr>
      <w:tr w:rsidR="00E31B0A" w:rsidRPr="00F876CB" w:rsidTr="00BB46BE">
        <w:trPr>
          <w:trHeight w:val="49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BOĞAZİÇİ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109,1</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1.605,2</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1.728,4</w:t>
            </w:r>
          </w:p>
        </w:tc>
      </w:tr>
      <w:tr w:rsidR="00E31B0A" w:rsidRPr="00F876CB" w:rsidTr="00BB46BE">
        <w:trPr>
          <w:trHeight w:val="41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TRAKYA</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5,3</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1.680,8</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1.686,0</w:t>
            </w:r>
          </w:p>
        </w:tc>
      </w:tr>
      <w:tr w:rsidR="00E31B0A" w:rsidRPr="00F876CB" w:rsidTr="00BB46BE">
        <w:trPr>
          <w:trHeight w:val="4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SAKARYA</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71,5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31,4</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1.483,0</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1.624,7</w:t>
            </w:r>
          </w:p>
        </w:tc>
      </w:tr>
      <w:tr w:rsidR="00E31B0A" w:rsidRPr="00F876CB" w:rsidTr="00BB46BE">
        <w:trPr>
          <w:trHeight w:val="41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AKDENİZ</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56,2</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1.404,9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1.545,2</w:t>
            </w:r>
          </w:p>
        </w:tc>
      </w:tr>
      <w:tr w:rsidR="00E31B0A" w:rsidRPr="00F876CB" w:rsidTr="00BB46BE">
        <w:trPr>
          <w:trHeight w:val="40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GDZ</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1.434,1</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1.450,2</w:t>
            </w:r>
          </w:p>
        </w:tc>
      </w:tr>
      <w:tr w:rsidR="00E31B0A" w:rsidRPr="00F876CB" w:rsidTr="00BB46BE">
        <w:trPr>
          <w:trHeight w:val="54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AKEDAŞ</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11,9</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1.208,4</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1.233,9</w:t>
            </w:r>
          </w:p>
        </w:tc>
      </w:tr>
      <w:tr w:rsidR="00E31B0A" w:rsidRPr="00F876CB" w:rsidTr="00BB46BE">
        <w:trPr>
          <w:trHeight w:val="50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ÇAMLIBEL</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1.174,6</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1.176,6</w:t>
            </w:r>
          </w:p>
        </w:tc>
      </w:tr>
      <w:tr w:rsidR="00E31B0A" w:rsidRPr="00F876CB" w:rsidTr="00BB46BE">
        <w:trPr>
          <w:trHeight w:val="433"/>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ADM</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4,6</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1.047,5</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1.058,5</w:t>
            </w:r>
          </w:p>
        </w:tc>
      </w:tr>
      <w:tr w:rsidR="00E31B0A" w:rsidRPr="00F876CB" w:rsidTr="00BB46BE">
        <w:trPr>
          <w:trHeight w:val="43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ULUDAĞ</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26,4</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844,4</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873,0</w:t>
            </w:r>
          </w:p>
        </w:tc>
      </w:tr>
      <w:tr w:rsidR="00E31B0A" w:rsidRPr="00F876CB" w:rsidTr="00BB46BE">
        <w:trPr>
          <w:trHeight w:val="48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DE51A2">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İST</w:t>
            </w:r>
            <w:r w:rsidR="00DE51A2">
              <w:rPr>
                <w:rFonts w:ascii="Calibri" w:eastAsia="Times New Roman" w:hAnsi="Calibri" w:cs="Calibri"/>
                <w:b/>
                <w:bCs/>
                <w:color w:val="FFFFFF"/>
                <w:lang w:val="en-GB" w:eastAsia="tr-TR" w:bidi="ar-SA"/>
              </w:rPr>
              <w:t>. ANATOLIAN</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8,5</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734,2</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747,1</w:t>
            </w:r>
          </w:p>
        </w:tc>
      </w:tr>
      <w:tr w:rsidR="00E31B0A" w:rsidRPr="00F876CB" w:rsidTr="00BB46BE">
        <w:trPr>
          <w:trHeight w:val="41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31B0A" w:rsidRPr="00F876CB" w:rsidRDefault="00E31B0A" w:rsidP="00E31B0A">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KAYSERİ VE CİVARI</w:t>
            </w:r>
          </w:p>
        </w:tc>
        <w:tc>
          <w:tcPr>
            <w:tcW w:w="851"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10,7</w:t>
            </w:r>
          </w:p>
        </w:tc>
        <w:tc>
          <w:tcPr>
            <w:tcW w:w="1003"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67,8</w:t>
            </w:r>
          </w:p>
        </w:tc>
        <w:tc>
          <w:tcPr>
            <w:tcW w:w="1985"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584,9</w:t>
            </w:r>
          </w:p>
        </w:tc>
        <w:tc>
          <w:tcPr>
            <w:tcW w:w="1417" w:type="dxa"/>
            <w:tcBorders>
              <w:top w:val="nil"/>
              <w:left w:val="nil"/>
              <w:bottom w:val="single" w:sz="8" w:space="0" w:color="auto"/>
              <w:right w:val="single" w:sz="8" w:space="0" w:color="auto"/>
            </w:tcBorders>
            <w:shd w:val="clear" w:color="auto" w:fill="auto"/>
            <w:noWrap/>
            <w:vAlign w:val="center"/>
            <w:hideMark/>
          </w:tcPr>
          <w:p w:rsidR="00E31B0A" w:rsidRPr="00F876CB" w:rsidRDefault="00E31B0A" w:rsidP="00E31B0A">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663,5</w:t>
            </w:r>
          </w:p>
        </w:tc>
      </w:tr>
    </w:tbl>
    <w:p w:rsidR="00A077AE" w:rsidRPr="00F876CB" w:rsidRDefault="00A077AE" w:rsidP="00A077AE">
      <w:pPr>
        <w:spacing w:line="360" w:lineRule="auto"/>
        <w:jc w:val="both"/>
        <w:rPr>
          <w:rFonts w:asciiTheme="minorHAnsi" w:hAnsiTheme="minorHAnsi" w:cstheme="minorHAnsi"/>
          <w:sz w:val="24"/>
          <w:szCs w:val="24"/>
          <w:lang w:val="en-GB"/>
        </w:rPr>
      </w:pPr>
    </w:p>
    <w:p w:rsidR="00DE51A2" w:rsidRDefault="00DE51A2" w:rsidP="00F60A24">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lastRenderedPageBreak/>
        <w:t xml:space="preserve"> </w:t>
      </w:r>
      <w:r w:rsidR="002C26CD" w:rsidRPr="00F876CB">
        <w:rPr>
          <w:rFonts w:asciiTheme="minorHAnsi" w:hAnsiTheme="minorHAnsi" w:cstheme="minorHAnsi"/>
          <w:sz w:val="24"/>
          <w:szCs w:val="24"/>
          <w:lang w:val="en-GB"/>
        </w:rPr>
        <w:t>The table above shows the distribution of the average downtime by reason. It is seen that the highest downtime is due to the network operator.</w:t>
      </w:r>
    </w:p>
    <w:p w:rsidR="00BB46BE" w:rsidRPr="00F876CB" w:rsidRDefault="00DE51A2" w:rsidP="00F60A24">
      <w:pPr>
        <w:spacing w:line="360" w:lineRule="auto"/>
        <w:jc w:val="both"/>
        <w:rPr>
          <w:rFonts w:asciiTheme="minorHAnsi" w:hAnsiTheme="minorHAnsi" w:cstheme="minorHAnsi"/>
          <w:sz w:val="24"/>
          <w:szCs w:val="24"/>
          <w:lang w:val="en-GB"/>
        </w:rPr>
      </w:pPr>
      <w:r w:rsidRPr="00DE51A2">
        <w:rPr>
          <w:rFonts w:asciiTheme="minorHAnsi" w:hAnsiTheme="minorHAnsi" w:cstheme="minorHAnsi"/>
          <w:sz w:val="24"/>
          <w:szCs w:val="24"/>
          <w:lang w:val="en-GB"/>
        </w:rPr>
        <w:t xml:space="preserve">The following table shows the average interruption frequency of distribution companies. The highest </w:t>
      </w:r>
      <w:r w:rsidR="00601198" w:rsidRPr="00601198">
        <w:rPr>
          <w:rFonts w:asciiTheme="minorHAnsi" w:hAnsiTheme="minorHAnsi" w:cstheme="minorHAnsi"/>
          <w:sz w:val="24"/>
          <w:szCs w:val="24"/>
          <w:lang w:val="en-GB"/>
        </w:rPr>
        <w:t xml:space="preserve">System Average Interruption Duration </w:t>
      </w:r>
      <w:r w:rsidRPr="00DE51A2">
        <w:rPr>
          <w:rFonts w:asciiTheme="minorHAnsi" w:hAnsiTheme="minorHAnsi" w:cstheme="minorHAnsi"/>
          <w:sz w:val="24"/>
          <w:szCs w:val="24"/>
          <w:lang w:val="en-GB"/>
        </w:rPr>
        <w:t xml:space="preserve">was </w:t>
      </w:r>
      <w:r>
        <w:rPr>
          <w:rFonts w:asciiTheme="minorHAnsi" w:hAnsiTheme="minorHAnsi" w:cstheme="minorHAnsi"/>
          <w:sz w:val="24"/>
          <w:szCs w:val="24"/>
          <w:lang w:val="en-GB"/>
        </w:rPr>
        <w:t>67,1</w:t>
      </w:r>
      <w:r w:rsidRPr="00DE51A2">
        <w:rPr>
          <w:rFonts w:asciiTheme="minorHAnsi" w:hAnsiTheme="minorHAnsi" w:cstheme="minorHAnsi"/>
          <w:sz w:val="24"/>
          <w:szCs w:val="24"/>
          <w:lang w:val="en-GB"/>
        </w:rPr>
        <w:t xml:space="preserve"> per customer in the </w:t>
      </w:r>
      <w:proofErr w:type="spellStart"/>
      <w:r>
        <w:rPr>
          <w:rFonts w:asciiTheme="minorHAnsi" w:hAnsiTheme="minorHAnsi" w:cstheme="minorHAnsi"/>
          <w:sz w:val="24"/>
          <w:szCs w:val="24"/>
          <w:lang w:val="en-GB"/>
        </w:rPr>
        <w:t>Dicle</w:t>
      </w:r>
      <w:proofErr w:type="spellEnd"/>
      <w:r w:rsidRPr="00DE51A2">
        <w:rPr>
          <w:rFonts w:asciiTheme="minorHAnsi" w:hAnsiTheme="minorHAnsi" w:cstheme="minorHAnsi"/>
          <w:sz w:val="24"/>
          <w:szCs w:val="24"/>
          <w:lang w:val="en-GB"/>
        </w:rPr>
        <w:t xml:space="preserve"> region, followed by the </w:t>
      </w:r>
      <w:proofErr w:type="spellStart"/>
      <w:r>
        <w:rPr>
          <w:rFonts w:asciiTheme="minorHAnsi" w:hAnsiTheme="minorHAnsi" w:cstheme="minorHAnsi"/>
          <w:sz w:val="24"/>
          <w:szCs w:val="24"/>
          <w:lang w:val="en-GB"/>
        </w:rPr>
        <w:t>Vangölü</w:t>
      </w:r>
      <w:proofErr w:type="spellEnd"/>
      <w:r w:rsidRPr="00DE51A2">
        <w:rPr>
          <w:rFonts w:asciiTheme="minorHAnsi" w:hAnsiTheme="minorHAnsi" w:cstheme="minorHAnsi"/>
          <w:sz w:val="24"/>
          <w:szCs w:val="24"/>
          <w:lang w:val="en-GB"/>
        </w:rPr>
        <w:t xml:space="preserve"> region with 37,7 (Customer/Year).</w:t>
      </w:r>
      <w:r>
        <w:rPr>
          <w:rFonts w:asciiTheme="minorHAnsi" w:hAnsiTheme="minorHAnsi" w:cstheme="minorHAnsi"/>
          <w:sz w:val="24"/>
          <w:szCs w:val="24"/>
          <w:lang w:val="en-GB"/>
        </w:rPr>
        <w:t xml:space="preserve"> </w:t>
      </w:r>
      <w:bookmarkStart w:id="1116" w:name="_Toc450309980"/>
      <w:bookmarkStart w:id="1117" w:name="_Toc483822856"/>
    </w:p>
    <w:p w:rsidR="00A077AE" w:rsidRPr="00F876CB" w:rsidRDefault="00015994" w:rsidP="00A077AE">
      <w:pPr>
        <w:pStyle w:val="Balk5"/>
        <w:rPr>
          <w:lang w:val="en-GB"/>
        </w:rPr>
      </w:pPr>
      <w:bookmarkStart w:id="1118" w:name="_Toc44508352"/>
      <w:r w:rsidRPr="00F876CB">
        <w:rPr>
          <w:rFonts w:eastAsiaTheme="minorEastAsia"/>
          <w:bCs/>
          <w:lang w:val="en-GB"/>
        </w:rPr>
        <w:t>Table</w:t>
      </w:r>
      <w:r w:rsidR="00A077AE" w:rsidRPr="00F876CB">
        <w:rPr>
          <w:rFonts w:eastAsiaTheme="minorEastAsia"/>
          <w:bCs/>
          <w:lang w:val="en-GB"/>
        </w:rPr>
        <w:t xml:space="preserve"> </w:t>
      </w:r>
      <w:r w:rsidR="00DE0519" w:rsidRPr="00F876CB">
        <w:rPr>
          <w:rFonts w:eastAsiaTheme="minorEastAsia"/>
          <w:bCs/>
          <w:lang w:val="en-GB"/>
        </w:rPr>
        <w:t>5</w:t>
      </w:r>
      <w:r w:rsidR="00A077AE" w:rsidRPr="00F876CB">
        <w:rPr>
          <w:rFonts w:eastAsiaTheme="minorEastAsia"/>
          <w:bCs/>
          <w:lang w:val="en-GB"/>
        </w:rPr>
        <w:fldChar w:fldCharType="begin"/>
      </w:r>
      <w:r w:rsidR="00A077AE" w:rsidRPr="00F876CB">
        <w:rPr>
          <w:rFonts w:eastAsiaTheme="minorEastAsia"/>
          <w:bCs/>
          <w:lang w:val="en-GB"/>
        </w:rPr>
        <w:instrText xml:space="preserve"> STYLEREF 1 \s </w:instrText>
      </w:r>
      <w:r w:rsidR="00A077AE" w:rsidRPr="00F876CB">
        <w:rPr>
          <w:rFonts w:eastAsiaTheme="minorEastAsia"/>
          <w:bCs/>
          <w:lang w:val="en-GB"/>
        </w:rPr>
        <w:fldChar w:fldCharType="end"/>
      </w:r>
      <w:r w:rsidR="00A077AE" w:rsidRPr="00F876CB">
        <w:rPr>
          <w:rFonts w:eastAsiaTheme="minorEastAsia"/>
          <w:bCs/>
          <w:lang w:val="en-GB"/>
        </w:rPr>
        <w:t>.9:</w:t>
      </w:r>
      <w:r w:rsidR="00A077AE" w:rsidRPr="00F876CB">
        <w:rPr>
          <w:lang w:val="en-GB"/>
        </w:rPr>
        <w:t xml:space="preserve"> </w:t>
      </w:r>
      <w:bookmarkEnd w:id="1116"/>
      <w:bookmarkEnd w:id="1117"/>
      <w:r w:rsidR="00601198" w:rsidRPr="00601198">
        <w:rPr>
          <w:lang w:val="en-GB"/>
        </w:rPr>
        <w:t>System Average Interruption Frequency Ind</w:t>
      </w:r>
      <w:r w:rsidR="000A319E">
        <w:rPr>
          <w:lang w:val="en-GB"/>
        </w:rPr>
        <w:t>i</w:t>
      </w:r>
      <w:r w:rsidR="0021307F">
        <w:rPr>
          <w:lang w:val="en-GB"/>
        </w:rPr>
        <w:t>ces</w:t>
      </w:r>
      <w:r w:rsidR="00601198" w:rsidRPr="00601198">
        <w:rPr>
          <w:lang w:val="en-GB"/>
        </w:rPr>
        <w:t xml:space="preserve"> </w:t>
      </w:r>
      <w:r w:rsidR="00F90B2D" w:rsidRPr="00F876CB">
        <w:rPr>
          <w:lang w:val="en-GB"/>
        </w:rPr>
        <w:t>of Distribution Companies in 2018 and 2019 (Number/Year)</w:t>
      </w:r>
      <w:bookmarkEnd w:id="1118"/>
    </w:p>
    <w:tbl>
      <w:tblPr>
        <w:tblW w:w="9372" w:type="dxa"/>
        <w:tblInd w:w="70" w:type="dxa"/>
        <w:tblCellMar>
          <w:left w:w="70" w:type="dxa"/>
          <w:right w:w="70" w:type="dxa"/>
        </w:tblCellMar>
        <w:tblLook w:val="04A0" w:firstRow="1" w:lastRow="0" w:firstColumn="1" w:lastColumn="0" w:noHBand="0" w:noVBand="1"/>
      </w:tblPr>
      <w:tblGrid>
        <w:gridCol w:w="1701"/>
        <w:gridCol w:w="995"/>
        <w:gridCol w:w="1211"/>
        <w:gridCol w:w="635"/>
        <w:gridCol w:w="827"/>
        <w:gridCol w:w="995"/>
        <w:gridCol w:w="1211"/>
        <w:gridCol w:w="659"/>
        <w:gridCol w:w="827"/>
        <w:gridCol w:w="869"/>
      </w:tblGrid>
      <w:tr w:rsidR="00253DA7" w:rsidRPr="00F876CB" w:rsidTr="00253DA7">
        <w:trPr>
          <w:trHeight w:val="267"/>
        </w:trPr>
        <w:tc>
          <w:tcPr>
            <w:tcW w:w="1701" w:type="dxa"/>
            <w:vMerge w:val="restart"/>
            <w:tcBorders>
              <w:top w:val="nil"/>
              <w:left w:val="nil"/>
              <w:bottom w:val="single" w:sz="8" w:space="0" w:color="000000"/>
              <w:right w:val="single" w:sz="8" w:space="0" w:color="auto"/>
            </w:tcBorders>
            <w:shd w:val="clear" w:color="000000" w:fill="FF0000"/>
            <w:vAlign w:val="center"/>
            <w:hideMark/>
          </w:tcPr>
          <w:p w:rsidR="00253DA7" w:rsidRPr="00F876CB" w:rsidRDefault="00690E9F" w:rsidP="00253DA7">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Times New Roman"/>
                <w:b/>
                <w:bCs/>
                <w:color w:val="FFFFFF"/>
                <w:lang w:val="en-GB" w:eastAsia="tr-TR" w:bidi="ar-SA"/>
              </w:rPr>
              <w:t>DISTRIBUTION COMPANY</w:t>
            </w:r>
          </w:p>
        </w:tc>
        <w:tc>
          <w:tcPr>
            <w:tcW w:w="3269"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53DA7" w:rsidRPr="00F876CB" w:rsidRDefault="00253DA7" w:rsidP="00253DA7">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2018</w:t>
            </w:r>
          </w:p>
        </w:tc>
        <w:tc>
          <w:tcPr>
            <w:tcW w:w="3533"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53DA7" w:rsidRPr="00F876CB" w:rsidRDefault="00253DA7" w:rsidP="00253DA7">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2019</w:t>
            </w:r>
          </w:p>
        </w:tc>
        <w:tc>
          <w:tcPr>
            <w:tcW w:w="86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253DA7" w:rsidRPr="00F876CB" w:rsidRDefault="00690E9F" w:rsidP="00253DA7">
            <w:pPr>
              <w:spacing w:after="0" w:line="240" w:lineRule="auto"/>
              <w:jc w:val="center"/>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Change</w:t>
            </w:r>
            <w:r w:rsidR="00253DA7" w:rsidRPr="00F876CB">
              <w:rPr>
                <w:rFonts w:ascii="Calibri" w:eastAsia="Times New Roman" w:hAnsi="Calibri" w:cs="Calibri"/>
                <w:b/>
                <w:bCs/>
                <w:color w:val="FFFFFF"/>
                <w:lang w:val="en-GB" w:eastAsia="tr-TR" w:bidi="ar-SA"/>
              </w:rPr>
              <w:t xml:space="preserve"> (%)</w:t>
            </w:r>
          </w:p>
        </w:tc>
      </w:tr>
      <w:tr w:rsidR="00253DA7" w:rsidRPr="00F876CB" w:rsidTr="00253DA7">
        <w:trPr>
          <w:trHeight w:val="474"/>
        </w:trPr>
        <w:tc>
          <w:tcPr>
            <w:tcW w:w="1701" w:type="dxa"/>
            <w:vMerge/>
            <w:tcBorders>
              <w:top w:val="nil"/>
              <w:left w:val="nil"/>
              <w:bottom w:val="single" w:sz="8" w:space="0" w:color="000000"/>
              <w:right w:val="single" w:sz="8" w:space="0" w:color="auto"/>
            </w:tcBorders>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p>
        </w:tc>
        <w:tc>
          <w:tcPr>
            <w:tcW w:w="822"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Reported</w:t>
            </w:r>
          </w:p>
        </w:tc>
        <w:tc>
          <w:tcPr>
            <w:tcW w:w="1084"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Unreported</w:t>
            </w:r>
          </w:p>
        </w:tc>
        <w:tc>
          <w:tcPr>
            <w:tcW w:w="536"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Short</w:t>
            </w:r>
          </w:p>
        </w:tc>
        <w:tc>
          <w:tcPr>
            <w:tcW w:w="827" w:type="dxa"/>
            <w:tcBorders>
              <w:top w:val="nil"/>
              <w:left w:val="nil"/>
              <w:bottom w:val="single" w:sz="8" w:space="0" w:color="auto"/>
              <w:right w:val="single" w:sz="8" w:space="0" w:color="auto"/>
            </w:tcBorders>
            <w:shd w:val="clear" w:color="000000" w:fill="FF000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w:t>
            </w:r>
            <w:r w:rsidR="00690E9F" w:rsidRPr="00F876CB">
              <w:rPr>
                <w:rFonts w:ascii="Calibri" w:eastAsia="Times New Roman" w:hAnsi="Calibri" w:cs="Calibri"/>
                <w:b/>
                <w:bCs/>
                <w:color w:val="FFFFFF"/>
                <w:lang w:val="en-GB" w:eastAsia="tr-TR" w:bidi="ar-SA"/>
              </w:rPr>
              <w:t>tal</w:t>
            </w:r>
          </w:p>
        </w:tc>
        <w:tc>
          <w:tcPr>
            <w:tcW w:w="963"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Reported</w:t>
            </w:r>
          </w:p>
        </w:tc>
        <w:tc>
          <w:tcPr>
            <w:tcW w:w="1084"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Unreported</w:t>
            </w:r>
          </w:p>
        </w:tc>
        <w:tc>
          <w:tcPr>
            <w:tcW w:w="659" w:type="dxa"/>
            <w:tcBorders>
              <w:top w:val="nil"/>
              <w:left w:val="nil"/>
              <w:bottom w:val="single" w:sz="8" w:space="0" w:color="auto"/>
              <w:right w:val="single" w:sz="8" w:space="0" w:color="auto"/>
            </w:tcBorders>
            <w:shd w:val="clear" w:color="000000" w:fill="FF0000"/>
            <w:noWrap/>
            <w:vAlign w:val="center"/>
            <w:hideMark/>
          </w:tcPr>
          <w:p w:rsidR="00253DA7" w:rsidRPr="00F876CB" w:rsidRDefault="00690E9F"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Short</w:t>
            </w:r>
          </w:p>
        </w:tc>
        <w:tc>
          <w:tcPr>
            <w:tcW w:w="827" w:type="dxa"/>
            <w:tcBorders>
              <w:top w:val="nil"/>
              <w:left w:val="nil"/>
              <w:bottom w:val="single" w:sz="8" w:space="0" w:color="auto"/>
              <w:right w:val="single" w:sz="8" w:space="0" w:color="auto"/>
            </w:tcBorders>
            <w:shd w:val="clear" w:color="000000" w:fill="FF000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w:t>
            </w:r>
            <w:r w:rsidR="00690E9F" w:rsidRPr="00F876CB">
              <w:rPr>
                <w:rFonts w:ascii="Calibri" w:eastAsia="Times New Roman" w:hAnsi="Calibri" w:cs="Calibri"/>
                <w:b/>
                <w:bCs/>
                <w:color w:val="FFFFFF"/>
                <w:lang w:val="en-GB" w:eastAsia="tr-TR" w:bidi="ar-SA"/>
              </w:rPr>
              <w:t>tal</w:t>
            </w:r>
          </w:p>
        </w:tc>
        <w:tc>
          <w:tcPr>
            <w:tcW w:w="869" w:type="dxa"/>
            <w:vMerge/>
            <w:tcBorders>
              <w:top w:val="single" w:sz="8" w:space="0" w:color="auto"/>
              <w:left w:val="nil"/>
              <w:bottom w:val="single" w:sz="8" w:space="0" w:color="000000"/>
              <w:right w:val="single" w:sz="8" w:space="0" w:color="auto"/>
            </w:tcBorders>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p>
        </w:tc>
      </w:tr>
      <w:tr w:rsidR="00253DA7" w:rsidRPr="00F876CB" w:rsidTr="00253DA7">
        <w:trPr>
          <w:trHeight w:val="409"/>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DİCLE</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39,5</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92,90</w:t>
            </w:r>
          </w:p>
        </w:tc>
      </w:tr>
      <w:tr w:rsidR="00253DA7" w:rsidRPr="00F876CB" w:rsidTr="00253DA7">
        <w:trPr>
          <w:trHeight w:val="416"/>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VANGÖLÜ</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75,0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78,4</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20,2</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-38,55</w:t>
            </w:r>
          </w:p>
        </w:tc>
      </w:tr>
      <w:tr w:rsidR="00253DA7" w:rsidRPr="00F876CB" w:rsidTr="00253DA7">
        <w:trPr>
          <w:trHeight w:val="40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SAKARYA</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31,6</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30,7</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-2,75</w:t>
            </w:r>
          </w:p>
        </w:tc>
      </w:tr>
      <w:tr w:rsidR="00253DA7" w:rsidRPr="00F876CB" w:rsidTr="00253DA7">
        <w:trPr>
          <w:trHeight w:val="40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OSMANGAZİ</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21,0</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54,26</w:t>
            </w:r>
          </w:p>
        </w:tc>
      </w:tr>
      <w:tr w:rsidR="00253DA7" w:rsidRPr="00F876CB" w:rsidTr="00253DA7">
        <w:trPr>
          <w:trHeight w:val="39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AKEDAŞ</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28,4</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-13,82</w:t>
            </w:r>
          </w:p>
        </w:tc>
      </w:tr>
      <w:tr w:rsidR="00253DA7" w:rsidRPr="00F876CB" w:rsidTr="00253DA7">
        <w:trPr>
          <w:trHeight w:val="425"/>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TOROSLAR</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179,85</w:t>
            </w:r>
          </w:p>
        </w:tc>
      </w:tr>
      <w:tr w:rsidR="00253DA7" w:rsidRPr="00F876CB" w:rsidTr="00253DA7">
        <w:trPr>
          <w:trHeight w:val="39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AKDENİZ</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128,22</w:t>
            </w:r>
          </w:p>
        </w:tc>
      </w:tr>
      <w:tr w:rsidR="00253DA7" w:rsidRPr="00F876CB" w:rsidTr="00253DA7">
        <w:trPr>
          <w:trHeight w:val="41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BOĞAZİÇİ</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17,7</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-21,31</w:t>
            </w:r>
          </w:p>
        </w:tc>
      </w:tr>
      <w:tr w:rsidR="00253DA7" w:rsidRPr="00F876CB" w:rsidTr="00253DA7">
        <w:trPr>
          <w:trHeight w:val="40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BAŞKENT</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21,8</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25,5</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136,37</w:t>
            </w:r>
          </w:p>
        </w:tc>
      </w:tr>
      <w:tr w:rsidR="00253DA7" w:rsidRPr="00F876CB" w:rsidTr="00253DA7">
        <w:trPr>
          <w:trHeight w:val="407"/>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KAYSERİ VE C.</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5,4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6,4</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22,7</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62,04</w:t>
            </w:r>
          </w:p>
        </w:tc>
      </w:tr>
      <w:tr w:rsidR="00253DA7" w:rsidRPr="00F876CB" w:rsidTr="00253DA7">
        <w:trPr>
          <w:trHeight w:val="40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FIRAT</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15,6</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18,9</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22,5</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34,85</w:t>
            </w:r>
          </w:p>
        </w:tc>
      </w:tr>
      <w:tr w:rsidR="00253DA7" w:rsidRPr="00F876CB" w:rsidTr="00253DA7">
        <w:trPr>
          <w:trHeight w:val="406"/>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ÇORUH</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64,31</w:t>
            </w:r>
          </w:p>
        </w:tc>
      </w:tr>
      <w:tr w:rsidR="00253DA7" w:rsidRPr="00F876CB" w:rsidTr="00253DA7">
        <w:trPr>
          <w:trHeight w:val="41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YEŞİLIRMAK</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33,60</w:t>
            </w:r>
          </w:p>
        </w:tc>
      </w:tr>
      <w:tr w:rsidR="00253DA7" w:rsidRPr="00F876CB" w:rsidTr="00253DA7">
        <w:trPr>
          <w:trHeight w:val="403"/>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ARAS</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10,0</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18,4</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19,8</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98,27</w:t>
            </w:r>
          </w:p>
        </w:tc>
      </w:tr>
      <w:tr w:rsidR="00253DA7" w:rsidRPr="00F876CB" w:rsidTr="00253DA7">
        <w:trPr>
          <w:trHeight w:val="41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TRAKYA</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16,4</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21,6</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13,2</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19,2</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-11,14</w:t>
            </w:r>
          </w:p>
        </w:tc>
      </w:tr>
      <w:tr w:rsidR="00253DA7" w:rsidRPr="00F876CB" w:rsidTr="00253DA7">
        <w:trPr>
          <w:trHeight w:val="40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ADM</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19,7</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15,9</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-9,02</w:t>
            </w:r>
          </w:p>
        </w:tc>
      </w:tr>
      <w:tr w:rsidR="00253DA7" w:rsidRPr="00F876CB" w:rsidTr="00253DA7">
        <w:trPr>
          <w:trHeight w:val="408"/>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GDZ</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15,7</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-10,12</w:t>
            </w:r>
          </w:p>
        </w:tc>
      </w:tr>
      <w:tr w:rsidR="00253DA7" w:rsidRPr="00F876CB" w:rsidTr="00253DA7">
        <w:trPr>
          <w:trHeight w:val="27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MERAM</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11,8</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4,4</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-0,44</w:t>
            </w:r>
          </w:p>
        </w:tc>
      </w:tr>
      <w:tr w:rsidR="00253DA7" w:rsidRPr="00F876CB" w:rsidTr="00253DA7">
        <w:trPr>
          <w:trHeight w:val="392"/>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ULUDAĞ</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3,9</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23,8</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2,3</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8,3</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-42,96</w:t>
            </w:r>
          </w:p>
        </w:tc>
      </w:tr>
      <w:tr w:rsidR="00253DA7" w:rsidRPr="00F876CB" w:rsidTr="00253DA7">
        <w:trPr>
          <w:trHeight w:val="409"/>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ÇAMLIBEL</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4,7</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17,5</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-31,15</w:t>
            </w:r>
          </w:p>
        </w:tc>
      </w:tr>
      <w:tr w:rsidR="00253DA7" w:rsidRPr="00F876CB" w:rsidTr="00253DA7">
        <w:trPr>
          <w:trHeight w:val="40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253DA7" w:rsidRPr="00F876CB" w:rsidRDefault="00253DA7" w:rsidP="00253DA7">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İSTANBUL AN. </w:t>
            </w:r>
            <w:r w:rsidR="00690E9F" w:rsidRPr="00F876CB">
              <w:rPr>
                <w:rFonts w:ascii="Calibri" w:eastAsia="Times New Roman" w:hAnsi="Calibri" w:cs="Calibri"/>
                <w:b/>
                <w:bCs/>
                <w:color w:val="FFFFFF"/>
                <w:lang w:val="en-GB" w:eastAsia="tr-TR" w:bidi="ar-SA"/>
              </w:rPr>
              <w:t>SIDE</w:t>
            </w:r>
          </w:p>
        </w:tc>
        <w:tc>
          <w:tcPr>
            <w:tcW w:w="822"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3,2</w:t>
            </w:r>
          </w:p>
        </w:tc>
        <w:tc>
          <w:tcPr>
            <w:tcW w:w="536"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4,1</w:t>
            </w:r>
          </w:p>
        </w:tc>
        <w:tc>
          <w:tcPr>
            <w:tcW w:w="963"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084"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9,6</w:t>
            </w:r>
          </w:p>
        </w:tc>
        <w:tc>
          <w:tcPr>
            <w:tcW w:w="65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w:t>
            </w:r>
          </w:p>
        </w:tc>
        <w:tc>
          <w:tcPr>
            <w:tcW w:w="869" w:type="dxa"/>
            <w:tcBorders>
              <w:top w:val="nil"/>
              <w:left w:val="nil"/>
              <w:bottom w:val="single" w:sz="8" w:space="0" w:color="auto"/>
              <w:right w:val="single" w:sz="8" w:space="0" w:color="auto"/>
            </w:tcBorders>
            <w:shd w:val="clear" w:color="auto" w:fill="auto"/>
            <w:noWrap/>
            <w:vAlign w:val="center"/>
            <w:hideMark/>
          </w:tcPr>
          <w:p w:rsidR="00253DA7" w:rsidRPr="00F876CB" w:rsidRDefault="00253DA7" w:rsidP="00253DA7">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170,93</w:t>
            </w:r>
          </w:p>
        </w:tc>
      </w:tr>
    </w:tbl>
    <w:p w:rsidR="00A077AE" w:rsidRPr="00F876CB" w:rsidRDefault="00A077AE" w:rsidP="00A077AE">
      <w:pPr>
        <w:tabs>
          <w:tab w:val="left" w:pos="900"/>
        </w:tabs>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ab/>
      </w:r>
    </w:p>
    <w:p w:rsidR="00A077AE" w:rsidRPr="00F876CB" w:rsidRDefault="00015994" w:rsidP="00A077AE">
      <w:pPr>
        <w:pStyle w:val="Balk5"/>
        <w:rPr>
          <w:lang w:val="en-GB"/>
        </w:rPr>
      </w:pPr>
      <w:bookmarkStart w:id="1119" w:name="_Toc450309981"/>
      <w:bookmarkStart w:id="1120" w:name="_Toc483822857"/>
      <w:bookmarkStart w:id="1121" w:name="_Toc44508353"/>
      <w:r w:rsidRPr="00F876CB">
        <w:rPr>
          <w:rFonts w:eastAsiaTheme="minorEastAsia"/>
          <w:bCs/>
          <w:lang w:val="en-GB"/>
        </w:rPr>
        <w:lastRenderedPageBreak/>
        <w:t>Table</w:t>
      </w:r>
      <w:r w:rsidR="00A077AE" w:rsidRPr="00F876CB">
        <w:rPr>
          <w:rFonts w:eastAsiaTheme="minorEastAsia"/>
          <w:bCs/>
          <w:lang w:val="en-GB"/>
        </w:rPr>
        <w:t xml:space="preserve"> </w:t>
      </w:r>
      <w:r w:rsidR="00DE0519" w:rsidRPr="00F876CB">
        <w:rPr>
          <w:rFonts w:eastAsiaTheme="minorEastAsia"/>
          <w:bCs/>
          <w:lang w:val="en-GB"/>
        </w:rPr>
        <w:t>5</w:t>
      </w:r>
      <w:r w:rsidR="00A077AE" w:rsidRPr="00F876CB">
        <w:rPr>
          <w:rFonts w:eastAsiaTheme="minorEastAsia"/>
          <w:bCs/>
          <w:lang w:val="en-GB"/>
        </w:rPr>
        <w:fldChar w:fldCharType="begin"/>
      </w:r>
      <w:r w:rsidR="00A077AE" w:rsidRPr="00F876CB">
        <w:rPr>
          <w:rFonts w:eastAsiaTheme="minorEastAsia"/>
          <w:bCs/>
          <w:lang w:val="en-GB"/>
        </w:rPr>
        <w:instrText xml:space="preserve"> STYLEREF 1 \s </w:instrText>
      </w:r>
      <w:r w:rsidR="00A077AE" w:rsidRPr="00F876CB">
        <w:rPr>
          <w:rFonts w:eastAsiaTheme="minorEastAsia"/>
          <w:bCs/>
          <w:lang w:val="en-GB"/>
        </w:rPr>
        <w:fldChar w:fldCharType="end"/>
      </w:r>
      <w:r w:rsidR="00A077AE" w:rsidRPr="00F876CB">
        <w:rPr>
          <w:rFonts w:eastAsiaTheme="minorEastAsia"/>
          <w:bCs/>
          <w:lang w:val="en-GB"/>
        </w:rPr>
        <w:t>.10:</w:t>
      </w:r>
      <w:r w:rsidR="00A077AE" w:rsidRPr="00F876CB">
        <w:rPr>
          <w:lang w:val="en-GB"/>
        </w:rPr>
        <w:t xml:space="preserve">  </w:t>
      </w:r>
      <w:bookmarkEnd w:id="1119"/>
      <w:bookmarkEnd w:id="1120"/>
      <w:r w:rsidR="005250B1" w:rsidRPr="00F876CB">
        <w:rPr>
          <w:lang w:val="en-GB"/>
        </w:rPr>
        <w:t xml:space="preserve">Distribution Companies’ </w:t>
      </w:r>
      <w:r w:rsidR="00601198" w:rsidRPr="00601198">
        <w:rPr>
          <w:lang w:val="en-GB"/>
        </w:rPr>
        <w:t>System Average Interruption Frequency Ind</w:t>
      </w:r>
      <w:r w:rsidR="000A319E">
        <w:rPr>
          <w:lang w:val="en-GB"/>
        </w:rPr>
        <w:t>i</w:t>
      </w:r>
      <w:r w:rsidR="0021307F">
        <w:rPr>
          <w:lang w:val="en-GB"/>
        </w:rPr>
        <w:t>ces</w:t>
      </w:r>
      <w:r w:rsidR="00601198" w:rsidRPr="00601198">
        <w:rPr>
          <w:lang w:val="en-GB"/>
        </w:rPr>
        <w:t xml:space="preserve"> </w:t>
      </w:r>
      <w:r w:rsidR="005250B1" w:rsidRPr="00F876CB">
        <w:rPr>
          <w:lang w:val="en-GB"/>
        </w:rPr>
        <w:t>of Distribution Companies by Reason in 2019 (Number/Year)</w:t>
      </w:r>
      <w:bookmarkEnd w:id="1121"/>
    </w:p>
    <w:tbl>
      <w:tblPr>
        <w:tblW w:w="9356" w:type="dxa"/>
        <w:tblInd w:w="70" w:type="dxa"/>
        <w:tblCellMar>
          <w:left w:w="70" w:type="dxa"/>
          <w:right w:w="70" w:type="dxa"/>
        </w:tblCellMar>
        <w:tblLook w:val="04A0" w:firstRow="1" w:lastRow="0" w:firstColumn="1" w:lastColumn="0" w:noHBand="0" w:noVBand="1"/>
      </w:tblPr>
      <w:tblGrid>
        <w:gridCol w:w="2268"/>
        <w:gridCol w:w="993"/>
        <w:gridCol w:w="1134"/>
        <w:gridCol w:w="850"/>
        <w:gridCol w:w="1276"/>
        <w:gridCol w:w="1559"/>
        <w:gridCol w:w="1276"/>
      </w:tblGrid>
      <w:tr w:rsidR="00580BF0" w:rsidRPr="00F876CB" w:rsidTr="00743FC1">
        <w:trPr>
          <w:trHeight w:val="411"/>
        </w:trPr>
        <w:tc>
          <w:tcPr>
            <w:tcW w:w="2268" w:type="dxa"/>
            <w:tcBorders>
              <w:top w:val="single" w:sz="8" w:space="0" w:color="auto"/>
              <w:left w:val="single" w:sz="8" w:space="0" w:color="auto"/>
              <w:bottom w:val="nil"/>
              <w:right w:val="single" w:sz="8" w:space="0" w:color="auto"/>
            </w:tcBorders>
            <w:shd w:val="clear" w:color="000000" w:fill="FF0000"/>
            <w:noWrap/>
            <w:vAlign w:val="center"/>
            <w:hideMark/>
          </w:tcPr>
          <w:p w:rsidR="00580BF0" w:rsidRPr="00F876CB" w:rsidRDefault="005250B1" w:rsidP="00580BF0">
            <w:pPr>
              <w:spacing w:after="0" w:line="240" w:lineRule="auto"/>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sz w:val="24"/>
                <w:szCs w:val="24"/>
                <w:lang w:val="en-GB" w:eastAsia="tr-TR" w:bidi="ar-SA"/>
              </w:rPr>
              <w:t>DISTRIBUTION COMPANY</w:t>
            </w:r>
          </w:p>
        </w:tc>
        <w:tc>
          <w:tcPr>
            <w:tcW w:w="993" w:type="dxa"/>
            <w:tcBorders>
              <w:top w:val="single" w:sz="8" w:space="0" w:color="auto"/>
              <w:left w:val="nil"/>
              <w:bottom w:val="nil"/>
              <w:right w:val="single" w:sz="8" w:space="0" w:color="auto"/>
            </w:tcBorders>
            <w:shd w:val="clear" w:color="000000" w:fill="FF0000"/>
            <w:noWrap/>
            <w:vAlign w:val="center"/>
            <w:hideMark/>
          </w:tcPr>
          <w:p w:rsidR="00580BF0" w:rsidRPr="00F876CB" w:rsidRDefault="00010ECD"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External</w:t>
            </w:r>
          </w:p>
        </w:tc>
        <w:tc>
          <w:tcPr>
            <w:tcW w:w="1134" w:type="dxa"/>
            <w:tcBorders>
              <w:top w:val="single" w:sz="8" w:space="0" w:color="auto"/>
              <w:left w:val="nil"/>
              <w:bottom w:val="nil"/>
              <w:right w:val="single" w:sz="8" w:space="0" w:color="auto"/>
            </w:tcBorders>
            <w:shd w:val="clear" w:color="000000" w:fill="FF0000"/>
            <w:noWrap/>
            <w:vAlign w:val="center"/>
            <w:hideMark/>
          </w:tcPr>
          <w:p w:rsidR="00580BF0" w:rsidRPr="00F876CB" w:rsidRDefault="00010ECD"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Security</w:t>
            </w:r>
          </w:p>
        </w:tc>
        <w:tc>
          <w:tcPr>
            <w:tcW w:w="850" w:type="dxa"/>
            <w:tcBorders>
              <w:top w:val="single" w:sz="8" w:space="0" w:color="auto"/>
              <w:left w:val="nil"/>
              <w:bottom w:val="nil"/>
              <w:right w:val="single" w:sz="8" w:space="0" w:color="auto"/>
            </w:tcBorders>
            <w:shd w:val="clear" w:color="000000" w:fill="FF0000"/>
            <w:noWrap/>
            <w:vAlign w:val="center"/>
            <w:hideMark/>
          </w:tcPr>
          <w:p w:rsidR="00580BF0" w:rsidRPr="00F876CB" w:rsidRDefault="00010ECD"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Short</w:t>
            </w:r>
          </w:p>
        </w:tc>
        <w:tc>
          <w:tcPr>
            <w:tcW w:w="1276" w:type="dxa"/>
            <w:tcBorders>
              <w:top w:val="single" w:sz="8" w:space="0" w:color="auto"/>
              <w:left w:val="nil"/>
              <w:bottom w:val="nil"/>
              <w:right w:val="single" w:sz="8" w:space="0" w:color="auto"/>
            </w:tcBorders>
            <w:shd w:val="clear" w:color="000000" w:fill="FF0000"/>
            <w:vAlign w:val="center"/>
            <w:hideMark/>
          </w:tcPr>
          <w:p w:rsidR="00580BF0" w:rsidRPr="00F876CB" w:rsidRDefault="00010ECD"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Force Major</w:t>
            </w:r>
          </w:p>
        </w:tc>
        <w:tc>
          <w:tcPr>
            <w:tcW w:w="1559" w:type="dxa"/>
            <w:tcBorders>
              <w:top w:val="single" w:sz="8" w:space="0" w:color="auto"/>
              <w:left w:val="nil"/>
              <w:bottom w:val="nil"/>
              <w:right w:val="single" w:sz="8" w:space="0" w:color="auto"/>
            </w:tcBorders>
            <w:shd w:val="clear" w:color="000000" w:fill="FF0000"/>
            <w:vAlign w:val="center"/>
            <w:hideMark/>
          </w:tcPr>
          <w:p w:rsidR="00580BF0" w:rsidRPr="00F876CB" w:rsidRDefault="00010ECD"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Times New Roman"/>
                <w:b/>
                <w:bCs/>
                <w:color w:val="FFFFFF" w:themeColor="background1"/>
                <w:lang w:val="en-GB" w:eastAsia="tr-TR" w:bidi="ar-SA"/>
              </w:rPr>
              <w:t>Network Operator</w:t>
            </w:r>
          </w:p>
        </w:tc>
        <w:tc>
          <w:tcPr>
            <w:tcW w:w="1276" w:type="dxa"/>
            <w:tcBorders>
              <w:top w:val="single" w:sz="8" w:space="0" w:color="auto"/>
              <w:left w:val="nil"/>
              <w:bottom w:val="nil"/>
              <w:right w:val="single" w:sz="8" w:space="0" w:color="auto"/>
            </w:tcBorders>
            <w:shd w:val="clear" w:color="000000" w:fill="FF0000"/>
            <w:noWrap/>
            <w:vAlign w:val="center"/>
            <w:hideMark/>
          </w:tcPr>
          <w:p w:rsidR="00580BF0" w:rsidRPr="00F876CB" w:rsidRDefault="00580BF0" w:rsidP="00580BF0">
            <w:pPr>
              <w:spacing w:after="0" w:line="240" w:lineRule="auto"/>
              <w:jc w:val="center"/>
              <w:rPr>
                <w:rFonts w:ascii="Calibri" w:eastAsia="Times New Roman" w:hAnsi="Calibri" w:cs="Calibri"/>
                <w:b/>
                <w:bCs/>
                <w:color w:val="FFFFFF"/>
                <w:sz w:val="24"/>
                <w:szCs w:val="24"/>
                <w:lang w:val="en-GB" w:eastAsia="tr-TR" w:bidi="ar-SA"/>
              </w:rPr>
            </w:pPr>
            <w:r w:rsidRPr="00F876CB">
              <w:rPr>
                <w:rFonts w:ascii="Calibri" w:eastAsia="Times New Roman" w:hAnsi="Calibri" w:cs="Calibri"/>
                <w:b/>
                <w:bCs/>
                <w:color w:val="FFFFFF"/>
                <w:sz w:val="24"/>
                <w:szCs w:val="24"/>
                <w:lang w:val="en-GB" w:eastAsia="tr-TR" w:bidi="ar-SA"/>
              </w:rPr>
              <w:t>To</w:t>
            </w:r>
            <w:r w:rsidR="00010ECD" w:rsidRPr="00F876CB">
              <w:rPr>
                <w:rFonts w:ascii="Calibri" w:eastAsia="Times New Roman" w:hAnsi="Calibri" w:cs="Calibri"/>
                <w:b/>
                <w:bCs/>
                <w:color w:val="FFFFFF"/>
                <w:sz w:val="24"/>
                <w:szCs w:val="24"/>
                <w:lang w:val="en-GB" w:eastAsia="tr-TR" w:bidi="ar-SA"/>
              </w:rPr>
              <w:t>tal</w:t>
            </w:r>
          </w:p>
        </w:tc>
      </w:tr>
      <w:tr w:rsidR="00580BF0" w:rsidRPr="00F876CB" w:rsidTr="00D65943">
        <w:trPr>
          <w:trHeight w:val="8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24,0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42,8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67,1</w:t>
            </w:r>
          </w:p>
        </w:tc>
      </w:tr>
      <w:tr w:rsidR="00580BF0" w:rsidRPr="00F876CB" w:rsidTr="00D65943">
        <w:trPr>
          <w:trHeight w:val="25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27,1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48,2</w:t>
            </w:r>
          </w:p>
        </w:tc>
      </w:tr>
      <w:tr w:rsidR="00580BF0" w:rsidRPr="00F876CB" w:rsidTr="00D65943">
        <w:trPr>
          <w:trHeight w:val="24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36,7</w:t>
            </w:r>
          </w:p>
        </w:tc>
      </w:tr>
      <w:tr w:rsidR="00580BF0" w:rsidRPr="00F876CB" w:rsidTr="00D65943">
        <w:trPr>
          <w:trHeight w:val="23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22,9</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29,2</w:t>
            </w:r>
          </w:p>
        </w:tc>
      </w:tr>
      <w:tr w:rsidR="00580BF0" w:rsidRPr="00F876CB" w:rsidTr="00D65943">
        <w:trPr>
          <w:trHeight w:val="23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28,4</w:t>
            </w:r>
          </w:p>
        </w:tc>
      </w:tr>
      <w:tr w:rsidR="00580BF0" w:rsidRPr="00F876CB" w:rsidTr="00D65943">
        <w:trPr>
          <w:trHeight w:val="9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0,9</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28,0</w:t>
            </w:r>
          </w:p>
        </w:tc>
      </w:tr>
      <w:tr w:rsidR="00580BF0" w:rsidRPr="00F876CB" w:rsidTr="00D65943">
        <w:trPr>
          <w:trHeight w:val="23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0,7</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0,6</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21,7</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26,7</w:t>
            </w:r>
          </w:p>
        </w:tc>
      </w:tr>
      <w:tr w:rsidR="00580BF0" w:rsidRPr="00F876CB" w:rsidTr="00D65943">
        <w:trPr>
          <w:trHeight w:val="18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6,8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18,0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26,0</w:t>
            </w:r>
          </w:p>
        </w:tc>
      </w:tr>
      <w:tr w:rsidR="00580BF0" w:rsidRPr="00F876CB" w:rsidTr="00D65943">
        <w:trPr>
          <w:trHeight w:val="25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25,5</w:t>
            </w:r>
          </w:p>
        </w:tc>
      </w:tr>
      <w:tr w:rsidR="00580BF0" w:rsidRPr="00F876CB" w:rsidTr="00D65943">
        <w:trPr>
          <w:trHeight w:val="22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12,4</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22,7</w:t>
            </w:r>
          </w:p>
        </w:tc>
      </w:tr>
      <w:tr w:rsidR="00580BF0" w:rsidRPr="00F876CB" w:rsidTr="00D65943">
        <w:trPr>
          <w:trHeight w:val="2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22,5</w:t>
            </w:r>
          </w:p>
        </w:tc>
      </w:tr>
      <w:tr w:rsidR="00580BF0" w:rsidRPr="00F876CB" w:rsidTr="00D65943">
        <w:trPr>
          <w:trHeight w:val="19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0,4</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21,2</w:t>
            </w:r>
          </w:p>
        </w:tc>
      </w:tr>
      <w:tr w:rsidR="00580BF0" w:rsidRPr="00F876CB" w:rsidTr="00D65943">
        <w:trPr>
          <w:trHeight w:val="20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19,9</w:t>
            </w:r>
          </w:p>
        </w:tc>
      </w:tr>
      <w:tr w:rsidR="00580BF0" w:rsidRPr="00F876CB" w:rsidTr="00D65943">
        <w:trPr>
          <w:trHeight w:val="18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7,4</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19,8</w:t>
            </w:r>
          </w:p>
        </w:tc>
      </w:tr>
      <w:tr w:rsidR="00580BF0" w:rsidRPr="00F876CB" w:rsidTr="00D65943">
        <w:trPr>
          <w:trHeight w:val="192"/>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19,2</w:t>
            </w:r>
          </w:p>
        </w:tc>
      </w:tr>
      <w:tr w:rsidR="00580BF0" w:rsidRPr="00F876CB" w:rsidTr="00D65943">
        <w:trPr>
          <w:trHeight w:val="23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16,6</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17,9</w:t>
            </w:r>
          </w:p>
        </w:tc>
      </w:tr>
      <w:tr w:rsidR="00580BF0" w:rsidRPr="00F876CB" w:rsidTr="00D65943">
        <w:trPr>
          <w:trHeight w:val="239"/>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15,5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16,1</w:t>
            </w:r>
          </w:p>
        </w:tc>
      </w:tr>
      <w:tr w:rsidR="00580BF0" w:rsidRPr="00F876CB"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14,4</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16,0</w:t>
            </w:r>
          </w:p>
        </w:tc>
      </w:tr>
      <w:tr w:rsidR="00580BF0" w:rsidRPr="00F876CB"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3,0</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10,3</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13,6</w:t>
            </w:r>
          </w:p>
        </w:tc>
      </w:tr>
      <w:tr w:rsidR="00580BF0" w:rsidRPr="00F876CB" w:rsidTr="00D65943">
        <w:trPr>
          <w:trHeight w:val="14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580BF0">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0,8</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11,2</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12,0</w:t>
            </w:r>
          </w:p>
        </w:tc>
      </w:tr>
      <w:tr w:rsidR="00580BF0" w:rsidRPr="00F876CB" w:rsidTr="00580BF0">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580BF0" w:rsidRPr="00F876CB" w:rsidRDefault="00580BF0" w:rsidP="00DE51A2">
            <w:pPr>
              <w:spacing w:after="0" w:line="240" w:lineRule="auto"/>
              <w:rPr>
                <w:rFonts w:ascii="Calibri" w:eastAsia="Times New Roman" w:hAnsi="Calibri" w:cs="Calibri"/>
                <w:b/>
                <w:bCs/>
                <w:color w:val="FFFFFF"/>
                <w:lang w:val="en-GB" w:eastAsia="tr-TR" w:bidi="ar-SA"/>
              </w:rPr>
            </w:pPr>
            <w:r w:rsidRPr="00F876CB">
              <w:rPr>
                <w:rFonts w:ascii="Calibri" w:eastAsia="Times New Roman" w:hAnsi="Calibri" w:cs="Calibri"/>
                <w:b/>
                <w:bCs/>
                <w:color w:val="FFFFFF"/>
                <w:lang w:val="en-GB" w:eastAsia="tr-TR" w:bidi="ar-SA"/>
              </w:rPr>
              <w:t>İST</w:t>
            </w:r>
            <w:r w:rsidR="00DE51A2">
              <w:rPr>
                <w:rFonts w:ascii="Calibri" w:eastAsia="Times New Roman" w:hAnsi="Calibri" w:cs="Calibri"/>
                <w:b/>
                <w:bCs/>
                <w:color w:val="FFFFFF"/>
                <w:lang w:val="en-GB" w:eastAsia="tr-TR" w:bidi="ar-SA"/>
              </w:rPr>
              <w:t>. ANATOLIAN</w:t>
            </w:r>
          </w:p>
        </w:tc>
        <w:tc>
          <w:tcPr>
            <w:tcW w:w="993"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850"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10,5</w:t>
            </w:r>
          </w:p>
        </w:tc>
        <w:tc>
          <w:tcPr>
            <w:tcW w:w="1276" w:type="dxa"/>
            <w:tcBorders>
              <w:top w:val="nil"/>
              <w:left w:val="nil"/>
              <w:bottom w:val="single" w:sz="8" w:space="0" w:color="auto"/>
              <w:right w:val="single" w:sz="8" w:space="0" w:color="auto"/>
            </w:tcBorders>
            <w:shd w:val="clear" w:color="auto" w:fill="auto"/>
            <w:noWrap/>
            <w:vAlign w:val="center"/>
            <w:hideMark/>
          </w:tcPr>
          <w:p w:rsidR="00580BF0" w:rsidRPr="00F876CB" w:rsidRDefault="00580BF0" w:rsidP="00580BF0">
            <w:pPr>
              <w:spacing w:after="0" w:line="240" w:lineRule="auto"/>
              <w:jc w:val="right"/>
              <w:rPr>
                <w:rFonts w:ascii="Calibri" w:eastAsia="Times New Roman" w:hAnsi="Calibri" w:cs="Calibri"/>
                <w:color w:val="000000"/>
                <w:lang w:val="en-GB" w:eastAsia="tr-TR" w:bidi="ar-SA"/>
              </w:rPr>
            </w:pPr>
            <w:r w:rsidRPr="00F876CB">
              <w:rPr>
                <w:rFonts w:ascii="Calibri" w:eastAsia="Times New Roman" w:hAnsi="Calibri" w:cs="Calibri"/>
                <w:color w:val="000000"/>
                <w:lang w:val="en-GB" w:eastAsia="tr-TR" w:bidi="ar-SA"/>
              </w:rPr>
              <w:t>11,1</w:t>
            </w:r>
          </w:p>
        </w:tc>
      </w:tr>
    </w:tbl>
    <w:p w:rsidR="00CE4FB5" w:rsidRPr="00F876CB" w:rsidRDefault="00CE4FB5" w:rsidP="00252FDF">
      <w:pPr>
        <w:pStyle w:val="11ilebalayanlar"/>
        <w:rPr>
          <w:lang w:val="en-GB"/>
        </w:rPr>
      </w:pPr>
    </w:p>
    <w:p w:rsidR="00D048E8" w:rsidRPr="00F876CB" w:rsidRDefault="00252FDF" w:rsidP="00252FDF">
      <w:pPr>
        <w:pStyle w:val="11ilebalayanlar"/>
        <w:rPr>
          <w:lang w:val="en-GB"/>
        </w:rPr>
      </w:pPr>
      <w:bookmarkStart w:id="1122" w:name="_Toc44508314"/>
      <w:r w:rsidRPr="00F876CB">
        <w:rPr>
          <w:lang w:val="en-GB"/>
        </w:rPr>
        <w:t xml:space="preserve">5.6 </w:t>
      </w:r>
      <w:r w:rsidR="00AA5437" w:rsidRPr="00F876CB">
        <w:rPr>
          <w:lang w:val="en-GB"/>
        </w:rPr>
        <w:t>Investment Amount of Distribution Companies</w:t>
      </w:r>
      <w:bookmarkEnd w:id="1122"/>
    </w:p>
    <w:p w:rsidR="00855A2E" w:rsidRPr="00F876CB" w:rsidRDefault="00855A2E" w:rsidP="00252FDF">
      <w:pPr>
        <w:pStyle w:val="11ilebalayanlar"/>
        <w:rPr>
          <w:caps/>
          <w:lang w:val="en-GB"/>
        </w:rPr>
      </w:pPr>
    </w:p>
    <w:p w:rsidR="00001C31" w:rsidRPr="00F876CB" w:rsidRDefault="00AA5437" w:rsidP="00DE51A2">
      <w:pPr>
        <w:spacing w:line="360" w:lineRule="auto"/>
        <w:jc w:val="both"/>
        <w:rPr>
          <w:rFonts w:asciiTheme="minorHAnsi" w:hAnsiTheme="minorHAnsi" w:cstheme="minorHAnsi"/>
          <w:sz w:val="24"/>
          <w:szCs w:val="24"/>
          <w:lang w:val="en-GB"/>
        </w:rPr>
      </w:pPr>
      <w:bookmarkStart w:id="1123" w:name="_Toc450309982"/>
      <w:r w:rsidRPr="00F876CB">
        <w:rPr>
          <w:rFonts w:asciiTheme="minorHAnsi" w:hAnsiTheme="minorHAnsi" w:cstheme="minorHAnsi"/>
          <w:sz w:val="24"/>
          <w:szCs w:val="24"/>
          <w:lang w:val="en-GB"/>
        </w:rPr>
        <w:t>With the decision of the Board dated 24/11/2015 and numbered 5885/7, "Procedures and Principles Regarding Electricity Market Distribution System Investments" was approved and entered into force. The said Procedures and Principles were amended by Board Decisions dated 28/11/2016 and numbered 6623, dated 21/09/2017 and numbered 7296, 08/11/2018 and numbered 8168.</w:t>
      </w:r>
    </w:p>
    <w:p w:rsidR="004933C0" w:rsidRPr="00F876CB" w:rsidRDefault="004933C0"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With the Board Decision No. 5875-9 dated 18/11/2015, electricity distribution companies will start on 01/01/2016. It was decided to determine the Real Reasonable Return Rate to be taken into consideration during the implementation period as 12</w:t>
      </w:r>
      <w:r w:rsidR="00D65943">
        <w:rPr>
          <w:rFonts w:asciiTheme="minorHAnsi" w:hAnsiTheme="minorHAnsi" w:cstheme="minorHAnsi"/>
          <w:sz w:val="24"/>
          <w:szCs w:val="24"/>
          <w:lang w:val="en-GB"/>
        </w:rPr>
        <w:t>,</w:t>
      </w:r>
      <w:r w:rsidRPr="00F876CB">
        <w:rPr>
          <w:rFonts w:asciiTheme="minorHAnsi" w:hAnsiTheme="minorHAnsi" w:cstheme="minorHAnsi"/>
          <w:sz w:val="24"/>
          <w:szCs w:val="24"/>
          <w:lang w:val="en-GB"/>
        </w:rPr>
        <w:t>66% (real and before tax) and to apply the Adjusted Real Reasonable Return Rate as 11</w:t>
      </w:r>
      <w:r w:rsidR="00D65943">
        <w:rPr>
          <w:rFonts w:asciiTheme="minorHAnsi" w:hAnsiTheme="minorHAnsi" w:cstheme="minorHAnsi"/>
          <w:sz w:val="24"/>
          <w:szCs w:val="24"/>
          <w:lang w:val="en-GB"/>
        </w:rPr>
        <w:t>,</w:t>
      </w:r>
      <w:r w:rsidRPr="00F876CB">
        <w:rPr>
          <w:rFonts w:asciiTheme="minorHAnsi" w:hAnsiTheme="minorHAnsi" w:cstheme="minorHAnsi"/>
          <w:sz w:val="24"/>
          <w:szCs w:val="24"/>
          <w:lang w:val="en-GB"/>
        </w:rPr>
        <w:t>91% (real and before tax).</w:t>
      </w:r>
    </w:p>
    <w:p w:rsidR="004933C0" w:rsidRPr="00F876CB" w:rsidRDefault="004933C0"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Subsequently, with the Board Decision dated 7/12/2018 and numbered 7501-12 due to the changes in economic and financial parameters, the real reasonable rate of return will cover the years 2018-2020. It has been decided to apply as 13</w:t>
      </w:r>
      <w:r w:rsidR="00DE51A2">
        <w:rPr>
          <w:rFonts w:asciiTheme="minorHAnsi" w:hAnsiTheme="minorHAnsi" w:cstheme="minorHAnsi"/>
          <w:sz w:val="24"/>
          <w:szCs w:val="24"/>
          <w:lang w:val="en-GB"/>
        </w:rPr>
        <w:t>,</w:t>
      </w:r>
      <w:r w:rsidRPr="00F876CB">
        <w:rPr>
          <w:rFonts w:asciiTheme="minorHAnsi" w:hAnsiTheme="minorHAnsi" w:cstheme="minorHAnsi"/>
          <w:sz w:val="24"/>
          <w:szCs w:val="24"/>
          <w:lang w:val="en-GB"/>
        </w:rPr>
        <w:t>61% (before real and tax).</w:t>
      </w:r>
    </w:p>
    <w:p w:rsidR="004933C0" w:rsidRPr="00F876CB" w:rsidRDefault="004933C0" w:rsidP="00DE51A2">
      <w:pPr>
        <w:spacing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lastRenderedPageBreak/>
        <w:t>With the Board Decision No. 5875-6 dated 18/11/2015, the redemption period that will be valid for the distribution companies and the third implementation period investments has been determined as 10 years.</w:t>
      </w:r>
    </w:p>
    <w:p w:rsidR="004933C0" w:rsidRPr="00D65943" w:rsidRDefault="004933C0" w:rsidP="00DE51A2">
      <w:pPr>
        <w:spacing w:line="360" w:lineRule="auto"/>
        <w:jc w:val="both"/>
        <w:rPr>
          <w:rFonts w:asciiTheme="minorHAnsi" w:hAnsiTheme="minorHAnsi" w:cstheme="minorHAnsi"/>
          <w:sz w:val="24"/>
          <w:szCs w:val="24"/>
          <w:lang w:val="en-GB"/>
        </w:rPr>
      </w:pPr>
      <w:r w:rsidRPr="00D65943">
        <w:rPr>
          <w:rFonts w:asciiTheme="minorHAnsi" w:hAnsiTheme="minorHAnsi" w:cstheme="minorHAnsi"/>
          <w:sz w:val="24"/>
          <w:szCs w:val="24"/>
          <w:lang w:val="en-GB"/>
        </w:rPr>
        <w:t>The table below contains information on the actual investment amounts declared by the Distribution Companies.</w:t>
      </w:r>
    </w:p>
    <w:p w:rsidR="00252FDF" w:rsidRPr="00F876CB" w:rsidRDefault="00015994" w:rsidP="00252FDF">
      <w:pPr>
        <w:pStyle w:val="Balk5"/>
        <w:rPr>
          <w:lang w:val="en-GB"/>
        </w:rPr>
      </w:pPr>
      <w:bookmarkStart w:id="1124" w:name="_Toc44508354"/>
      <w:r w:rsidRPr="00F876CB">
        <w:rPr>
          <w:rFonts w:eastAsiaTheme="minorEastAsia"/>
          <w:bCs/>
          <w:caps/>
          <w:lang w:val="en-GB"/>
        </w:rPr>
        <w:t>T</w:t>
      </w:r>
      <w:r w:rsidR="00D65943" w:rsidRPr="00F876CB">
        <w:rPr>
          <w:rFonts w:eastAsiaTheme="minorEastAsia"/>
          <w:bCs/>
          <w:lang w:val="en-GB"/>
        </w:rPr>
        <w:t>able</w:t>
      </w:r>
      <w:r w:rsidR="00252FDF" w:rsidRPr="00F876CB">
        <w:rPr>
          <w:rFonts w:eastAsiaTheme="minorEastAsia"/>
          <w:bCs/>
          <w:caps/>
          <w:lang w:val="en-GB"/>
        </w:rPr>
        <w:t xml:space="preserve"> </w:t>
      </w:r>
      <w:r w:rsidR="00DE0519" w:rsidRPr="00F876CB">
        <w:rPr>
          <w:rFonts w:eastAsiaTheme="minorEastAsia"/>
          <w:bCs/>
          <w:caps/>
          <w:lang w:val="en-GB"/>
        </w:rPr>
        <w:t>5</w:t>
      </w:r>
      <w:r w:rsidR="00252FDF" w:rsidRPr="00F876CB">
        <w:rPr>
          <w:rFonts w:eastAsiaTheme="minorEastAsia"/>
          <w:bCs/>
          <w:caps/>
          <w:lang w:val="en-GB"/>
        </w:rPr>
        <w:fldChar w:fldCharType="begin"/>
      </w:r>
      <w:r w:rsidR="00252FDF" w:rsidRPr="00F876CB">
        <w:rPr>
          <w:rFonts w:eastAsiaTheme="minorEastAsia"/>
          <w:bCs/>
          <w:caps/>
          <w:lang w:val="en-GB"/>
        </w:rPr>
        <w:instrText xml:space="preserve"> STYLEREF 1 \s </w:instrText>
      </w:r>
      <w:r w:rsidR="00252FDF" w:rsidRPr="00F876CB">
        <w:rPr>
          <w:rFonts w:eastAsiaTheme="minorEastAsia"/>
          <w:bCs/>
          <w:caps/>
          <w:lang w:val="en-GB"/>
        </w:rPr>
        <w:fldChar w:fldCharType="end"/>
      </w:r>
      <w:r w:rsidR="00252FDF" w:rsidRPr="00F876CB">
        <w:rPr>
          <w:rFonts w:eastAsiaTheme="minorEastAsia"/>
          <w:bCs/>
          <w:caps/>
          <w:lang w:val="en-GB"/>
        </w:rPr>
        <w:t>.11:</w:t>
      </w:r>
      <w:r w:rsidR="00252FDF" w:rsidRPr="00F876CB">
        <w:rPr>
          <w:caps/>
          <w:lang w:val="en-GB"/>
        </w:rPr>
        <w:t xml:space="preserve"> </w:t>
      </w:r>
      <w:bookmarkEnd w:id="1123"/>
      <w:r w:rsidR="00D65943" w:rsidRPr="00F876CB">
        <w:rPr>
          <w:lang w:val="en-GB"/>
        </w:rPr>
        <w:t xml:space="preserve">List </w:t>
      </w:r>
      <w:proofErr w:type="gramStart"/>
      <w:r w:rsidR="00D65943" w:rsidRPr="00F876CB">
        <w:rPr>
          <w:lang w:val="en-GB"/>
        </w:rPr>
        <w:t>Of</w:t>
      </w:r>
      <w:proofErr w:type="gramEnd"/>
      <w:r w:rsidR="00D65943" w:rsidRPr="00F876CB">
        <w:rPr>
          <w:lang w:val="en-GB"/>
        </w:rPr>
        <w:t xml:space="preserve"> Distribution Investments Comparison </w:t>
      </w:r>
      <w:r w:rsidR="00D65943">
        <w:rPr>
          <w:lang w:val="en-GB"/>
        </w:rPr>
        <w:t>in</w:t>
      </w:r>
      <w:r w:rsidR="00D65943" w:rsidRPr="00F876CB">
        <w:rPr>
          <w:lang w:val="en-GB"/>
        </w:rPr>
        <w:t xml:space="preserve"> </w:t>
      </w:r>
      <w:r w:rsidR="008C5123" w:rsidRPr="00F876CB">
        <w:rPr>
          <w:caps/>
          <w:lang w:val="en-GB"/>
        </w:rPr>
        <w:t>20</w:t>
      </w:r>
      <w:r w:rsidR="00DE51A2">
        <w:rPr>
          <w:caps/>
          <w:lang w:val="en-GB"/>
        </w:rPr>
        <w:t>18</w:t>
      </w:r>
      <w:r w:rsidR="008C5123" w:rsidRPr="00F876CB">
        <w:rPr>
          <w:caps/>
          <w:lang w:val="en-GB"/>
        </w:rPr>
        <w:t>-20</w:t>
      </w:r>
      <w:r w:rsidR="00DE51A2">
        <w:rPr>
          <w:caps/>
          <w:lang w:val="en-GB"/>
        </w:rPr>
        <w:t>19</w:t>
      </w:r>
      <w:r w:rsidR="008C5123" w:rsidRPr="00F876CB">
        <w:rPr>
          <w:caps/>
          <w:lang w:val="en-GB"/>
        </w:rPr>
        <w:t xml:space="preserve"> (</w:t>
      </w:r>
      <w:r w:rsidR="00D65943">
        <w:rPr>
          <w:lang w:val="en-GB"/>
        </w:rPr>
        <w:t>Current Prices - Million TL</w:t>
      </w:r>
      <w:r w:rsidR="008C5123" w:rsidRPr="00F876CB">
        <w:rPr>
          <w:caps/>
          <w:lang w:val="en-GB"/>
        </w:rPr>
        <w:t>-%)</w:t>
      </w:r>
      <w:bookmarkEnd w:id="1124"/>
    </w:p>
    <w:tbl>
      <w:tblPr>
        <w:tblW w:w="8866" w:type="dxa"/>
        <w:tblInd w:w="55" w:type="dxa"/>
        <w:tblCellMar>
          <w:left w:w="70" w:type="dxa"/>
          <w:right w:w="70" w:type="dxa"/>
        </w:tblCellMar>
        <w:tblLook w:val="04A0" w:firstRow="1" w:lastRow="0" w:firstColumn="1" w:lastColumn="0" w:noHBand="0" w:noVBand="1"/>
      </w:tblPr>
      <w:tblGrid>
        <w:gridCol w:w="2992"/>
        <w:gridCol w:w="1843"/>
        <w:gridCol w:w="1701"/>
        <w:gridCol w:w="2330"/>
      </w:tblGrid>
      <w:tr w:rsidR="00B403C2" w:rsidRPr="00F876CB" w:rsidTr="003A67CA">
        <w:trPr>
          <w:trHeight w:val="470"/>
        </w:trPr>
        <w:tc>
          <w:tcPr>
            <w:tcW w:w="2992" w:type="dxa"/>
            <w:tcBorders>
              <w:top w:val="single" w:sz="8" w:space="0" w:color="auto"/>
              <w:left w:val="single" w:sz="8" w:space="0" w:color="auto"/>
              <w:bottom w:val="nil"/>
              <w:right w:val="single" w:sz="8" w:space="0" w:color="auto"/>
            </w:tcBorders>
            <w:shd w:val="clear" w:color="000000" w:fill="FF0000"/>
            <w:noWrap/>
            <w:vAlign w:val="center"/>
            <w:hideMark/>
          </w:tcPr>
          <w:p w:rsidR="00B403C2" w:rsidRPr="00F876CB" w:rsidRDefault="00BD5D64"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Distribution Company</w:t>
            </w:r>
          </w:p>
        </w:tc>
        <w:tc>
          <w:tcPr>
            <w:tcW w:w="1843" w:type="dxa"/>
            <w:tcBorders>
              <w:top w:val="single" w:sz="8" w:space="0" w:color="auto"/>
              <w:left w:val="nil"/>
              <w:bottom w:val="nil"/>
              <w:right w:val="single" w:sz="8" w:space="0" w:color="auto"/>
            </w:tcBorders>
            <w:shd w:val="clear" w:color="000000" w:fill="FF0000"/>
            <w:vAlign w:val="center"/>
            <w:hideMark/>
          </w:tcPr>
          <w:p w:rsidR="00B403C2" w:rsidRPr="00F876CB" w:rsidRDefault="008A2A42" w:rsidP="00B403C2">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2018</w:t>
            </w:r>
          </w:p>
        </w:tc>
        <w:tc>
          <w:tcPr>
            <w:tcW w:w="1701" w:type="dxa"/>
            <w:tcBorders>
              <w:top w:val="single" w:sz="8" w:space="0" w:color="auto"/>
              <w:left w:val="nil"/>
              <w:bottom w:val="nil"/>
              <w:right w:val="single" w:sz="8" w:space="0" w:color="auto"/>
            </w:tcBorders>
            <w:shd w:val="clear" w:color="000000" w:fill="FF0000"/>
            <w:vAlign w:val="center"/>
            <w:hideMark/>
          </w:tcPr>
          <w:p w:rsidR="00B403C2" w:rsidRPr="00F876CB" w:rsidRDefault="008A2A42" w:rsidP="00B403C2">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2019</w:t>
            </w:r>
          </w:p>
        </w:tc>
        <w:tc>
          <w:tcPr>
            <w:tcW w:w="2330" w:type="dxa"/>
            <w:tcBorders>
              <w:top w:val="single" w:sz="8" w:space="0" w:color="auto"/>
              <w:left w:val="nil"/>
              <w:bottom w:val="nil"/>
              <w:right w:val="single" w:sz="8" w:space="0" w:color="auto"/>
            </w:tcBorders>
            <w:shd w:val="clear" w:color="000000" w:fill="FF0000"/>
            <w:vAlign w:val="center"/>
            <w:hideMark/>
          </w:tcPr>
          <w:p w:rsidR="00B403C2" w:rsidRPr="00F876CB" w:rsidRDefault="00B403C2" w:rsidP="008A2A42">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20</w:t>
            </w:r>
            <w:r w:rsidR="008A2A42" w:rsidRPr="00F876CB">
              <w:rPr>
                <w:rFonts w:ascii="Times New Roman" w:eastAsia="Times New Roman" w:hAnsi="Times New Roman" w:cs="Times New Roman"/>
                <w:b/>
                <w:bCs/>
                <w:color w:val="FFFFFF"/>
                <w:lang w:val="en-GB" w:eastAsia="tr-TR" w:bidi="ar-SA"/>
              </w:rPr>
              <w:t>18</w:t>
            </w:r>
            <w:r w:rsidRPr="00F876CB">
              <w:rPr>
                <w:rFonts w:ascii="Times New Roman" w:eastAsia="Times New Roman" w:hAnsi="Times New Roman" w:cs="Times New Roman"/>
                <w:b/>
                <w:bCs/>
                <w:color w:val="FFFFFF"/>
                <w:lang w:val="en-GB" w:eastAsia="tr-TR" w:bidi="ar-SA"/>
              </w:rPr>
              <w:t>-20</w:t>
            </w:r>
            <w:r w:rsidR="008A2A42" w:rsidRPr="00F876CB">
              <w:rPr>
                <w:rFonts w:ascii="Times New Roman" w:eastAsia="Times New Roman" w:hAnsi="Times New Roman" w:cs="Times New Roman"/>
                <w:b/>
                <w:bCs/>
                <w:color w:val="FFFFFF"/>
                <w:lang w:val="en-GB" w:eastAsia="tr-TR" w:bidi="ar-SA"/>
              </w:rPr>
              <w:t>19</w:t>
            </w:r>
            <w:r w:rsidRPr="00F876CB">
              <w:rPr>
                <w:rFonts w:ascii="Times New Roman" w:eastAsia="Times New Roman" w:hAnsi="Times New Roman" w:cs="Times New Roman"/>
                <w:b/>
                <w:bCs/>
                <w:color w:val="FFFFFF"/>
                <w:lang w:val="en-GB" w:eastAsia="tr-TR" w:bidi="ar-SA"/>
              </w:rPr>
              <w:t xml:space="preserve"> </w:t>
            </w:r>
            <w:r w:rsidR="00BD5D64" w:rsidRPr="00F876CB">
              <w:rPr>
                <w:rFonts w:ascii="Times New Roman" w:eastAsia="Times New Roman" w:hAnsi="Times New Roman" w:cs="Times New Roman"/>
                <w:b/>
                <w:bCs/>
                <w:color w:val="FFFFFF"/>
                <w:lang w:val="en-GB" w:eastAsia="tr-TR" w:bidi="ar-SA"/>
              </w:rPr>
              <w:t>Change</w:t>
            </w:r>
            <w:r w:rsidRPr="00F876CB">
              <w:rPr>
                <w:rFonts w:ascii="Times New Roman" w:eastAsia="Times New Roman" w:hAnsi="Times New Roman" w:cs="Times New Roman"/>
                <w:b/>
                <w:bCs/>
                <w:color w:val="FFFFFF"/>
                <w:lang w:val="en-GB" w:eastAsia="tr-TR" w:bidi="ar-SA"/>
              </w:rPr>
              <w:br/>
              <w:t>(%)</w:t>
            </w:r>
          </w:p>
        </w:tc>
      </w:tr>
      <w:tr w:rsidR="00B403C2" w:rsidRPr="00F876CB" w:rsidTr="00743FC1">
        <w:trPr>
          <w:trHeight w:val="12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212,6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315,8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48,52</w:t>
            </w:r>
          </w:p>
        </w:tc>
      </w:tr>
      <w:tr w:rsidR="00B403C2" w:rsidRPr="00F876CB" w:rsidTr="00743FC1">
        <w:trPr>
          <w:trHeight w:val="28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181,2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262,2</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44,71</w:t>
            </w:r>
          </w:p>
        </w:tc>
      </w:tr>
      <w:tr w:rsidR="00B403C2" w:rsidRPr="00F876CB" w:rsidTr="00743FC1">
        <w:trPr>
          <w:trHeight w:val="25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91,9</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93,9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2,08</w:t>
            </w:r>
          </w:p>
        </w:tc>
      </w:tr>
      <w:tr w:rsidR="00B403C2" w:rsidRPr="00F876CB" w:rsidTr="00743FC1">
        <w:trPr>
          <w:trHeight w:val="132"/>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162,1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199,5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23,09</w:t>
            </w:r>
          </w:p>
        </w:tc>
      </w:tr>
      <w:tr w:rsidR="00B403C2" w:rsidRPr="00F876CB" w:rsidTr="00743FC1">
        <w:trPr>
          <w:trHeight w:val="13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İSTANBUL A.</w:t>
            </w:r>
            <w:proofErr w:type="gramStart"/>
            <w:r w:rsidRPr="00F876CB">
              <w:rPr>
                <w:rFonts w:ascii="Times New Roman" w:eastAsia="Times New Roman" w:hAnsi="Times New Roman" w:cs="Times New Roman"/>
                <w:b/>
                <w:bCs/>
                <w:color w:val="FFFFFF"/>
                <w:lang w:val="en-GB" w:eastAsia="tr-TR" w:bidi="ar-SA"/>
              </w:rPr>
              <w:t>Y.EDAŞ</w:t>
            </w:r>
            <w:proofErr w:type="gramEnd"/>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271,6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248,8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-8,39</w:t>
            </w:r>
          </w:p>
        </w:tc>
      </w:tr>
      <w:tr w:rsidR="00B403C2" w:rsidRPr="00F876CB" w:rsidTr="00743FC1">
        <w:trPr>
          <w:trHeight w:val="158"/>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718,7</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582,3</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B403C2" w:rsidP="008A2A4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w:t>
            </w:r>
            <w:r w:rsidR="008A2A42" w:rsidRPr="00F876CB">
              <w:rPr>
                <w:rFonts w:ascii="Times New Roman" w:eastAsia="Times New Roman" w:hAnsi="Times New Roman" w:cs="Times New Roman"/>
                <w:color w:val="000000"/>
                <w:lang w:val="en-GB" w:eastAsia="tr-TR" w:bidi="ar-SA"/>
              </w:rPr>
              <w:t>18,98</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444,3</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720,4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62,14</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129,5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130,2</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0,56</w:t>
            </w:r>
          </w:p>
        </w:tc>
      </w:tr>
      <w:tr w:rsidR="00B403C2" w:rsidRPr="00F876CB" w:rsidTr="00743FC1">
        <w:trPr>
          <w:trHeight w:val="144"/>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165,0</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124,5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8A2A4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-24,55</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DİCLE</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320,8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633,8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97,58</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FIRAT</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167,1</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105,0</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-37,15</w:t>
            </w:r>
          </w:p>
        </w:tc>
      </w:tr>
      <w:tr w:rsidR="00B403C2" w:rsidRPr="00F876CB" w:rsidTr="00743FC1">
        <w:trPr>
          <w:trHeight w:val="201"/>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294,2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500,5</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70,14</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178,2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120,4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-32,42</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384,6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462,8</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20,33</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8A2A42"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63,4</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F1449E"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1.265,9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F1449E"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1.896,64</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175,5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111,1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3A67CA">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-36,70</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853,8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649,1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-23,97</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92,2</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288,1</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212,53</w:t>
            </w:r>
          </w:p>
        </w:tc>
      </w:tr>
      <w:tr w:rsidR="00B403C2" w:rsidRPr="00F876CB" w:rsidTr="00743FC1">
        <w:trPr>
          <w:trHeight w:val="176"/>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313,5</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156,9</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-49,95</w:t>
            </w:r>
          </w:p>
        </w:tc>
      </w:tr>
      <w:tr w:rsidR="00B403C2" w:rsidRPr="00F876CB" w:rsidTr="00743FC1">
        <w:trPr>
          <w:trHeight w:val="180"/>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141,8</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127,4</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-10,12</w:t>
            </w:r>
          </w:p>
        </w:tc>
      </w:tr>
      <w:tr w:rsidR="00B403C2" w:rsidRPr="00F876CB" w:rsidTr="00743FC1">
        <w:trPr>
          <w:trHeight w:val="199"/>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318,6</w:t>
            </w:r>
          </w:p>
        </w:tc>
        <w:tc>
          <w:tcPr>
            <w:tcW w:w="1701"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right"/>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143,3</w:t>
            </w:r>
          </w:p>
        </w:tc>
        <w:tc>
          <w:tcPr>
            <w:tcW w:w="2330" w:type="dxa"/>
            <w:tcBorders>
              <w:top w:val="nil"/>
              <w:left w:val="nil"/>
              <w:bottom w:val="single" w:sz="8" w:space="0" w:color="auto"/>
              <w:right w:val="single" w:sz="8" w:space="0" w:color="auto"/>
            </w:tcBorders>
            <w:shd w:val="clear" w:color="auto" w:fill="auto"/>
            <w:noWrap/>
            <w:vAlign w:val="center"/>
            <w:hideMark/>
          </w:tcPr>
          <w:p w:rsidR="00B403C2" w:rsidRPr="00F876CB" w:rsidRDefault="003A67CA" w:rsidP="00B403C2">
            <w:pPr>
              <w:spacing w:after="0" w:line="240" w:lineRule="auto"/>
              <w:jc w:val="center"/>
              <w:rPr>
                <w:rFonts w:ascii="Times New Roman" w:eastAsia="Times New Roman" w:hAnsi="Times New Roman" w:cs="Times New Roman"/>
                <w:color w:val="000000"/>
                <w:lang w:val="en-GB" w:eastAsia="tr-TR" w:bidi="ar-SA"/>
              </w:rPr>
            </w:pPr>
            <w:r w:rsidRPr="00F876CB">
              <w:rPr>
                <w:rFonts w:ascii="Times New Roman" w:eastAsia="Times New Roman" w:hAnsi="Times New Roman" w:cs="Times New Roman"/>
                <w:color w:val="000000"/>
                <w:lang w:val="en-GB" w:eastAsia="tr-TR" w:bidi="ar-SA"/>
              </w:rPr>
              <w:t>-55,03</w:t>
            </w:r>
          </w:p>
        </w:tc>
      </w:tr>
      <w:tr w:rsidR="00B403C2" w:rsidRPr="00F876CB" w:rsidTr="003A67CA">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B403C2" w:rsidRPr="00F876CB" w:rsidRDefault="00B403C2" w:rsidP="00B403C2">
            <w:pPr>
              <w:spacing w:after="0" w:line="240" w:lineRule="auto"/>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T</w:t>
            </w:r>
            <w:r w:rsidR="00F00C84" w:rsidRPr="00F876CB">
              <w:rPr>
                <w:rFonts w:ascii="Times New Roman" w:eastAsia="Times New Roman" w:hAnsi="Times New Roman" w:cs="Times New Roman"/>
                <w:b/>
                <w:bCs/>
                <w:color w:val="FFFFFF"/>
                <w:lang w:val="en-GB" w:eastAsia="tr-TR" w:bidi="ar-SA"/>
              </w:rPr>
              <w:t>OTAL</w:t>
            </w:r>
          </w:p>
        </w:tc>
        <w:tc>
          <w:tcPr>
            <w:tcW w:w="1843" w:type="dxa"/>
            <w:tcBorders>
              <w:top w:val="nil"/>
              <w:left w:val="nil"/>
              <w:bottom w:val="single" w:sz="8" w:space="0" w:color="auto"/>
              <w:right w:val="single" w:sz="8" w:space="0" w:color="auto"/>
            </w:tcBorders>
            <w:shd w:val="clear" w:color="000000" w:fill="FF5050"/>
            <w:noWrap/>
            <w:vAlign w:val="center"/>
            <w:hideMark/>
          </w:tcPr>
          <w:p w:rsidR="00B403C2" w:rsidRPr="00F876CB" w:rsidRDefault="003A67CA" w:rsidP="00B403C2">
            <w:pPr>
              <w:spacing w:after="0" w:line="240" w:lineRule="auto"/>
              <w:jc w:val="right"/>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5.680,6</w:t>
            </w:r>
          </w:p>
        </w:tc>
        <w:tc>
          <w:tcPr>
            <w:tcW w:w="1701" w:type="dxa"/>
            <w:tcBorders>
              <w:top w:val="nil"/>
              <w:left w:val="nil"/>
              <w:bottom w:val="single" w:sz="8" w:space="0" w:color="auto"/>
              <w:right w:val="single" w:sz="8" w:space="0" w:color="auto"/>
            </w:tcBorders>
            <w:shd w:val="clear" w:color="000000" w:fill="FF5050"/>
            <w:noWrap/>
            <w:vAlign w:val="center"/>
            <w:hideMark/>
          </w:tcPr>
          <w:p w:rsidR="00B403C2" w:rsidRPr="00F876CB" w:rsidRDefault="003A67CA" w:rsidP="00B403C2">
            <w:pPr>
              <w:spacing w:after="0" w:line="240" w:lineRule="auto"/>
              <w:jc w:val="right"/>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7.241,9</w:t>
            </w:r>
          </w:p>
        </w:tc>
        <w:tc>
          <w:tcPr>
            <w:tcW w:w="2330" w:type="dxa"/>
            <w:tcBorders>
              <w:top w:val="nil"/>
              <w:left w:val="nil"/>
              <w:bottom w:val="single" w:sz="8" w:space="0" w:color="auto"/>
              <w:right w:val="single" w:sz="8" w:space="0" w:color="auto"/>
            </w:tcBorders>
            <w:shd w:val="clear" w:color="000000" w:fill="FF5050"/>
            <w:noWrap/>
            <w:vAlign w:val="center"/>
            <w:hideMark/>
          </w:tcPr>
          <w:p w:rsidR="00B403C2" w:rsidRPr="00F876CB" w:rsidRDefault="003A67CA" w:rsidP="00B403C2">
            <w:pPr>
              <w:spacing w:after="0" w:line="240" w:lineRule="auto"/>
              <w:jc w:val="center"/>
              <w:rPr>
                <w:rFonts w:ascii="Times New Roman" w:eastAsia="Times New Roman" w:hAnsi="Times New Roman" w:cs="Times New Roman"/>
                <w:b/>
                <w:bCs/>
                <w:color w:val="FFFFFF"/>
                <w:lang w:val="en-GB" w:eastAsia="tr-TR" w:bidi="ar-SA"/>
              </w:rPr>
            </w:pPr>
            <w:r w:rsidRPr="00F876CB">
              <w:rPr>
                <w:rFonts w:ascii="Times New Roman" w:eastAsia="Times New Roman" w:hAnsi="Times New Roman" w:cs="Times New Roman"/>
                <w:b/>
                <w:bCs/>
                <w:color w:val="FFFFFF"/>
                <w:lang w:val="en-GB" w:eastAsia="tr-TR" w:bidi="ar-SA"/>
              </w:rPr>
              <w:t>27,49</w:t>
            </w:r>
          </w:p>
        </w:tc>
      </w:tr>
    </w:tbl>
    <w:p w:rsidR="00CD458E" w:rsidRPr="00F876CB" w:rsidRDefault="00CD458E" w:rsidP="00CD458E">
      <w:pPr>
        <w:spacing w:after="0" w:line="360" w:lineRule="auto"/>
        <w:jc w:val="both"/>
        <w:rPr>
          <w:rFonts w:asciiTheme="minorHAnsi" w:hAnsiTheme="minorHAnsi" w:cstheme="minorHAnsi"/>
          <w:sz w:val="20"/>
          <w:szCs w:val="20"/>
          <w:lang w:val="en-GB"/>
        </w:rPr>
      </w:pPr>
      <w:r w:rsidRPr="00F876CB">
        <w:rPr>
          <w:rFonts w:asciiTheme="minorHAnsi" w:hAnsiTheme="minorHAnsi" w:cstheme="minorHAnsi"/>
          <w:sz w:val="20"/>
          <w:szCs w:val="20"/>
          <w:lang w:val="en-GB"/>
        </w:rPr>
        <w:t>*</w:t>
      </w:r>
      <w:r w:rsidR="00F00C84" w:rsidRPr="00F876CB">
        <w:rPr>
          <w:lang w:val="en-GB"/>
        </w:rPr>
        <w:t xml:space="preserve"> </w:t>
      </w:r>
      <w:r w:rsidR="00D65943" w:rsidRPr="00D65943">
        <w:rPr>
          <w:rFonts w:asciiTheme="minorHAnsi" w:hAnsiTheme="minorHAnsi" w:cstheme="minorHAnsi"/>
          <w:sz w:val="20"/>
          <w:szCs w:val="20"/>
          <w:lang w:val="en-GB"/>
        </w:rPr>
        <w:t xml:space="preserve">The unit price is calculated according to the June CPI: </w:t>
      </w:r>
      <w:r w:rsidR="00D65943">
        <w:rPr>
          <w:rFonts w:asciiTheme="minorHAnsi" w:hAnsiTheme="minorHAnsi" w:cstheme="minorHAnsi"/>
          <w:sz w:val="20"/>
          <w:szCs w:val="20"/>
          <w:lang w:val="en-GB"/>
        </w:rPr>
        <w:t>413,63</w:t>
      </w:r>
    </w:p>
    <w:p w:rsidR="00CD458E" w:rsidRPr="00F876CB" w:rsidRDefault="00CD458E" w:rsidP="00CD458E">
      <w:pPr>
        <w:spacing w:after="0" w:line="360" w:lineRule="auto"/>
        <w:jc w:val="both"/>
        <w:rPr>
          <w:rFonts w:asciiTheme="minorHAnsi" w:hAnsiTheme="minorHAnsi" w:cstheme="minorHAnsi"/>
          <w:sz w:val="20"/>
          <w:szCs w:val="20"/>
          <w:lang w:val="en-GB"/>
        </w:rPr>
      </w:pPr>
      <w:r w:rsidRPr="00F876CB">
        <w:rPr>
          <w:rFonts w:asciiTheme="minorHAnsi" w:hAnsiTheme="minorHAnsi" w:cstheme="minorHAnsi"/>
          <w:sz w:val="20"/>
          <w:szCs w:val="20"/>
          <w:lang w:val="en-GB"/>
        </w:rPr>
        <w:t xml:space="preserve">** </w:t>
      </w:r>
      <w:r w:rsidR="00D65943" w:rsidRPr="00D65943">
        <w:rPr>
          <w:rFonts w:asciiTheme="minorHAnsi" w:hAnsiTheme="minorHAnsi" w:cstheme="minorHAnsi"/>
          <w:sz w:val="20"/>
          <w:szCs w:val="20"/>
          <w:lang w:val="en-GB"/>
        </w:rPr>
        <w:t>Investments starting in the II.  Implementation Period and complemented in the III. Implementation Period are included.</w:t>
      </w:r>
    </w:p>
    <w:p w:rsidR="00E70578" w:rsidRPr="00F876CB" w:rsidRDefault="00CD458E" w:rsidP="00E70578">
      <w:pPr>
        <w:spacing w:after="0" w:line="360" w:lineRule="auto"/>
        <w:jc w:val="both"/>
        <w:rPr>
          <w:rFonts w:asciiTheme="minorHAnsi" w:hAnsiTheme="minorHAnsi" w:cstheme="minorHAnsi"/>
          <w:sz w:val="20"/>
          <w:szCs w:val="20"/>
          <w:lang w:val="en-GB"/>
        </w:rPr>
      </w:pPr>
      <w:r w:rsidRPr="00F876CB">
        <w:rPr>
          <w:rFonts w:asciiTheme="minorHAnsi" w:hAnsiTheme="minorHAnsi" w:cstheme="minorHAnsi"/>
          <w:sz w:val="20"/>
          <w:szCs w:val="20"/>
          <w:lang w:val="en-GB"/>
        </w:rPr>
        <w:t>***</w:t>
      </w:r>
      <w:r w:rsidRPr="00F876CB">
        <w:rPr>
          <w:sz w:val="20"/>
          <w:szCs w:val="20"/>
          <w:lang w:val="en-GB"/>
        </w:rPr>
        <w:t xml:space="preserve"> </w:t>
      </w:r>
      <w:r w:rsidR="00E70578" w:rsidRPr="00F876CB">
        <w:rPr>
          <w:rFonts w:asciiTheme="minorHAnsi" w:hAnsiTheme="minorHAnsi" w:cstheme="minorHAnsi"/>
          <w:sz w:val="20"/>
          <w:szCs w:val="20"/>
          <w:lang w:val="en-GB"/>
        </w:rPr>
        <w:t>For 2018 investment amounts, the Table was prepared based on the investment realization statements submitted by the companies through the notification system.</w:t>
      </w:r>
    </w:p>
    <w:p w:rsidR="00E70578" w:rsidRPr="00F876CB" w:rsidRDefault="003A67CA" w:rsidP="00E70578">
      <w:pPr>
        <w:spacing w:after="0" w:line="360" w:lineRule="auto"/>
        <w:jc w:val="both"/>
        <w:rPr>
          <w:rFonts w:asciiTheme="minorHAnsi" w:hAnsiTheme="minorHAnsi" w:cstheme="minorHAnsi"/>
          <w:sz w:val="20"/>
          <w:szCs w:val="20"/>
          <w:lang w:val="en-GB"/>
        </w:rPr>
      </w:pPr>
      <w:r w:rsidRPr="00F876CB">
        <w:rPr>
          <w:rFonts w:asciiTheme="minorHAnsi" w:hAnsiTheme="minorHAnsi" w:cstheme="minorHAnsi"/>
          <w:sz w:val="20"/>
          <w:szCs w:val="20"/>
          <w:lang w:val="en-GB"/>
        </w:rPr>
        <w:t>****</w:t>
      </w:r>
      <w:r w:rsidR="00E70578" w:rsidRPr="00F876CB">
        <w:rPr>
          <w:rFonts w:asciiTheme="minorHAnsi" w:hAnsiTheme="minorHAnsi" w:cstheme="minorHAnsi"/>
          <w:sz w:val="20"/>
          <w:szCs w:val="20"/>
          <w:lang w:val="en-GB"/>
        </w:rPr>
        <w:t>For the investment amounts for 2019, the Table was prepared based on the investment forecast statements submitted by the companies via the notification system.</w:t>
      </w:r>
    </w:p>
    <w:p w:rsidR="00E70578" w:rsidRPr="00F876CB" w:rsidRDefault="00E70578" w:rsidP="00E70578">
      <w:pPr>
        <w:spacing w:after="0" w:line="360" w:lineRule="auto"/>
        <w:jc w:val="both"/>
        <w:rPr>
          <w:rFonts w:asciiTheme="minorHAnsi" w:hAnsiTheme="minorHAnsi" w:cstheme="minorHAnsi"/>
          <w:sz w:val="20"/>
          <w:szCs w:val="20"/>
          <w:lang w:val="en-GB"/>
        </w:rPr>
      </w:pPr>
    </w:p>
    <w:p w:rsidR="000647C0" w:rsidRPr="00F876CB" w:rsidRDefault="007A7CD7" w:rsidP="007A7CD7">
      <w:pPr>
        <w:spacing w:after="0" w:line="360" w:lineRule="auto"/>
        <w:jc w:val="both"/>
        <w:rPr>
          <w:lang w:val="en-GB"/>
        </w:rPr>
      </w:pPr>
      <w:bookmarkStart w:id="1125" w:name="_Toc406663208"/>
      <w:bookmarkStart w:id="1126" w:name="_Toc450307016"/>
      <w:bookmarkStart w:id="1127" w:name="_Toc450307127"/>
      <w:bookmarkStart w:id="1128" w:name="_Toc450307951"/>
      <w:r w:rsidRPr="00F876CB">
        <w:rPr>
          <w:rFonts w:asciiTheme="minorHAnsi" w:hAnsiTheme="minorHAnsi" w:cstheme="minorHAnsi"/>
          <w:sz w:val="24"/>
          <w:szCs w:val="24"/>
          <w:lang w:val="en-GB"/>
        </w:rPr>
        <w:lastRenderedPageBreak/>
        <w:t>Total investment realized for 2019 increased by 27</w:t>
      </w:r>
      <w:r w:rsidR="00DE51A2">
        <w:rPr>
          <w:rFonts w:asciiTheme="minorHAnsi" w:hAnsiTheme="minorHAnsi" w:cstheme="minorHAnsi"/>
          <w:sz w:val="24"/>
          <w:szCs w:val="24"/>
          <w:lang w:val="en-GB"/>
        </w:rPr>
        <w:t>,</w:t>
      </w:r>
      <w:r w:rsidRPr="00F876CB">
        <w:rPr>
          <w:rFonts w:asciiTheme="minorHAnsi" w:hAnsiTheme="minorHAnsi" w:cstheme="minorHAnsi"/>
          <w:sz w:val="24"/>
          <w:szCs w:val="24"/>
          <w:lang w:val="en-GB"/>
        </w:rPr>
        <w:t>49% compared to 2018 and reached TL 7</w:t>
      </w:r>
      <w:r w:rsidR="00DE51A2">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24 billion (at current prices). The highest investment expenditure for 2019 was in </w:t>
      </w:r>
      <w:proofErr w:type="spellStart"/>
      <w:r w:rsidRPr="00F876CB">
        <w:rPr>
          <w:rFonts w:asciiTheme="minorHAnsi" w:hAnsiTheme="minorHAnsi" w:cstheme="minorHAnsi"/>
          <w:sz w:val="24"/>
          <w:szCs w:val="24"/>
          <w:lang w:val="en-GB"/>
        </w:rPr>
        <w:t>Osmangazi</w:t>
      </w:r>
      <w:proofErr w:type="spellEnd"/>
      <w:r w:rsidRPr="00F876CB">
        <w:rPr>
          <w:rFonts w:asciiTheme="minorHAnsi" w:hAnsiTheme="minorHAnsi" w:cstheme="minorHAnsi"/>
          <w:sz w:val="24"/>
          <w:szCs w:val="24"/>
          <w:lang w:val="en-GB"/>
        </w:rPr>
        <w:t xml:space="preserve"> with 1</w:t>
      </w:r>
      <w:r w:rsidR="00DE51A2">
        <w:rPr>
          <w:rFonts w:asciiTheme="minorHAnsi" w:hAnsiTheme="minorHAnsi" w:cstheme="minorHAnsi"/>
          <w:sz w:val="24"/>
          <w:szCs w:val="24"/>
          <w:lang w:val="en-GB"/>
        </w:rPr>
        <w:t>,</w:t>
      </w:r>
      <w:r w:rsidRPr="00F876CB">
        <w:rPr>
          <w:rFonts w:asciiTheme="minorHAnsi" w:hAnsiTheme="minorHAnsi" w:cstheme="minorHAnsi"/>
          <w:sz w:val="24"/>
          <w:szCs w:val="24"/>
          <w:lang w:val="en-GB"/>
        </w:rPr>
        <w:t xml:space="preserve">3 Billion TL and in </w:t>
      </w:r>
      <w:proofErr w:type="spellStart"/>
      <w:r w:rsidR="008A4904">
        <w:rPr>
          <w:rFonts w:asciiTheme="minorHAnsi" w:hAnsiTheme="minorHAnsi" w:cstheme="minorHAnsi"/>
          <w:sz w:val="24"/>
          <w:szCs w:val="24"/>
          <w:lang w:val="en-GB"/>
        </w:rPr>
        <w:t>Boğaziçi</w:t>
      </w:r>
      <w:proofErr w:type="spellEnd"/>
      <w:r w:rsidRPr="00F876CB">
        <w:rPr>
          <w:rFonts w:asciiTheme="minorHAnsi" w:hAnsiTheme="minorHAnsi" w:cstheme="minorHAnsi"/>
          <w:sz w:val="24"/>
          <w:szCs w:val="24"/>
          <w:lang w:val="en-GB"/>
        </w:rPr>
        <w:t xml:space="preserve"> with 720,4 Million TL.</w:t>
      </w:r>
    </w:p>
    <w:p w:rsidR="00C51676" w:rsidRPr="00F876CB" w:rsidRDefault="00C51676" w:rsidP="00C51676">
      <w:pPr>
        <w:rPr>
          <w:lang w:val="en-GB"/>
        </w:rPr>
      </w:pPr>
    </w:p>
    <w:p w:rsidR="00252FDF" w:rsidRPr="00F876CB" w:rsidRDefault="00015994" w:rsidP="00252FDF">
      <w:pPr>
        <w:pStyle w:val="Balk6"/>
        <w:rPr>
          <w:lang w:val="en-GB"/>
        </w:rPr>
      </w:pPr>
      <w:bookmarkStart w:id="1129" w:name="_Toc44508427"/>
      <w:r w:rsidRPr="00F876CB">
        <w:rPr>
          <w:lang w:val="en-GB"/>
        </w:rPr>
        <w:t>Figure</w:t>
      </w:r>
      <w:r w:rsidR="00252FDF" w:rsidRPr="00F876CB">
        <w:rPr>
          <w:lang w:val="en-GB"/>
        </w:rPr>
        <w:t xml:space="preserve"> </w:t>
      </w:r>
      <w:r w:rsidR="00DE0519" w:rsidRPr="00F876CB">
        <w:rPr>
          <w:lang w:val="en-GB"/>
        </w:rPr>
        <w:t>5</w:t>
      </w:r>
      <w:r w:rsidR="00252FDF" w:rsidRPr="00F876CB">
        <w:rPr>
          <w:lang w:val="en-GB"/>
        </w:rPr>
        <w:fldChar w:fldCharType="begin"/>
      </w:r>
      <w:r w:rsidR="00252FDF" w:rsidRPr="00F876CB">
        <w:rPr>
          <w:lang w:val="en-GB"/>
        </w:rPr>
        <w:instrText xml:space="preserve"> STYLEREF 1 \s </w:instrText>
      </w:r>
      <w:r w:rsidR="00252FDF" w:rsidRPr="00F876CB">
        <w:rPr>
          <w:lang w:val="en-GB"/>
        </w:rPr>
        <w:fldChar w:fldCharType="end"/>
      </w:r>
      <w:r w:rsidR="00252FDF" w:rsidRPr="00F876CB">
        <w:rPr>
          <w:lang w:val="en-GB"/>
        </w:rPr>
        <w:t>.</w:t>
      </w:r>
      <w:r w:rsidR="00A05A2E" w:rsidRPr="00F876CB">
        <w:rPr>
          <w:lang w:val="en-GB"/>
        </w:rPr>
        <w:t>6</w:t>
      </w:r>
      <w:r w:rsidR="00252FDF" w:rsidRPr="00F876CB">
        <w:rPr>
          <w:lang w:val="en-GB"/>
        </w:rPr>
        <w:t xml:space="preserve">: </w:t>
      </w:r>
      <w:bookmarkEnd w:id="1125"/>
      <w:bookmarkEnd w:id="1126"/>
      <w:bookmarkEnd w:id="1127"/>
      <w:bookmarkEnd w:id="1128"/>
      <w:r w:rsidR="007A7CD7" w:rsidRPr="00F876CB">
        <w:rPr>
          <w:rFonts w:eastAsia="Times New Roman"/>
          <w:lang w:val="en-GB" w:eastAsia="tr-TR" w:bidi="ar-SA"/>
        </w:rPr>
        <w:t xml:space="preserve">Investment Amounts of </w:t>
      </w:r>
      <w:proofErr w:type="spellStart"/>
      <w:r w:rsidR="007A7CD7" w:rsidRPr="00F876CB">
        <w:rPr>
          <w:rFonts w:eastAsia="Times New Roman"/>
          <w:lang w:val="en-GB" w:eastAsia="tr-TR" w:bidi="ar-SA"/>
        </w:rPr>
        <w:t>Dıstribution</w:t>
      </w:r>
      <w:proofErr w:type="spellEnd"/>
      <w:r w:rsidR="007A7CD7" w:rsidRPr="00F876CB">
        <w:rPr>
          <w:rFonts w:eastAsia="Times New Roman"/>
          <w:lang w:val="en-GB" w:eastAsia="tr-TR" w:bidi="ar-SA"/>
        </w:rPr>
        <w:t xml:space="preserve"> Companies in 2019 (Current Prices-TL)</w:t>
      </w:r>
      <w:bookmarkEnd w:id="1129"/>
    </w:p>
    <w:p w:rsidR="00252FDF" w:rsidRPr="00F876CB" w:rsidRDefault="00186A94" w:rsidP="00252FDF">
      <w:pPr>
        <w:jc w:val="center"/>
        <w:rPr>
          <w:highlight w:val="yellow"/>
          <w:lang w:val="en-GB"/>
        </w:rPr>
      </w:pPr>
      <w:r w:rsidRPr="00F876CB">
        <w:rPr>
          <w:noProof/>
          <w:lang w:eastAsia="tr-TR" w:bidi="ar-SA"/>
        </w:rPr>
        <w:drawing>
          <wp:inline distT="0" distB="0" distL="0" distR="0" wp14:anchorId="694696AA" wp14:editId="55005E90">
            <wp:extent cx="5760720" cy="3000375"/>
            <wp:effectExtent l="0" t="0" r="0" b="952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60720" cy="3000375"/>
                    </a:xfrm>
                    <a:prstGeom prst="rect">
                      <a:avLst/>
                    </a:prstGeom>
                  </pic:spPr>
                </pic:pic>
              </a:graphicData>
            </a:graphic>
          </wp:inline>
        </w:drawing>
      </w:r>
    </w:p>
    <w:p w:rsidR="000647C0" w:rsidRPr="00F876CB" w:rsidRDefault="000647C0" w:rsidP="00252FDF">
      <w:pPr>
        <w:spacing w:line="360" w:lineRule="auto"/>
        <w:ind w:firstLine="708"/>
        <w:jc w:val="both"/>
        <w:rPr>
          <w:rFonts w:asciiTheme="minorHAnsi" w:hAnsiTheme="minorHAnsi" w:cstheme="minorHAnsi"/>
          <w:noProof/>
          <w:sz w:val="24"/>
          <w:szCs w:val="24"/>
          <w:lang w:val="en-GB" w:eastAsia="tr-TR" w:bidi="ar-SA"/>
        </w:rPr>
      </w:pPr>
    </w:p>
    <w:p w:rsidR="00C51676" w:rsidRPr="008A4904" w:rsidRDefault="009E2BB5" w:rsidP="008A4904">
      <w:pPr>
        <w:spacing w:after="0" w:line="360" w:lineRule="auto"/>
        <w:jc w:val="both"/>
        <w:rPr>
          <w:rFonts w:asciiTheme="minorHAnsi" w:hAnsiTheme="minorHAnsi" w:cstheme="minorHAnsi"/>
          <w:sz w:val="24"/>
          <w:szCs w:val="24"/>
          <w:lang w:val="en-GB"/>
        </w:rPr>
      </w:pPr>
      <w:bookmarkStart w:id="1130" w:name="_Toc450309983"/>
      <w:r w:rsidRPr="008A4904">
        <w:rPr>
          <w:rFonts w:asciiTheme="minorHAnsi" w:hAnsiTheme="minorHAnsi" w:cstheme="minorHAnsi"/>
          <w:sz w:val="24"/>
          <w:szCs w:val="24"/>
          <w:lang w:val="en-GB"/>
        </w:rPr>
        <w:t xml:space="preserve">            Investment expenditures made by investment type in 2019 are shown in the Table below. The majority of investments are network investments.</w:t>
      </w:r>
    </w:p>
    <w:p w:rsidR="00252FDF" w:rsidRPr="00F876CB" w:rsidRDefault="00015994" w:rsidP="00252FDF">
      <w:pPr>
        <w:pStyle w:val="Balk5"/>
        <w:rPr>
          <w:lang w:val="en-GB"/>
        </w:rPr>
      </w:pPr>
      <w:bookmarkStart w:id="1131" w:name="_Toc44508355"/>
      <w:r w:rsidRPr="00F876CB">
        <w:rPr>
          <w:rFonts w:eastAsiaTheme="minorEastAsia"/>
          <w:bCs/>
          <w:caps/>
          <w:lang w:val="en-GB"/>
        </w:rPr>
        <w:t>T</w:t>
      </w:r>
      <w:r w:rsidR="008A4904" w:rsidRPr="00F876CB">
        <w:rPr>
          <w:rFonts w:eastAsiaTheme="minorEastAsia"/>
          <w:bCs/>
          <w:lang w:val="en-GB"/>
        </w:rPr>
        <w:t>able</w:t>
      </w:r>
      <w:r w:rsidR="00252FDF" w:rsidRPr="00F876CB">
        <w:rPr>
          <w:rFonts w:eastAsiaTheme="minorEastAsia"/>
          <w:bCs/>
          <w:caps/>
          <w:lang w:val="en-GB"/>
        </w:rPr>
        <w:t xml:space="preserve"> </w:t>
      </w:r>
      <w:r w:rsidR="00DE0519" w:rsidRPr="00F876CB">
        <w:rPr>
          <w:rFonts w:eastAsiaTheme="minorEastAsia"/>
          <w:bCs/>
          <w:caps/>
          <w:lang w:val="en-GB"/>
        </w:rPr>
        <w:t>5</w:t>
      </w:r>
      <w:r w:rsidR="00252FDF" w:rsidRPr="00F876CB">
        <w:rPr>
          <w:rFonts w:eastAsiaTheme="minorEastAsia"/>
          <w:bCs/>
          <w:caps/>
          <w:lang w:val="en-GB"/>
        </w:rPr>
        <w:fldChar w:fldCharType="begin"/>
      </w:r>
      <w:r w:rsidR="00252FDF" w:rsidRPr="00F876CB">
        <w:rPr>
          <w:rFonts w:eastAsiaTheme="minorEastAsia"/>
          <w:bCs/>
          <w:caps/>
          <w:lang w:val="en-GB"/>
        </w:rPr>
        <w:instrText xml:space="preserve"> STYLEREF 1 \s </w:instrText>
      </w:r>
      <w:r w:rsidR="00252FDF" w:rsidRPr="00F876CB">
        <w:rPr>
          <w:rFonts w:eastAsiaTheme="minorEastAsia"/>
          <w:bCs/>
          <w:caps/>
          <w:lang w:val="en-GB"/>
        </w:rPr>
        <w:fldChar w:fldCharType="end"/>
      </w:r>
      <w:r w:rsidR="00252FDF" w:rsidRPr="00F876CB">
        <w:rPr>
          <w:rFonts w:eastAsiaTheme="minorEastAsia"/>
          <w:bCs/>
          <w:caps/>
          <w:lang w:val="en-GB"/>
        </w:rPr>
        <w:t>.</w:t>
      </w:r>
      <w:r w:rsidR="00CE6863" w:rsidRPr="00F876CB">
        <w:rPr>
          <w:rFonts w:eastAsiaTheme="minorEastAsia"/>
          <w:bCs/>
          <w:caps/>
          <w:lang w:val="en-GB"/>
        </w:rPr>
        <w:t>1</w:t>
      </w:r>
      <w:r w:rsidR="00796802" w:rsidRPr="00F876CB">
        <w:rPr>
          <w:rFonts w:eastAsiaTheme="minorEastAsia"/>
          <w:bCs/>
          <w:caps/>
          <w:lang w:val="en-GB"/>
        </w:rPr>
        <w:t>2</w:t>
      </w:r>
      <w:r w:rsidR="00252FDF" w:rsidRPr="00F876CB">
        <w:rPr>
          <w:rFonts w:eastAsiaTheme="minorEastAsia"/>
          <w:bCs/>
          <w:caps/>
          <w:lang w:val="en-GB"/>
        </w:rPr>
        <w:t>:</w:t>
      </w:r>
      <w:r w:rsidR="00252FDF" w:rsidRPr="00F876CB">
        <w:rPr>
          <w:caps/>
          <w:lang w:val="en-GB"/>
        </w:rPr>
        <w:t xml:space="preserve"> </w:t>
      </w:r>
      <w:bookmarkEnd w:id="1130"/>
      <w:r w:rsidR="00A264A0" w:rsidRPr="00F876CB">
        <w:rPr>
          <w:lang w:val="en-GB"/>
        </w:rPr>
        <w:t xml:space="preserve">Investment Amounts of Distribution Companies in </w:t>
      </w:r>
      <w:proofErr w:type="gramStart"/>
      <w:r w:rsidR="00A264A0" w:rsidRPr="00F876CB">
        <w:rPr>
          <w:lang w:val="en-GB"/>
        </w:rPr>
        <w:t>2019  (</w:t>
      </w:r>
      <w:proofErr w:type="gramEnd"/>
      <w:r w:rsidR="00A264A0" w:rsidRPr="00F876CB">
        <w:rPr>
          <w:lang w:val="en-GB"/>
        </w:rPr>
        <w:t>TL)</w:t>
      </w:r>
      <w:bookmarkEnd w:id="1131"/>
    </w:p>
    <w:tbl>
      <w:tblPr>
        <w:tblW w:w="8582" w:type="dxa"/>
        <w:tblInd w:w="55" w:type="dxa"/>
        <w:tblCellMar>
          <w:left w:w="70" w:type="dxa"/>
          <w:right w:w="70" w:type="dxa"/>
        </w:tblCellMar>
        <w:tblLook w:val="04A0" w:firstRow="1" w:lastRow="0" w:firstColumn="1" w:lastColumn="0" w:noHBand="0" w:noVBand="1"/>
      </w:tblPr>
      <w:tblGrid>
        <w:gridCol w:w="1858"/>
        <w:gridCol w:w="3322"/>
        <w:gridCol w:w="3402"/>
      </w:tblGrid>
      <w:tr w:rsidR="00EF0698" w:rsidRPr="00F876CB" w:rsidTr="008A4904">
        <w:trPr>
          <w:trHeight w:val="308"/>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F876CB" w:rsidRDefault="00A264A0" w:rsidP="0020372D">
            <w:pPr>
              <w:spacing w:after="0" w:line="240" w:lineRule="auto"/>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Distribution Company</w:t>
            </w:r>
          </w:p>
        </w:tc>
        <w:tc>
          <w:tcPr>
            <w:tcW w:w="3322" w:type="dxa"/>
            <w:tcBorders>
              <w:top w:val="single" w:sz="8" w:space="0" w:color="auto"/>
              <w:left w:val="nil"/>
              <w:bottom w:val="single" w:sz="8" w:space="0" w:color="auto"/>
              <w:right w:val="single" w:sz="8" w:space="0" w:color="auto"/>
            </w:tcBorders>
            <w:shd w:val="clear" w:color="000000" w:fill="FF0000"/>
            <w:vAlign w:val="center"/>
          </w:tcPr>
          <w:p w:rsidR="00EF0698" w:rsidRPr="00F876CB" w:rsidRDefault="00A264A0" w:rsidP="000647C0">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Investment Type</w:t>
            </w:r>
          </w:p>
        </w:tc>
        <w:tc>
          <w:tcPr>
            <w:tcW w:w="3402"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B526A8" w:rsidRPr="00F876CB" w:rsidRDefault="00B526A8" w:rsidP="00B526A8">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 xml:space="preserve">2019 Investment </w:t>
            </w:r>
            <w:proofErr w:type="gramStart"/>
            <w:r w:rsidRPr="00F876CB">
              <w:rPr>
                <w:rFonts w:ascii="Times New Roman" w:eastAsia="Times New Roman" w:hAnsi="Times New Roman" w:cs="Times New Roman"/>
                <w:b/>
                <w:bCs/>
                <w:color w:val="FFFFFF"/>
                <w:sz w:val="24"/>
                <w:szCs w:val="24"/>
                <w:lang w:val="en-GB" w:eastAsia="tr-TR" w:bidi="ar-SA"/>
              </w:rPr>
              <w:t>Amount(</w:t>
            </w:r>
            <w:proofErr w:type="gramEnd"/>
            <w:r w:rsidRPr="00F876CB">
              <w:rPr>
                <w:rFonts w:ascii="Times New Roman" w:eastAsia="Times New Roman" w:hAnsi="Times New Roman" w:cs="Times New Roman"/>
                <w:b/>
                <w:bCs/>
                <w:color w:val="FFFFFF"/>
                <w:sz w:val="24"/>
                <w:szCs w:val="24"/>
                <w:lang w:val="en-GB" w:eastAsia="tr-TR" w:bidi="ar-SA"/>
              </w:rPr>
              <w:t>TL)</w:t>
            </w:r>
          </w:p>
          <w:p w:rsidR="00EF0698" w:rsidRPr="00F876CB" w:rsidRDefault="00B526A8" w:rsidP="00B526A8">
            <w:pPr>
              <w:spacing w:after="0" w:line="240" w:lineRule="auto"/>
              <w:jc w:val="center"/>
              <w:rPr>
                <w:rFonts w:ascii="Times New Roman" w:eastAsia="Times New Roman" w:hAnsi="Times New Roman" w:cs="Times New Roman"/>
                <w:b/>
                <w:bCs/>
                <w:color w:val="FFFFFF"/>
                <w:sz w:val="24"/>
                <w:szCs w:val="24"/>
                <w:lang w:val="en-GB" w:eastAsia="tr-TR" w:bidi="ar-SA"/>
              </w:rPr>
            </w:pPr>
            <w:r w:rsidRPr="00F876CB">
              <w:rPr>
                <w:rFonts w:ascii="Times New Roman" w:eastAsia="Times New Roman" w:hAnsi="Times New Roman" w:cs="Times New Roman"/>
                <w:b/>
                <w:bCs/>
                <w:color w:val="FFFFFF"/>
                <w:sz w:val="24"/>
                <w:szCs w:val="24"/>
                <w:lang w:val="en-GB" w:eastAsia="tr-TR" w:bidi="ar-SA"/>
              </w:rPr>
              <w:t>(CPI June.2019:413,63)</w:t>
            </w:r>
          </w:p>
        </w:tc>
      </w:tr>
      <w:tr w:rsidR="00EF0698" w:rsidRPr="00F876CB" w:rsidTr="00C51676">
        <w:trPr>
          <w:trHeight w:val="103"/>
        </w:trPr>
        <w:tc>
          <w:tcPr>
            <w:tcW w:w="1858" w:type="dxa"/>
            <w:vMerge w:val="restart"/>
            <w:tcBorders>
              <w:top w:val="nil"/>
              <w:left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Cs/>
                <w:color w:val="FFFFFF"/>
                <w:lang w:val="en-GB" w:eastAsia="tr-TR" w:bidi="ar-SA"/>
              </w:rPr>
            </w:pPr>
            <w:r w:rsidRPr="00F876CB">
              <w:rPr>
                <w:rFonts w:ascii="Calibri" w:eastAsia="Times New Roman" w:hAnsi="Calibri" w:cs="Times New Roman"/>
                <w:bCs/>
                <w:color w:val="000000"/>
                <w:lang w:val="en-GB" w:eastAsia="tr-TR" w:bidi="ar-SA"/>
              </w:rPr>
              <w:t>21 EDAŞ</w:t>
            </w:r>
          </w:p>
        </w:tc>
        <w:tc>
          <w:tcPr>
            <w:tcW w:w="3322" w:type="dxa"/>
            <w:tcBorders>
              <w:top w:val="single" w:sz="8" w:space="0" w:color="auto"/>
              <w:left w:val="nil"/>
              <w:bottom w:val="single" w:sz="8" w:space="0" w:color="auto"/>
              <w:right w:val="single" w:sz="8" w:space="0" w:color="auto"/>
            </w:tcBorders>
            <w:vAlign w:val="bottom"/>
          </w:tcPr>
          <w:p w:rsidR="00EF0698" w:rsidRPr="00F876CB" w:rsidRDefault="00A264A0" w:rsidP="0020372D">
            <w:pPr>
              <w:spacing w:after="0" w:line="240" w:lineRule="auto"/>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Network Investments</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3A67CA" w:rsidP="00BC572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5.371.932.490</w:t>
            </w:r>
          </w:p>
        </w:tc>
      </w:tr>
      <w:tr w:rsidR="00EF0698" w:rsidRPr="00F876CB" w:rsidTr="00C51676">
        <w:trPr>
          <w:trHeight w:val="221"/>
        </w:trPr>
        <w:tc>
          <w:tcPr>
            <w:tcW w:w="1858" w:type="dxa"/>
            <w:vMerge/>
            <w:tcBorders>
              <w:left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
                <w:bCs/>
                <w:color w:val="FFFFFF"/>
                <w:lang w:val="en-GB"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F876CB" w:rsidRDefault="00A264A0" w:rsidP="00C51676">
            <w:pPr>
              <w:spacing w:after="0" w:line="240" w:lineRule="auto"/>
              <w:rPr>
                <w:rFonts w:ascii="Calibri" w:eastAsia="Times New Roman" w:hAnsi="Calibri" w:cs="Times New Roman"/>
                <w:color w:val="000000"/>
                <w:lang w:val="en-GB" w:eastAsia="tr-TR" w:bidi="ar-SA"/>
              </w:rPr>
            </w:pPr>
            <w:r w:rsidRPr="00F876CB">
              <w:rPr>
                <w:rFonts w:ascii="Calibri" w:eastAsia="Times New Roman" w:hAnsi="Calibri" w:cs="Times New Roman"/>
                <w:lang w:val="en-GB" w:eastAsia="tr-TR" w:bidi="ar-SA"/>
              </w:rPr>
              <w:t>Investments with Environmental, Security and Other Legal Obligations</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F1449E" w:rsidP="00BC572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972.146.638</w:t>
            </w:r>
          </w:p>
        </w:tc>
      </w:tr>
      <w:tr w:rsidR="00EF0698" w:rsidRPr="00F876CB" w:rsidTr="00C51676">
        <w:trPr>
          <w:trHeight w:val="100"/>
        </w:trPr>
        <w:tc>
          <w:tcPr>
            <w:tcW w:w="1858" w:type="dxa"/>
            <w:vMerge/>
            <w:tcBorders>
              <w:left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
                <w:bCs/>
                <w:color w:val="FFFFFF"/>
                <w:lang w:val="en-GB"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F876CB" w:rsidRDefault="00B526A8" w:rsidP="0020372D">
            <w:pPr>
              <w:spacing w:after="0" w:line="240" w:lineRule="auto"/>
              <w:rPr>
                <w:rFonts w:ascii="Calibri" w:eastAsia="Times New Roman" w:hAnsi="Calibri" w:cs="Times New Roman"/>
                <w:color w:val="000000"/>
                <w:lang w:val="en-GB" w:eastAsia="tr-TR" w:bidi="ar-SA"/>
              </w:rPr>
            </w:pPr>
            <w:r w:rsidRPr="00F876CB">
              <w:rPr>
                <w:rFonts w:ascii="Calibri" w:eastAsia="Times New Roman" w:hAnsi="Calibri" w:cs="Times New Roman"/>
                <w:lang w:val="en-GB" w:eastAsia="tr-TR" w:bidi="ar-SA"/>
              </w:rPr>
              <w:t>Network Operating System Investments</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F1449E" w:rsidP="00BC572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585.332.040</w:t>
            </w:r>
          </w:p>
        </w:tc>
      </w:tr>
      <w:tr w:rsidR="00EF0698" w:rsidRPr="00F876CB" w:rsidTr="00C51676">
        <w:trPr>
          <w:trHeight w:val="232"/>
        </w:trPr>
        <w:tc>
          <w:tcPr>
            <w:tcW w:w="1858" w:type="dxa"/>
            <w:vMerge/>
            <w:tcBorders>
              <w:left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
                <w:bCs/>
                <w:color w:val="FFFFFF"/>
                <w:lang w:val="en-GB"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F876CB" w:rsidRDefault="00B526A8" w:rsidP="0020372D">
            <w:pPr>
              <w:spacing w:after="0" w:line="240" w:lineRule="auto"/>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Counter Investment</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F1449E" w:rsidP="00BC572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223.498.793</w:t>
            </w:r>
          </w:p>
        </w:tc>
      </w:tr>
      <w:tr w:rsidR="00EF0698" w:rsidRPr="00F876CB" w:rsidTr="00C51676">
        <w:trPr>
          <w:trHeight w:val="315"/>
        </w:trPr>
        <w:tc>
          <w:tcPr>
            <w:tcW w:w="1858" w:type="dxa"/>
            <w:vMerge/>
            <w:tcBorders>
              <w:left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
                <w:bCs/>
                <w:color w:val="FFFFFF"/>
                <w:lang w:val="en-GB"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F876CB" w:rsidRDefault="00B526A8" w:rsidP="0020372D">
            <w:pPr>
              <w:spacing w:after="0" w:line="240" w:lineRule="auto"/>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Other Expenditures as Investment Spending</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F1449E" w:rsidP="00BC5725">
            <w:pPr>
              <w:spacing w:after="0" w:line="240" w:lineRule="auto"/>
              <w:jc w:val="right"/>
              <w:rPr>
                <w:rFonts w:ascii="Calibri" w:eastAsia="Times New Roman" w:hAnsi="Calibri" w:cs="Times New Roman"/>
                <w:color w:val="000000"/>
                <w:lang w:val="en-GB" w:eastAsia="tr-TR" w:bidi="ar-SA"/>
              </w:rPr>
            </w:pPr>
            <w:r w:rsidRPr="00F876CB">
              <w:rPr>
                <w:rFonts w:ascii="Calibri" w:eastAsia="Times New Roman" w:hAnsi="Calibri" w:cs="Times New Roman"/>
                <w:color w:val="000000"/>
                <w:lang w:val="en-GB" w:eastAsia="tr-TR" w:bidi="ar-SA"/>
              </w:rPr>
              <w:t>89.087.174</w:t>
            </w:r>
          </w:p>
        </w:tc>
      </w:tr>
      <w:tr w:rsidR="00EF0698" w:rsidRPr="00F876CB" w:rsidTr="00C51676">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EF0698" w:rsidRPr="00F876CB" w:rsidRDefault="00EF0698" w:rsidP="0020372D">
            <w:pPr>
              <w:spacing w:after="0" w:line="240" w:lineRule="auto"/>
              <w:rPr>
                <w:rFonts w:ascii="Times New Roman" w:eastAsia="Times New Roman" w:hAnsi="Times New Roman" w:cs="Times New Roman"/>
                <w:b/>
                <w:bCs/>
                <w:color w:val="FFFFFF"/>
                <w:lang w:val="en-GB" w:eastAsia="tr-TR" w:bidi="ar-SA"/>
              </w:rPr>
            </w:pPr>
          </w:p>
        </w:tc>
        <w:tc>
          <w:tcPr>
            <w:tcW w:w="3322" w:type="dxa"/>
            <w:tcBorders>
              <w:top w:val="single" w:sz="8" w:space="0" w:color="auto"/>
              <w:left w:val="nil"/>
              <w:bottom w:val="single" w:sz="8" w:space="0" w:color="auto"/>
              <w:right w:val="single" w:sz="8" w:space="0" w:color="auto"/>
            </w:tcBorders>
            <w:vAlign w:val="bottom"/>
          </w:tcPr>
          <w:p w:rsidR="00EF0698" w:rsidRPr="00F876CB" w:rsidRDefault="00B526A8" w:rsidP="0020372D">
            <w:pPr>
              <w:spacing w:after="0" w:line="240" w:lineRule="auto"/>
              <w:rPr>
                <w:rFonts w:ascii="Calibri" w:eastAsia="Times New Roman" w:hAnsi="Calibri" w:cs="Times New Roman"/>
                <w:b/>
                <w:bCs/>
                <w:color w:val="000000"/>
                <w:lang w:val="en-GB" w:eastAsia="tr-TR" w:bidi="ar-SA"/>
              </w:rPr>
            </w:pPr>
            <w:r w:rsidRPr="00F876CB">
              <w:rPr>
                <w:rFonts w:ascii="Calibri" w:eastAsia="Times New Roman" w:hAnsi="Calibri" w:cs="Times New Roman"/>
                <w:b/>
                <w:bCs/>
                <w:color w:val="000000"/>
                <w:lang w:val="en-GB" w:eastAsia="tr-TR" w:bidi="ar-SA"/>
              </w:rPr>
              <w:t>Total</w:t>
            </w:r>
          </w:p>
        </w:tc>
        <w:tc>
          <w:tcPr>
            <w:tcW w:w="3402" w:type="dxa"/>
            <w:tcBorders>
              <w:top w:val="nil"/>
              <w:left w:val="single" w:sz="8" w:space="0" w:color="auto"/>
              <w:bottom w:val="single" w:sz="8" w:space="0" w:color="auto"/>
              <w:right w:val="single" w:sz="8" w:space="0" w:color="auto"/>
            </w:tcBorders>
            <w:shd w:val="clear" w:color="auto" w:fill="auto"/>
            <w:noWrap/>
            <w:vAlign w:val="bottom"/>
          </w:tcPr>
          <w:p w:rsidR="00EF0698" w:rsidRPr="00F876CB" w:rsidRDefault="00F1449E" w:rsidP="0020372D">
            <w:pPr>
              <w:spacing w:after="0" w:line="240" w:lineRule="auto"/>
              <w:jc w:val="right"/>
              <w:rPr>
                <w:rFonts w:ascii="Calibri" w:eastAsia="Times New Roman" w:hAnsi="Calibri" w:cs="Times New Roman"/>
                <w:b/>
                <w:bCs/>
                <w:color w:val="000000"/>
                <w:lang w:val="en-GB" w:eastAsia="tr-TR" w:bidi="ar-SA"/>
              </w:rPr>
            </w:pPr>
            <w:r w:rsidRPr="00F876CB">
              <w:rPr>
                <w:rFonts w:ascii="Calibri" w:eastAsia="Times New Roman" w:hAnsi="Calibri" w:cs="Times New Roman"/>
                <w:b/>
                <w:bCs/>
                <w:color w:val="000000"/>
                <w:lang w:val="en-GB" w:eastAsia="tr-TR" w:bidi="ar-SA"/>
              </w:rPr>
              <w:t>7.241.997.135</w:t>
            </w:r>
          </w:p>
        </w:tc>
      </w:tr>
    </w:tbl>
    <w:p w:rsidR="00C3585E" w:rsidRPr="00F876CB" w:rsidRDefault="00C3585E" w:rsidP="00C3585E">
      <w:pPr>
        <w:spacing w:after="0" w:line="240" w:lineRule="auto"/>
        <w:jc w:val="both"/>
        <w:rPr>
          <w:rFonts w:ascii="Times New Roman" w:hAnsi="Times New Roman" w:cs="Times New Roman"/>
          <w:color w:val="212121"/>
          <w:sz w:val="20"/>
          <w:szCs w:val="20"/>
          <w:shd w:val="clear" w:color="auto" w:fill="FFFFFF"/>
          <w:lang w:val="en-GB"/>
        </w:rPr>
      </w:pPr>
      <w:r w:rsidRPr="00F876CB">
        <w:rPr>
          <w:rFonts w:ascii="Times New Roman" w:hAnsi="Times New Roman" w:cs="Times New Roman"/>
          <w:color w:val="212121"/>
          <w:sz w:val="20"/>
          <w:szCs w:val="20"/>
          <w:shd w:val="clear" w:color="auto" w:fill="FFFFFF"/>
          <w:lang w:val="en-GB"/>
        </w:rPr>
        <w:t xml:space="preserve">*The unit price is calculated according to the June CPI: </w:t>
      </w:r>
      <w:r w:rsidR="008A4904">
        <w:rPr>
          <w:rFonts w:ascii="Times New Roman" w:hAnsi="Times New Roman" w:cs="Times New Roman"/>
          <w:color w:val="212121"/>
          <w:sz w:val="20"/>
          <w:szCs w:val="20"/>
          <w:shd w:val="clear" w:color="auto" w:fill="FFFFFF"/>
          <w:lang w:val="en-GB"/>
        </w:rPr>
        <w:t>413,63</w:t>
      </w:r>
    </w:p>
    <w:p w:rsidR="00C3585E" w:rsidRPr="00F876CB" w:rsidRDefault="00C3585E" w:rsidP="00C3585E">
      <w:pPr>
        <w:spacing w:after="0" w:line="240" w:lineRule="auto"/>
        <w:jc w:val="both"/>
        <w:rPr>
          <w:rFonts w:ascii="Times New Roman" w:hAnsi="Times New Roman" w:cs="Times New Roman"/>
          <w:color w:val="212121"/>
          <w:sz w:val="20"/>
          <w:szCs w:val="20"/>
          <w:shd w:val="clear" w:color="auto" w:fill="FFFFFF"/>
          <w:lang w:val="en-GB"/>
        </w:rPr>
      </w:pPr>
      <w:r w:rsidRPr="00F876CB">
        <w:rPr>
          <w:rFonts w:ascii="Times New Roman" w:hAnsi="Times New Roman" w:cs="Times New Roman"/>
          <w:color w:val="212121"/>
          <w:sz w:val="20"/>
          <w:szCs w:val="20"/>
          <w:shd w:val="clear" w:color="auto" w:fill="FFFFFF"/>
          <w:lang w:val="en-GB"/>
        </w:rPr>
        <w:t>**</w:t>
      </w:r>
      <w:r w:rsidRPr="00F876CB">
        <w:rPr>
          <w:rFonts w:ascii="Times New Roman" w:eastAsia="Times New Roman" w:hAnsi="Times New Roman" w:cs="Times New Roman"/>
          <w:color w:val="212121"/>
          <w:sz w:val="20"/>
          <w:szCs w:val="20"/>
          <w:lang w:val="en-GB" w:eastAsia="tr-TR"/>
        </w:rPr>
        <w:t xml:space="preserve"> Investments starting in the II.  Implementation Period and complemented in the III. Implementation Period are included.</w:t>
      </w:r>
    </w:p>
    <w:p w:rsidR="00C3585E" w:rsidRPr="00F876CB" w:rsidRDefault="00C3585E" w:rsidP="00C3585E">
      <w:pPr>
        <w:pStyle w:val="HTMLncedenBiimlendirilmi"/>
        <w:shd w:val="clear" w:color="auto" w:fill="FFFFFF"/>
        <w:jc w:val="both"/>
        <w:rPr>
          <w:rFonts w:ascii="Times New Roman" w:eastAsia="Times New Roman" w:hAnsi="Times New Roman" w:cs="Times New Roman"/>
          <w:color w:val="212121"/>
          <w:lang w:val="en-GB" w:eastAsia="tr-TR"/>
        </w:rPr>
      </w:pPr>
      <w:r w:rsidRPr="00F876CB">
        <w:rPr>
          <w:rFonts w:ascii="Times New Roman" w:hAnsi="Times New Roman" w:cs="Times New Roman"/>
          <w:lang w:val="en-GB"/>
        </w:rPr>
        <w:t>***</w:t>
      </w:r>
      <w:r w:rsidRPr="00F876CB">
        <w:rPr>
          <w:rFonts w:ascii="Times New Roman" w:eastAsia="Times New Roman" w:hAnsi="Times New Roman" w:cs="Times New Roman"/>
          <w:b/>
          <w:color w:val="212121"/>
          <w:lang w:val="en-GB" w:eastAsia="tr-TR"/>
        </w:rPr>
        <w:t xml:space="preserve"> </w:t>
      </w:r>
      <w:r w:rsidRPr="00F876CB">
        <w:rPr>
          <w:rFonts w:ascii="Times New Roman" w:eastAsia="Times New Roman" w:hAnsi="Times New Roman" w:cs="Times New Roman"/>
          <w:color w:val="212121"/>
          <w:lang w:val="en-GB" w:eastAsia="tr-TR"/>
        </w:rPr>
        <w:t>The tables are prepared on the basis of the declarations made by the companies via the notification system.</w:t>
      </w:r>
    </w:p>
    <w:p w:rsidR="00252FDF" w:rsidRPr="00F876CB" w:rsidRDefault="00252FDF" w:rsidP="00252FDF">
      <w:pPr>
        <w:pStyle w:val="11ilebalayanlar"/>
        <w:rPr>
          <w:lang w:val="en-GB"/>
        </w:rPr>
      </w:pPr>
      <w:bookmarkStart w:id="1132" w:name="_Toc44508315"/>
      <w:r w:rsidRPr="00F876CB">
        <w:rPr>
          <w:lang w:val="en-GB"/>
        </w:rPr>
        <w:lastRenderedPageBreak/>
        <w:t xml:space="preserve">5.7 </w:t>
      </w:r>
      <w:r w:rsidR="006E5646" w:rsidRPr="00F876CB">
        <w:rPr>
          <w:lang w:val="en-GB"/>
        </w:rPr>
        <w:t>Information about Organized Industrial Zones (OIZ)</w:t>
      </w:r>
      <w:bookmarkEnd w:id="1132"/>
    </w:p>
    <w:p w:rsidR="00252FDF" w:rsidRPr="00F876CB" w:rsidRDefault="00252FDF" w:rsidP="00252FDF">
      <w:pPr>
        <w:pStyle w:val="11ilebalayanlar"/>
        <w:rPr>
          <w:lang w:val="en-GB"/>
        </w:rPr>
      </w:pPr>
    </w:p>
    <w:p w:rsidR="006E5646" w:rsidRPr="00F876CB" w:rsidRDefault="006E5646" w:rsidP="006E5646">
      <w:pPr>
        <w:spacing w:line="360" w:lineRule="auto"/>
        <w:jc w:val="both"/>
        <w:rPr>
          <w:rFonts w:asciiTheme="minorHAnsi" w:hAnsiTheme="minorHAnsi" w:cstheme="minorHAnsi"/>
          <w:noProof/>
          <w:sz w:val="24"/>
          <w:szCs w:val="24"/>
          <w:lang w:val="en-GB" w:eastAsia="tr-TR" w:bidi="ar-SA"/>
        </w:rPr>
      </w:pPr>
      <w:r w:rsidRPr="00F876CB">
        <w:rPr>
          <w:rFonts w:ascii="Times New Roman" w:hAnsi="Times New Roman" w:cs="Times New Roman"/>
          <w:noProof/>
          <w:sz w:val="24"/>
          <w:szCs w:val="24"/>
          <w:lang w:val="en-GB" w:eastAsia="tr-TR" w:bidi="ar-SA"/>
        </w:rPr>
        <w:t>The following table shows the data related to OIZ Distribution License Owners</w:t>
      </w:r>
      <w:r w:rsidRPr="00F876CB">
        <w:rPr>
          <w:rFonts w:asciiTheme="minorHAnsi" w:hAnsiTheme="minorHAnsi" w:cstheme="minorHAnsi"/>
          <w:noProof/>
          <w:sz w:val="24"/>
          <w:szCs w:val="24"/>
          <w:lang w:val="en-GB" w:eastAsia="tr-TR" w:bidi="ar-SA"/>
        </w:rPr>
        <w:t>.</w:t>
      </w:r>
    </w:p>
    <w:p w:rsidR="00252FDF" w:rsidRPr="00F876CB" w:rsidRDefault="00015994" w:rsidP="00252FDF">
      <w:pPr>
        <w:pStyle w:val="Balk5"/>
        <w:rPr>
          <w:lang w:val="en-GB"/>
        </w:rPr>
      </w:pPr>
      <w:bookmarkStart w:id="1133" w:name="_Toc44508356"/>
      <w:r w:rsidRPr="00F876CB">
        <w:rPr>
          <w:rFonts w:eastAsiaTheme="minorEastAsia"/>
          <w:bCs/>
          <w:caps/>
          <w:lang w:val="en-GB"/>
        </w:rPr>
        <w:t>T</w:t>
      </w:r>
      <w:r w:rsidR="008A4904" w:rsidRPr="00F876CB">
        <w:rPr>
          <w:rFonts w:eastAsiaTheme="minorEastAsia"/>
          <w:bCs/>
          <w:lang w:val="en-GB"/>
        </w:rPr>
        <w:t>able</w:t>
      </w:r>
      <w:r w:rsidR="00252FDF" w:rsidRPr="00F876CB">
        <w:rPr>
          <w:rFonts w:eastAsiaTheme="minorEastAsia"/>
          <w:bCs/>
          <w:caps/>
          <w:lang w:val="en-GB"/>
        </w:rPr>
        <w:t xml:space="preserve"> </w:t>
      </w:r>
      <w:r w:rsidR="00DE0519" w:rsidRPr="00F876CB">
        <w:rPr>
          <w:rFonts w:eastAsiaTheme="minorEastAsia"/>
          <w:bCs/>
          <w:caps/>
          <w:lang w:val="en-GB"/>
        </w:rPr>
        <w:t>5</w:t>
      </w:r>
      <w:r w:rsidR="00252FDF" w:rsidRPr="00F876CB">
        <w:rPr>
          <w:rFonts w:eastAsiaTheme="minorEastAsia"/>
          <w:bCs/>
          <w:caps/>
          <w:lang w:val="en-GB"/>
        </w:rPr>
        <w:fldChar w:fldCharType="begin"/>
      </w:r>
      <w:r w:rsidR="00252FDF" w:rsidRPr="00F876CB">
        <w:rPr>
          <w:rFonts w:eastAsiaTheme="minorEastAsia"/>
          <w:bCs/>
          <w:caps/>
          <w:lang w:val="en-GB"/>
        </w:rPr>
        <w:instrText xml:space="preserve"> STYLEREF 1 \s </w:instrText>
      </w:r>
      <w:r w:rsidR="00252FDF" w:rsidRPr="00F876CB">
        <w:rPr>
          <w:rFonts w:eastAsiaTheme="minorEastAsia"/>
          <w:bCs/>
          <w:caps/>
          <w:lang w:val="en-GB"/>
        </w:rPr>
        <w:fldChar w:fldCharType="end"/>
      </w:r>
      <w:r w:rsidR="00252FDF" w:rsidRPr="00F876CB">
        <w:rPr>
          <w:rFonts w:eastAsiaTheme="minorEastAsia"/>
          <w:bCs/>
          <w:caps/>
          <w:lang w:val="en-GB"/>
        </w:rPr>
        <w:t>.1</w:t>
      </w:r>
      <w:r w:rsidR="00796802" w:rsidRPr="00F876CB">
        <w:rPr>
          <w:rFonts w:eastAsiaTheme="minorEastAsia"/>
          <w:bCs/>
          <w:caps/>
          <w:lang w:val="en-GB"/>
        </w:rPr>
        <w:t>3</w:t>
      </w:r>
      <w:r w:rsidR="00252FDF" w:rsidRPr="00F876CB">
        <w:rPr>
          <w:rFonts w:eastAsiaTheme="minorEastAsia"/>
          <w:bCs/>
          <w:caps/>
          <w:lang w:val="en-GB"/>
        </w:rPr>
        <w:t>:</w:t>
      </w:r>
      <w:r w:rsidR="00252FDF" w:rsidRPr="00F876CB">
        <w:rPr>
          <w:caps/>
          <w:lang w:val="en-GB"/>
        </w:rPr>
        <w:t xml:space="preserve"> </w:t>
      </w:r>
      <w:r w:rsidR="006E5646" w:rsidRPr="00F876CB">
        <w:rPr>
          <w:lang w:val="en-GB"/>
        </w:rPr>
        <w:t>Information about Organized Industrial Zones</w:t>
      </w:r>
      <w:bookmarkEnd w:id="1133"/>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F876CB"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color w:val="FFFFFF" w:themeColor="background1"/>
                <w:lang w:val="en-US"/>
              </w:rPr>
            </w:pPr>
            <w:r w:rsidRPr="008A4904">
              <w:rPr>
                <w:rFonts w:ascii="Calibri" w:hAnsi="Calibri"/>
                <w:color w:val="FFFFFF" w:themeColor="background1"/>
                <w:lang w:val="en-US"/>
              </w:rPr>
              <w:t>Number of Participant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F876CB" w:rsidRDefault="00BA47EC" w:rsidP="00356971">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47.529</w:t>
            </w:r>
          </w:p>
        </w:tc>
      </w:tr>
      <w:tr w:rsidR="00252FDF" w:rsidRPr="00F876CB"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color w:val="FFFFFF" w:themeColor="background1"/>
                <w:lang w:val="en-US"/>
              </w:rPr>
            </w:pPr>
            <w:r w:rsidRPr="008A4904">
              <w:rPr>
                <w:rFonts w:ascii="Calibri" w:hAnsi="Calibri"/>
                <w:color w:val="FFFFFF" w:themeColor="background1"/>
                <w:lang w:val="en-US"/>
              </w:rPr>
              <w:t>Number of Participant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F876CB" w:rsidRDefault="00BA47EC" w:rsidP="00356971">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13.548</w:t>
            </w:r>
          </w:p>
        </w:tc>
      </w:tr>
      <w:tr w:rsidR="00252FDF" w:rsidRPr="00F876CB"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b/>
                <w:i/>
                <w:color w:val="FFFFFF" w:themeColor="background1"/>
                <w:lang w:val="en-US"/>
              </w:rPr>
            </w:pPr>
            <w:r w:rsidRPr="008A4904">
              <w:rPr>
                <w:rFonts w:ascii="Calibri" w:hAnsi="Calibri"/>
                <w:b/>
                <w:i/>
                <w:color w:val="FFFFFF" w:themeColor="background1"/>
                <w:lang w:val="en-US"/>
              </w:rPr>
              <w:t>Number of Total Participant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F876CB" w:rsidRDefault="00DC580D" w:rsidP="00356971">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61.077</w:t>
            </w:r>
          </w:p>
        </w:tc>
      </w:tr>
      <w:tr w:rsidR="00252FDF" w:rsidRPr="00F876CB"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color w:val="FFFFFF" w:themeColor="background1"/>
                <w:lang w:val="en-US"/>
              </w:rPr>
            </w:pPr>
            <w:r w:rsidRPr="008A4904">
              <w:rPr>
                <w:rFonts w:ascii="Calibri" w:hAnsi="Calibri"/>
                <w:color w:val="FFFFFF" w:themeColor="background1"/>
                <w:lang w:val="en-US"/>
              </w:rPr>
              <w:t xml:space="preserve">Line </w:t>
            </w:r>
            <w:proofErr w:type="spellStart"/>
            <w:r w:rsidRPr="008A4904">
              <w:rPr>
                <w:rFonts w:ascii="Calibri" w:hAnsi="Calibri"/>
                <w:color w:val="FFFFFF" w:themeColor="background1"/>
                <w:lang w:val="en-US"/>
              </w:rPr>
              <w:t>Lenght</w:t>
            </w:r>
            <w:proofErr w:type="spellEnd"/>
            <w:r w:rsidRPr="008A4904">
              <w:rPr>
                <w:rFonts w:ascii="Calibri" w:hAnsi="Calibri"/>
                <w:color w:val="FFFFFF" w:themeColor="background1"/>
                <w:lang w:val="en-US"/>
              </w:rPr>
              <w:t xml:space="preserve">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F876CB" w:rsidRDefault="007D5123" w:rsidP="00842BB4">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3.854</w:t>
            </w:r>
          </w:p>
        </w:tc>
      </w:tr>
      <w:tr w:rsidR="00252FDF" w:rsidRPr="00F876CB"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color w:val="FFFFFF" w:themeColor="background1"/>
                <w:lang w:val="en-US"/>
              </w:rPr>
            </w:pPr>
            <w:r w:rsidRPr="008A4904">
              <w:rPr>
                <w:rFonts w:ascii="Calibri" w:hAnsi="Calibri"/>
                <w:color w:val="FFFFFF" w:themeColor="background1"/>
                <w:lang w:val="en-US"/>
              </w:rPr>
              <w:t>Line Length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F876CB" w:rsidRDefault="00D771E3" w:rsidP="00356971">
            <w:pPr>
              <w:spacing w:after="0" w:line="240" w:lineRule="auto"/>
              <w:jc w:val="right"/>
              <w:rPr>
                <w:rFonts w:asciiTheme="minorHAnsi" w:eastAsia="Times New Roman" w:hAnsiTheme="minorHAnsi" w:cstheme="minorHAnsi"/>
                <w:color w:val="000000"/>
                <w:sz w:val="24"/>
                <w:szCs w:val="24"/>
                <w:lang w:val="en-GB" w:eastAsia="tr-TR" w:bidi="ar-SA"/>
              </w:rPr>
            </w:pPr>
            <w:r w:rsidRPr="00F876CB">
              <w:rPr>
                <w:rFonts w:asciiTheme="minorHAnsi" w:eastAsia="Times New Roman" w:hAnsiTheme="minorHAnsi" w:cstheme="minorHAnsi"/>
                <w:color w:val="000000"/>
                <w:sz w:val="24"/>
                <w:szCs w:val="24"/>
                <w:lang w:val="en-GB" w:eastAsia="tr-TR" w:bidi="ar-SA"/>
              </w:rPr>
              <w:t>8.306</w:t>
            </w:r>
          </w:p>
        </w:tc>
      </w:tr>
      <w:tr w:rsidR="00252FDF" w:rsidRPr="00F876CB"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8A4904" w:rsidRDefault="006E5646" w:rsidP="008A4904">
            <w:pPr>
              <w:jc w:val="both"/>
              <w:rPr>
                <w:rFonts w:ascii="Calibri" w:hAnsi="Calibri"/>
                <w:b/>
                <w:i/>
                <w:color w:val="FFFFFF" w:themeColor="background1"/>
                <w:lang w:val="en-US"/>
              </w:rPr>
            </w:pPr>
            <w:r w:rsidRPr="008A4904">
              <w:rPr>
                <w:rFonts w:ascii="Calibri" w:hAnsi="Calibri"/>
                <w:b/>
                <w:i/>
                <w:color w:val="FFFFFF" w:themeColor="background1"/>
                <w:lang w:val="en-US"/>
              </w:rPr>
              <w:t>Total Line Length</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F876CB" w:rsidRDefault="00D771E3" w:rsidP="00356971">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12.160</w:t>
            </w:r>
          </w:p>
        </w:tc>
      </w:tr>
      <w:tr w:rsidR="00252FDF" w:rsidRPr="00F876CB"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8A4904" w:rsidRDefault="0077349A" w:rsidP="008A4904">
            <w:pPr>
              <w:jc w:val="both"/>
              <w:rPr>
                <w:rFonts w:ascii="Calibri" w:hAnsi="Calibri"/>
                <w:b/>
                <w:i/>
                <w:color w:val="FFFFFF" w:themeColor="background1"/>
                <w:lang w:val="en-US"/>
              </w:rPr>
            </w:pPr>
            <w:r w:rsidRPr="008A4904">
              <w:rPr>
                <w:rFonts w:ascii="Calibri" w:hAnsi="Calibri"/>
                <w:b/>
                <w:i/>
                <w:color w:val="FFFFFF" w:themeColor="background1"/>
                <w:lang w:val="en-US"/>
              </w:rPr>
              <w:t>Number of Employee (Electricity Transmission)</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F876CB" w:rsidRDefault="002F781F" w:rsidP="00D85CED">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832</w:t>
            </w:r>
            <w:r w:rsidR="00817292" w:rsidRPr="00F876CB">
              <w:rPr>
                <w:rFonts w:asciiTheme="minorHAnsi" w:eastAsia="Times New Roman" w:hAnsiTheme="minorHAnsi" w:cstheme="minorHAnsi"/>
                <w:b/>
                <w:color w:val="000000"/>
                <w:sz w:val="24"/>
                <w:szCs w:val="24"/>
                <w:lang w:val="en-GB" w:eastAsia="tr-TR" w:bidi="ar-SA"/>
              </w:rPr>
              <w:t xml:space="preserve"> </w:t>
            </w:r>
          </w:p>
        </w:tc>
      </w:tr>
      <w:tr w:rsidR="00252FDF" w:rsidRPr="00F876CB"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8A4904" w:rsidRDefault="0077349A" w:rsidP="008A4904">
            <w:pPr>
              <w:jc w:val="both"/>
              <w:rPr>
                <w:rFonts w:ascii="Calibri" w:hAnsi="Calibri"/>
                <w:b/>
                <w:i/>
                <w:color w:val="FFFFFF" w:themeColor="background1"/>
                <w:lang w:val="en-US"/>
              </w:rPr>
            </w:pPr>
            <w:r w:rsidRPr="008A4904">
              <w:rPr>
                <w:rFonts w:ascii="Calibri" w:hAnsi="Calibri"/>
                <w:b/>
                <w:i/>
                <w:color w:val="FFFFFF" w:themeColor="background1"/>
                <w:lang w:val="en-US"/>
              </w:rPr>
              <w:t>Number of Transformer (number)</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F876CB" w:rsidRDefault="00D771E3" w:rsidP="00356971">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18.967</w:t>
            </w:r>
          </w:p>
        </w:tc>
      </w:tr>
      <w:tr w:rsidR="00252FDF" w:rsidRPr="00F876CB"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8A4904" w:rsidRDefault="0077349A" w:rsidP="008A4904">
            <w:pPr>
              <w:jc w:val="both"/>
              <w:rPr>
                <w:rFonts w:ascii="Calibri" w:hAnsi="Calibri"/>
                <w:b/>
                <w:i/>
                <w:color w:val="FFFFFF" w:themeColor="background1"/>
                <w:lang w:val="en-US"/>
              </w:rPr>
            </w:pPr>
            <w:r w:rsidRPr="008A4904">
              <w:rPr>
                <w:rFonts w:ascii="Calibri" w:hAnsi="Calibri"/>
                <w:b/>
                <w:i/>
                <w:color w:val="FFFFFF" w:themeColor="background1"/>
                <w:lang w:val="en-US"/>
              </w:rPr>
              <w:t>Installed Capacity of Transformer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F876CB" w:rsidRDefault="007D5123" w:rsidP="002F781F">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19.383</w:t>
            </w:r>
          </w:p>
        </w:tc>
      </w:tr>
      <w:tr w:rsidR="00252FDF" w:rsidRPr="00F876CB"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8A4904" w:rsidRDefault="0077349A" w:rsidP="008A4904">
            <w:pPr>
              <w:jc w:val="both"/>
              <w:rPr>
                <w:rFonts w:ascii="Calibri" w:hAnsi="Calibri"/>
                <w:b/>
                <w:i/>
                <w:color w:val="FFFFFF" w:themeColor="background1"/>
                <w:lang w:val="en-US"/>
              </w:rPr>
            </w:pPr>
            <w:r w:rsidRPr="008A4904">
              <w:rPr>
                <w:rFonts w:ascii="Calibri" w:hAnsi="Calibri"/>
                <w:b/>
                <w:i/>
                <w:color w:val="FFFFFF" w:themeColor="background1"/>
                <w:lang w:val="en-US"/>
              </w:rPr>
              <w:t xml:space="preserve">Annual </w:t>
            </w:r>
            <w:proofErr w:type="spellStart"/>
            <w:r w:rsidRPr="008A4904">
              <w:rPr>
                <w:rFonts w:ascii="Calibri" w:hAnsi="Calibri"/>
                <w:b/>
                <w:i/>
                <w:color w:val="FFFFFF" w:themeColor="background1"/>
                <w:lang w:val="en-US"/>
              </w:rPr>
              <w:t>puant</w:t>
            </w:r>
            <w:proofErr w:type="spellEnd"/>
            <w:r w:rsidRPr="008A4904">
              <w:rPr>
                <w:rFonts w:ascii="Calibri" w:hAnsi="Calibri"/>
                <w:b/>
                <w:i/>
                <w:color w:val="FFFFFF" w:themeColor="background1"/>
                <w:lang w:val="en-US"/>
              </w:rPr>
              <w:t xml:space="preserve"> value of previous year (MW)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F876CB" w:rsidRDefault="00D771E3" w:rsidP="00356971">
            <w:pPr>
              <w:spacing w:after="0" w:line="240" w:lineRule="auto"/>
              <w:jc w:val="right"/>
              <w:rPr>
                <w:rFonts w:asciiTheme="minorHAnsi" w:eastAsia="Times New Roman" w:hAnsiTheme="minorHAnsi" w:cstheme="minorHAnsi"/>
                <w:b/>
                <w:color w:val="000000"/>
                <w:sz w:val="24"/>
                <w:szCs w:val="24"/>
                <w:lang w:val="en-GB" w:eastAsia="tr-TR" w:bidi="ar-SA"/>
              </w:rPr>
            </w:pPr>
            <w:r w:rsidRPr="00F876CB">
              <w:rPr>
                <w:rFonts w:asciiTheme="minorHAnsi" w:eastAsia="Times New Roman" w:hAnsiTheme="minorHAnsi" w:cstheme="minorHAnsi"/>
                <w:b/>
                <w:color w:val="000000"/>
                <w:sz w:val="24"/>
                <w:szCs w:val="24"/>
                <w:lang w:val="en-GB" w:eastAsia="tr-TR" w:bidi="ar-SA"/>
              </w:rPr>
              <w:t>6.783</w:t>
            </w:r>
          </w:p>
        </w:tc>
      </w:tr>
    </w:tbl>
    <w:p w:rsidR="00252FDF" w:rsidRPr="00F876CB" w:rsidRDefault="00252FDF" w:rsidP="00252FDF">
      <w:pPr>
        <w:spacing w:line="360" w:lineRule="auto"/>
        <w:ind w:firstLine="708"/>
        <w:jc w:val="both"/>
        <w:rPr>
          <w:rFonts w:asciiTheme="minorHAnsi" w:hAnsiTheme="minorHAnsi" w:cstheme="minorHAnsi"/>
          <w:noProof/>
          <w:sz w:val="24"/>
          <w:szCs w:val="24"/>
          <w:lang w:val="en-GB" w:eastAsia="tr-TR" w:bidi="ar-SA"/>
        </w:rPr>
      </w:pPr>
    </w:p>
    <w:p w:rsidR="00BD3F0A" w:rsidRDefault="00BD3F0A" w:rsidP="008A4904">
      <w:pPr>
        <w:spacing w:after="0" w:line="360" w:lineRule="auto"/>
        <w:jc w:val="both"/>
        <w:rPr>
          <w:rFonts w:asciiTheme="minorHAnsi" w:hAnsiTheme="minorHAnsi" w:cstheme="minorHAnsi"/>
          <w:sz w:val="24"/>
          <w:szCs w:val="24"/>
          <w:lang w:val="en-GB"/>
        </w:rPr>
      </w:pPr>
      <w:r w:rsidRPr="00F876CB">
        <w:rPr>
          <w:rFonts w:asciiTheme="minorHAnsi" w:hAnsiTheme="minorHAnsi" w:cstheme="minorHAnsi"/>
          <w:sz w:val="24"/>
          <w:szCs w:val="24"/>
          <w:lang w:val="en-GB"/>
        </w:rPr>
        <w:t>As of the end of 2019, the total number of participants was 61</w:t>
      </w:r>
      <w:r w:rsidR="008A4904">
        <w:rPr>
          <w:rFonts w:asciiTheme="minorHAnsi" w:hAnsiTheme="minorHAnsi" w:cstheme="minorHAnsi"/>
          <w:sz w:val="24"/>
          <w:szCs w:val="24"/>
          <w:lang w:val="en-GB"/>
        </w:rPr>
        <w:t>.</w:t>
      </w:r>
      <w:r w:rsidRPr="00F876CB">
        <w:rPr>
          <w:rFonts w:asciiTheme="minorHAnsi" w:hAnsiTheme="minorHAnsi" w:cstheme="minorHAnsi"/>
          <w:sz w:val="24"/>
          <w:szCs w:val="24"/>
          <w:lang w:val="en-GB"/>
        </w:rPr>
        <w:t>077 in the Organized Industrial Zones, 47</w:t>
      </w:r>
      <w:r w:rsidR="008A4904">
        <w:rPr>
          <w:rFonts w:asciiTheme="minorHAnsi" w:hAnsiTheme="minorHAnsi" w:cstheme="minorHAnsi"/>
          <w:sz w:val="24"/>
          <w:szCs w:val="24"/>
          <w:lang w:val="en-GB"/>
        </w:rPr>
        <w:t>.</w:t>
      </w:r>
      <w:r w:rsidRPr="00F876CB">
        <w:rPr>
          <w:rFonts w:asciiTheme="minorHAnsi" w:hAnsiTheme="minorHAnsi" w:cstheme="minorHAnsi"/>
          <w:sz w:val="24"/>
          <w:szCs w:val="24"/>
          <w:lang w:val="en-GB"/>
        </w:rPr>
        <w:t>529 in low voltage and 13</w:t>
      </w:r>
      <w:r w:rsidR="008A4904">
        <w:rPr>
          <w:rFonts w:asciiTheme="minorHAnsi" w:hAnsiTheme="minorHAnsi" w:cstheme="minorHAnsi"/>
          <w:sz w:val="24"/>
          <w:szCs w:val="24"/>
          <w:lang w:val="en-GB"/>
        </w:rPr>
        <w:t>.</w:t>
      </w:r>
      <w:r w:rsidRPr="00F876CB">
        <w:rPr>
          <w:rFonts w:asciiTheme="minorHAnsi" w:hAnsiTheme="minorHAnsi" w:cstheme="minorHAnsi"/>
          <w:sz w:val="24"/>
          <w:szCs w:val="24"/>
          <w:lang w:val="en-GB"/>
        </w:rPr>
        <w:t>548 in medium voltage. 832 personnel are employed in electricity distribution in OIZ distribution regions.</w:t>
      </w:r>
    </w:p>
    <w:p w:rsidR="008A4904" w:rsidRPr="00F876CB" w:rsidRDefault="008A4904" w:rsidP="008A4904">
      <w:pPr>
        <w:spacing w:after="0" w:line="360" w:lineRule="auto"/>
        <w:jc w:val="both"/>
        <w:rPr>
          <w:rFonts w:asciiTheme="minorHAnsi" w:hAnsiTheme="minorHAnsi" w:cstheme="minorHAnsi"/>
          <w:sz w:val="24"/>
          <w:szCs w:val="24"/>
          <w:lang w:val="en-GB"/>
        </w:rPr>
      </w:pPr>
    </w:p>
    <w:p w:rsidR="00252FDF" w:rsidRPr="008A4904" w:rsidRDefault="00BD3F0A" w:rsidP="008A4904">
      <w:pPr>
        <w:spacing w:after="0" w:line="360" w:lineRule="auto"/>
        <w:jc w:val="both"/>
        <w:rPr>
          <w:rFonts w:asciiTheme="minorHAnsi" w:hAnsiTheme="minorHAnsi" w:cstheme="minorHAnsi"/>
          <w:sz w:val="24"/>
          <w:szCs w:val="24"/>
          <w:lang w:val="en-GB"/>
        </w:rPr>
        <w:sectPr w:rsidR="00252FDF" w:rsidRPr="008A4904" w:rsidSect="00151A3B">
          <w:pgSz w:w="11906" w:h="16838"/>
          <w:pgMar w:top="1417" w:right="1417" w:bottom="1417" w:left="1417" w:header="708" w:footer="708" w:gutter="0"/>
          <w:cols w:space="708"/>
          <w:docGrid w:linePitch="360"/>
        </w:sectPr>
      </w:pPr>
      <w:r w:rsidRPr="00F876CB">
        <w:rPr>
          <w:rFonts w:asciiTheme="minorHAnsi" w:hAnsiTheme="minorHAnsi" w:cstheme="minorHAnsi"/>
          <w:sz w:val="24"/>
          <w:szCs w:val="24"/>
          <w:lang w:val="en-GB"/>
        </w:rPr>
        <w:t>Total OIZ line length was 12</w:t>
      </w:r>
      <w:r w:rsidR="008A4904">
        <w:rPr>
          <w:rFonts w:asciiTheme="minorHAnsi" w:hAnsiTheme="minorHAnsi" w:cstheme="minorHAnsi"/>
          <w:sz w:val="24"/>
          <w:szCs w:val="24"/>
          <w:lang w:val="en-GB"/>
        </w:rPr>
        <w:t>.</w:t>
      </w:r>
      <w:r w:rsidRPr="00F876CB">
        <w:rPr>
          <w:rFonts w:asciiTheme="minorHAnsi" w:hAnsiTheme="minorHAnsi" w:cstheme="minorHAnsi"/>
          <w:sz w:val="24"/>
          <w:szCs w:val="24"/>
          <w:lang w:val="en-GB"/>
        </w:rPr>
        <w:t>160 km. Total OSB Tran</w:t>
      </w:r>
      <w:r w:rsidR="008A4904">
        <w:rPr>
          <w:rFonts w:asciiTheme="minorHAnsi" w:hAnsiTheme="minorHAnsi" w:cstheme="minorHAnsi"/>
          <w:sz w:val="24"/>
          <w:szCs w:val="24"/>
          <w:lang w:val="en-GB"/>
        </w:rPr>
        <w:t>sformer capacity has reached 19.</w:t>
      </w:r>
      <w:r w:rsidRPr="00F876CB">
        <w:rPr>
          <w:rFonts w:asciiTheme="minorHAnsi" w:hAnsiTheme="minorHAnsi" w:cstheme="minorHAnsi"/>
          <w:sz w:val="24"/>
          <w:szCs w:val="24"/>
          <w:lang w:val="en-GB"/>
        </w:rPr>
        <w:t>383 MVA. The sum of the peak values for the previous year in the OIZ regions is 6.783 MW.</w:t>
      </w:r>
    </w:p>
    <w:p w:rsidR="00767AED" w:rsidRPr="00F876CB" w:rsidRDefault="00767AED" w:rsidP="00814234">
      <w:pPr>
        <w:pStyle w:val="AnaBalklar"/>
        <w:numPr>
          <w:ilvl w:val="0"/>
          <w:numId w:val="32"/>
        </w:numPr>
        <w:rPr>
          <w:caps/>
          <w:lang w:val="en-GB"/>
        </w:rPr>
      </w:pPr>
      <w:bookmarkStart w:id="1134" w:name="_Toc44508316"/>
      <w:r w:rsidRPr="00F876CB">
        <w:rPr>
          <w:lang w:val="en-GB"/>
        </w:rPr>
        <w:lastRenderedPageBreak/>
        <w:t>PRICING</w:t>
      </w:r>
      <w:bookmarkEnd w:id="1134"/>
    </w:p>
    <w:p w:rsidR="00767AED" w:rsidRPr="00F876CB" w:rsidRDefault="00767AED" w:rsidP="00767AED">
      <w:pPr>
        <w:rPr>
          <w:lang w:val="en-GB"/>
        </w:rPr>
      </w:pPr>
    </w:p>
    <w:p w:rsidR="00767AED" w:rsidRPr="00F876CB" w:rsidRDefault="00767AED" w:rsidP="00767AED">
      <w:pPr>
        <w:spacing w:line="360" w:lineRule="auto"/>
        <w:jc w:val="both"/>
        <w:rPr>
          <w:rFonts w:asciiTheme="minorHAnsi" w:hAnsiTheme="minorHAnsi" w:cstheme="minorHAnsi"/>
          <w:noProof/>
          <w:sz w:val="24"/>
          <w:szCs w:val="24"/>
          <w:lang w:val="en-GB" w:eastAsia="tr-TR" w:bidi="ar-SA"/>
        </w:rPr>
      </w:pPr>
      <w:r w:rsidRPr="00F876CB">
        <w:rPr>
          <w:rFonts w:asciiTheme="minorHAnsi" w:hAnsiTheme="minorHAnsi" w:cstheme="minorHAnsi"/>
          <w:noProof/>
          <w:sz w:val="24"/>
          <w:szCs w:val="24"/>
          <w:lang w:val="en-GB" w:eastAsia="tr-TR" w:bidi="ar-SA"/>
        </w:rPr>
        <w:t>The Electricity Market Law provides for a market structure based on bilateral agreements. The price of electricity in the market in question is determined by mutual agreement of buyers and shooters. Therefore, the prices determined by bilateral agreements are within the knowledge of the relevant parties and are not shared with the public. On the other hand a significant portion of consumer electricity market in Turkey is to provide energy from subject to price regulation. Therefore, it is important to change the regulated prices and price components over the years. This section contains data on regulated prices and changes in the components of the price over the years.</w:t>
      </w:r>
    </w:p>
    <w:p w:rsidR="00767AED" w:rsidRPr="00542180" w:rsidRDefault="00767AED" w:rsidP="00767AED">
      <w:pPr>
        <w:spacing w:line="360" w:lineRule="auto"/>
        <w:jc w:val="both"/>
        <w:rPr>
          <w:rFonts w:asciiTheme="minorHAnsi" w:hAnsiTheme="minorHAnsi" w:cstheme="minorHAnsi"/>
          <w:noProof/>
          <w:sz w:val="24"/>
          <w:szCs w:val="24"/>
          <w:lang w:val="en-GB" w:eastAsia="tr-TR" w:bidi="ar-SA"/>
        </w:rPr>
      </w:pPr>
      <w:bookmarkStart w:id="1135" w:name="_Toc450307018"/>
      <w:bookmarkStart w:id="1136" w:name="_Toc450307129"/>
      <w:bookmarkStart w:id="1137" w:name="_Toc450307953"/>
      <w:bookmarkStart w:id="1138" w:name="_Toc487101680"/>
      <w:bookmarkStart w:id="1139" w:name="_Toc12536045"/>
      <w:bookmarkStart w:id="1140" w:name="_Toc40966124"/>
      <w:r w:rsidRPr="00542180">
        <w:rPr>
          <w:rFonts w:asciiTheme="minorHAnsi" w:hAnsiTheme="minorHAnsi" w:cstheme="minorHAnsi"/>
          <w:noProof/>
          <w:sz w:val="24"/>
          <w:szCs w:val="24"/>
          <w:lang w:val="en-GB" w:eastAsia="tr-TR" w:bidi="ar-SA"/>
        </w:rPr>
        <w:t>In the Figure below, there is a change of retail energy tariffs (including system fees, tax and funds, including PSH) according to tariff groups by years.</w:t>
      </w:r>
    </w:p>
    <w:p w:rsidR="00767AED" w:rsidRPr="00F876CB" w:rsidRDefault="00767AED" w:rsidP="00814234">
      <w:pPr>
        <w:pStyle w:val="Balk6"/>
        <w:rPr>
          <w:lang w:val="en-GB"/>
        </w:rPr>
      </w:pPr>
      <w:bookmarkStart w:id="1141" w:name="_Toc44508428"/>
      <w:r w:rsidRPr="00F876CB">
        <w:rPr>
          <w:rFonts w:asciiTheme="minorHAnsi" w:hAnsiTheme="minorHAnsi"/>
          <w:szCs w:val="24"/>
          <w:lang w:val="en-GB"/>
        </w:rPr>
        <w:t xml:space="preserve">Figure </w:t>
      </w:r>
      <w:r w:rsidRPr="00F876CB">
        <w:rPr>
          <w:rFonts w:asciiTheme="minorHAnsi" w:hAnsiTheme="minorHAnsi"/>
          <w:szCs w:val="24"/>
          <w:lang w:val="en-GB"/>
        </w:rPr>
        <w:fldChar w:fldCharType="begin"/>
      </w:r>
      <w:r w:rsidRPr="00F876CB">
        <w:rPr>
          <w:rFonts w:asciiTheme="minorHAnsi" w:hAnsiTheme="minorHAnsi"/>
          <w:szCs w:val="24"/>
          <w:lang w:val="en-GB"/>
        </w:rPr>
        <w:instrText xml:space="preserve"> STYLEREF 1 \s </w:instrText>
      </w:r>
      <w:r w:rsidRPr="00F876CB">
        <w:rPr>
          <w:rFonts w:asciiTheme="minorHAnsi" w:hAnsiTheme="minorHAnsi"/>
          <w:szCs w:val="24"/>
          <w:lang w:val="en-GB"/>
        </w:rPr>
        <w:fldChar w:fldCharType="separate"/>
      </w:r>
      <w:r w:rsidRPr="00F876CB">
        <w:rPr>
          <w:rFonts w:asciiTheme="minorHAnsi" w:hAnsiTheme="minorHAnsi"/>
          <w:noProof/>
          <w:szCs w:val="24"/>
          <w:lang w:val="en-GB"/>
        </w:rPr>
        <w:t>6</w:t>
      </w:r>
      <w:r w:rsidRPr="00F876CB">
        <w:rPr>
          <w:rFonts w:asciiTheme="minorHAnsi" w:hAnsiTheme="minorHAnsi"/>
          <w:szCs w:val="24"/>
          <w:lang w:val="en-GB"/>
        </w:rPr>
        <w:fldChar w:fldCharType="end"/>
      </w:r>
      <w:r w:rsidRPr="00F876CB">
        <w:rPr>
          <w:rFonts w:asciiTheme="minorHAnsi" w:hAnsiTheme="minorHAnsi"/>
          <w:szCs w:val="24"/>
          <w:lang w:val="en-GB"/>
        </w:rPr>
        <w:t>.</w:t>
      </w:r>
      <w:r w:rsidRPr="00F876CB">
        <w:rPr>
          <w:rFonts w:asciiTheme="minorHAnsi" w:hAnsiTheme="minorHAnsi"/>
          <w:szCs w:val="24"/>
          <w:lang w:val="en-GB"/>
        </w:rPr>
        <w:fldChar w:fldCharType="begin"/>
      </w:r>
      <w:r w:rsidRPr="00F876CB">
        <w:rPr>
          <w:rFonts w:asciiTheme="minorHAnsi" w:hAnsiTheme="minorHAnsi"/>
          <w:szCs w:val="24"/>
          <w:lang w:val="en-GB"/>
        </w:rPr>
        <w:instrText xml:space="preserve"> SEQ Şekil \* ARABIC \s 1 </w:instrText>
      </w:r>
      <w:r w:rsidRPr="00F876CB">
        <w:rPr>
          <w:rFonts w:asciiTheme="minorHAnsi" w:hAnsiTheme="minorHAnsi"/>
          <w:szCs w:val="24"/>
          <w:lang w:val="en-GB"/>
        </w:rPr>
        <w:fldChar w:fldCharType="separate"/>
      </w:r>
      <w:r w:rsidRPr="00F876CB">
        <w:rPr>
          <w:rFonts w:asciiTheme="minorHAnsi" w:hAnsiTheme="minorHAnsi"/>
          <w:noProof/>
          <w:szCs w:val="24"/>
          <w:lang w:val="en-GB"/>
        </w:rPr>
        <w:t>1</w:t>
      </w:r>
      <w:r w:rsidRPr="00F876CB">
        <w:rPr>
          <w:rFonts w:asciiTheme="minorHAnsi" w:hAnsiTheme="minorHAnsi"/>
          <w:szCs w:val="24"/>
          <w:lang w:val="en-GB"/>
        </w:rPr>
        <w:fldChar w:fldCharType="end"/>
      </w:r>
      <w:r w:rsidRPr="00F876CB">
        <w:rPr>
          <w:lang w:val="en-GB"/>
        </w:rPr>
        <w:t xml:space="preserve">: </w:t>
      </w:r>
      <w:bookmarkEnd w:id="1135"/>
      <w:bookmarkEnd w:id="1136"/>
      <w:bookmarkEnd w:id="1137"/>
      <w:bookmarkEnd w:id="1138"/>
      <w:bookmarkEnd w:id="1139"/>
      <w:r w:rsidRPr="00F876CB">
        <w:rPr>
          <w:lang w:val="en-GB"/>
        </w:rPr>
        <w:t>Retail Price Excluding Taxes and Funds by Years (</w:t>
      </w:r>
      <w:proofErr w:type="spellStart"/>
      <w:r w:rsidRPr="00F876CB">
        <w:rPr>
          <w:lang w:val="en-GB"/>
        </w:rPr>
        <w:t>Energy+PSH</w:t>
      </w:r>
      <w:proofErr w:type="spellEnd"/>
      <w:r w:rsidRPr="00F876CB">
        <w:rPr>
          <w:lang w:val="en-GB"/>
        </w:rPr>
        <w:t>) (</w:t>
      </w:r>
      <w:proofErr w:type="spellStart"/>
      <w:r w:rsidRPr="00F876CB">
        <w:rPr>
          <w:lang w:val="en-GB"/>
        </w:rPr>
        <w:t>kr</w:t>
      </w:r>
      <w:proofErr w:type="spellEnd"/>
      <w:r w:rsidRPr="00F876CB">
        <w:rPr>
          <w:lang w:val="en-GB"/>
        </w:rPr>
        <w:t>/kWh)</w:t>
      </w:r>
      <w:bookmarkEnd w:id="1140"/>
      <w:bookmarkEnd w:id="1141"/>
    </w:p>
    <w:p w:rsidR="00767AED" w:rsidRPr="00F876CB" w:rsidRDefault="00767AED" w:rsidP="00767AED">
      <w:pPr>
        <w:spacing w:line="360" w:lineRule="auto"/>
        <w:rPr>
          <w:rFonts w:asciiTheme="minorHAnsi" w:hAnsiTheme="minorHAnsi" w:cstheme="minorHAnsi"/>
          <w:noProof/>
          <w:sz w:val="24"/>
          <w:szCs w:val="24"/>
          <w:lang w:val="en-GB" w:eastAsia="tr-TR" w:bidi="ar-SA"/>
        </w:rPr>
      </w:pPr>
      <w:r>
        <w:rPr>
          <w:rFonts w:asciiTheme="minorHAnsi" w:hAnsiTheme="minorHAnsi" w:cstheme="minorHAnsi"/>
          <w:noProof/>
          <w:sz w:val="24"/>
          <w:szCs w:val="24"/>
          <w:lang w:eastAsia="tr-TR" w:bidi="ar-SA"/>
        </w:rPr>
        <w:drawing>
          <wp:inline distT="0" distB="0" distL="0" distR="0" wp14:anchorId="4210FCC5" wp14:editId="20BDFC7E">
            <wp:extent cx="5611495" cy="3314700"/>
            <wp:effectExtent l="0" t="0" r="825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11495" cy="3314700"/>
                    </a:xfrm>
                    <a:prstGeom prst="rect">
                      <a:avLst/>
                    </a:prstGeom>
                    <a:noFill/>
                  </pic:spPr>
                </pic:pic>
              </a:graphicData>
            </a:graphic>
          </wp:inline>
        </w:drawing>
      </w:r>
    </w:p>
    <w:p w:rsidR="00767AED" w:rsidRPr="00F876CB" w:rsidRDefault="00767AED" w:rsidP="00767AED">
      <w:pPr>
        <w:spacing w:line="360" w:lineRule="auto"/>
        <w:ind w:firstLine="708"/>
        <w:jc w:val="both"/>
        <w:rPr>
          <w:rFonts w:asciiTheme="minorHAnsi" w:hAnsiTheme="minorHAnsi" w:cstheme="minorHAnsi"/>
          <w:noProof/>
          <w:sz w:val="24"/>
          <w:szCs w:val="24"/>
          <w:lang w:val="en-GB" w:eastAsia="tr-TR" w:bidi="ar-SA"/>
        </w:rPr>
      </w:pPr>
    </w:p>
    <w:p w:rsidR="00767AED" w:rsidRPr="00F876CB" w:rsidRDefault="00767AED" w:rsidP="00767AED">
      <w:pPr>
        <w:spacing w:line="360" w:lineRule="auto"/>
        <w:jc w:val="both"/>
        <w:rPr>
          <w:rFonts w:asciiTheme="minorHAnsi" w:hAnsiTheme="minorHAnsi" w:cstheme="minorHAnsi"/>
          <w:b/>
          <w:noProof/>
          <w:szCs w:val="24"/>
          <w:lang w:val="en-GB" w:eastAsia="tr-TR" w:bidi="ar-SA"/>
        </w:rPr>
      </w:pPr>
      <w:bookmarkStart w:id="1142" w:name="_Toc450307020"/>
      <w:bookmarkStart w:id="1143" w:name="_Toc450307131"/>
      <w:bookmarkStart w:id="1144" w:name="_Toc450307955"/>
      <w:bookmarkStart w:id="1145" w:name="_Toc487101681"/>
      <w:bookmarkStart w:id="1146" w:name="_Toc12536046"/>
      <w:bookmarkStart w:id="1147" w:name="_Toc40966125"/>
      <w:r w:rsidRPr="00753BE2">
        <w:rPr>
          <w:rFonts w:asciiTheme="minorHAnsi" w:hAnsiTheme="minorHAnsi" w:cstheme="minorHAnsi"/>
          <w:noProof/>
          <w:sz w:val="24"/>
          <w:szCs w:val="24"/>
          <w:lang w:val="en-GB" w:eastAsia="tr-TR" w:bidi="ar-SA"/>
        </w:rPr>
        <w:t>As it is known, transmission and distribution lines must</w:t>
      </w:r>
      <w:r>
        <w:rPr>
          <w:rFonts w:asciiTheme="minorHAnsi" w:hAnsiTheme="minorHAnsi" w:cstheme="minorHAnsi"/>
          <w:noProof/>
          <w:sz w:val="24"/>
          <w:szCs w:val="24"/>
          <w:lang w:val="en-GB" w:eastAsia="tr-TR" w:bidi="ar-SA"/>
        </w:rPr>
        <w:t xml:space="preserve"> be used to deliver energy from</w:t>
      </w:r>
      <w:r w:rsidRPr="00753BE2">
        <w:rPr>
          <w:rFonts w:asciiTheme="minorHAnsi" w:hAnsiTheme="minorHAnsi" w:cstheme="minorHAnsi"/>
          <w:noProof/>
          <w:sz w:val="24"/>
          <w:szCs w:val="24"/>
          <w:lang w:val="en-GB" w:eastAsia="tr-TR" w:bidi="ar-SA"/>
        </w:rPr>
        <w:t xml:space="preserve"> </w:t>
      </w:r>
      <w:r>
        <w:rPr>
          <w:rFonts w:asciiTheme="minorHAnsi" w:hAnsiTheme="minorHAnsi" w:cstheme="minorHAnsi"/>
          <w:noProof/>
          <w:sz w:val="24"/>
          <w:szCs w:val="24"/>
          <w:lang w:val="en-GB" w:eastAsia="tr-TR" w:bidi="ar-SA"/>
        </w:rPr>
        <w:t>power plants</w:t>
      </w:r>
      <w:r w:rsidRPr="00753BE2">
        <w:rPr>
          <w:rFonts w:asciiTheme="minorHAnsi" w:hAnsiTheme="minorHAnsi" w:cstheme="minorHAnsi"/>
          <w:noProof/>
          <w:sz w:val="24"/>
          <w:szCs w:val="24"/>
          <w:lang w:val="en-GB" w:eastAsia="tr-TR" w:bidi="ar-SA"/>
        </w:rPr>
        <w:t xml:space="preserve"> to the consumer. The figure below shows the change of distribution price over the years. Distribution, transmission and technical and non-technical loss costs are included in </w:t>
      </w:r>
      <w:r>
        <w:rPr>
          <w:rFonts w:asciiTheme="minorHAnsi" w:hAnsiTheme="minorHAnsi" w:cstheme="minorHAnsi"/>
          <w:noProof/>
          <w:sz w:val="24"/>
          <w:szCs w:val="24"/>
          <w:lang w:val="en-GB" w:eastAsia="tr-TR" w:bidi="ar-SA"/>
        </w:rPr>
        <w:t>network cost</w:t>
      </w:r>
      <w:r w:rsidRPr="00753BE2">
        <w:rPr>
          <w:rFonts w:asciiTheme="minorHAnsi" w:hAnsiTheme="minorHAnsi" w:cstheme="minorHAnsi"/>
          <w:noProof/>
          <w:sz w:val="24"/>
          <w:szCs w:val="24"/>
          <w:lang w:val="en-GB" w:eastAsia="tr-TR" w:bidi="ar-SA"/>
        </w:rPr>
        <w:t>.</w:t>
      </w:r>
    </w:p>
    <w:p w:rsidR="00767AED" w:rsidRPr="00F876CB" w:rsidRDefault="00767AED" w:rsidP="00814234">
      <w:pPr>
        <w:jc w:val="center"/>
        <w:rPr>
          <w:rFonts w:asciiTheme="minorHAnsi" w:hAnsiTheme="minorHAnsi" w:cstheme="minorHAnsi"/>
          <w:noProof/>
          <w:szCs w:val="24"/>
          <w:lang w:val="en-GB" w:eastAsia="tr-TR" w:bidi="ar-SA"/>
        </w:rPr>
      </w:pPr>
      <w:r w:rsidRPr="00814234">
        <w:rPr>
          <w:rFonts w:asciiTheme="minorHAnsi" w:hAnsiTheme="minorHAnsi"/>
          <w:b/>
          <w:spacing w:val="10"/>
          <w:sz w:val="24"/>
          <w:szCs w:val="24"/>
          <w:lang w:val="en-GB"/>
        </w:rPr>
        <w:lastRenderedPageBreak/>
        <w:t xml:space="preserve">Figure </w:t>
      </w:r>
      <w:r w:rsidRPr="00814234">
        <w:rPr>
          <w:rFonts w:asciiTheme="minorHAnsi" w:hAnsiTheme="minorHAnsi"/>
          <w:b/>
          <w:spacing w:val="10"/>
          <w:sz w:val="24"/>
          <w:szCs w:val="24"/>
          <w:lang w:val="en-GB"/>
        </w:rPr>
        <w:fldChar w:fldCharType="begin"/>
      </w:r>
      <w:r w:rsidRPr="00814234">
        <w:rPr>
          <w:rFonts w:asciiTheme="minorHAnsi" w:hAnsiTheme="minorHAnsi"/>
          <w:b/>
          <w:spacing w:val="10"/>
          <w:sz w:val="24"/>
          <w:szCs w:val="24"/>
          <w:lang w:val="en-GB"/>
        </w:rPr>
        <w:instrText xml:space="preserve"> STYLEREF 1 \s </w:instrText>
      </w:r>
      <w:r w:rsidRPr="00814234">
        <w:rPr>
          <w:rFonts w:asciiTheme="minorHAnsi" w:hAnsiTheme="minorHAnsi"/>
          <w:b/>
          <w:spacing w:val="10"/>
          <w:sz w:val="24"/>
          <w:szCs w:val="24"/>
          <w:lang w:val="en-GB"/>
        </w:rPr>
        <w:fldChar w:fldCharType="separate"/>
      </w:r>
      <w:r w:rsidRPr="00814234">
        <w:rPr>
          <w:rFonts w:asciiTheme="minorHAnsi" w:hAnsiTheme="minorHAnsi"/>
          <w:b/>
          <w:spacing w:val="10"/>
          <w:sz w:val="24"/>
          <w:szCs w:val="24"/>
          <w:lang w:val="en-GB"/>
        </w:rPr>
        <w:t>6</w:t>
      </w:r>
      <w:r w:rsidRPr="00814234">
        <w:rPr>
          <w:rFonts w:asciiTheme="minorHAnsi" w:hAnsiTheme="minorHAnsi"/>
          <w:b/>
          <w:spacing w:val="10"/>
          <w:sz w:val="24"/>
          <w:szCs w:val="24"/>
          <w:lang w:val="en-GB"/>
        </w:rPr>
        <w:fldChar w:fldCharType="end"/>
      </w:r>
      <w:r w:rsidRPr="00814234">
        <w:rPr>
          <w:rFonts w:asciiTheme="minorHAnsi" w:hAnsiTheme="minorHAnsi"/>
          <w:b/>
          <w:spacing w:val="10"/>
          <w:sz w:val="24"/>
          <w:szCs w:val="24"/>
          <w:lang w:val="en-GB"/>
        </w:rPr>
        <w:t>.2:</w:t>
      </w:r>
      <w:bookmarkEnd w:id="1142"/>
      <w:bookmarkEnd w:id="1143"/>
      <w:bookmarkEnd w:id="1144"/>
      <w:bookmarkEnd w:id="1145"/>
      <w:bookmarkEnd w:id="1146"/>
      <w:bookmarkEnd w:id="1147"/>
      <w:r w:rsidRPr="00814234">
        <w:rPr>
          <w:rFonts w:asciiTheme="minorHAnsi" w:hAnsiTheme="minorHAnsi"/>
          <w:b/>
          <w:spacing w:val="10"/>
          <w:sz w:val="24"/>
          <w:szCs w:val="24"/>
          <w:lang w:val="en-GB"/>
        </w:rPr>
        <w:t xml:space="preserve"> Change in Network Costs (Distribution, Transmission and Loss) by Years (</w:t>
      </w:r>
      <w:proofErr w:type="spellStart"/>
      <w:r w:rsidRPr="00814234">
        <w:rPr>
          <w:rFonts w:asciiTheme="minorHAnsi" w:hAnsiTheme="minorHAnsi"/>
          <w:b/>
          <w:spacing w:val="10"/>
          <w:sz w:val="24"/>
          <w:szCs w:val="24"/>
          <w:lang w:val="en-GB"/>
        </w:rPr>
        <w:t>kr</w:t>
      </w:r>
      <w:proofErr w:type="spellEnd"/>
      <w:r w:rsidRPr="00814234">
        <w:rPr>
          <w:rFonts w:asciiTheme="minorHAnsi" w:hAnsiTheme="minorHAnsi"/>
          <w:b/>
          <w:spacing w:val="10"/>
          <w:sz w:val="24"/>
          <w:szCs w:val="24"/>
          <w:lang w:val="en-GB"/>
        </w:rPr>
        <w:t>/kWh)</w:t>
      </w:r>
      <w:r w:rsidRPr="00F876CB">
        <w:rPr>
          <w:noProof/>
          <w:lang w:val="en-GB"/>
        </w:rPr>
        <w:t xml:space="preserve"> </w:t>
      </w:r>
      <w:r>
        <w:rPr>
          <w:noProof/>
          <w:lang w:eastAsia="tr-TR" w:bidi="ar-SA"/>
        </w:rPr>
        <w:drawing>
          <wp:inline distT="0" distB="0" distL="0" distR="0" wp14:anchorId="338C28F8" wp14:editId="230C789A">
            <wp:extent cx="5789295" cy="3124200"/>
            <wp:effectExtent l="0" t="0" r="190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89295" cy="3124200"/>
                    </a:xfrm>
                    <a:prstGeom prst="rect">
                      <a:avLst/>
                    </a:prstGeom>
                    <a:noFill/>
                  </pic:spPr>
                </pic:pic>
              </a:graphicData>
            </a:graphic>
          </wp:inline>
        </w:drawing>
      </w:r>
    </w:p>
    <w:p w:rsidR="00767AED" w:rsidRPr="00F27A7A" w:rsidRDefault="00767AED" w:rsidP="00767AED">
      <w:pPr>
        <w:spacing w:line="360" w:lineRule="auto"/>
        <w:jc w:val="both"/>
        <w:rPr>
          <w:rFonts w:asciiTheme="minorHAnsi" w:hAnsiTheme="minorHAnsi" w:cstheme="minorHAnsi"/>
          <w:noProof/>
          <w:sz w:val="24"/>
          <w:szCs w:val="24"/>
          <w:lang w:val="en-GB" w:eastAsia="tr-TR" w:bidi="ar-SA"/>
        </w:rPr>
      </w:pPr>
      <w:bookmarkStart w:id="1148" w:name="_Toc450307021"/>
      <w:bookmarkStart w:id="1149" w:name="_Toc450307132"/>
      <w:bookmarkStart w:id="1150" w:name="_Toc450307956"/>
      <w:bookmarkStart w:id="1151" w:name="_Toc487101682"/>
      <w:r w:rsidRPr="00F27A7A">
        <w:rPr>
          <w:rFonts w:asciiTheme="minorHAnsi" w:hAnsiTheme="minorHAnsi" w:cstheme="minorHAnsi"/>
          <w:noProof/>
          <w:sz w:val="24"/>
          <w:szCs w:val="24"/>
          <w:lang w:val="en-GB" w:eastAsia="tr-TR" w:bidi="ar-SA"/>
        </w:rPr>
        <w:t>As a result of adding the distribution price to the energy cost, the unit energy price before tax is reached. The figure below shows the change of unit energy cost by years, excluding taxes and funds (energy fund, TRT share, electricity and gas consumption tax and VAT).</w:t>
      </w:r>
    </w:p>
    <w:p w:rsidR="00767AED" w:rsidRPr="00F876CB" w:rsidRDefault="00767AED" w:rsidP="00767AED">
      <w:pPr>
        <w:rPr>
          <w:lang w:val="en-GB" w:eastAsia="tr-TR" w:bidi="ar-SA"/>
        </w:rPr>
      </w:pPr>
    </w:p>
    <w:p w:rsidR="00767AED" w:rsidRPr="00F876CB" w:rsidRDefault="00767AED" w:rsidP="00767AED">
      <w:pPr>
        <w:pStyle w:val="Balk6"/>
        <w:rPr>
          <w:lang w:val="en-GB"/>
        </w:rPr>
      </w:pPr>
      <w:bookmarkStart w:id="1152" w:name="_Toc12536047"/>
      <w:bookmarkStart w:id="1153" w:name="_Toc40966126"/>
      <w:bookmarkStart w:id="1154" w:name="_Toc44508429"/>
      <w:r w:rsidRPr="00F876CB">
        <w:rPr>
          <w:lang w:val="en-GB"/>
        </w:rPr>
        <w:t xml:space="preserve">Figure </w:t>
      </w:r>
      <w:r w:rsidRPr="00F876CB">
        <w:rPr>
          <w:lang w:val="en-GB"/>
        </w:rPr>
        <w:fldChar w:fldCharType="begin"/>
      </w:r>
      <w:r w:rsidRPr="00F876CB">
        <w:rPr>
          <w:lang w:val="en-GB"/>
        </w:rPr>
        <w:instrText xml:space="preserve"> STYLEREF 1 \s </w:instrText>
      </w:r>
      <w:r w:rsidRPr="00F876CB">
        <w:rPr>
          <w:lang w:val="en-GB"/>
        </w:rPr>
        <w:fldChar w:fldCharType="separate"/>
      </w:r>
      <w:r w:rsidRPr="00F876CB">
        <w:rPr>
          <w:lang w:val="en-GB"/>
        </w:rPr>
        <w:t>6</w:t>
      </w:r>
      <w:r w:rsidRPr="00F876CB">
        <w:rPr>
          <w:lang w:val="en-GB"/>
        </w:rPr>
        <w:fldChar w:fldCharType="end"/>
      </w:r>
      <w:r w:rsidRPr="00F876CB">
        <w:rPr>
          <w:lang w:val="en-GB"/>
        </w:rPr>
        <w:t>.3:</w:t>
      </w:r>
      <w:bookmarkEnd w:id="1148"/>
      <w:bookmarkEnd w:id="1149"/>
      <w:bookmarkEnd w:id="1150"/>
      <w:bookmarkEnd w:id="1151"/>
      <w:bookmarkEnd w:id="1152"/>
      <w:bookmarkEnd w:id="1153"/>
      <w:r w:rsidRPr="00F876CB">
        <w:rPr>
          <w:lang w:val="en-GB"/>
        </w:rPr>
        <w:t xml:space="preserve"> Change in Electricity Tariffs before Taxes and Funds by Years (</w:t>
      </w:r>
      <w:proofErr w:type="spellStart"/>
      <w:r w:rsidRPr="00F876CB">
        <w:rPr>
          <w:lang w:val="en-GB"/>
        </w:rPr>
        <w:t>kr</w:t>
      </w:r>
      <w:proofErr w:type="spellEnd"/>
      <w:r w:rsidRPr="00F876CB">
        <w:rPr>
          <w:lang w:val="en-GB"/>
        </w:rPr>
        <w:t>/kWh)</w:t>
      </w:r>
      <w:bookmarkEnd w:id="1154"/>
    </w:p>
    <w:p w:rsidR="00767AED" w:rsidRPr="00F876CB" w:rsidRDefault="00767AED" w:rsidP="00767AED">
      <w:pPr>
        <w:rPr>
          <w:lang w:val="en-GB"/>
        </w:rPr>
      </w:pPr>
      <w:r>
        <w:rPr>
          <w:noProof/>
          <w:lang w:eastAsia="tr-TR" w:bidi="ar-SA"/>
        </w:rPr>
        <w:drawing>
          <wp:inline distT="0" distB="0" distL="0" distR="0" wp14:anchorId="307B82DD" wp14:editId="0D5826BD">
            <wp:extent cx="6291580" cy="2944495"/>
            <wp:effectExtent l="0" t="0" r="0" b="825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91580" cy="2944495"/>
                    </a:xfrm>
                    <a:prstGeom prst="rect">
                      <a:avLst/>
                    </a:prstGeom>
                    <a:noFill/>
                  </pic:spPr>
                </pic:pic>
              </a:graphicData>
            </a:graphic>
          </wp:inline>
        </w:drawing>
      </w:r>
    </w:p>
    <w:p w:rsidR="00767AED" w:rsidRPr="00F876CB" w:rsidRDefault="00767AED" w:rsidP="00767AED">
      <w:pPr>
        <w:pStyle w:val="Balk6"/>
        <w:rPr>
          <w:rFonts w:asciiTheme="minorHAnsi" w:hAnsiTheme="minorHAnsi" w:cstheme="minorHAnsi"/>
          <w:b w:val="0"/>
          <w:noProof/>
          <w:spacing w:val="0"/>
          <w:szCs w:val="24"/>
          <w:lang w:val="en-GB" w:eastAsia="tr-TR" w:bidi="ar-SA"/>
        </w:rPr>
      </w:pPr>
      <w:bookmarkStart w:id="1155" w:name="_Toc487101683"/>
      <w:bookmarkStart w:id="1156" w:name="_Toc12536048"/>
      <w:bookmarkStart w:id="1157" w:name="_Toc40966127"/>
      <w:bookmarkStart w:id="1158" w:name="_Toc450307022"/>
      <w:bookmarkStart w:id="1159" w:name="_Toc450307133"/>
      <w:bookmarkStart w:id="1160" w:name="_Toc450307957"/>
    </w:p>
    <w:p w:rsidR="00767AED" w:rsidRPr="00753BE2" w:rsidRDefault="00767AED" w:rsidP="00767AED">
      <w:pPr>
        <w:spacing w:line="360" w:lineRule="auto"/>
        <w:jc w:val="both"/>
        <w:rPr>
          <w:rFonts w:asciiTheme="minorHAnsi" w:hAnsiTheme="minorHAnsi" w:cstheme="minorHAnsi"/>
          <w:noProof/>
          <w:sz w:val="24"/>
          <w:szCs w:val="24"/>
          <w:lang w:val="en-GB" w:eastAsia="tr-TR" w:bidi="ar-SA"/>
        </w:rPr>
      </w:pPr>
      <w:r w:rsidRPr="00753BE2">
        <w:rPr>
          <w:rFonts w:asciiTheme="minorHAnsi" w:hAnsiTheme="minorHAnsi" w:cstheme="minorHAnsi"/>
          <w:noProof/>
          <w:sz w:val="24"/>
          <w:szCs w:val="24"/>
          <w:lang w:val="en-GB" w:eastAsia="tr-TR" w:bidi="ar-SA"/>
        </w:rPr>
        <w:lastRenderedPageBreak/>
        <w:t>As seen in the figure above, the consumer group with the highest unit energy pri</w:t>
      </w:r>
      <w:r>
        <w:rPr>
          <w:rFonts w:asciiTheme="minorHAnsi" w:hAnsiTheme="minorHAnsi" w:cstheme="minorHAnsi"/>
          <w:noProof/>
          <w:sz w:val="24"/>
          <w:szCs w:val="24"/>
          <w:lang w:val="en-GB" w:eastAsia="tr-TR" w:bidi="ar-SA"/>
        </w:rPr>
        <w:t>ce before taxes and funds was commercials</w:t>
      </w:r>
      <w:r w:rsidRPr="00753BE2">
        <w:rPr>
          <w:rFonts w:asciiTheme="minorHAnsi" w:hAnsiTheme="minorHAnsi" w:cstheme="minorHAnsi"/>
          <w:noProof/>
          <w:sz w:val="24"/>
          <w:szCs w:val="24"/>
          <w:lang w:val="en-GB" w:eastAsia="tr-TR" w:bidi="ar-SA"/>
        </w:rPr>
        <w:t>. The lowest unit energy</w:t>
      </w:r>
      <w:r>
        <w:rPr>
          <w:rFonts w:asciiTheme="minorHAnsi" w:hAnsiTheme="minorHAnsi" w:cstheme="minorHAnsi"/>
          <w:noProof/>
          <w:sz w:val="24"/>
          <w:szCs w:val="24"/>
          <w:lang w:val="en-GB" w:eastAsia="tr-TR" w:bidi="ar-SA"/>
        </w:rPr>
        <w:t xml:space="preserve"> price before taxes and funds was</w:t>
      </w:r>
      <w:r w:rsidRPr="00753BE2">
        <w:rPr>
          <w:rFonts w:asciiTheme="minorHAnsi" w:hAnsiTheme="minorHAnsi" w:cstheme="minorHAnsi"/>
          <w:noProof/>
          <w:sz w:val="24"/>
          <w:szCs w:val="24"/>
          <w:lang w:val="en-GB" w:eastAsia="tr-TR" w:bidi="ar-SA"/>
        </w:rPr>
        <w:t xml:space="preserve"> the consumers connected </w:t>
      </w:r>
      <w:r>
        <w:rPr>
          <w:rFonts w:asciiTheme="minorHAnsi" w:hAnsiTheme="minorHAnsi" w:cstheme="minorHAnsi"/>
          <w:noProof/>
          <w:sz w:val="24"/>
          <w:szCs w:val="24"/>
          <w:lang w:val="en-GB" w:eastAsia="tr-TR" w:bidi="ar-SA"/>
        </w:rPr>
        <w:t>to the</w:t>
      </w:r>
      <w:r w:rsidRPr="00753BE2">
        <w:rPr>
          <w:rFonts w:asciiTheme="minorHAnsi" w:hAnsiTheme="minorHAnsi" w:cstheme="minorHAnsi"/>
          <w:noProof/>
          <w:sz w:val="24"/>
          <w:szCs w:val="24"/>
          <w:lang w:val="en-GB" w:eastAsia="tr-TR" w:bidi="ar-SA"/>
        </w:rPr>
        <w:t xml:space="preserve"> transmission system.</w:t>
      </w:r>
    </w:p>
    <w:p w:rsidR="00767AED" w:rsidRPr="00F876CB" w:rsidRDefault="00767AED" w:rsidP="00767AED">
      <w:pPr>
        <w:pStyle w:val="Balk6"/>
        <w:rPr>
          <w:lang w:val="en-GB"/>
        </w:rPr>
      </w:pPr>
      <w:bookmarkStart w:id="1161" w:name="_Toc44508430"/>
      <w:r w:rsidRPr="00F876CB">
        <w:rPr>
          <w:rFonts w:asciiTheme="minorHAnsi" w:hAnsiTheme="minorHAnsi"/>
          <w:szCs w:val="24"/>
          <w:lang w:val="en-GB"/>
        </w:rPr>
        <w:t xml:space="preserve">Figure </w:t>
      </w:r>
      <w:r w:rsidRPr="00F876CB">
        <w:rPr>
          <w:rFonts w:asciiTheme="minorHAnsi" w:hAnsiTheme="minorHAnsi"/>
          <w:szCs w:val="24"/>
          <w:lang w:val="en-GB"/>
        </w:rPr>
        <w:fldChar w:fldCharType="begin"/>
      </w:r>
      <w:r w:rsidRPr="00F876CB">
        <w:rPr>
          <w:rFonts w:asciiTheme="minorHAnsi" w:hAnsiTheme="minorHAnsi"/>
          <w:szCs w:val="24"/>
          <w:lang w:val="en-GB"/>
        </w:rPr>
        <w:instrText xml:space="preserve"> STYLEREF 1 \s </w:instrText>
      </w:r>
      <w:r w:rsidRPr="00F876CB">
        <w:rPr>
          <w:rFonts w:asciiTheme="minorHAnsi" w:hAnsiTheme="minorHAnsi"/>
          <w:szCs w:val="24"/>
          <w:lang w:val="en-GB"/>
        </w:rPr>
        <w:fldChar w:fldCharType="separate"/>
      </w:r>
      <w:r w:rsidRPr="00F876CB">
        <w:rPr>
          <w:rFonts w:asciiTheme="minorHAnsi" w:hAnsiTheme="minorHAnsi"/>
          <w:noProof/>
          <w:szCs w:val="24"/>
          <w:lang w:val="en-GB"/>
        </w:rPr>
        <w:t>6</w:t>
      </w:r>
      <w:r w:rsidRPr="00F876CB">
        <w:rPr>
          <w:rFonts w:asciiTheme="minorHAnsi" w:hAnsiTheme="minorHAnsi"/>
          <w:szCs w:val="24"/>
          <w:lang w:val="en-GB"/>
        </w:rPr>
        <w:fldChar w:fldCharType="end"/>
      </w:r>
      <w:r w:rsidRPr="00F876CB">
        <w:rPr>
          <w:rFonts w:asciiTheme="minorHAnsi" w:hAnsiTheme="minorHAnsi"/>
          <w:szCs w:val="24"/>
          <w:lang w:val="en-GB"/>
        </w:rPr>
        <w:t>.4</w:t>
      </w:r>
      <w:r w:rsidRPr="00F876CB">
        <w:rPr>
          <w:lang w:val="en-GB"/>
        </w:rPr>
        <w:t xml:space="preserve">: </w:t>
      </w:r>
      <w:bookmarkEnd w:id="1155"/>
      <w:bookmarkEnd w:id="1156"/>
      <w:bookmarkEnd w:id="1157"/>
      <w:r w:rsidRPr="00F876CB">
        <w:rPr>
          <w:lang w:val="en-GB"/>
        </w:rPr>
        <w:t xml:space="preserve">Share of Items on Residence Electricity Invoice in </w:t>
      </w:r>
      <w:proofErr w:type="gramStart"/>
      <w:r w:rsidRPr="00F876CB">
        <w:rPr>
          <w:lang w:val="en-GB"/>
        </w:rPr>
        <w:t>2019  (</w:t>
      </w:r>
      <w:proofErr w:type="gramEnd"/>
      <w:r w:rsidRPr="00F876CB">
        <w:rPr>
          <w:lang w:val="en-GB"/>
        </w:rPr>
        <w:t>%)</w:t>
      </w:r>
      <w:bookmarkEnd w:id="1161"/>
    </w:p>
    <w:bookmarkEnd w:id="1158"/>
    <w:bookmarkEnd w:id="1159"/>
    <w:bookmarkEnd w:id="1160"/>
    <w:p w:rsidR="00767AED" w:rsidRPr="00F876CB" w:rsidRDefault="00767AED" w:rsidP="00767AED">
      <w:pPr>
        <w:rPr>
          <w:lang w:val="en-GB"/>
        </w:rPr>
      </w:pPr>
      <w:r>
        <w:rPr>
          <w:noProof/>
          <w:lang w:eastAsia="tr-TR" w:bidi="ar-SA"/>
        </w:rPr>
        <w:drawing>
          <wp:inline distT="0" distB="0" distL="0" distR="0" wp14:anchorId="09D2DAF5" wp14:editId="7926A89D">
            <wp:extent cx="5705475" cy="2190750"/>
            <wp:effectExtent l="0" t="0" r="952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05475" cy="2190750"/>
                    </a:xfrm>
                    <a:prstGeom prst="rect">
                      <a:avLst/>
                    </a:prstGeom>
                    <a:noFill/>
                  </pic:spPr>
                </pic:pic>
              </a:graphicData>
            </a:graphic>
          </wp:inline>
        </w:drawing>
      </w:r>
    </w:p>
    <w:p w:rsidR="00767AED" w:rsidRPr="00753BE2" w:rsidRDefault="00767AED" w:rsidP="00767AED">
      <w:pPr>
        <w:spacing w:line="360" w:lineRule="auto"/>
        <w:ind w:firstLine="708"/>
        <w:jc w:val="both"/>
        <w:rPr>
          <w:rFonts w:asciiTheme="minorHAnsi" w:hAnsiTheme="minorHAnsi" w:cstheme="minorHAnsi"/>
          <w:noProof/>
          <w:sz w:val="24"/>
          <w:szCs w:val="24"/>
          <w:lang w:val="en-GB" w:eastAsia="tr-TR" w:bidi="ar-SA"/>
        </w:rPr>
      </w:pPr>
    </w:p>
    <w:p w:rsidR="00767AED" w:rsidRDefault="00767AED" w:rsidP="00767AED">
      <w:pPr>
        <w:spacing w:line="360" w:lineRule="auto"/>
        <w:jc w:val="both"/>
        <w:rPr>
          <w:rFonts w:asciiTheme="minorHAnsi" w:hAnsiTheme="minorHAnsi" w:cstheme="minorHAnsi"/>
          <w:noProof/>
          <w:sz w:val="24"/>
          <w:szCs w:val="24"/>
          <w:lang w:val="en-GB" w:eastAsia="tr-TR" w:bidi="ar-SA"/>
        </w:rPr>
      </w:pPr>
      <w:bookmarkStart w:id="1162" w:name="_Toc450307958"/>
      <w:bookmarkStart w:id="1163" w:name="_Toc487101684"/>
      <w:bookmarkStart w:id="1164" w:name="_Toc12536049"/>
      <w:bookmarkStart w:id="1165" w:name="_Toc40966128"/>
      <w:r w:rsidRPr="00753BE2">
        <w:rPr>
          <w:rFonts w:asciiTheme="minorHAnsi" w:hAnsiTheme="minorHAnsi" w:cstheme="minorHAnsi"/>
          <w:noProof/>
          <w:sz w:val="24"/>
          <w:szCs w:val="24"/>
          <w:lang w:val="en-GB" w:eastAsia="tr-TR" w:bidi="ar-SA"/>
        </w:rPr>
        <w:t>As can be seen from Figure 6.4, the most important item out of the retail energy amount is the network amount with 30% share from the components in the invoices of consumers in the residential group.</w:t>
      </w:r>
    </w:p>
    <w:p w:rsidR="00767AED" w:rsidRPr="00753BE2" w:rsidRDefault="00767AED" w:rsidP="00767AED">
      <w:pPr>
        <w:spacing w:line="360" w:lineRule="auto"/>
        <w:jc w:val="both"/>
        <w:rPr>
          <w:rFonts w:asciiTheme="minorHAnsi" w:hAnsiTheme="minorHAnsi" w:cstheme="minorHAnsi"/>
          <w:noProof/>
          <w:sz w:val="24"/>
          <w:szCs w:val="24"/>
          <w:lang w:val="en-GB" w:eastAsia="tr-TR" w:bidi="ar-SA"/>
        </w:rPr>
      </w:pPr>
    </w:p>
    <w:p w:rsidR="00767AED" w:rsidRPr="00F876CB" w:rsidRDefault="00767AED" w:rsidP="00767AED">
      <w:pPr>
        <w:pStyle w:val="Balk6"/>
        <w:rPr>
          <w:lang w:val="en-GB"/>
        </w:rPr>
      </w:pPr>
      <w:bookmarkStart w:id="1166" w:name="_Toc44508431"/>
      <w:r w:rsidRPr="00F876CB">
        <w:rPr>
          <w:rFonts w:asciiTheme="minorHAnsi" w:hAnsiTheme="minorHAnsi"/>
          <w:szCs w:val="24"/>
          <w:lang w:val="en-GB"/>
        </w:rPr>
        <w:t xml:space="preserve">Figure </w:t>
      </w:r>
      <w:r w:rsidRPr="00F876CB">
        <w:rPr>
          <w:rFonts w:asciiTheme="minorHAnsi" w:hAnsiTheme="minorHAnsi"/>
          <w:szCs w:val="24"/>
          <w:lang w:val="en-GB"/>
        </w:rPr>
        <w:fldChar w:fldCharType="begin"/>
      </w:r>
      <w:r w:rsidRPr="00F876CB">
        <w:rPr>
          <w:rFonts w:asciiTheme="minorHAnsi" w:hAnsiTheme="minorHAnsi"/>
          <w:szCs w:val="24"/>
          <w:lang w:val="en-GB"/>
        </w:rPr>
        <w:instrText xml:space="preserve"> STYLEREF 1 \s </w:instrText>
      </w:r>
      <w:r w:rsidRPr="00F876CB">
        <w:rPr>
          <w:rFonts w:asciiTheme="minorHAnsi" w:hAnsiTheme="minorHAnsi"/>
          <w:szCs w:val="24"/>
          <w:lang w:val="en-GB"/>
        </w:rPr>
        <w:fldChar w:fldCharType="separate"/>
      </w:r>
      <w:r w:rsidRPr="00F876CB">
        <w:rPr>
          <w:rFonts w:asciiTheme="minorHAnsi" w:hAnsiTheme="minorHAnsi"/>
          <w:noProof/>
          <w:szCs w:val="24"/>
          <w:lang w:val="en-GB"/>
        </w:rPr>
        <w:t>6</w:t>
      </w:r>
      <w:r w:rsidRPr="00F876CB">
        <w:rPr>
          <w:rFonts w:asciiTheme="minorHAnsi" w:hAnsiTheme="minorHAnsi"/>
          <w:szCs w:val="24"/>
          <w:lang w:val="en-GB"/>
        </w:rPr>
        <w:fldChar w:fldCharType="end"/>
      </w:r>
      <w:r w:rsidRPr="00F876CB">
        <w:rPr>
          <w:rFonts w:asciiTheme="minorHAnsi" w:hAnsiTheme="minorHAnsi"/>
          <w:szCs w:val="24"/>
          <w:lang w:val="en-GB"/>
        </w:rPr>
        <w:t>.5</w:t>
      </w:r>
      <w:r w:rsidRPr="00F876CB">
        <w:rPr>
          <w:lang w:val="en-GB"/>
        </w:rPr>
        <w:t xml:space="preserve">: </w:t>
      </w:r>
      <w:bookmarkEnd w:id="1162"/>
      <w:bookmarkEnd w:id="1163"/>
      <w:bookmarkEnd w:id="1164"/>
      <w:bookmarkEnd w:id="1165"/>
      <w:r w:rsidRPr="00F876CB">
        <w:rPr>
          <w:lang w:val="en-GB"/>
        </w:rPr>
        <w:t>Share of Items on Industry Electricity Invoice in 2019 (%)</w:t>
      </w:r>
      <w:bookmarkEnd w:id="1166"/>
    </w:p>
    <w:p w:rsidR="00767AED" w:rsidRPr="00F876CB" w:rsidRDefault="00767AED" w:rsidP="00767AED">
      <w:pPr>
        <w:spacing w:line="360" w:lineRule="auto"/>
        <w:jc w:val="center"/>
        <w:rPr>
          <w:rFonts w:asciiTheme="minorHAnsi" w:hAnsiTheme="minorHAnsi" w:cstheme="minorHAnsi"/>
          <w:noProof/>
          <w:sz w:val="24"/>
          <w:szCs w:val="24"/>
          <w:lang w:val="en-GB" w:eastAsia="tr-TR" w:bidi="ar-SA"/>
        </w:rPr>
      </w:pPr>
      <w:r>
        <w:rPr>
          <w:rFonts w:asciiTheme="minorHAnsi" w:hAnsiTheme="minorHAnsi" w:cstheme="minorHAnsi"/>
          <w:noProof/>
          <w:sz w:val="24"/>
          <w:szCs w:val="24"/>
          <w:lang w:eastAsia="tr-TR" w:bidi="ar-SA"/>
        </w:rPr>
        <w:drawing>
          <wp:inline distT="0" distB="0" distL="0" distR="0" wp14:anchorId="5B1F9767" wp14:editId="66003ABC">
            <wp:extent cx="5560060" cy="2514600"/>
            <wp:effectExtent l="0" t="0" r="254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60060" cy="2514600"/>
                    </a:xfrm>
                    <a:prstGeom prst="rect">
                      <a:avLst/>
                    </a:prstGeom>
                    <a:noFill/>
                  </pic:spPr>
                </pic:pic>
              </a:graphicData>
            </a:graphic>
          </wp:inline>
        </w:drawing>
      </w:r>
    </w:p>
    <w:p w:rsidR="00DE0519" w:rsidRPr="00F876CB" w:rsidRDefault="00767AED" w:rsidP="00767AED">
      <w:pPr>
        <w:spacing w:line="360" w:lineRule="auto"/>
        <w:jc w:val="both"/>
        <w:rPr>
          <w:lang w:val="en-GB"/>
        </w:rPr>
      </w:pPr>
      <w:r>
        <w:rPr>
          <w:rFonts w:asciiTheme="minorHAnsi" w:hAnsiTheme="minorHAnsi" w:cstheme="minorHAnsi"/>
          <w:noProof/>
          <w:sz w:val="24"/>
          <w:szCs w:val="24"/>
          <w:lang w:val="en-GB" w:eastAsia="tr-TR" w:bidi="ar-SA"/>
        </w:rPr>
        <w:t xml:space="preserve">As Figure 6.5 and </w:t>
      </w:r>
      <w:r w:rsidRPr="00F876CB">
        <w:rPr>
          <w:rFonts w:asciiTheme="minorHAnsi" w:hAnsiTheme="minorHAnsi" w:cstheme="minorHAnsi"/>
          <w:noProof/>
          <w:sz w:val="24"/>
          <w:szCs w:val="24"/>
          <w:lang w:val="en-GB" w:eastAsia="tr-TR" w:bidi="ar-SA"/>
        </w:rPr>
        <w:t xml:space="preserve">Figure 6.4 </w:t>
      </w:r>
      <w:r>
        <w:rPr>
          <w:rFonts w:asciiTheme="minorHAnsi" w:hAnsiTheme="minorHAnsi" w:cstheme="minorHAnsi"/>
          <w:noProof/>
          <w:sz w:val="24"/>
          <w:szCs w:val="24"/>
          <w:lang w:val="en-GB" w:eastAsia="tr-TR" w:bidi="ar-SA"/>
        </w:rPr>
        <w:t xml:space="preserve">compared, industrial consumers </w:t>
      </w:r>
      <w:r w:rsidRPr="00F876CB">
        <w:rPr>
          <w:rFonts w:asciiTheme="minorHAnsi" w:hAnsiTheme="minorHAnsi" w:cstheme="minorHAnsi"/>
          <w:noProof/>
          <w:sz w:val="24"/>
          <w:szCs w:val="24"/>
          <w:lang w:val="en-GB" w:eastAsia="tr-TR" w:bidi="ar-SA"/>
        </w:rPr>
        <w:t xml:space="preserve">have a higher share of retail energy amount and a lower share of distribution (network) in the invoice components of the industrial group compared to </w:t>
      </w:r>
      <w:r>
        <w:rPr>
          <w:rFonts w:asciiTheme="minorHAnsi" w:hAnsiTheme="minorHAnsi" w:cstheme="minorHAnsi"/>
          <w:noProof/>
          <w:sz w:val="24"/>
          <w:szCs w:val="24"/>
          <w:lang w:val="en-GB" w:eastAsia="tr-TR" w:bidi="ar-SA"/>
        </w:rPr>
        <w:t>households.</w:t>
      </w:r>
    </w:p>
    <w:sectPr w:rsidR="00DE0519" w:rsidRPr="00F876CB"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37C" w:rsidRDefault="0049537C" w:rsidP="00A14F8D">
      <w:pPr>
        <w:spacing w:after="0" w:line="240" w:lineRule="auto"/>
      </w:pPr>
      <w:r>
        <w:separator/>
      </w:r>
    </w:p>
  </w:endnote>
  <w:endnote w:type="continuationSeparator" w:id="0">
    <w:p w:rsidR="0049537C" w:rsidRDefault="0049537C"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Content>
      <w:p w:rsidR="00BE6989" w:rsidRDefault="00BE6989" w:rsidP="003F06B0">
        <w:pPr>
          <w:pStyle w:val="AltBilgi"/>
          <w:jc w:val="center"/>
        </w:pPr>
        <w:r>
          <w:fldChar w:fldCharType="begin"/>
        </w:r>
        <w:r>
          <w:instrText xml:space="preserve"> PAGE   \* MERGEFORMAT </w:instrText>
        </w:r>
        <w:r>
          <w:fldChar w:fldCharType="separate"/>
        </w:r>
        <w:r>
          <w:rPr>
            <w:noProof/>
          </w:rPr>
          <w:t>i</w:t>
        </w:r>
        <w:r>
          <w:rPr>
            <w:noProof/>
          </w:rPr>
          <w:fldChar w:fldCharType="end"/>
        </w:r>
      </w:p>
    </w:sdtContent>
  </w:sdt>
  <w:p w:rsidR="00BE6989" w:rsidRDefault="00BE698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6989" w:rsidRDefault="00BE6989">
    <w:pPr>
      <w:pStyle w:val="AltBilgi"/>
      <w:jc w:val="center"/>
    </w:pPr>
  </w:p>
  <w:p w:rsidR="00BE6989" w:rsidRDefault="00BE698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181087"/>
      <w:docPartObj>
        <w:docPartGallery w:val="Page Numbers (Bottom of Page)"/>
        <w:docPartUnique/>
      </w:docPartObj>
    </w:sdtPr>
    <w:sdtContent>
      <w:p w:rsidR="00BE6989" w:rsidRDefault="00BE6989" w:rsidP="003F06B0">
        <w:pPr>
          <w:pStyle w:val="AltBilgi"/>
          <w:jc w:val="center"/>
        </w:pPr>
        <w:r>
          <w:fldChar w:fldCharType="begin"/>
        </w:r>
        <w:r>
          <w:instrText xml:space="preserve"> PAGE   \* MERGEFORMAT </w:instrText>
        </w:r>
        <w:r>
          <w:fldChar w:fldCharType="separate"/>
        </w:r>
        <w:r>
          <w:rPr>
            <w:noProof/>
          </w:rPr>
          <w:t>ix</w:t>
        </w:r>
        <w:r>
          <w:rPr>
            <w:noProof/>
          </w:rPr>
          <w:fldChar w:fldCharType="end"/>
        </w:r>
      </w:p>
    </w:sdtContent>
  </w:sdt>
  <w:p w:rsidR="00BE6989" w:rsidRDefault="00BE698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37C" w:rsidRDefault="0049537C" w:rsidP="00A14F8D">
      <w:pPr>
        <w:spacing w:after="0" w:line="240" w:lineRule="auto"/>
      </w:pPr>
      <w:r>
        <w:separator/>
      </w:r>
    </w:p>
  </w:footnote>
  <w:footnote w:type="continuationSeparator" w:id="0">
    <w:p w:rsidR="0049537C" w:rsidRDefault="0049537C" w:rsidP="00A14F8D">
      <w:pPr>
        <w:spacing w:after="0" w:line="240" w:lineRule="auto"/>
      </w:pPr>
      <w:r>
        <w:continuationSeparator/>
      </w:r>
    </w:p>
  </w:footnote>
  <w:footnote w:id="1">
    <w:p w:rsidR="00BE6989" w:rsidRPr="003B6E1E" w:rsidRDefault="00BE6989" w:rsidP="00767AED">
      <w:pPr>
        <w:pStyle w:val="DipnotMetni"/>
      </w:pPr>
      <w:r w:rsidRPr="003B6E1E">
        <w:rPr>
          <w:rStyle w:val="DipnotBavurusu"/>
        </w:rPr>
        <w:footnoteRef/>
      </w:r>
      <w:r>
        <w:t xml:space="preserve"> Monthly average exchange rates of Central Bank is used for calculating the average RESSUM Price.</w:t>
      </w:r>
    </w:p>
  </w:footnote>
  <w:footnote w:id="2">
    <w:p w:rsidR="00BE6989" w:rsidRPr="00962345" w:rsidRDefault="00BE6989" w:rsidP="00962345">
      <w:pPr>
        <w:jc w:val="both"/>
        <w:rPr>
          <w:rFonts w:asciiTheme="minorHAnsi" w:eastAsiaTheme="minorHAnsi" w:hAnsiTheme="minorHAnsi" w:cstheme="minorBidi"/>
          <w:sz w:val="20"/>
          <w:szCs w:val="20"/>
          <w:lang w:bidi="ar-SA"/>
        </w:rPr>
      </w:pPr>
      <w:r>
        <w:rPr>
          <w:rStyle w:val="DipnotBavurusu"/>
        </w:rPr>
        <w:footnoteRef/>
      </w:r>
      <w:r>
        <w:t xml:space="preserve"> </w:t>
      </w:r>
      <w:r w:rsidRPr="00962345">
        <w:rPr>
          <w:rFonts w:asciiTheme="minorHAnsi" w:eastAsiaTheme="minorHAnsi" w:hAnsiTheme="minorHAnsi" w:cstheme="minorBidi"/>
          <w:sz w:val="20"/>
          <w:szCs w:val="20"/>
          <w:lang w:bidi="ar-SA"/>
        </w:rPr>
        <w:t xml:space="preserve">The HHI values are evaluated as a competitive market indicator. If HHI is under 1000 the market is competitive, medium intensity if HHI is between 1000 -1800, and an oligopoly market if HHI is above 1800. In the same way, if the HHI increases by more than 100 points in mergers and acquisitions, it is considered that competitiveness is reduced.  </w:t>
      </w:r>
    </w:p>
    <w:p w:rsidR="00BE6989" w:rsidRDefault="00BE6989">
      <w:pPr>
        <w:pStyle w:val="DipnotMetni"/>
      </w:pPr>
    </w:p>
  </w:footnote>
  <w:footnote w:id="3">
    <w:p w:rsidR="00BE6989" w:rsidRDefault="00BE6989" w:rsidP="00962345">
      <w:pPr>
        <w:pStyle w:val="DipnotMetni"/>
        <w:jc w:val="both"/>
      </w:pPr>
      <w:r>
        <w:rPr>
          <w:rStyle w:val="DipnotBavurusu"/>
        </w:rPr>
        <w:footnoteRef/>
      </w:r>
      <w:r>
        <w:t xml:space="preserve"> </w:t>
      </w:r>
      <w:r w:rsidRPr="00962345">
        <w:t>Includes all sales made to eligible and non-eligible consumers for sales volumes of incumbent supply companies.</w:t>
      </w:r>
      <w:r>
        <w:t xml:space="preserve"> </w:t>
      </w:r>
    </w:p>
  </w:footnote>
  <w:footnote w:id="4">
    <w:p w:rsidR="00BE6989" w:rsidRDefault="00BE6989">
      <w:pPr>
        <w:pStyle w:val="DipnotMetni"/>
      </w:pPr>
      <w:r>
        <w:rPr>
          <w:rStyle w:val="DipnotBavurusu"/>
        </w:rPr>
        <w:footnoteRef/>
      </w:r>
      <w:r>
        <w:t xml:space="preserve"> </w:t>
      </w:r>
      <w:r w:rsidRPr="00677F20">
        <w:t>Including the data about facilities owned by customers.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8703519"/>
    <w:multiLevelType w:val="multilevel"/>
    <w:tmpl w:val="58C85A86"/>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3115256A"/>
    <w:multiLevelType w:val="hybridMultilevel"/>
    <w:tmpl w:val="17EE467A"/>
    <w:lvl w:ilvl="0" w:tplc="041F000D">
      <w:start w:val="1"/>
      <w:numFmt w:val="bullet"/>
      <w:lvlText w:val=""/>
      <w:lvlJc w:val="left"/>
      <w:pPr>
        <w:ind w:left="1206" w:hanging="360"/>
      </w:pPr>
      <w:rPr>
        <w:rFonts w:ascii="Wingdings" w:hAnsi="Wingdings" w:hint="default"/>
      </w:rPr>
    </w:lvl>
    <w:lvl w:ilvl="1" w:tplc="04090003">
      <w:start w:val="1"/>
      <w:numFmt w:val="bullet"/>
      <w:lvlText w:val="o"/>
      <w:lvlJc w:val="left"/>
      <w:pPr>
        <w:ind w:left="1926" w:hanging="360"/>
      </w:pPr>
      <w:rPr>
        <w:rFonts w:ascii="Courier New" w:hAnsi="Courier New" w:cs="Courier New" w:hint="default"/>
      </w:rPr>
    </w:lvl>
    <w:lvl w:ilvl="2" w:tplc="04090005" w:tentative="1">
      <w:start w:val="1"/>
      <w:numFmt w:val="bullet"/>
      <w:lvlText w:val=""/>
      <w:lvlJc w:val="left"/>
      <w:pPr>
        <w:ind w:left="2646" w:hanging="360"/>
      </w:pPr>
      <w:rPr>
        <w:rFonts w:ascii="Wingdings" w:hAnsi="Wingdings" w:hint="default"/>
      </w:rPr>
    </w:lvl>
    <w:lvl w:ilvl="3" w:tplc="04090001" w:tentative="1">
      <w:start w:val="1"/>
      <w:numFmt w:val="bullet"/>
      <w:lvlText w:val=""/>
      <w:lvlJc w:val="left"/>
      <w:pPr>
        <w:ind w:left="3366" w:hanging="360"/>
      </w:pPr>
      <w:rPr>
        <w:rFonts w:ascii="Symbol" w:hAnsi="Symbol" w:hint="default"/>
      </w:rPr>
    </w:lvl>
    <w:lvl w:ilvl="4" w:tplc="04090003" w:tentative="1">
      <w:start w:val="1"/>
      <w:numFmt w:val="bullet"/>
      <w:lvlText w:val="o"/>
      <w:lvlJc w:val="left"/>
      <w:pPr>
        <w:ind w:left="4086" w:hanging="360"/>
      </w:pPr>
      <w:rPr>
        <w:rFonts w:ascii="Courier New" w:hAnsi="Courier New" w:cs="Courier New" w:hint="default"/>
      </w:rPr>
    </w:lvl>
    <w:lvl w:ilvl="5" w:tplc="04090005" w:tentative="1">
      <w:start w:val="1"/>
      <w:numFmt w:val="bullet"/>
      <w:lvlText w:val=""/>
      <w:lvlJc w:val="left"/>
      <w:pPr>
        <w:ind w:left="4806" w:hanging="360"/>
      </w:pPr>
      <w:rPr>
        <w:rFonts w:ascii="Wingdings" w:hAnsi="Wingdings" w:hint="default"/>
      </w:rPr>
    </w:lvl>
    <w:lvl w:ilvl="6" w:tplc="04090001" w:tentative="1">
      <w:start w:val="1"/>
      <w:numFmt w:val="bullet"/>
      <w:lvlText w:val=""/>
      <w:lvlJc w:val="left"/>
      <w:pPr>
        <w:ind w:left="5526" w:hanging="360"/>
      </w:pPr>
      <w:rPr>
        <w:rFonts w:ascii="Symbol" w:hAnsi="Symbol" w:hint="default"/>
      </w:rPr>
    </w:lvl>
    <w:lvl w:ilvl="7" w:tplc="04090003" w:tentative="1">
      <w:start w:val="1"/>
      <w:numFmt w:val="bullet"/>
      <w:lvlText w:val="o"/>
      <w:lvlJc w:val="left"/>
      <w:pPr>
        <w:ind w:left="6246" w:hanging="360"/>
      </w:pPr>
      <w:rPr>
        <w:rFonts w:ascii="Courier New" w:hAnsi="Courier New" w:cs="Courier New" w:hint="default"/>
      </w:rPr>
    </w:lvl>
    <w:lvl w:ilvl="8" w:tplc="04090005" w:tentative="1">
      <w:start w:val="1"/>
      <w:numFmt w:val="bullet"/>
      <w:lvlText w:val=""/>
      <w:lvlJc w:val="left"/>
      <w:pPr>
        <w:ind w:left="6966" w:hanging="360"/>
      </w:pPr>
      <w:rPr>
        <w:rFonts w:ascii="Wingdings" w:hAnsi="Wingdings" w:hint="default"/>
      </w:rPr>
    </w:lvl>
  </w:abstractNum>
  <w:abstractNum w:abstractNumId="13"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31D12FB"/>
    <w:multiLevelType w:val="hybridMultilevel"/>
    <w:tmpl w:val="657A5A3A"/>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0" w15:restartNumberingAfterBreak="0">
    <w:nsid w:val="485412C4"/>
    <w:multiLevelType w:val="hybridMultilevel"/>
    <w:tmpl w:val="657A5A3A"/>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2"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3"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8"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0" w15:restartNumberingAfterBreak="0">
    <w:nsid w:val="69E66C81"/>
    <w:multiLevelType w:val="hybridMultilevel"/>
    <w:tmpl w:val="F4F6037A"/>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3"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8"/>
  </w:num>
  <w:num w:numId="5">
    <w:abstractNumId w:val="19"/>
  </w:num>
  <w:num w:numId="6">
    <w:abstractNumId w:val="22"/>
  </w:num>
  <w:num w:numId="7">
    <w:abstractNumId w:val="2"/>
  </w:num>
  <w:num w:numId="8">
    <w:abstractNumId w:val="29"/>
  </w:num>
  <w:num w:numId="9">
    <w:abstractNumId w:val="17"/>
  </w:num>
  <w:num w:numId="10">
    <w:abstractNumId w:val="33"/>
  </w:num>
  <w:num w:numId="11">
    <w:abstractNumId w:val="25"/>
  </w:num>
  <w:num w:numId="12">
    <w:abstractNumId w:val="7"/>
  </w:num>
  <w:num w:numId="13">
    <w:abstractNumId w:val="32"/>
  </w:num>
  <w:num w:numId="14">
    <w:abstractNumId w:val="34"/>
  </w:num>
  <w:num w:numId="15">
    <w:abstractNumId w:val="26"/>
  </w:num>
  <w:num w:numId="16">
    <w:abstractNumId w:val="10"/>
  </w:num>
  <w:num w:numId="17">
    <w:abstractNumId w:val="1"/>
  </w:num>
  <w:num w:numId="18">
    <w:abstractNumId w:val="6"/>
  </w:num>
  <w:num w:numId="19">
    <w:abstractNumId w:val="15"/>
  </w:num>
  <w:num w:numId="20">
    <w:abstractNumId w:val="27"/>
  </w:num>
  <w:num w:numId="21">
    <w:abstractNumId w:val="11"/>
  </w:num>
  <w:num w:numId="22">
    <w:abstractNumId w:val="23"/>
  </w:num>
  <w:num w:numId="23">
    <w:abstractNumId w:val="8"/>
  </w:num>
  <w:num w:numId="24">
    <w:abstractNumId w:val="18"/>
  </w:num>
  <w:num w:numId="25">
    <w:abstractNumId w:val="31"/>
  </w:num>
  <w:num w:numId="26">
    <w:abstractNumId w:val="9"/>
  </w:num>
  <w:num w:numId="27">
    <w:abstractNumId w:val="24"/>
  </w:num>
  <w:num w:numId="28">
    <w:abstractNumId w:val="4"/>
  </w:num>
  <w:num w:numId="29">
    <w:abstractNumId w:val="13"/>
  </w:num>
  <w:num w:numId="30">
    <w:abstractNumId w:val="12"/>
  </w:num>
  <w:num w:numId="31">
    <w:abstractNumId w:val="5"/>
  </w:num>
  <w:num w:numId="32">
    <w:abstractNumId w:val="14"/>
  </w:num>
  <w:num w:numId="33">
    <w:abstractNumId w:val="20"/>
  </w:num>
  <w:num w:numId="34">
    <w:abstractNumId w:val="30"/>
  </w:num>
  <w:num w:numId="35">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1924"/>
    <w:rsid w:val="00001C31"/>
    <w:rsid w:val="000022DC"/>
    <w:rsid w:val="000028F8"/>
    <w:rsid w:val="00002902"/>
    <w:rsid w:val="00002F53"/>
    <w:rsid w:val="00003161"/>
    <w:rsid w:val="0000331B"/>
    <w:rsid w:val="0000431E"/>
    <w:rsid w:val="000045FF"/>
    <w:rsid w:val="000048D9"/>
    <w:rsid w:val="00004ACA"/>
    <w:rsid w:val="00005725"/>
    <w:rsid w:val="00005F85"/>
    <w:rsid w:val="00005FEE"/>
    <w:rsid w:val="00006E5B"/>
    <w:rsid w:val="000078C2"/>
    <w:rsid w:val="00010ECD"/>
    <w:rsid w:val="0001147C"/>
    <w:rsid w:val="000117FC"/>
    <w:rsid w:val="00011B41"/>
    <w:rsid w:val="0001240A"/>
    <w:rsid w:val="000128A0"/>
    <w:rsid w:val="00012CF2"/>
    <w:rsid w:val="00014113"/>
    <w:rsid w:val="000143AB"/>
    <w:rsid w:val="0001546D"/>
    <w:rsid w:val="00015529"/>
    <w:rsid w:val="00015911"/>
    <w:rsid w:val="00015994"/>
    <w:rsid w:val="000162E8"/>
    <w:rsid w:val="000165CD"/>
    <w:rsid w:val="0001673A"/>
    <w:rsid w:val="000178B8"/>
    <w:rsid w:val="00017BD7"/>
    <w:rsid w:val="00020464"/>
    <w:rsid w:val="0002054B"/>
    <w:rsid w:val="00020E97"/>
    <w:rsid w:val="00021A7D"/>
    <w:rsid w:val="00021F32"/>
    <w:rsid w:val="00022134"/>
    <w:rsid w:val="00022648"/>
    <w:rsid w:val="00022F21"/>
    <w:rsid w:val="0002401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510"/>
    <w:rsid w:val="00034E3D"/>
    <w:rsid w:val="00034F01"/>
    <w:rsid w:val="00035276"/>
    <w:rsid w:val="000354C5"/>
    <w:rsid w:val="00035898"/>
    <w:rsid w:val="0003677A"/>
    <w:rsid w:val="00036E22"/>
    <w:rsid w:val="00036F7A"/>
    <w:rsid w:val="0003773D"/>
    <w:rsid w:val="0004001D"/>
    <w:rsid w:val="000404E4"/>
    <w:rsid w:val="000408F4"/>
    <w:rsid w:val="00040A36"/>
    <w:rsid w:val="0004250F"/>
    <w:rsid w:val="00042850"/>
    <w:rsid w:val="000433BB"/>
    <w:rsid w:val="00044360"/>
    <w:rsid w:val="00046182"/>
    <w:rsid w:val="00046257"/>
    <w:rsid w:val="00047D81"/>
    <w:rsid w:val="000509C7"/>
    <w:rsid w:val="00050DB0"/>
    <w:rsid w:val="0005274A"/>
    <w:rsid w:val="000530C0"/>
    <w:rsid w:val="000533DC"/>
    <w:rsid w:val="0005386D"/>
    <w:rsid w:val="0005402B"/>
    <w:rsid w:val="00054F59"/>
    <w:rsid w:val="000576D7"/>
    <w:rsid w:val="00057AD2"/>
    <w:rsid w:val="00057AF5"/>
    <w:rsid w:val="00057BE5"/>
    <w:rsid w:val="00057FB6"/>
    <w:rsid w:val="000603D9"/>
    <w:rsid w:val="00061774"/>
    <w:rsid w:val="00062046"/>
    <w:rsid w:val="00062BA9"/>
    <w:rsid w:val="00063FB1"/>
    <w:rsid w:val="00063FFD"/>
    <w:rsid w:val="00064634"/>
    <w:rsid w:val="000647C0"/>
    <w:rsid w:val="000659E2"/>
    <w:rsid w:val="000660C9"/>
    <w:rsid w:val="00066673"/>
    <w:rsid w:val="00066A81"/>
    <w:rsid w:val="00066C9D"/>
    <w:rsid w:val="00066DD6"/>
    <w:rsid w:val="00066E4C"/>
    <w:rsid w:val="00067D2D"/>
    <w:rsid w:val="00070484"/>
    <w:rsid w:val="000708A9"/>
    <w:rsid w:val="00070F34"/>
    <w:rsid w:val="00071349"/>
    <w:rsid w:val="00071743"/>
    <w:rsid w:val="00071786"/>
    <w:rsid w:val="000720E8"/>
    <w:rsid w:val="000732B0"/>
    <w:rsid w:val="0007441C"/>
    <w:rsid w:val="00074739"/>
    <w:rsid w:val="00075977"/>
    <w:rsid w:val="00075D72"/>
    <w:rsid w:val="00076349"/>
    <w:rsid w:val="00076FE5"/>
    <w:rsid w:val="0007739D"/>
    <w:rsid w:val="00077638"/>
    <w:rsid w:val="00077989"/>
    <w:rsid w:val="00080384"/>
    <w:rsid w:val="00080FEC"/>
    <w:rsid w:val="000818C7"/>
    <w:rsid w:val="00081F49"/>
    <w:rsid w:val="00082F81"/>
    <w:rsid w:val="00083194"/>
    <w:rsid w:val="00083611"/>
    <w:rsid w:val="00084DFD"/>
    <w:rsid w:val="00086013"/>
    <w:rsid w:val="0008703C"/>
    <w:rsid w:val="00087B9D"/>
    <w:rsid w:val="00087C38"/>
    <w:rsid w:val="00090B2A"/>
    <w:rsid w:val="0009242E"/>
    <w:rsid w:val="000924C9"/>
    <w:rsid w:val="0009333C"/>
    <w:rsid w:val="000937B3"/>
    <w:rsid w:val="00094A61"/>
    <w:rsid w:val="0009623B"/>
    <w:rsid w:val="00096ED1"/>
    <w:rsid w:val="00097E43"/>
    <w:rsid w:val="000A1376"/>
    <w:rsid w:val="000A1FF9"/>
    <w:rsid w:val="000A2858"/>
    <w:rsid w:val="000A2913"/>
    <w:rsid w:val="000A2C87"/>
    <w:rsid w:val="000A319E"/>
    <w:rsid w:val="000A3284"/>
    <w:rsid w:val="000A3D13"/>
    <w:rsid w:val="000A579F"/>
    <w:rsid w:val="000A5BBA"/>
    <w:rsid w:val="000A5D33"/>
    <w:rsid w:val="000A7263"/>
    <w:rsid w:val="000A750D"/>
    <w:rsid w:val="000A76C4"/>
    <w:rsid w:val="000B0631"/>
    <w:rsid w:val="000B0D65"/>
    <w:rsid w:val="000B0F06"/>
    <w:rsid w:val="000B2951"/>
    <w:rsid w:val="000B32B6"/>
    <w:rsid w:val="000B48DA"/>
    <w:rsid w:val="000B5920"/>
    <w:rsid w:val="000B5BE8"/>
    <w:rsid w:val="000B6810"/>
    <w:rsid w:val="000B6824"/>
    <w:rsid w:val="000B6EBC"/>
    <w:rsid w:val="000B6F72"/>
    <w:rsid w:val="000B7334"/>
    <w:rsid w:val="000B73C3"/>
    <w:rsid w:val="000B742B"/>
    <w:rsid w:val="000C05EA"/>
    <w:rsid w:val="000C172B"/>
    <w:rsid w:val="000C2945"/>
    <w:rsid w:val="000C2DA4"/>
    <w:rsid w:val="000C46A7"/>
    <w:rsid w:val="000C49F0"/>
    <w:rsid w:val="000C4EFC"/>
    <w:rsid w:val="000C7689"/>
    <w:rsid w:val="000C7E45"/>
    <w:rsid w:val="000D0316"/>
    <w:rsid w:val="000D0F4D"/>
    <w:rsid w:val="000D16B7"/>
    <w:rsid w:val="000D21F5"/>
    <w:rsid w:val="000D222C"/>
    <w:rsid w:val="000D2C4E"/>
    <w:rsid w:val="000D2F7E"/>
    <w:rsid w:val="000D3106"/>
    <w:rsid w:val="000D3EAC"/>
    <w:rsid w:val="000D4269"/>
    <w:rsid w:val="000D6B0F"/>
    <w:rsid w:val="000D6B6C"/>
    <w:rsid w:val="000D7252"/>
    <w:rsid w:val="000D7ACA"/>
    <w:rsid w:val="000E0FF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A23"/>
    <w:rsid w:val="000F6CB6"/>
    <w:rsid w:val="00100648"/>
    <w:rsid w:val="0010125E"/>
    <w:rsid w:val="001014A0"/>
    <w:rsid w:val="00102669"/>
    <w:rsid w:val="00102964"/>
    <w:rsid w:val="00102E15"/>
    <w:rsid w:val="00103171"/>
    <w:rsid w:val="0010475C"/>
    <w:rsid w:val="00106169"/>
    <w:rsid w:val="001073A2"/>
    <w:rsid w:val="00110656"/>
    <w:rsid w:val="00110D24"/>
    <w:rsid w:val="00110D9E"/>
    <w:rsid w:val="0011334B"/>
    <w:rsid w:val="00113471"/>
    <w:rsid w:val="00113AF7"/>
    <w:rsid w:val="00113CDF"/>
    <w:rsid w:val="00114126"/>
    <w:rsid w:val="00115BDA"/>
    <w:rsid w:val="00116AFC"/>
    <w:rsid w:val="00117515"/>
    <w:rsid w:val="00117C4F"/>
    <w:rsid w:val="001200B8"/>
    <w:rsid w:val="001210AD"/>
    <w:rsid w:val="001218A3"/>
    <w:rsid w:val="00122686"/>
    <w:rsid w:val="0012321A"/>
    <w:rsid w:val="001238D1"/>
    <w:rsid w:val="001248BC"/>
    <w:rsid w:val="0012510B"/>
    <w:rsid w:val="00125124"/>
    <w:rsid w:val="00125195"/>
    <w:rsid w:val="0012595A"/>
    <w:rsid w:val="001270C0"/>
    <w:rsid w:val="0012748E"/>
    <w:rsid w:val="00130775"/>
    <w:rsid w:val="00130B1D"/>
    <w:rsid w:val="00131A2B"/>
    <w:rsid w:val="00131BE3"/>
    <w:rsid w:val="00133C89"/>
    <w:rsid w:val="00134318"/>
    <w:rsid w:val="00136D2F"/>
    <w:rsid w:val="00137E88"/>
    <w:rsid w:val="0014039B"/>
    <w:rsid w:val="00140BE5"/>
    <w:rsid w:val="00141DEC"/>
    <w:rsid w:val="00142B9F"/>
    <w:rsid w:val="00142DA3"/>
    <w:rsid w:val="00143032"/>
    <w:rsid w:val="0014303C"/>
    <w:rsid w:val="00143F42"/>
    <w:rsid w:val="00144336"/>
    <w:rsid w:val="00144352"/>
    <w:rsid w:val="00144419"/>
    <w:rsid w:val="00144BF6"/>
    <w:rsid w:val="00145CE0"/>
    <w:rsid w:val="001470A6"/>
    <w:rsid w:val="00147A3D"/>
    <w:rsid w:val="00151A3B"/>
    <w:rsid w:val="00151ADB"/>
    <w:rsid w:val="00151E71"/>
    <w:rsid w:val="00152493"/>
    <w:rsid w:val="00152CDC"/>
    <w:rsid w:val="00153C85"/>
    <w:rsid w:val="00154CFC"/>
    <w:rsid w:val="00154D73"/>
    <w:rsid w:val="00155921"/>
    <w:rsid w:val="00155DA3"/>
    <w:rsid w:val="001573E5"/>
    <w:rsid w:val="001606CD"/>
    <w:rsid w:val="00161594"/>
    <w:rsid w:val="00161643"/>
    <w:rsid w:val="001617BE"/>
    <w:rsid w:val="001633BA"/>
    <w:rsid w:val="001637C5"/>
    <w:rsid w:val="00163EBE"/>
    <w:rsid w:val="0016439B"/>
    <w:rsid w:val="00164B0B"/>
    <w:rsid w:val="00165827"/>
    <w:rsid w:val="00165A2F"/>
    <w:rsid w:val="0017024F"/>
    <w:rsid w:val="0017113B"/>
    <w:rsid w:val="00171768"/>
    <w:rsid w:val="0017290A"/>
    <w:rsid w:val="00172EDB"/>
    <w:rsid w:val="001735CA"/>
    <w:rsid w:val="001735E2"/>
    <w:rsid w:val="0017367D"/>
    <w:rsid w:val="00173E1C"/>
    <w:rsid w:val="00174D83"/>
    <w:rsid w:val="00175AC8"/>
    <w:rsid w:val="0017608D"/>
    <w:rsid w:val="001760B8"/>
    <w:rsid w:val="0017625B"/>
    <w:rsid w:val="00176B09"/>
    <w:rsid w:val="001802FB"/>
    <w:rsid w:val="0018168E"/>
    <w:rsid w:val="001824C9"/>
    <w:rsid w:val="001827D9"/>
    <w:rsid w:val="0018376A"/>
    <w:rsid w:val="00183A1C"/>
    <w:rsid w:val="001846C4"/>
    <w:rsid w:val="00184DF0"/>
    <w:rsid w:val="00185DEE"/>
    <w:rsid w:val="001865A8"/>
    <w:rsid w:val="00186A17"/>
    <w:rsid w:val="00186A94"/>
    <w:rsid w:val="00187028"/>
    <w:rsid w:val="00187989"/>
    <w:rsid w:val="00187A08"/>
    <w:rsid w:val="00187ABE"/>
    <w:rsid w:val="001905E8"/>
    <w:rsid w:val="001918CA"/>
    <w:rsid w:val="00193690"/>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6557"/>
    <w:rsid w:val="001A6852"/>
    <w:rsid w:val="001A69A6"/>
    <w:rsid w:val="001B0668"/>
    <w:rsid w:val="001B1BEC"/>
    <w:rsid w:val="001B30CA"/>
    <w:rsid w:val="001B44D7"/>
    <w:rsid w:val="001B496A"/>
    <w:rsid w:val="001B5293"/>
    <w:rsid w:val="001B52FC"/>
    <w:rsid w:val="001B5309"/>
    <w:rsid w:val="001B5356"/>
    <w:rsid w:val="001B536B"/>
    <w:rsid w:val="001B62C7"/>
    <w:rsid w:val="001C07CD"/>
    <w:rsid w:val="001C07D6"/>
    <w:rsid w:val="001C0A93"/>
    <w:rsid w:val="001C14B5"/>
    <w:rsid w:val="001C1731"/>
    <w:rsid w:val="001C189E"/>
    <w:rsid w:val="001C212F"/>
    <w:rsid w:val="001C2545"/>
    <w:rsid w:val="001C2902"/>
    <w:rsid w:val="001C3B84"/>
    <w:rsid w:val="001C47A1"/>
    <w:rsid w:val="001C5177"/>
    <w:rsid w:val="001C5734"/>
    <w:rsid w:val="001C5995"/>
    <w:rsid w:val="001C5ECD"/>
    <w:rsid w:val="001C7295"/>
    <w:rsid w:val="001C736A"/>
    <w:rsid w:val="001C7626"/>
    <w:rsid w:val="001C7A6B"/>
    <w:rsid w:val="001D01C8"/>
    <w:rsid w:val="001D034E"/>
    <w:rsid w:val="001D0A6B"/>
    <w:rsid w:val="001D0FDF"/>
    <w:rsid w:val="001D15ED"/>
    <w:rsid w:val="001D17AF"/>
    <w:rsid w:val="001D1F7D"/>
    <w:rsid w:val="001D2523"/>
    <w:rsid w:val="001D2F26"/>
    <w:rsid w:val="001D38B7"/>
    <w:rsid w:val="001D4219"/>
    <w:rsid w:val="001D4821"/>
    <w:rsid w:val="001D4CB3"/>
    <w:rsid w:val="001D59B1"/>
    <w:rsid w:val="001D619E"/>
    <w:rsid w:val="001D61CB"/>
    <w:rsid w:val="001D6403"/>
    <w:rsid w:val="001D667C"/>
    <w:rsid w:val="001D7312"/>
    <w:rsid w:val="001D762D"/>
    <w:rsid w:val="001D79A2"/>
    <w:rsid w:val="001D7A0D"/>
    <w:rsid w:val="001E102E"/>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B1"/>
    <w:rsid w:val="001F3C40"/>
    <w:rsid w:val="001F3EAD"/>
    <w:rsid w:val="001F426C"/>
    <w:rsid w:val="001F4ACF"/>
    <w:rsid w:val="001F61AB"/>
    <w:rsid w:val="002002E7"/>
    <w:rsid w:val="00200CF2"/>
    <w:rsid w:val="00201162"/>
    <w:rsid w:val="002011B5"/>
    <w:rsid w:val="00201208"/>
    <w:rsid w:val="002021FB"/>
    <w:rsid w:val="00202DE6"/>
    <w:rsid w:val="00202E53"/>
    <w:rsid w:val="00202E6B"/>
    <w:rsid w:val="0020355D"/>
    <w:rsid w:val="0020372D"/>
    <w:rsid w:val="002037CC"/>
    <w:rsid w:val="00203810"/>
    <w:rsid w:val="00204591"/>
    <w:rsid w:val="00206080"/>
    <w:rsid w:val="002067EE"/>
    <w:rsid w:val="002067FC"/>
    <w:rsid w:val="00207A67"/>
    <w:rsid w:val="00207E5C"/>
    <w:rsid w:val="00207E70"/>
    <w:rsid w:val="002103C8"/>
    <w:rsid w:val="00211E32"/>
    <w:rsid w:val="0021307F"/>
    <w:rsid w:val="00213764"/>
    <w:rsid w:val="00214E0A"/>
    <w:rsid w:val="00216B3B"/>
    <w:rsid w:val="002179D1"/>
    <w:rsid w:val="002206C5"/>
    <w:rsid w:val="002211A0"/>
    <w:rsid w:val="002211D0"/>
    <w:rsid w:val="00221466"/>
    <w:rsid w:val="002214B5"/>
    <w:rsid w:val="00221EFF"/>
    <w:rsid w:val="002227A8"/>
    <w:rsid w:val="00222B11"/>
    <w:rsid w:val="00223478"/>
    <w:rsid w:val="00223510"/>
    <w:rsid w:val="002235AE"/>
    <w:rsid w:val="002244C7"/>
    <w:rsid w:val="00224A10"/>
    <w:rsid w:val="00224B67"/>
    <w:rsid w:val="00225DC8"/>
    <w:rsid w:val="00226E04"/>
    <w:rsid w:val="00227E7D"/>
    <w:rsid w:val="0023029B"/>
    <w:rsid w:val="0023079D"/>
    <w:rsid w:val="002308A9"/>
    <w:rsid w:val="00230C47"/>
    <w:rsid w:val="002325DC"/>
    <w:rsid w:val="00232BF6"/>
    <w:rsid w:val="002334EC"/>
    <w:rsid w:val="00233BAD"/>
    <w:rsid w:val="002343AE"/>
    <w:rsid w:val="00234AE6"/>
    <w:rsid w:val="0023559B"/>
    <w:rsid w:val="00236116"/>
    <w:rsid w:val="002365C4"/>
    <w:rsid w:val="00237138"/>
    <w:rsid w:val="002374D2"/>
    <w:rsid w:val="00240FD7"/>
    <w:rsid w:val="002415FE"/>
    <w:rsid w:val="00241F3C"/>
    <w:rsid w:val="00242026"/>
    <w:rsid w:val="00242811"/>
    <w:rsid w:val="00242B15"/>
    <w:rsid w:val="00242C5C"/>
    <w:rsid w:val="00242F8C"/>
    <w:rsid w:val="00243124"/>
    <w:rsid w:val="00243D20"/>
    <w:rsid w:val="00244194"/>
    <w:rsid w:val="00244EBA"/>
    <w:rsid w:val="00246B9E"/>
    <w:rsid w:val="002471AA"/>
    <w:rsid w:val="00247271"/>
    <w:rsid w:val="00247D2B"/>
    <w:rsid w:val="00250171"/>
    <w:rsid w:val="00250716"/>
    <w:rsid w:val="0025123B"/>
    <w:rsid w:val="00251B6C"/>
    <w:rsid w:val="00252399"/>
    <w:rsid w:val="00252590"/>
    <w:rsid w:val="00252FDF"/>
    <w:rsid w:val="00253DA7"/>
    <w:rsid w:val="00253DCC"/>
    <w:rsid w:val="002540FA"/>
    <w:rsid w:val="00254467"/>
    <w:rsid w:val="002545B9"/>
    <w:rsid w:val="00255B25"/>
    <w:rsid w:val="00255BB7"/>
    <w:rsid w:val="00255CE7"/>
    <w:rsid w:val="002561CE"/>
    <w:rsid w:val="00256C7B"/>
    <w:rsid w:val="0026008D"/>
    <w:rsid w:val="00260ADA"/>
    <w:rsid w:val="00260EEF"/>
    <w:rsid w:val="0026173A"/>
    <w:rsid w:val="00261778"/>
    <w:rsid w:val="00261853"/>
    <w:rsid w:val="00262F37"/>
    <w:rsid w:val="00262F6B"/>
    <w:rsid w:val="002633C2"/>
    <w:rsid w:val="002642D2"/>
    <w:rsid w:val="0026489C"/>
    <w:rsid w:val="002651D6"/>
    <w:rsid w:val="00265A64"/>
    <w:rsid w:val="00266266"/>
    <w:rsid w:val="00266AC6"/>
    <w:rsid w:val="00266DEF"/>
    <w:rsid w:val="00267023"/>
    <w:rsid w:val="00267836"/>
    <w:rsid w:val="00267A50"/>
    <w:rsid w:val="00267ED8"/>
    <w:rsid w:val="002710E2"/>
    <w:rsid w:val="0027147E"/>
    <w:rsid w:val="00272B09"/>
    <w:rsid w:val="00273559"/>
    <w:rsid w:val="002736F7"/>
    <w:rsid w:val="00273C5F"/>
    <w:rsid w:val="002747E7"/>
    <w:rsid w:val="00274ED7"/>
    <w:rsid w:val="00275DDB"/>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CA"/>
    <w:rsid w:val="00291E08"/>
    <w:rsid w:val="00292755"/>
    <w:rsid w:val="00292F06"/>
    <w:rsid w:val="00294003"/>
    <w:rsid w:val="00294965"/>
    <w:rsid w:val="00294FC6"/>
    <w:rsid w:val="002950E3"/>
    <w:rsid w:val="00296E3F"/>
    <w:rsid w:val="002A0460"/>
    <w:rsid w:val="002A0541"/>
    <w:rsid w:val="002A0B4C"/>
    <w:rsid w:val="002A0B5A"/>
    <w:rsid w:val="002A0F20"/>
    <w:rsid w:val="002A13A1"/>
    <w:rsid w:val="002A19C1"/>
    <w:rsid w:val="002A2346"/>
    <w:rsid w:val="002A3A5D"/>
    <w:rsid w:val="002A40F9"/>
    <w:rsid w:val="002A43B4"/>
    <w:rsid w:val="002A4DE9"/>
    <w:rsid w:val="002A4ECB"/>
    <w:rsid w:val="002A55EA"/>
    <w:rsid w:val="002A6585"/>
    <w:rsid w:val="002A6851"/>
    <w:rsid w:val="002A756F"/>
    <w:rsid w:val="002A76A8"/>
    <w:rsid w:val="002A7D3B"/>
    <w:rsid w:val="002B1552"/>
    <w:rsid w:val="002B1ABC"/>
    <w:rsid w:val="002B2252"/>
    <w:rsid w:val="002B299D"/>
    <w:rsid w:val="002B2F1D"/>
    <w:rsid w:val="002B3704"/>
    <w:rsid w:val="002B3AB3"/>
    <w:rsid w:val="002B48B1"/>
    <w:rsid w:val="002B52C4"/>
    <w:rsid w:val="002B5A58"/>
    <w:rsid w:val="002B5B34"/>
    <w:rsid w:val="002B5EF0"/>
    <w:rsid w:val="002B73FA"/>
    <w:rsid w:val="002B7E18"/>
    <w:rsid w:val="002B7F91"/>
    <w:rsid w:val="002C0B01"/>
    <w:rsid w:val="002C1139"/>
    <w:rsid w:val="002C26CD"/>
    <w:rsid w:val="002C2920"/>
    <w:rsid w:val="002C29FB"/>
    <w:rsid w:val="002C2E0C"/>
    <w:rsid w:val="002C352D"/>
    <w:rsid w:val="002C363D"/>
    <w:rsid w:val="002C3CBB"/>
    <w:rsid w:val="002C4E5F"/>
    <w:rsid w:val="002C50AC"/>
    <w:rsid w:val="002C5EE3"/>
    <w:rsid w:val="002C6579"/>
    <w:rsid w:val="002C70C6"/>
    <w:rsid w:val="002C7C79"/>
    <w:rsid w:val="002C7C90"/>
    <w:rsid w:val="002D0C4D"/>
    <w:rsid w:val="002D115B"/>
    <w:rsid w:val="002D1455"/>
    <w:rsid w:val="002D19A6"/>
    <w:rsid w:val="002D1A9F"/>
    <w:rsid w:val="002D1D85"/>
    <w:rsid w:val="002D28EB"/>
    <w:rsid w:val="002D2B6D"/>
    <w:rsid w:val="002D30D5"/>
    <w:rsid w:val="002D3656"/>
    <w:rsid w:val="002D516E"/>
    <w:rsid w:val="002D6020"/>
    <w:rsid w:val="002D65A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94A"/>
    <w:rsid w:val="002E5BE2"/>
    <w:rsid w:val="002E63B7"/>
    <w:rsid w:val="002E71AC"/>
    <w:rsid w:val="002F057B"/>
    <w:rsid w:val="002F0D8D"/>
    <w:rsid w:val="002F1758"/>
    <w:rsid w:val="002F1F2D"/>
    <w:rsid w:val="002F3E0A"/>
    <w:rsid w:val="002F4CDA"/>
    <w:rsid w:val="002F4E8D"/>
    <w:rsid w:val="002F638A"/>
    <w:rsid w:val="002F66BF"/>
    <w:rsid w:val="002F781F"/>
    <w:rsid w:val="0030015F"/>
    <w:rsid w:val="003011A5"/>
    <w:rsid w:val="00301746"/>
    <w:rsid w:val="00301BD4"/>
    <w:rsid w:val="00301F7B"/>
    <w:rsid w:val="00302531"/>
    <w:rsid w:val="00302599"/>
    <w:rsid w:val="00303B51"/>
    <w:rsid w:val="0030478E"/>
    <w:rsid w:val="003047FB"/>
    <w:rsid w:val="00304F20"/>
    <w:rsid w:val="003053EE"/>
    <w:rsid w:val="00306B1C"/>
    <w:rsid w:val="00307C16"/>
    <w:rsid w:val="00310089"/>
    <w:rsid w:val="00311DDF"/>
    <w:rsid w:val="00312D5D"/>
    <w:rsid w:val="003131CB"/>
    <w:rsid w:val="00313D85"/>
    <w:rsid w:val="00313E86"/>
    <w:rsid w:val="00314069"/>
    <w:rsid w:val="00314A85"/>
    <w:rsid w:val="00314CBD"/>
    <w:rsid w:val="00315D3E"/>
    <w:rsid w:val="00316C40"/>
    <w:rsid w:val="00316D59"/>
    <w:rsid w:val="00316F59"/>
    <w:rsid w:val="003177B4"/>
    <w:rsid w:val="00317923"/>
    <w:rsid w:val="00320360"/>
    <w:rsid w:val="00322368"/>
    <w:rsid w:val="0032246C"/>
    <w:rsid w:val="0032268A"/>
    <w:rsid w:val="003238C4"/>
    <w:rsid w:val="00323FA0"/>
    <w:rsid w:val="0032509B"/>
    <w:rsid w:val="00325418"/>
    <w:rsid w:val="00326949"/>
    <w:rsid w:val="003271D9"/>
    <w:rsid w:val="00327374"/>
    <w:rsid w:val="003273C5"/>
    <w:rsid w:val="0032767B"/>
    <w:rsid w:val="00331F77"/>
    <w:rsid w:val="00331FF4"/>
    <w:rsid w:val="00332F39"/>
    <w:rsid w:val="00334767"/>
    <w:rsid w:val="00335115"/>
    <w:rsid w:val="0033524B"/>
    <w:rsid w:val="00335AE1"/>
    <w:rsid w:val="00336BC4"/>
    <w:rsid w:val="003378D5"/>
    <w:rsid w:val="003378E2"/>
    <w:rsid w:val="003411CE"/>
    <w:rsid w:val="00341259"/>
    <w:rsid w:val="003415A4"/>
    <w:rsid w:val="003415C7"/>
    <w:rsid w:val="003425E4"/>
    <w:rsid w:val="00343332"/>
    <w:rsid w:val="00343652"/>
    <w:rsid w:val="00343825"/>
    <w:rsid w:val="00343BB4"/>
    <w:rsid w:val="00343FE2"/>
    <w:rsid w:val="003440EE"/>
    <w:rsid w:val="003448AE"/>
    <w:rsid w:val="00344BB5"/>
    <w:rsid w:val="00344C1B"/>
    <w:rsid w:val="003455BA"/>
    <w:rsid w:val="003464B5"/>
    <w:rsid w:val="00346962"/>
    <w:rsid w:val="00346B58"/>
    <w:rsid w:val="00346D00"/>
    <w:rsid w:val="00347A1D"/>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F5D"/>
    <w:rsid w:val="003670A5"/>
    <w:rsid w:val="00367169"/>
    <w:rsid w:val="003709BA"/>
    <w:rsid w:val="00370A1D"/>
    <w:rsid w:val="00370C39"/>
    <w:rsid w:val="00371923"/>
    <w:rsid w:val="003722A9"/>
    <w:rsid w:val="00372AD6"/>
    <w:rsid w:val="00372CF4"/>
    <w:rsid w:val="00373387"/>
    <w:rsid w:val="003744CC"/>
    <w:rsid w:val="00374A7D"/>
    <w:rsid w:val="00375DB6"/>
    <w:rsid w:val="00376668"/>
    <w:rsid w:val="00377710"/>
    <w:rsid w:val="00377A1B"/>
    <w:rsid w:val="00377B98"/>
    <w:rsid w:val="003805B5"/>
    <w:rsid w:val="00381103"/>
    <w:rsid w:val="00381D6B"/>
    <w:rsid w:val="003821A3"/>
    <w:rsid w:val="00382930"/>
    <w:rsid w:val="00382A68"/>
    <w:rsid w:val="00383B82"/>
    <w:rsid w:val="00384056"/>
    <w:rsid w:val="00384A45"/>
    <w:rsid w:val="003856F8"/>
    <w:rsid w:val="003858F1"/>
    <w:rsid w:val="00385E0A"/>
    <w:rsid w:val="00387383"/>
    <w:rsid w:val="00391C1C"/>
    <w:rsid w:val="00392F14"/>
    <w:rsid w:val="00393104"/>
    <w:rsid w:val="003977DC"/>
    <w:rsid w:val="003978B9"/>
    <w:rsid w:val="00397B49"/>
    <w:rsid w:val="003A1E95"/>
    <w:rsid w:val="003A3266"/>
    <w:rsid w:val="003A32C3"/>
    <w:rsid w:val="003A414D"/>
    <w:rsid w:val="003A4E29"/>
    <w:rsid w:val="003A52B5"/>
    <w:rsid w:val="003A5C5E"/>
    <w:rsid w:val="003A6400"/>
    <w:rsid w:val="003A6741"/>
    <w:rsid w:val="003A67CA"/>
    <w:rsid w:val="003A69A1"/>
    <w:rsid w:val="003A6B7C"/>
    <w:rsid w:val="003A7563"/>
    <w:rsid w:val="003A75CC"/>
    <w:rsid w:val="003A7FD9"/>
    <w:rsid w:val="003B0618"/>
    <w:rsid w:val="003B1BD1"/>
    <w:rsid w:val="003B2270"/>
    <w:rsid w:val="003B2857"/>
    <w:rsid w:val="003B33B5"/>
    <w:rsid w:val="003B4C20"/>
    <w:rsid w:val="003B5291"/>
    <w:rsid w:val="003B5494"/>
    <w:rsid w:val="003B5E0A"/>
    <w:rsid w:val="003B6D45"/>
    <w:rsid w:val="003B6D7E"/>
    <w:rsid w:val="003B6E1E"/>
    <w:rsid w:val="003C036C"/>
    <w:rsid w:val="003C093A"/>
    <w:rsid w:val="003C0E31"/>
    <w:rsid w:val="003C2662"/>
    <w:rsid w:val="003C3C98"/>
    <w:rsid w:val="003C4107"/>
    <w:rsid w:val="003C44E7"/>
    <w:rsid w:val="003C46FD"/>
    <w:rsid w:val="003C474B"/>
    <w:rsid w:val="003C653D"/>
    <w:rsid w:val="003C671E"/>
    <w:rsid w:val="003C7C7B"/>
    <w:rsid w:val="003D0E9D"/>
    <w:rsid w:val="003D1867"/>
    <w:rsid w:val="003D1F04"/>
    <w:rsid w:val="003D25F7"/>
    <w:rsid w:val="003D2656"/>
    <w:rsid w:val="003D2D9C"/>
    <w:rsid w:val="003D3D9A"/>
    <w:rsid w:val="003D4314"/>
    <w:rsid w:val="003D5828"/>
    <w:rsid w:val="003D6003"/>
    <w:rsid w:val="003D66A0"/>
    <w:rsid w:val="003D7494"/>
    <w:rsid w:val="003D7E20"/>
    <w:rsid w:val="003E045B"/>
    <w:rsid w:val="003E4192"/>
    <w:rsid w:val="003E4361"/>
    <w:rsid w:val="003E4ADD"/>
    <w:rsid w:val="003E4CA1"/>
    <w:rsid w:val="003E589E"/>
    <w:rsid w:val="003E6997"/>
    <w:rsid w:val="003E6A1F"/>
    <w:rsid w:val="003E7DA1"/>
    <w:rsid w:val="003F06B0"/>
    <w:rsid w:val="003F2755"/>
    <w:rsid w:val="003F2953"/>
    <w:rsid w:val="003F29C7"/>
    <w:rsid w:val="003F3A8F"/>
    <w:rsid w:val="003F3E7C"/>
    <w:rsid w:val="003F50ED"/>
    <w:rsid w:val="003F569D"/>
    <w:rsid w:val="003F5A38"/>
    <w:rsid w:val="003F5AC1"/>
    <w:rsid w:val="003F6263"/>
    <w:rsid w:val="00401D62"/>
    <w:rsid w:val="00401EB4"/>
    <w:rsid w:val="00403A63"/>
    <w:rsid w:val="00404434"/>
    <w:rsid w:val="00405211"/>
    <w:rsid w:val="00405EC8"/>
    <w:rsid w:val="00406532"/>
    <w:rsid w:val="00406E54"/>
    <w:rsid w:val="00410DDA"/>
    <w:rsid w:val="00412A07"/>
    <w:rsid w:val="00412FA3"/>
    <w:rsid w:val="004135EF"/>
    <w:rsid w:val="00413772"/>
    <w:rsid w:val="00413CF6"/>
    <w:rsid w:val="00413E54"/>
    <w:rsid w:val="0041544C"/>
    <w:rsid w:val="00415A46"/>
    <w:rsid w:val="0041651C"/>
    <w:rsid w:val="00416708"/>
    <w:rsid w:val="0042130B"/>
    <w:rsid w:val="00421333"/>
    <w:rsid w:val="00422ACE"/>
    <w:rsid w:val="004230B6"/>
    <w:rsid w:val="004231DD"/>
    <w:rsid w:val="004233C0"/>
    <w:rsid w:val="0042375A"/>
    <w:rsid w:val="00423C81"/>
    <w:rsid w:val="004244E6"/>
    <w:rsid w:val="004248C0"/>
    <w:rsid w:val="00425277"/>
    <w:rsid w:val="004263D5"/>
    <w:rsid w:val="00426B86"/>
    <w:rsid w:val="00426B90"/>
    <w:rsid w:val="00427642"/>
    <w:rsid w:val="00430005"/>
    <w:rsid w:val="00431450"/>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2AF8"/>
    <w:rsid w:val="004446A1"/>
    <w:rsid w:val="00445D16"/>
    <w:rsid w:val="0045004B"/>
    <w:rsid w:val="00450AF1"/>
    <w:rsid w:val="00452CD3"/>
    <w:rsid w:val="0045357A"/>
    <w:rsid w:val="00453D77"/>
    <w:rsid w:val="004542E4"/>
    <w:rsid w:val="0045455B"/>
    <w:rsid w:val="00455FAC"/>
    <w:rsid w:val="0045712B"/>
    <w:rsid w:val="00460207"/>
    <w:rsid w:val="00460941"/>
    <w:rsid w:val="00460B49"/>
    <w:rsid w:val="00461059"/>
    <w:rsid w:val="004623CF"/>
    <w:rsid w:val="0046425D"/>
    <w:rsid w:val="00465062"/>
    <w:rsid w:val="00465913"/>
    <w:rsid w:val="00465DF7"/>
    <w:rsid w:val="00466637"/>
    <w:rsid w:val="00466C29"/>
    <w:rsid w:val="0046791D"/>
    <w:rsid w:val="00467CBF"/>
    <w:rsid w:val="004700C8"/>
    <w:rsid w:val="00471671"/>
    <w:rsid w:val="00472113"/>
    <w:rsid w:val="00472759"/>
    <w:rsid w:val="00472E6A"/>
    <w:rsid w:val="004738F8"/>
    <w:rsid w:val="00474169"/>
    <w:rsid w:val="00474730"/>
    <w:rsid w:val="00474DD8"/>
    <w:rsid w:val="00475A2B"/>
    <w:rsid w:val="004760B3"/>
    <w:rsid w:val="004760C4"/>
    <w:rsid w:val="00476DFA"/>
    <w:rsid w:val="00477433"/>
    <w:rsid w:val="004778C0"/>
    <w:rsid w:val="00477DC6"/>
    <w:rsid w:val="00480CC5"/>
    <w:rsid w:val="00480FF0"/>
    <w:rsid w:val="0048141F"/>
    <w:rsid w:val="00481474"/>
    <w:rsid w:val="00481477"/>
    <w:rsid w:val="004815D3"/>
    <w:rsid w:val="004821AB"/>
    <w:rsid w:val="00482243"/>
    <w:rsid w:val="00484CAE"/>
    <w:rsid w:val="00485588"/>
    <w:rsid w:val="00486C26"/>
    <w:rsid w:val="00487078"/>
    <w:rsid w:val="004873E4"/>
    <w:rsid w:val="00487459"/>
    <w:rsid w:val="00487638"/>
    <w:rsid w:val="0049001E"/>
    <w:rsid w:val="0049089B"/>
    <w:rsid w:val="00491E91"/>
    <w:rsid w:val="00492495"/>
    <w:rsid w:val="004933C0"/>
    <w:rsid w:val="004942FB"/>
    <w:rsid w:val="004952E8"/>
    <w:rsid w:val="0049537C"/>
    <w:rsid w:val="00495A7A"/>
    <w:rsid w:val="0049634A"/>
    <w:rsid w:val="004963DF"/>
    <w:rsid w:val="00496571"/>
    <w:rsid w:val="004965B7"/>
    <w:rsid w:val="004968E4"/>
    <w:rsid w:val="00496A94"/>
    <w:rsid w:val="00497874"/>
    <w:rsid w:val="004A0557"/>
    <w:rsid w:val="004A1252"/>
    <w:rsid w:val="004A1A5D"/>
    <w:rsid w:val="004A1B57"/>
    <w:rsid w:val="004A221A"/>
    <w:rsid w:val="004A426F"/>
    <w:rsid w:val="004A47E6"/>
    <w:rsid w:val="004A4FAF"/>
    <w:rsid w:val="004A52D3"/>
    <w:rsid w:val="004A5685"/>
    <w:rsid w:val="004A5A65"/>
    <w:rsid w:val="004A65F5"/>
    <w:rsid w:val="004A6A38"/>
    <w:rsid w:val="004A6CF0"/>
    <w:rsid w:val="004A77F4"/>
    <w:rsid w:val="004A7ABF"/>
    <w:rsid w:val="004A7F62"/>
    <w:rsid w:val="004A7FB0"/>
    <w:rsid w:val="004B15CE"/>
    <w:rsid w:val="004B277E"/>
    <w:rsid w:val="004B28C3"/>
    <w:rsid w:val="004B3183"/>
    <w:rsid w:val="004B4076"/>
    <w:rsid w:val="004B4836"/>
    <w:rsid w:val="004B5388"/>
    <w:rsid w:val="004B59DF"/>
    <w:rsid w:val="004B5AED"/>
    <w:rsid w:val="004B5B60"/>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C7FB8"/>
    <w:rsid w:val="004D0220"/>
    <w:rsid w:val="004D05BD"/>
    <w:rsid w:val="004D05EA"/>
    <w:rsid w:val="004D0B90"/>
    <w:rsid w:val="004D1436"/>
    <w:rsid w:val="004D1791"/>
    <w:rsid w:val="004D31A5"/>
    <w:rsid w:val="004D559C"/>
    <w:rsid w:val="004D56BF"/>
    <w:rsid w:val="004D5C4C"/>
    <w:rsid w:val="004D5D89"/>
    <w:rsid w:val="004D5DDD"/>
    <w:rsid w:val="004D5F94"/>
    <w:rsid w:val="004D6366"/>
    <w:rsid w:val="004D69BE"/>
    <w:rsid w:val="004D6AEE"/>
    <w:rsid w:val="004D7166"/>
    <w:rsid w:val="004D7AEB"/>
    <w:rsid w:val="004E080D"/>
    <w:rsid w:val="004E2136"/>
    <w:rsid w:val="004E2DEA"/>
    <w:rsid w:val="004E2E7A"/>
    <w:rsid w:val="004E47A2"/>
    <w:rsid w:val="004E4B33"/>
    <w:rsid w:val="004E54AD"/>
    <w:rsid w:val="004E554C"/>
    <w:rsid w:val="004E5589"/>
    <w:rsid w:val="004E5768"/>
    <w:rsid w:val="004E588E"/>
    <w:rsid w:val="004E59B2"/>
    <w:rsid w:val="004E61D1"/>
    <w:rsid w:val="004F09FC"/>
    <w:rsid w:val="004F1277"/>
    <w:rsid w:val="004F1B71"/>
    <w:rsid w:val="004F2F63"/>
    <w:rsid w:val="004F300A"/>
    <w:rsid w:val="004F32DA"/>
    <w:rsid w:val="004F45BA"/>
    <w:rsid w:val="004F58F1"/>
    <w:rsid w:val="004F631E"/>
    <w:rsid w:val="004F6F7A"/>
    <w:rsid w:val="004F78F8"/>
    <w:rsid w:val="004F7F40"/>
    <w:rsid w:val="0050059E"/>
    <w:rsid w:val="0050091C"/>
    <w:rsid w:val="00501AFB"/>
    <w:rsid w:val="005021B6"/>
    <w:rsid w:val="00502472"/>
    <w:rsid w:val="0050344F"/>
    <w:rsid w:val="00504309"/>
    <w:rsid w:val="00505A56"/>
    <w:rsid w:val="0050764D"/>
    <w:rsid w:val="005103D3"/>
    <w:rsid w:val="0051130B"/>
    <w:rsid w:val="0051168E"/>
    <w:rsid w:val="0051282E"/>
    <w:rsid w:val="005139B9"/>
    <w:rsid w:val="00517A41"/>
    <w:rsid w:val="00517F6D"/>
    <w:rsid w:val="0052029B"/>
    <w:rsid w:val="005202D5"/>
    <w:rsid w:val="00520597"/>
    <w:rsid w:val="00520FDA"/>
    <w:rsid w:val="00521969"/>
    <w:rsid w:val="00522409"/>
    <w:rsid w:val="00522CA9"/>
    <w:rsid w:val="0052361F"/>
    <w:rsid w:val="00523F79"/>
    <w:rsid w:val="00524E38"/>
    <w:rsid w:val="005250B1"/>
    <w:rsid w:val="005256B2"/>
    <w:rsid w:val="005260A3"/>
    <w:rsid w:val="005273FD"/>
    <w:rsid w:val="0052769B"/>
    <w:rsid w:val="005277BC"/>
    <w:rsid w:val="00527A2B"/>
    <w:rsid w:val="005301C8"/>
    <w:rsid w:val="00530392"/>
    <w:rsid w:val="005304A2"/>
    <w:rsid w:val="005307F3"/>
    <w:rsid w:val="005310FC"/>
    <w:rsid w:val="005311C9"/>
    <w:rsid w:val="0053128E"/>
    <w:rsid w:val="00531B36"/>
    <w:rsid w:val="00532032"/>
    <w:rsid w:val="0053477B"/>
    <w:rsid w:val="00534C32"/>
    <w:rsid w:val="00535750"/>
    <w:rsid w:val="00535940"/>
    <w:rsid w:val="0053598F"/>
    <w:rsid w:val="00535BE8"/>
    <w:rsid w:val="00535FFD"/>
    <w:rsid w:val="0053604C"/>
    <w:rsid w:val="0053654D"/>
    <w:rsid w:val="00536741"/>
    <w:rsid w:val="00537900"/>
    <w:rsid w:val="0054011A"/>
    <w:rsid w:val="0054040F"/>
    <w:rsid w:val="00540A28"/>
    <w:rsid w:val="00540E25"/>
    <w:rsid w:val="00541231"/>
    <w:rsid w:val="00542075"/>
    <w:rsid w:val="00543301"/>
    <w:rsid w:val="00543CBA"/>
    <w:rsid w:val="00544382"/>
    <w:rsid w:val="005444EA"/>
    <w:rsid w:val="00545AB3"/>
    <w:rsid w:val="0054691E"/>
    <w:rsid w:val="00547F3B"/>
    <w:rsid w:val="00550AE9"/>
    <w:rsid w:val="005517D0"/>
    <w:rsid w:val="0055291D"/>
    <w:rsid w:val="00554845"/>
    <w:rsid w:val="00554A3B"/>
    <w:rsid w:val="00554C26"/>
    <w:rsid w:val="005550B2"/>
    <w:rsid w:val="005560C2"/>
    <w:rsid w:val="005561DD"/>
    <w:rsid w:val="00556249"/>
    <w:rsid w:val="005600B8"/>
    <w:rsid w:val="00563332"/>
    <w:rsid w:val="00563D36"/>
    <w:rsid w:val="005644E9"/>
    <w:rsid w:val="005657FF"/>
    <w:rsid w:val="0056626F"/>
    <w:rsid w:val="00566339"/>
    <w:rsid w:val="00566447"/>
    <w:rsid w:val="00566987"/>
    <w:rsid w:val="00566D8D"/>
    <w:rsid w:val="0056762A"/>
    <w:rsid w:val="00567DB8"/>
    <w:rsid w:val="0057047D"/>
    <w:rsid w:val="00570A14"/>
    <w:rsid w:val="00570D5C"/>
    <w:rsid w:val="00571F23"/>
    <w:rsid w:val="0057271A"/>
    <w:rsid w:val="00572C5F"/>
    <w:rsid w:val="005733ED"/>
    <w:rsid w:val="005750E1"/>
    <w:rsid w:val="005752FE"/>
    <w:rsid w:val="005758B1"/>
    <w:rsid w:val="00575999"/>
    <w:rsid w:val="00576954"/>
    <w:rsid w:val="00576FB5"/>
    <w:rsid w:val="00577A85"/>
    <w:rsid w:val="00580845"/>
    <w:rsid w:val="00580BF0"/>
    <w:rsid w:val="005815FA"/>
    <w:rsid w:val="0058225D"/>
    <w:rsid w:val="0058266B"/>
    <w:rsid w:val="00582952"/>
    <w:rsid w:val="00583837"/>
    <w:rsid w:val="005842DB"/>
    <w:rsid w:val="00584DCD"/>
    <w:rsid w:val="0058685E"/>
    <w:rsid w:val="00586C0D"/>
    <w:rsid w:val="0058782A"/>
    <w:rsid w:val="00587A06"/>
    <w:rsid w:val="0059000B"/>
    <w:rsid w:val="00590690"/>
    <w:rsid w:val="005911BA"/>
    <w:rsid w:val="00591BCD"/>
    <w:rsid w:val="00592EE6"/>
    <w:rsid w:val="005935B1"/>
    <w:rsid w:val="00593698"/>
    <w:rsid w:val="00593C6D"/>
    <w:rsid w:val="00593CC6"/>
    <w:rsid w:val="00593CF3"/>
    <w:rsid w:val="005941F6"/>
    <w:rsid w:val="00594D2B"/>
    <w:rsid w:val="005955EA"/>
    <w:rsid w:val="00595D5F"/>
    <w:rsid w:val="00596760"/>
    <w:rsid w:val="00597807"/>
    <w:rsid w:val="005978C0"/>
    <w:rsid w:val="00597955"/>
    <w:rsid w:val="005A067A"/>
    <w:rsid w:val="005A08C7"/>
    <w:rsid w:val="005A0E56"/>
    <w:rsid w:val="005A228A"/>
    <w:rsid w:val="005A2AFF"/>
    <w:rsid w:val="005A316A"/>
    <w:rsid w:val="005A485A"/>
    <w:rsid w:val="005A4EDE"/>
    <w:rsid w:val="005A5999"/>
    <w:rsid w:val="005A5AD3"/>
    <w:rsid w:val="005B022F"/>
    <w:rsid w:val="005B062F"/>
    <w:rsid w:val="005B24D1"/>
    <w:rsid w:val="005B250A"/>
    <w:rsid w:val="005B3372"/>
    <w:rsid w:val="005B3994"/>
    <w:rsid w:val="005B4AB4"/>
    <w:rsid w:val="005B4DC3"/>
    <w:rsid w:val="005B54DD"/>
    <w:rsid w:val="005C0C3C"/>
    <w:rsid w:val="005C1785"/>
    <w:rsid w:val="005C1E1B"/>
    <w:rsid w:val="005C2411"/>
    <w:rsid w:val="005C369C"/>
    <w:rsid w:val="005C3B64"/>
    <w:rsid w:val="005C54DE"/>
    <w:rsid w:val="005C5CF3"/>
    <w:rsid w:val="005C6C4D"/>
    <w:rsid w:val="005C6DC7"/>
    <w:rsid w:val="005C7013"/>
    <w:rsid w:val="005D14DC"/>
    <w:rsid w:val="005D15B8"/>
    <w:rsid w:val="005D2065"/>
    <w:rsid w:val="005D2EF3"/>
    <w:rsid w:val="005D3483"/>
    <w:rsid w:val="005D48D6"/>
    <w:rsid w:val="005D5382"/>
    <w:rsid w:val="005D5E4D"/>
    <w:rsid w:val="005D66AB"/>
    <w:rsid w:val="005D6AA1"/>
    <w:rsid w:val="005D6B0D"/>
    <w:rsid w:val="005D6B9D"/>
    <w:rsid w:val="005D6D47"/>
    <w:rsid w:val="005D72C0"/>
    <w:rsid w:val="005D7F20"/>
    <w:rsid w:val="005E0399"/>
    <w:rsid w:val="005E046A"/>
    <w:rsid w:val="005E1E5B"/>
    <w:rsid w:val="005E2A24"/>
    <w:rsid w:val="005E3095"/>
    <w:rsid w:val="005E364D"/>
    <w:rsid w:val="005E48C6"/>
    <w:rsid w:val="005E7601"/>
    <w:rsid w:val="005E768D"/>
    <w:rsid w:val="005F0612"/>
    <w:rsid w:val="005F1839"/>
    <w:rsid w:val="005F1B3F"/>
    <w:rsid w:val="005F1FBE"/>
    <w:rsid w:val="005F2D9F"/>
    <w:rsid w:val="005F2ED3"/>
    <w:rsid w:val="005F2FAB"/>
    <w:rsid w:val="005F368A"/>
    <w:rsid w:val="005F3EB1"/>
    <w:rsid w:val="005F5B50"/>
    <w:rsid w:val="005F5E51"/>
    <w:rsid w:val="005F631B"/>
    <w:rsid w:val="005F69C7"/>
    <w:rsid w:val="005F6FFB"/>
    <w:rsid w:val="005F7876"/>
    <w:rsid w:val="00600DD5"/>
    <w:rsid w:val="00601198"/>
    <w:rsid w:val="00601963"/>
    <w:rsid w:val="00602684"/>
    <w:rsid w:val="0060506E"/>
    <w:rsid w:val="006064D7"/>
    <w:rsid w:val="00606C92"/>
    <w:rsid w:val="00607792"/>
    <w:rsid w:val="00611D62"/>
    <w:rsid w:val="006128E1"/>
    <w:rsid w:val="00612C83"/>
    <w:rsid w:val="006141AC"/>
    <w:rsid w:val="00614B1D"/>
    <w:rsid w:val="00615A10"/>
    <w:rsid w:val="00615AB6"/>
    <w:rsid w:val="0061612E"/>
    <w:rsid w:val="0061689C"/>
    <w:rsid w:val="00620328"/>
    <w:rsid w:val="00620430"/>
    <w:rsid w:val="00620D06"/>
    <w:rsid w:val="00620DB0"/>
    <w:rsid w:val="006217F0"/>
    <w:rsid w:val="00621E2F"/>
    <w:rsid w:val="00622E4B"/>
    <w:rsid w:val="00623086"/>
    <w:rsid w:val="00623462"/>
    <w:rsid w:val="00623537"/>
    <w:rsid w:val="006244D0"/>
    <w:rsid w:val="00624ED2"/>
    <w:rsid w:val="006256E3"/>
    <w:rsid w:val="006261B3"/>
    <w:rsid w:val="006261F5"/>
    <w:rsid w:val="00627962"/>
    <w:rsid w:val="00630B06"/>
    <w:rsid w:val="00631587"/>
    <w:rsid w:val="00631CE4"/>
    <w:rsid w:val="0063292C"/>
    <w:rsid w:val="0063376B"/>
    <w:rsid w:val="00633CBA"/>
    <w:rsid w:val="00633FCB"/>
    <w:rsid w:val="006342E1"/>
    <w:rsid w:val="00634822"/>
    <w:rsid w:val="00635640"/>
    <w:rsid w:val="00635A25"/>
    <w:rsid w:val="00635CF3"/>
    <w:rsid w:val="00635D58"/>
    <w:rsid w:val="006364ED"/>
    <w:rsid w:val="00636775"/>
    <w:rsid w:val="006367E9"/>
    <w:rsid w:val="00636975"/>
    <w:rsid w:val="00637665"/>
    <w:rsid w:val="00640940"/>
    <w:rsid w:val="00641737"/>
    <w:rsid w:val="0064316C"/>
    <w:rsid w:val="00644486"/>
    <w:rsid w:val="006445FA"/>
    <w:rsid w:val="00644663"/>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6B49"/>
    <w:rsid w:val="006574B1"/>
    <w:rsid w:val="00657AF6"/>
    <w:rsid w:val="006604FE"/>
    <w:rsid w:val="00661670"/>
    <w:rsid w:val="006625C8"/>
    <w:rsid w:val="0066318D"/>
    <w:rsid w:val="0066397B"/>
    <w:rsid w:val="00663C9E"/>
    <w:rsid w:val="006654E8"/>
    <w:rsid w:val="006665F3"/>
    <w:rsid w:val="006675FB"/>
    <w:rsid w:val="00667EB8"/>
    <w:rsid w:val="006708DE"/>
    <w:rsid w:val="006716B6"/>
    <w:rsid w:val="0067175A"/>
    <w:rsid w:val="006717F6"/>
    <w:rsid w:val="0067282A"/>
    <w:rsid w:val="00673E9B"/>
    <w:rsid w:val="00674B2E"/>
    <w:rsid w:val="006758CF"/>
    <w:rsid w:val="00676565"/>
    <w:rsid w:val="00676C13"/>
    <w:rsid w:val="00677393"/>
    <w:rsid w:val="00677F20"/>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3CB"/>
    <w:rsid w:val="00690E1F"/>
    <w:rsid w:val="00690E9F"/>
    <w:rsid w:val="00691563"/>
    <w:rsid w:val="0069218B"/>
    <w:rsid w:val="0069219B"/>
    <w:rsid w:val="006941A4"/>
    <w:rsid w:val="0069468B"/>
    <w:rsid w:val="0069523E"/>
    <w:rsid w:val="006955B7"/>
    <w:rsid w:val="00695A7A"/>
    <w:rsid w:val="00695DED"/>
    <w:rsid w:val="006960AD"/>
    <w:rsid w:val="006973AB"/>
    <w:rsid w:val="00697935"/>
    <w:rsid w:val="006A1E6C"/>
    <w:rsid w:val="006A203E"/>
    <w:rsid w:val="006A294A"/>
    <w:rsid w:val="006A36E7"/>
    <w:rsid w:val="006A3930"/>
    <w:rsid w:val="006A394F"/>
    <w:rsid w:val="006A4A27"/>
    <w:rsid w:val="006A529A"/>
    <w:rsid w:val="006A5468"/>
    <w:rsid w:val="006B0163"/>
    <w:rsid w:val="006B03D5"/>
    <w:rsid w:val="006B0417"/>
    <w:rsid w:val="006B06DE"/>
    <w:rsid w:val="006B0AF3"/>
    <w:rsid w:val="006B11EC"/>
    <w:rsid w:val="006B1792"/>
    <w:rsid w:val="006B1794"/>
    <w:rsid w:val="006B2C11"/>
    <w:rsid w:val="006B34AB"/>
    <w:rsid w:val="006B58D0"/>
    <w:rsid w:val="006B6309"/>
    <w:rsid w:val="006B70C4"/>
    <w:rsid w:val="006B74C4"/>
    <w:rsid w:val="006C09D2"/>
    <w:rsid w:val="006C0E77"/>
    <w:rsid w:val="006C1587"/>
    <w:rsid w:val="006C1DD8"/>
    <w:rsid w:val="006C2738"/>
    <w:rsid w:val="006C2A20"/>
    <w:rsid w:val="006C3BC5"/>
    <w:rsid w:val="006C5AF5"/>
    <w:rsid w:val="006C63B9"/>
    <w:rsid w:val="006C6BA8"/>
    <w:rsid w:val="006C6BE5"/>
    <w:rsid w:val="006D06A5"/>
    <w:rsid w:val="006D0D10"/>
    <w:rsid w:val="006D30F9"/>
    <w:rsid w:val="006D4339"/>
    <w:rsid w:val="006D5000"/>
    <w:rsid w:val="006D5303"/>
    <w:rsid w:val="006D578F"/>
    <w:rsid w:val="006D6636"/>
    <w:rsid w:val="006D7488"/>
    <w:rsid w:val="006D77BE"/>
    <w:rsid w:val="006D7BD9"/>
    <w:rsid w:val="006E04A8"/>
    <w:rsid w:val="006E0BB0"/>
    <w:rsid w:val="006E179F"/>
    <w:rsid w:val="006E18F8"/>
    <w:rsid w:val="006E1FF5"/>
    <w:rsid w:val="006E253F"/>
    <w:rsid w:val="006E2F81"/>
    <w:rsid w:val="006E3E07"/>
    <w:rsid w:val="006E4C9D"/>
    <w:rsid w:val="006E5646"/>
    <w:rsid w:val="006E5861"/>
    <w:rsid w:val="006E5B7A"/>
    <w:rsid w:val="006E6521"/>
    <w:rsid w:val="006E71AF"/>
    <w:rsid w:val="006E75B3"/>
    <w:rsid w:val="006E7947"/>
    <w:rsid w:val="006F0C38"/>
    <w:rsid w:val="006F0FC8"/>
    <w:rsid w:val="006F1823"/>
    <w:rsid w:val="006F1A43"/>
    <w:rsid w:val="006F268A"/>
    <w:rsid w:val="006F2A9A"/>
    <w:rsid w:val="006F2B7C"/>
    <w:rsid w:val="006F2CF2"/>
    <w:rsid w:val="006F3990"/>
    <w:rsid w:val="006F3CB1"/>
    <w:rsid w:val="006F5894"/>
    <w:rsid w:val="006F5B81"/>
    <w:rsid w:val="006F6FAC"/>
    <w:rsid w:val="006F70AB"/>
    <w:rsid w:val="006F7D91"/>
    <w:rsid w:val="007004BE"/>
    <w:rsid w:val="00700A45"/>
    <w:rsid w:val="007013CB"/>
    <w:rsid w:val="007019AE"/>
    <w:rsid w:val="0070230C"/>
    <w:rsid w:val="00702BFA"/>
    <w:rsid w:val="00703206"/>
    <w:rsid w:val="007037CC"/>
    <w:rsid w:val="0070464F"/>
    <w:rsid w:val="00706CC2"/>
    <w:rsid w:val="00706FA7"/>
    <w:rsid w:val="00707571"/>
    <w:rsid w:val="00707CF1"/>
    <w:rsid w:val="007126D8"/>
    <w:rsid w:val="00713D55"/>
    <w:rsid w:val="0071447A"/>
    <w:rsid w:val="00714548"/>
    <w:rsid w:val="007149D5"/>
    <w:rsid w:val="00714C0E"/>
    <w:rsid w:val="007162F9"/>
    <w:rsid w:val="007163B8"/>
    <w:rsid w:val="007169B6"/>
    <w:rsid w:val="00716B30"/>
    <w:rsid w:val="007178E3"/>
    <w:rsid w:val="00717A41"/>
    <w:rsid w:val="007206E6"/>
    <w:rsid w:val="0072237F"/>
    <w:rsid w:val="00723154"/>
    <w:rsid w:val="007234CF"/>
    <w:rsid w:val="007238D4"/>
    <w:rsid w:val="00723FA4"/>
    <w:rsid w:val="00724219"/>
    <w:rsid w:val="007248B5"/>
    <w:rsid w:val="00725815"/>
    <w:rsid w:val="00725BAF"/>
    <w:rsid w:val="007274D6"/>
    <w:rsid w:val="00730041"/>
    <w:rsid w:val="00731C66"/>
    <w:rsid w:val="007331D2"/>
    <w:rsid w:val="007333D4"/>
    <w:rsid w:val="00733979"/>
    <w:rsid w:val="00733B7A"/>
    <w:rsid w:val="007343C8"/>
    <w:rsid w:val="007345CF"/>
    <w:rsid w:val="007348E1"/>
    <w:rsid w:val="00734B00"/>
    <w:rsid w:val="007364D4"/>
    <w:rsid w:val="00737827"/>
    <w:rsid w:val="00740516"/>
    <w:rsid w:val="0074061D"/>
    <w:rsid w:val="00740E45"/>
    <w:rsid w:val="007416CA"/>
    <w:rsid w:val="0074242A"/>
    <w:rsid w:val="00742CE4"/>
    <w:rsid w:val="00743125"/>
    <w:rsid w:val="00743FC1"/>
    <w:rsid w:val="00744D31"/>
    <w:rsid w:val="0074555E"/>
    <w:rsid w:val="007459C8"/>
    <w:rsid w:val="00745E80"/>
    <w:rsid w:val="00747D9B"/>
    <w:rsid w:val="00750589"/>
    <w:rsid w:val="0075071D"/>
    <w:rsid w:val="00750A25"/>
    <w:rsid w:val="00750D91"/>
    <w:rsid w:val="00752124"/>
    <w:rsid w:val="00752275"/>
    <w:rsid w:val="00752F2A"/>
    <w:rsid w:val="0075399F"/>
    <w:rsid w:val="00753B5E"/>
    <w:rsid w:val="0075590B"/>
    <w:rsid w:val="0075611F"/>
    <w:rsid w:val="0075694C"/>
    <w:rsid w:val="00756F89"/>
    <w:rsid w:val="00757881"/>
    <w:rsid w:val="0075788A"/>
    <w:rsid w:val="00757B16"/>
    <w:rsid w:val="007603C9"/>
    <w:rsid w:val="0076082A"/>
    <w:rsid w:val="007608EE"/>
    <w:rsid w:val="00762B64"/>
    <w:rsid w:val="00763FF6"/>
    <w:rsid w:val="00764C4F"/>
    <w:rsid w:val="0076599C"/>
    <w:rsid w:val="0076749D"/>
    <w:rsid w:val="00767AED"/>
    <w:rsid w:val="00770D71"/>
    <w:rsid w:val="0077349A"/>
    <w:rsid w:val="00773A34"/>
    <w:rsid w:val="007743EE"/>
    <w:rsid w:val="007766F0"/>
    <w:rsid w:val="0077723B"/>
    <w:rsid w:val="00777EBF"/>
    <w:rsid w:val="00780AE8"/>
    <w:rsid w:val="00780DE7"/>
    <w:rsid w:val="00781851"/>
    <w:rsid w:val="0078473B"/>
    <w:rsid w:val="00785AA8"/>
    <w:rsid w:val="00785E03"/>
    <w:rsid w:val="00785FAE"/>
    <w:rsid w:val="0078683A"/>
    <w:rsid w:val="0079085D"/>
    <w:rsid w:val="00790BF9"/>
    <w:rsid w:val="00790D1E"/>
    <w:rsid w:val="007910F0"/>
    <w:rsid w:val="007912A9"/>
    <w:rsid w:val="00792773"/>
    <w:rsid w:val="00792B8F"/>
    <w:rsid w:val="00792D0F"/>
    <w:rsid w:val="007932DD"/>
    <w:rsid w:val="00794DE1"/>
    <w:rsid w:val="00795827"/>
    <w:rsid w:val="00795AEC"/>
    <w:rsid w:val="00796802"/>
    <w:rsid w:val="00796EB1"/>
    <w:rsid w:val="00796F99"/>
    <w:rsid w:val="00797490"/>
    <w:rsid w:val="007A1386"/>
    <w:rsid w:val="007A178C"/>
    <w:rsid w:val="007A1A0D"/>
    <w:rsid w:val="007A3797"/>
    <w:rsid w:val="007A5C51"/>
    <w:rsid w:val="007A5E87"/>
    <w:rsid w:val="007A6D8F"/>
    <w:rsid w:val="007A7CD7"/>
    <w:rsid w:val="007B155C"/>
    <w:rsid w:val="007B1D04"/>
    <w:rsid w:val="007B23A2"/>
    <w:rsid w:val="007B2943"/>
    <w:rsid w:val="007B2B0E"/>
    <w:rsid w:val="007B39E9"/>
    <w:rsid w:val="007B40BC"/>
    <w:rsid w:val="007B543F"/>
    <w:rsid w:val="007B5AAA"/>
    <w:rsid w:val="007B5FEF"/>
    <w:rsid w:val="007B62A2"/>
    <w:rsid w:val="007B675B"/>
    <w:rsid w:val="007B770A"/>
    <w:rsid w:val="007B7D43"/>
    <w:rsid w:val="007C0FF0"/>
    <w:rsid w:val="007C3F75"/>
    <w:rsid w:val="007C4975"/>
    <w:rsid w:val="007C5415"/>
    <w:rsid w:val="007C5AF8"/>
    <w:rsid w:val="007C5F57"/>
    <w:rsid w:val="007C75F5"/>
    <w:rsid w:val="007C79BA"/>
    <w:rsid w:val="007C7F20"/>
    <w:rsid w:val="007D0180"/>
    <w:rsid w:val="007D0699"/>
    <w:rsid w:val="007D0FD4"/>
    <w:rsid w:val="007D16CD"/>
    <w:rsid w:val="007D1804"/>
    <w:rsid w:val="007D2259"/>
    <w:rsid w:val="007D2B6E"/>
    <w:rsid w:val="007D3FDB"/>
    <w:rsid w:val="007D44B5"/>
    <w:rsid w:val="007D49DA"/>
    <w:rsid w:val="007D5123"/>
    <w:rsid w:val="007D5366"/>
    <w:rsid w:val="007D57B8"/>
    <w:rsid w:val="007D59D7"/>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3BF"/>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514A"/>
    <w:rsid w:val="007F574B"/>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229"/>
    <w:rsid w:val="008063CD"/>
    <w:rsid w:val="00806859"/>
    <w:rsid w:val="0080724C"/>
    <w:rsid w:val="00807755"/>
    <w:rsid w:val="00811CEC"/>
    <w:rsid w:val="00813ACC"/>
    <w:rsid w:val="00814109"/>
    <w:rsid w:val="00814234"/>
    <w:rsid w:val="008142B0"/>
    <w:rsid w:val="0081437C"/>
    <w:rsid w:val="008145C5"/>
    <w:rsid w:val="00814905"/>
    <w:rsid w:val="00815029"/>
    <w:rsid w:val="00815154"/>
    <w:rsid w:val="00815F4A"/>
    <w:rsid w:val="0081668F"/>
    <w:rsid w:val="00816EEB"/>
    <w:rsid w:val="008170A6"/>
    <w:rsid w:val="00817292"/>
    <w:rsid w:val="0082016A"/>
    <w:rsid w:val="0082045C"/>
    <w:rsid w:val="008215D4"/>
    <w:rsid w:val="00822668"/>
    <w:rsid w:val="00823558"/>
    <w:rsid w:val="008239E4"/>
    <w:rsid w:val="00823D64"/>
    <w:rsid w:val="00824A1A"/>
    <w:rsid w:val="00824E3C"/>
    <w:rsid w:val="008252AA"/>
    <w:rsid w:val="00825B31"/>
    <w:rsid w:val="0082685F"/>
    <w:rsid w:val="008277CF"/>
    <w:rsid w:val="00827880"/>
    <w:rsid w:val="00827948"/>
    <w:rsid w:val="00830294"/>
    <w:rsid w:val="00830CCE"/>
    <w:rsid w:val="008310FD"/>
    <w:rsid w:val="00831E09"/>
    <w:rsid w:val="00832490"/>
    <w:rsid w:val="00832DCA"/>
    <w:rsid w:val="00832E67"/>
    <w:rsid w:val="008333EC"/>
    <w:rsid w:val="00833EBC"/>
    <w:rsid w:val="008359AC"/>
    <w:rsid w:val="00836161"/>
    <w:rsid w:val="008367EB"/>
    <w:rsid w:val="00836899"/>
    <w:rsid w:val="008368E8"/>
    <w:rsid w:val="00836F47"/>
    <w:rsid w:val="00836FE5"/>
    <w:rsid w:val="008373FD"/>
    <w:rsid w:val="00837492"/>
    <w:rsid w:val="00840F15"/>
    <w:rsid w:val="00841411"/>
    <w:rsid w:val="008414D3"/>
    <w:rsid w:val="00841EF7"/>
    <w:rsid w:val="00842BB4"/>
    <w:rsid w:val="00842E23"/>
    <w:rsid w:val="00843276"/>
    <w:rsid w:val="00843F92"/>
    <w:rsid w:val="008453F8"/>
    <w:rsid w:val="008459D9"/>
    <w:rsid w:val="0084612F"/>
    <w:rsid w:val="008501E0"/>
    <w:rsid w:val="00851B0C"/>
    <w:rsid w:val="00851DC2"/>
    <w:rsid w:val="0085289E"/>
    <w:rsid w:val="00852E03"/>
    <w:rsid w:val="008538DB"/>
    <w:rsid w:val="00853F79"/>
    <w:rsid w:val="00854565"/>
    <w:rsid w:val="00854628"/>
    <w:rsid w:val="008555F7"/>
    <w:rsid w:val="00855895"/>
    <w:rsid w:val="008559BD"/>
    <w:rsid w:val="008559D4"/>
    <w:rsid w:val="00855A2E"/>
    <w:rsid w:val="00856809"/>
    <w:rsid w:val="00860D8B"/>
    <w:rsid w:val="008612EC"/>
    <w:rsid w:val="008615AB"/>
    <w:rsid w:val="00861DCD"/>
    <w:rsid w:val="0086211D"/>
    <w:rsid w:val="00862B8D"/>
    <w:rsid w:val="00863F8C"/>
    <w:rsid w:val="00864DCF"/>
    <w:rsid w:val="00864F5C"/>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003"/>
    <w:rsid w:val="00885CD5"/>
    <w:rsid w:val="00886534"/>
    <w:rsid w:val="00886F11"/>
    <w:rsid w:val="00887115"/>
    <w:rsid w:val="008872C0"/>
    <w:rsid w:val="00890207"/>
    <w:rsid w:val="008909AD"/>
    <w:rsid w:val="00890AC4"/>
    <w:rsid w:val="008916F0"/>
    <w:rsid w:val="00891CF1"/>
    <w:rsid w:val="00892D91"/>
    <w:rsid w:val="0089389F"/>
    <w:rsid w:val="00894284"/>
    <w:rsid w:val="00894A29"/>
    <w:rsid w:val="00894A46"/>
    <w:rsid w:val="0089576A"/>
    <w:rsid w:val="008971F8"/>
    <w:rsid w:val="00897368"/>
    <w:rsid w:val="008A047D"/>
    <w:rsid w:val="008A04D2"/>
    <w:rsid w:val="008A0783"/>
    <w:rsid w:val="008A187F"/>
    <w:rsid w:val="008A2A42"/>
    <w:rsid w:val="008A326B"/>
    <w:rsid w:val="008A32E4"/>
    <w:rsid w:val="008A354C"/>
    <w:rsid w:val="008A4904"/>
    <w:rsid w:val="008A5016"/>
    <w:rsid w:val="008A5F5B"/>
    <w:rsid w:val="008A626C"/>
    <w:rsid w:val="008A669C"/>
    <w:rsid w:val="008A67C2"/>
    <w:rsid w:val="008A69E6"/>
    <w:rsid w:val="008A7E9C"/>
    <w:rsid w:val="008B0530"/>
    <w:rsid w:val="008B1A68"/>
    <w:rsid w:val="008B2136"/>
    <w:rsid w:val="008B2C9D"/>
    <w:rsid w:val="008B3261"/>
    <w:rsid w:val="008B3867"/>
    <w:rsid w:val="008B46AD"/>
    <w:rsid w:val="008B4BCB"/>
    <w:rsid w:val="008B7569"/>
    <w:rsid w:val="008B7BD4"/>
    <w:rsid w:val="008B7EDA"/>
    <w:rsid w:val="008B7F38"/>
    <w:rsid w:val="008C052D"/>
    <w:rsid w:val="008C0571"/>
    <w:rsid w:val="008C061B"/>
    <w:rsid w:val="008C0C06"/>
    <w:rsid w:val="008C0DF9"/>
    <w:rsid w:val="008C17D3"/>
    <w:rsid w:val="008C1F67"/>
    <w:rsid w:val="008C25D9"/>
    <w:rsid w:val="008C31D0"/>
    <w:rsid w:val="008C3ACE"/>
    <w:rsid w:val="008C462E"/>
    <w:rsid w:val="008C47D2"/>
    <w:rsid w:val="008C5123"/>
    <w:rsid w:val="008C5B0C"/>
    <w:rsid w:val="008C5D4A"/>
    <w:rsid w:val="008C6E6E"/>
    <w:rsid w:val="008C6F89"/>
    <w:rsid w:val="008C7DC2"/>
    <w:rsid w:val="008D0063"/>
    <w:rsid w:val="008D037E"/>
    <w:rsid w:val="008D06A2"/>
    <w:rsid w:val="008D0C88"/>
    <w:rsid w:val="008D0E96"/>
    <w:rsid w:val="008D115A"/>
    <w:rsid w:val="008D1B7E"/>
    <w:rsid w:val="008D1BC2"/>
    <w:rsid w:val="008D2CA3"/>
    <w:rsid w:val="008D31A5"/>
    <w:rsid w:val="008D3335"/>
    <w:rsid w:val="008D35C6"/>
    <w:rsid w:val="008D45E1"/>
    <w:rsid w:val="008D4A0B"/>
    <w:rsid w:val="008D5823"/>
    <w:rsid w:val="008D5E3E"/>
    <w:rsid w:val="008D5FEE"/>
    <w:rsid w:val="008E010F"/>
    <w:rsid w:val="008E0594"/>
    <w:rsid w:val="008E15BB"/>
    <w:rsid w:val="008E20DB"/>
    <w:rsid w:val="008E226F"/>
    <w:rsid w:val="008E2782"/>
    <w:rsid w:val="008E27F8"/>
    <w:rsid w:val="008E3161"/>
    <w:rsid w:val="008E38FF"/>
    <w:rsid w:val="008E3C73"/>
    <w:rsid w:val="008E4ADC"/>
    <w:rsid w:val="008E4B8C"/>
    <w:rsid w:val="008E611B"/>
    <w:rsid w:val="008E6236"/>
    <w:rsid w:val="008E649A"/>
    <w:rsid w:val="008E74DD"/>
    <w:rsid w:val="008F016A"/>
    <w:rsid w:val="008F04A7"/>
    <w:rsid w:val="008F0759"/>
    <w:rsid w:val="008F27E2"/>
    <w:rsid w:val="008F34A6"/>
    <w:rsid w:val="008F36A5"/>
    <w:rsid w:val="008F3E46"/>
    <w:rsid w:val="008F4235"/>
    <w:rsid w:val="008F44CE"/>
    <w:rsid w:val="008F526E"/>
    <w:rsid w:val="008F7084"/>
    <w:rsid w:val="008F7FFB"/>
    <w:rsid w:val="009002E5"/>
    <w:rsid w:val="00900F00"/>
    <w:rsid w:val="009012E6"/>
    <w:rsid w:val="00901840"/>
    <w:rsid w:val="00902604"/>
    <w:rsid w:val="0090283B"/>
    <w:rsid w:val="00902C5B"/>
    <w:rsid w:val="0090309F"/>
    <w:rsid w:val="00903818"/>
    <w:rsid w:val="0090413E"/>
    <w:rsid w:val="00904AB3"/>
    <w:rsid w:val="00905B8E"/>
    <w:rsid w:val="0090677F"/>
    <w:rsid w:val="0090695D"/>
    <w:rsid w:val="009103E5"/>
    <w:rsid w:val="0091148F"/>
    <w:rsid w:val="0091278B"/>
    <w:rsid w:val="009132A0"/>
    <w:rsid w:val="009137C2"/>
    <w:rsid w:val="00913DDE"/>
    <w:rsid w:val="00913DE8"/>
    <w:rsid w:val="00915AD2"/>
    <w:rsid w:val="00917895"/>
    <w:rsid w:val="00917E72"/>
    <w:rsid w:val="00921134"/>
    <w:rsid w:val="0092165A"/>
    <w:rsid w:val="00922155"/>
    <w:rsid w:val="009223C6"/>
    <w:rsid w:val="009234D2"/>
    <w:rsid w:val="009238DB"/>
    <w:rsid w:val="00923C35"/>
    <w:rsid w:val="00923CB3"/>
    <w:rsid w:val="0092403C"/>
    <w:rsid w:val="00924871"/>
    <w:rsid w:val="00924BC7"/>
    <w:rsid w:val="0092501D"/>
    <w:rsid w:val="009250C2"/>
    <w:rsid w:val="00925BF8"/>
    <w:rsid w:val="00925E9E"/>
    <w:rsid w:val="00927259"/>
    <w:rsid w:val="00927C93"/>
    <w:rsid w:val="00930472"/>
    <w:rsid w:val="00930AFD"/>
    <w:rsid w:val="00931385"/>
    <w:rsid w:val="009316EE"/>
    <w:rsid w:val="009317C6"/>
    <w:rsid w:val="00931890"/>
    <w:rsid w:val="00932099"/>
    <w:rsid w:val="00932125"/>
    <w:rsid w:val="00932904"/>
    <w:rsid w:val="00932A3B"/>
    <w:rsid w:val="00933CC0"/>
    <w:rsid w:val="0093426A"/>
    <w:rsid w:val="00934368"/>
    <w:rsid w:val="00934490"/>
    <w:rsid w:val="00934E92"/>
    <w:rsid w:val="00935178"/>
    <w:rsid w:val="00935307"/>
    <w:rsid w:val="00935A87"/>
    <w:rsid w:val="00935CCB"/>
    <w:rsid w:val="00935DAF"/>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475FB"/>
    <w:rsid w:val="00950177"/>
    <w:rsid w:val="009505B2"/>
    <w:rsid w:val="009519D0"/>
    <w:rsid w:val="00952889"/>
    <w:rsid w:val="00952947"/>
    <w:rsid w:val="00954907"/>
    <w:rsid w:val="00954F0F"/>
    <w:rsid w:val="00955DC1"/>
    <w:rsid w:val="00956465"/>
    <w:rsid w:val="009564E8"/>
    <w:rsid w:val="00956E38"/>
    <w:rsid w:val="0095764D"/>
    <w:rsid w:val="0096081E"/>
    <w:rsid w:val="00960DEC"/>
    <w:rsid w:val="00961A73"/>
    <w:rsid w:val="00961F1A"/>
    <w:rsid w:val="00962345"/>
    <w:rsid w:val="00962BEC"/>
    <w:rsid w:val="00962E69"/>
    <w:rsid w:val="00963436"/>
    <w:rsid w:val="00964307"/>
    <w:rsid w:val="009648D0"/>
    <w:rsid w:val="00964A0D"/>
    <w:rsid w:val="00967186"/>
    <w:rsid w:val="009677AB"/>
    <w:rsid w:val="00967A3B"/>
    <w:rsid w:val="00967A60"/>
    <w:rsid w:val="00970C70"/>
    <w:rsid w:val="0097132B"/>
    <w:rsid w:val="0097228D"/>
    <w:rsid w:val="009732F7"/>
    <w:rsid w:val="009738EC"/>
    <w:rsid w:val="0097420D"/>
    <w:rsid w:val="00974865"/>
    <w:rsid w:val="0097492D"/>
    <w:rsid w:val="00975136"/>
    <w:rsid w:val="00976328"/>
    <w:rsid w:val="009765A8"/>
    <w:rsid w:val="009773B5"/>
    <w:rsid w:val="00977A9A"/>
    <w:rsid w:val="009800AC"/>
    <w:rsid w:val="009805E5"/>
    <w:rsid w:val="00980BE7"/>
    <w:rsid w:val="00982048"/>
    <w:rsid w:val="00982143"/>
    <w:rsid w:val="0098237C"/>
    <w:rsid w:val="009824C1"/>
    <w:rsid w:val="0098487F"/>
    <w:rsid w:val="009850EF"/>
    <w:rsid w:val="009876CB"/>
    <w:rsid w:val="00987A38"/>
    <w:rsid w:val="00987FB9"/>
    <w:rsid w:val="00990763"/>
    <w:rsid w:val="0099185E"/>
    <w:rsid w:val="00993297"/>
    <w:rsid w:val="009933A9"/>
    <w:rsid w:val="00993683"/>
    <w:rsid w:val="00993B3F"/>
    <w:rsid w:val="00994808"/>
    <w:rsid w:val="00996F71"/>
    <w:rsid w:val="0099719A"/>
    <w:rsid w:val="00997B96"/>
    <w:rsid w:val="00997DA4"/>
    <w:rsid w:val="009A0168"/>
    <w:rsid w:val="009A09DE"/>
    <w:rsid w:val="009A10A9"/>
    <w:rsid w:val="009A185E"/>
    <w:rsid w:val="009A2B48"/>
    <w:rsid w:val="009A3F58"/>
    <w:rsid w:val="009A429B"/>
    <w:rsid w:val="009A56B1"/>
    <w:rsid w:val="009A5CB7"/>
    <w:rsid w:val="009A7638"/>
    <w:rsid w:val="009A7813"/>
    <w:rsid w:val="009B0C41"/>
    <w:rsid w:val="009B0FD6"/>
    <w:rsid w:val="009B15FE"/>
    <w:rsid w:val="009B1F27"/>
    <w:rsid w:val="009B2243"/>
    <w:rsid w:val="009B2FC7"/>
    <w:rsid w:val="009B34BF"/>
    <w:rsid w:val="009B50D1"/>
    <w:rsid w:val="009B60A5"/>
    <w:rsid w:val="009B6248"/>
    <w:rsid w:val="009B6DED"/>
    <w:rsid w:val="009B7612"/>
    <w:rsid w:val="009C0AA0"/>
    <w:rsid w:val="009C0EA0"/>
    <w:rsid w:val="009C1136"/>
    <w:rsid w:val="009C1D41"/>
    <w:rsid w:val="009C2810"/>
    <w:rsid w:val="009C2A11"/>
    <w:rsid w:val="009C375D"/>
    <w:rsid w:val="009C49B4"/>
    <w:rsid w:val="009C52DF"/>
    <w:rsid w:val="009D0737"/>
    <w:rsid w:val="009D0BB1"/>
    <w:rsid w:val="009D26EA"/>
    <w:rsid w:val="009D2CE0"/>
    <w:rsid w:val="009D2E78"/>
    <w:rsid w:val="009D3088"/>
    <w:rsid w:val="009D3CFC"/>
    <w:rsid w:val="009D51CA"/>
    <w:rsid w:val="009D55AF"/>
    <w:rsid w:val="009D645C"/>
    <w:rsid w:val="009D65DB"/>
    <w:rsid w:val="009D6E66"/>
    <w:rsid w:val="009D74E7"/>
    <w:rsid w:val="009D7911"/>
    <w:rsid w:val="009D7B95"/>
    <w:rsid w:val="009D7C40"/>
    <w:rsid w:val="009D7CCE"/>
    <w:rsid w:val="009E0B2C"/>
    <w:rsid w:val="009E0BE8"/>
    <w:rsid w:val="009E1944"/>
    <w:rsid w:val="009E22F1"/>
    <w:rsid w:val="009E231E"/>
    <w:rsid w:val="009E240A"/>
    <w:rsid w:val="009E2829"/>
    <w:rsid w:val="009E2A90"/>
    <w:rsid w:val="009E2BB5"/>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B7A"/>
    <w:rsid w:val="009F6CB5"/>
    <w:rsid w:val="009F6CC9"/>
    <w:rsid w:val="009F725B"/>
    <w:rsid w:val="009F775F"/>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6AB"/>
    <w:rsid w:val="00A11778"/>
    <w:rsid w:val="00A117B7"/>
    <w:rsid w:val="00A13249"/>
    <w:rsid w:val="00A13864"/>
    <w:rsid w:val="00A13D79"/>
    <w:rsid w:val="00A1432A"/>
    <w:rsid w:val="00A14486"/>
    <w:rsid w:val="00A149EC"/>
    <w:rsid w:val="00A14DF1"/>
    <w:rsid w:val="00A14F8D"/>
    <w:rsid w:val="00A15826"/>
    <w:rsid w:val="00A15D6D"/>
    <w:rsid w:val="00A163E8"/>
    <w:rsid w:val="00A1673F"/>
    <w:rsid w:val="00A167F2"/>
    <w:rsid w:val="00A16D7B"/>
    <w:rsid w:val="00A200E2"/>
    <w:rsid w:val="00A2039D"/>
    <w:rsid w:val="00A20412"/>
    <w:rsid w:val="00A212E0"/>
    <w:rsid w:val="00A213A0"/>
    <w:rsid w:val="00A2203A"/>
    <w:rsid w:val="00A228E9"/>
    <w:rsid w:val="00A23DA8"/>
    <w:rsid w:val="00A25FCA"/>
    <w:rsid w:val="00A264A0"/>
    <w:rsid w:val="00A26805"/>
    <w:rsid w:val="00A26B49"/>
    <w:rsid w:val="00A27D05"/>
    <w:rsid w:val="00A32646"/>
    <w:rsid w:val="00A32939"/>
    <w:rsid w:val="00A32C40"/>
    <w:rsid w:val="00A3376F"/>
    <w:rsid w:val="00A340F3"/>
    <w:rsid w:val="00A3411D"/>
    <w:rsid w:val="00A34676"/>
    <w:rsid w:val="00A34985"/>
    <w:rsid w:val="00A35A79"/>
    <w:rsid w:val="00A36117"/>
    <w:rsid w:val="00A37078"/>
    <w:rsid w:val="00A3735D"/>
    <w:rsid w:val="00A374A7"/>
    <w:rsid w:val="00A37736"/>
    <w:rsid w:val="00A40959"/>
    <w:rsid w:val="00A415E5"/>
    <w:rsid w:val="00A4164E"/>
    <w:rsid w:val="00A418D8"/>
    <w:rsid w:val="00A41945"/>
    <w:rsid w:val="00A430A6"/>
    <w:rsid w:val="00A43E0D"/>
    <w:rsid w:val="00A443D2"/>
    <w:rsid w:val="00A444A2"/>
    <w:rsid w:val="00A4549B"/>
    <w:rsid w:val="00A457DE"/>
    <w:rsid w:val="00A46636"/>
    <w:rsid w:val="00A46E02"/>
    <w:rsid w:val="00A47560"/>
    <w:rsid w:val="00A50DA6"/>
    <w:rsid w:val="00A50ED2"/>
    <w:rsid w:val="00A51BFF"/>
    <w:rsid w:val="00A51DC1"/>
    <w:rsid w:val="00A531CA"/>
    <w:rsid w:val="00A5413B"/>
    <w:rsid w:val="00A541B0"/>
    <w:rsid w:val="00A54411"/>
    <w:rsid w:val="00A5497D"/>
    <w:rsid w:val="00A56019"/>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33F4"/>
    <w:rsid w:val="00A637A5"/>
    <w:rsid w:val="00A64830"/>
    <w:rsid w:val="00A64FDE"/>
    <w:rsid w:val="00A65113"/>
    <w:rsid w:val="00A668B2"/>
    <w:rsid w:val="00A66DDA"/>
    <w:rsid w:val="00A70391"/>
    <w:rsid w:val="00A707E1"/>
    <w:rsid w:val="00A70FF1"/>
    <w:rsid w:val="00A72CC1"/>
    <w:rsid w:val="00A738D2"/>
    <w:rsid w:val="00A73AE2"/>
    <w:rsid w:val="00A73BC0"/>
    <w:rsid w:val="00A74694"/>
    <w:rsid w:val="00A74E48"/>
    <w:rsid w:val="00A75786"/>
    <w:rsid w:val="00A769F7"/>
    <w:rsid w:val="00A7762B"/>
    <w:rsid w:val="00A776D2"/>
    <w:rsid w:val="00A77C9F"/>
    <w:rsid w:val="00A80313"/>
    <w:rsid w:val="00A803ED"/>
    <w:rsid w:val="00A81CA0"/>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A05E6"/>
    <w:rsid w:val="00AA0F23"/>
    <w:rsid w:val="00AA12A7"/>
    <w:rsid w:val="00AA19A3"/>
    <w:rsid w:val="00AA1F68"/>
    <w:rsid w:val="00AA3B13"/>
    <w:rsid w:val="00AA45E5"/>
    <w:rsid w:val="00AA4B67"/>
    <w:rsid w:val="00AA51E3"/>
    <w:rsid w:val="00AA5437"/>
    <w:rsid w:val="00AA63FF"/>
    <w:rsid w:val="00AA7517"/>
    <w:rsid w:val="00AA76B5"/>
    <w:rsid w:val="00AA7A2A"/>
    <w:rsid w:val="00AB0017"/>
    <w:rsid w:val="00AB2BB9"/>
    <w:rsid w:val="00AB3365"/>
    <w:rsid w:val="00AB4540"/>
    <w:rsid w:val="00AB571D"/>
    <w:rsid w:val="00AB589B"/>
    <w:rsid w:val="00AB5F46"/>
    <w:rsid w:val="00AB5FC7"/>
    <w:rsid w:val="00AB6169"/>
    <w:rsid w:val="00AB6820"/>
    <w:rsid w:val="00AB6D85"/>
    <w:rsid w:val="00AB717F"/>
    <w:rsid w:val="00AB7E8C"/>
    <w:rsid w:val="00AC00C2"/>
    <w:rsid w:val="00AC1482"/>
    <w:rsid w:val="00AC19CF"/>
    <w:rsid w:val="00AC36EF"/>
    <w:rsid w:val="00AC49F5"/>
    <w:rsid w:val="00AC4A63"/>
    <w:rsid w:val="00AC5DD8"/>
    <w:rsid w:val="00AC5F10"/>
    <w:rsid w:val="00AC6173"/>
    <w:rsid w:val="00AC6342"/>
    <w:rsid w:val="00AC691A"/>
    <w:rsid w:val="00AC6A95"/>
    <w:rsid w:val="00AC709B"/>
    <w:rsid w:val="00AC7365"/>
    <w:rsid w:val="00AC784E"/>
    <w:rsid w:val="00AD19F4"/>
    <w:rsid w:val="00AD23DE"/>
    <w:rsid w:val="00AD29F4"/>
    <w:rsid w:val="00AD2A49"/>
    <w:rsid w:val="00AD2F0F"/>
    <w:rsid w:val="00AD302D"/>
    <w:rsid w:val="00AD3414"/>
    <w:rsid w:val="00AD39D4"/>
    <w:rsid w:val="00AD3D03"/>
    <w:rsid w:val="00AD443A"/>
    <w:rsid w:val="00AD4536"/>
    <w:rsid w:val="00AD4A4C"/>
    <w:rsid w:val="00AD4C35"/>
    <w:rsid w:val="00AD4C67"/>
    <w:rsid w:val="00AD4D19"/>
    <w:rsid w:val="00AD55C5"/>
    <w:rsid w:val="00AD5E6F"/>
    <w:rsid w:val="00AD6334"/>
    <w:rsid w:val="00AD6593"/>
    <w:rsid w:val="00AD77B1"/>
    <w:rsid w:val="00AE086C"/>
    <w:rsid w:val="00AE0A32"/>
    <w:rsid w:val="00AE0A5D"/>
    <w:rsid w:val="00AE0B8E"/>
    <w:rsid w:val="00AE10F9"/>
    <w:rsid w:val="00AE19D1"/>
    <w:rsid w:val="00AE22A3"/>
    <w:rsid w:val="00AE2463"/>
    <w:rsid w:val="00AE2935"/>
    <w:rsid w:val="00AE3999"/>
    <w:rsid w:val="00AE3E64"/>
    <w:rsid w:val="00AE4405"/>
    <w:rsid w:val="00AE4493"/>
    <w:rsid w:val="00AE4C7E"/>
    <w:rsid w:val="00AE5D7D"/>
    <w:rsid w:val="00AE72FE"/>
    <w:rsid w:val="00AE769F"/>
    <w:rsid w:val="00AE78FE"/>
    <w:rsid w:val="00AE79D5"/>
    <w:rsid w:val="00AE7A18"/>
    <w:rsid w:val="00AE7B94"/>
    <w:rsid w:val="00AE7E3A"/>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84"/>
    <w:rsid w:val="00B05B2D"/>
    <w:rsid w:val="00B070B5"/>
    <w:rsid w:val="00B07D7E"/>
    <w:rsid w:val="00B10FCC"/>
    <w:rsid w:val="00B11009"/>
    <w:rsid w:val="00B115AB"/>
    <w:rsid w:val="00B11E36"/>
    <w:rsid w:val="00B1240A"/>
    <w:rsid w:val="00B16492"/>
    <w:rsid w:val="00B1768F"/>
    <w:rsid w:val="00B2030D"/>
    <w:rsid w:val="00B2171D"/>
    <w:rsid w:val="00B2254B"/>
    <w:rsid w:val="00B22950"/>
    <w:rsid w:val="00B23684"/>
    <w:rsid w:val="00B244D7"/>
    <w:rsid w:val="00B257A8"/>
    <w:rsid w:val="00B2593F"/>
    <w:rsid w:val="00B25CFC"/>
    <w:rsid w:val="00B260E7"/>
    <w:rsid w:val="00B27B3D"/>
    <w:rsid w:val="00B310DE"/>
    <w:rsid w:val="00B310DF"/>
    <w:rsid w:val="00B3152C"/>
    <w:rsid w:val="00B31CF2"/>
    <w:rsid w:val="00B32724"/>
    <w:rsid w:val="00B34C5C"/>
    <w:rsid w:val="00B358BE"/>
    <w:rsid w:val="00B35922"/>
    <w:rsid w:val="00B3622C"/>
    <w:rsid w:val="00B36939"/>
    <w:rsid w:val="00B3787C"/>
    <w:rsid w:val="00B40217"/>
    <w:rsid w:val="00B403C2"/>
    <w:rsid w:val="00B407D7"/>
    <w:rsid w:val="00B4123A"/>
    <w:rsid w:val="00B417FA"/>
    <w:rsid w:val="00B4196A"/>
    <w:rsid w:val="00B41C5D"/>
    <w:rsid w:val="00B42C20"/>
    <w:rsid w:val="00B43859"/>
    <w:rsid w:val="00B43897"/>
    <w:rsid w:val="00B438E0"/>
    <w:rsid w:val="00B44636"/>
    <w:rsid w:val="00B44AE9"/>
    <w:rsid w:val="00B45107"/>
    <w:rsid w:val="00B45F5A"/>
    <w:rsid w:val="00B4708B"/>
    <w:rsid w:val="00B47BAE"/>
    <w:rsid w:val="00B5109D"/>
    <w:rsid w:val="00B51A7C"/>
    <w:rsid w:val="00B52269"/>
    <w:rsid w:val="00B526A8"/>
    <w:rsid w:val="00B52C23"/>
    <w:rsid w:val="00B52CA1"/>
    <w:rsid w:val="00B52FD9"/>
    <w:rsid w:val="00B53FCF"/>
    <w:rsid w:val="00B54690"/>
    <w:rsid w:val="00B54A6D"/>
    <w:rsid w:val="00B553E0"/>
    <w:rsid w:val="00B555A2"/>
    <w:rsid w:val="00B556C4"/>
    <w:rsid w:val="00B557EB"/>
    <w:rsid w:val="00B55D03"/>
    <w:rsid w:val="00B560DB"/>
    <w:rsid w:val="00B563DC"/>
    <w:rsid w:val="00B565F7"/>
    <w:rsid w:val="00B567FC"/>
    <w:rsid w:val="00B5686E"/>
    <w:rsid w:val="00B56A3B"/>
    <w:rsid w:val="00B57767"/>
    <w:rsid w:val="00B6031D"/>
    <w:rsid w:val="00B60566"/>
    <w:rsid w:val="00B61037"/>
    <w:rsid w:val="00B6136C"/>
    <w:rsid w:val="00B613F8"/>
    <w:rsid w:val="00B618EC"/>
    <w:rsid w:val="00B61DF5"/>
    <w:rsid w:val="00B622F9"/>
    <w:rsid w:val="00B62AC4"/>
    <w:rsid w:val="00B63006"/>
    <w:rsid w:val="00B63143"/>
    <w:rsid w:val="00B63506"/>
    <w:rsid w:val="00B636B6"/>
    <w:rsid w:val="00B63DD2"/>
    <w:rsid w:val="00B654BA"/>
    <w:rsid w:val="00B6590F"/>
    <w:rsid w:val="00B66B1E"/>
    <w:rsid w:val="00B66CC5"/>
    <w:rsid w:val="00B672B4"/>
    <w:rsid w:val="00B679A3"/>
    <w:rsid w:val="00B71095"/>
    <w:rsid w:val="00B71818"/>
    <w:rsid w:val="00B71E9E"/>
    <w:rsid w:val="00B72A87"/>
    <w:rsid w:val="00B72BA3"/>
    <w:rsid w:val="00B739EA"/>
    <w:rsid w:val="00B73B70"/>
    <w:rsid w:val="00B740AC"/>
    <w:rsid w:val="00B74724"/>
    <w:rsid w:val="00B765EB"/>
    <w:rsid w:val="00B76E89"/>
    <w:rsid w:val="00B7726D"/>
    <w:rsid w:val="00B772B5"/>
    <w:rsid w:val="00B80432"/>
    <w:rsid w:val="00B816D9"/>
    <w:rsid w:val="00B81AEA"/>
    <w:rsid w:val="00B81C01"/>
    <w:rsid w:val="00B81C5D"/>
    <w:rsid w:val="00B81D53"/>
    <w:rsid w:val="00B828CD"/>
    <w:rsid w:val="00B82DA2"/>
    <w:rsid w:val="00B82E0E"/>
    <w:rsid w:val="00B8383D"/>
    <w:rsid w:val="00B83CE1"/>
    <w:rsid w:val="00B84ABD"/>
    <w:rsid w:val="00B850A8"/>
    <w:rsid w:val="00B85661"/>
    <w:rsid w:val="00B8691E"/>
    <w:rsid w:val="00B869E4"/>
    <w:rsid w:val="00B86F7A"/>
    <w:rsid w:val="00B87104"/>
    <w:rsid w:val="00B904CE"/>
    <w:rsid w:val="00B908B5"/>
    <w:rsid w:val="00B92252"/>
    <w:rsid w:val="00B924F4"/>
    <w:rsid w:val="00B927CD"/>
    <w:rsid w:val="00B92A22"/>
    <w:rsid w:val="00B93062"/>
    <w:rsid w:val="00B93537"/>
    <w:rsid w:val="00B9415E"/>
    <w:rsid w:val="00B9429C"/>
    <w:rsid w:val="00B96313"/>
    <w:rsid w:val="00B96406"/>
    <w:rsid w:val="00B9642A"/>
    <w:rsid w:val="00B96FD2"/>
    <w:rsid w:val="00B97453"/>
    <w:rsid w:val="00B97547"/>
    <w:rsid w:val="00BA0BBB"/>
    <w:rsid w:val="00BA1B45"/>
    <w:rsid w:val="00BA1C95"/>
    <w:rsid w:val="00BA2DA8"/>
    <w:rsid w:val="00BA3AC5"/>
    <w:rsid w:val="00BA3B02"/>
    <w:rsid w:val="00BA476B"/>
    <w:rsid w:val="00BA47EC"/>
    <w:rsid w:val="00BA4E76"/>
    <w:rsid w:val="00BA51D1"/>
    <w:rsid w:val="00BA533D"/>
    <w:rsid w:val="00BA5D72"/>
    <w:rsid w:val="00BA6F61"/>
    <w:rsid w:val="00BA7E75"/>
    <w:rsid w:val="00BA7FB2"/>
    <w:rsid w:val="00BB0554"/>
    <w:rsid w:val="00BB05E1"/>
    <w:rsid w:val="00BB0C67"/>
    <w:rsid w:val="00BB18B4"/>
    <w:rsid w:val="00BB2508"/>
    <w:rsid w:val="00BB2910"/>
    <w:rsid w:val="00BB3782"/>
    <w:rsid w:val="00BB46BE"/>
    <w:rsid w:val="00BB4C81"/>
    <w:rsid w:val="00BB5262"/>
    <w:rsid w:val="00BB549D"/>
    <w:rsid w:val="00BB551B"/>
    <w:rsid w:val="00BB5E4A"/>
    <w:rsid w:val="00BB5EBB"/>
    <w:rsid w:val="00BB6205"/>
    <w:rsid w:val="00BB6DB3"/>
    <w:rsid w:val="00BC0313"/>
    <w:rsid w:val="00BC05F5"/>
    <w:rsid w:val="00BC0D81"/>
    <w:rsid w:val="00BC18A3"/>
    <w:rsid w:val="00BC273C"/>
    <w:rsid w:val="00BC2DF1"/>
    <w:rsid w:val="00BC2EB4"/>
    <w:rsid w:val="00BC3105"/>
    <w:rsid w:val="00BC45E7"/>
    <w:rsid w:val="00BC510F"/>
    <w:rsid w:val="00BC5725"/>
    <w:rsid w:val="00BC5EB2"/>
    <w:rsid w:val="00BD075E"/>
    <w:rsid w:val="00BD262C"/>
    <w:rsid w:val="00BD30B9"/>
    <w:rsid w:val="00BD3F0A"/>
    <w:rsid w:val="00BD499D"/>
    <w:rsid w:val="00BD5D64"/>
    <w:rsid w:val="00BD699C"/>
    <w:rsid w:val="00BD6A54"/>
    <w:rsid w:val="00BD7338"/>
    <w:rsid w:val="00BE075C"/>
    <w:rsid w:val="00BE16E1"/>
    <w:rsid w:val="00BE206F"/>
    <w:rsid w:val="00BE246A"/>
    <w:rsid w:val="00BE3361"/>
    <w:rsid w:val="00BE365F"/>
    <w:rsid w:val="00BE56D4"/>
    <w:rsid w:val="00BE6052"/>
    <w:rsid w:val="00BE6989"/>
    <w:rsid w:val="00BE7229"/>
    <w:rsid w:val="00BE72F4"/>
    <w:rsid w:val="00BE750C"/>
    <w:rsid w:val="00BF1300"/>
    <w:rsid w:val="00BF2371"/>
    <w:rsid w:val="00BF2D77"/>
    <w:rsid w:val="00BF3BEB"/>
    <w:rsid w:val="00BF4CD3"/>
    <w:rsid w:val="00BF4CD9"/>
    <w:rsid w:val="00BF5BD4"/>
    <w:rsid w:val="00BF5D44"/>
    <w:rsid w:val="00BF5F1A"/>
    <w:rsid w:val="00BF6AA5"/>
    <w:rsid w:val="00BF6CF9"/>
    <w:rsid w:val="00BF7151"/>
    <w:rsid w:val="00BF74A1"/>
    <w:rsid w:val="00C01903"/>
    <w:rsid w:val="00C026BF"/>
    <w:rsid w:val="00C027B0"/>
    <w:rsid w:val="00C02BC9"/>
    <w:rsid w:val="00C03589"/>
    <w:rsid w:val="00C03846"/>
    <w:rsid w:val="00C03CCE"/>
    <w:rsid w:val="00C04DC5"/>
    <w:rsid w:val="00C06E8F"/>
    <w:rsid w:val="00C072D8"/>
    <w:rsid w:val="00C073E1"/>
    <w:rsid w:val="00C075F6"/>
    <w:rsid w:val="00C078ED"/>
    <w:rsid w:val="00C103AC"/>
    <w:rsid w:val="00C1059A"/>
    <w:rsid w:val="00C1309B"/>
    <w:rsid w:val="00C138F4"/>
    <w:rsid w:val="00C139D8"/>
    <w:rsid w:val="00C13C12"/>
    <w:rsid w:val="00C1418C"/>
    <w:rsid w:val="00C14BC6"/>
    <w:rsid w:val="00C14C0D"/>
    <w:rsid w:val="00C163FF"/>
    <w:rsid w:val="00C201D0"/>
    <w:rsid w:val="00C20C93"/>
    <w:rsid w:val="00C2321B"/>
    <w:rsid w:val="00C2454A"/>
    <w:rsid w:val="00C2603C"/>
    <w:rsid w:val="00C2741C"/>
    <w:rsid w:val="00C27CE5"/>
    <w:rsid w:val="00C300ED"/>
    <w:rsid w:val="00C30AB6"/>
    <w:rsid w:val="00C30BD7"/>
    <w:rsid w:val="00C31728"/>
    <w:rsid w:val="00C330AA"/>
    <w:rsid w:val="00C3537A"/>
    <w:rsid w:val="00C35750"/>
    <w:rsid w:val="00C3585E"/>
    <w:rsid w:val="00C36719"/>
    <w:rsid w:val="00C367F4"/>
    <w:rsid w:val="00C368D8"/>
    <w:rsid w:val="00C36DBC"/>
    <w:rsid w:val="00C41406"/>
    <w:rsid w:val="00C41F69"/>
    <w:rsid w:val="00C425C4"/>
    <w:rsid w:val="00C44B40"/>
    <w:rsid w:val="00C46293"/>
    <w:rsid w:val="00C4774F"/>
    <w:rsid w:val="00C47B3A"/>
    <w:rsid w:val="00C50B94"/>
    <w:rsid w:val="00C51676"/>
    <w:rsid w:val="00C51CC4"/>
    <w:rsid w:val="00C53C97"/>
    <w:rsid w:val="00C55790"/>
    <w:rsid w:val="00C6172D"/>
    <w:rsid w:val="00C635C9"/>
    <w:rsid w:val="00C652C9"/>
    <w:rsid w:val="00C66823"/>
    <w:rsid w:val="00C66CE3"/>
    <w:rsid w:val="00C67D93"/>
    <w:rsid w:val="00C70CFC"/>
    <w:rsid w:val="00C718CE"/>
    <w:rsid w:val="00C71FD5"/>
    <w:rsid w:val="00C72354"/>
    <w:rsid w:val="00C7274D"/>
    <w:rsid w:val="00C72A1A"/>
    <w:rsid w:val="00C7322C"/>
    <w:rsid w:val="00C74F7E"/>
    <w:rsid w:val="00C750D4"/>
    <w:rsid w:val="00C755ED"/>
    <w:rsid w:val="00C76689"/>
    <w:rsid w:val="00C778C4"/>
    <w:rsid w:val="00C82507"/>
    <w:rsid w:val="00C83219"/>
    <w:rsid w:val="00C83264"/>
    <w:rsid w:val="00C83453"/>
    <w:rsid w:val="00C83DA6"/>
    <w:rsid w:val="00C84060"/>
    <w:rsid w:val="00C841F3"/>
    <w:rsid w:val="00C86AA2"/>
    <w:rsid w:val="00C86AF4"/>
    <w:rsid w:val="00C86DE8"/>
    <w:rsid w:val="00C87008"/>
    <w:rsid w:val="00C87326"/>
    <w:rsid w:val="00C875EC"/>
    <w:rsid w:val="00C91A9E"/>
    <w:rsid w:val="00C91AB7"/>
    <w:rsid w:val="00C924C3"/>
    <w:rsid w:val="00C92932"/>
    <w:rsid w:val="00C92EC0"/>
    <w:rsid w:val="00C9496D"/>
    <w:rsid w:val="00C95302"/>
    <w:rsid w:val="00C958D4"/>
    <w:rsid w:val="00C9674D"/>
    <w:rsid w:val="00C96EF0"/>
    <w:rsid w:val="00C975C8"/>
    <w:rsid w:val="00C9769A"/>
    <w:rsid w:val="00CA17AB"/>
    <w:rsid w:val="00CA245A"/>
    <w:rsid w:val="00CA24CA"/>
    <w:rsid w:val="00CA35A0"/>
    <w:rsid w:val="00CA5C71"/>
    <w:rsid w:val="00CA66D7"/>
    <w:rsid w:val="00CA7A0F"/>
    <w:rsid w:val="00CA7AD2"/>
    <w:rsid w:val="00CB09CB"/>
    <w:rsid w:val="00CB09E4"/>
    <w:rsid w:val="00CB1A03"/>
    <w:rsid w:val="00CB26C9"/>
    <w:rsid w:val="00CB2A24"/>
    <w:rsid w:val="00CB2DB1"/>
    <w:rsid w:val="00CB37EB"/>
    <w:rsid w:val="00CB3E58"/>
    <w:rsid w:val="00CB43B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5AFA"/>
    <w:rsid w:val="00CD71B4"/>
    <w:rsid w:val="00CE0828"/>
    <w:rsid w:val="00CE0DA6"/>
    <w:rsid w:val="00CE13A5"/>
    <w:rsid w:val="00CE1EEA"/>
    <w:rsid w:val="00CE2634"/>
    <w:rsid w:val="00CE3154"/>
    <w:rsid w:val="00CE4FB5"/>
    <w:rsid w:val="00CE5BE4"/>
    <w:rsid w:val="00CE6863"/>
    <w:rsid w:val="00CE69CF"/>
    <w:rsid w:val="00CE6A2B"/>
    <w:rsid w:val="00CE7A6E"/>
    <w:rsid w:val="00CE7FCE"/>
    <w:rsid w:val="00CF06E0"/>
    <w:rsid w:val="00CF0AAE"/>
    <w:rsid w:val="00CF0C65"/>
    <w:rsid w:val="00CF16F8"/>
    <w:rsid w:val="00CF1B4F"/>
    <w:rsid w:val="00CF2166"/>
    <w:rsid w:val="00CF2D4A"/>
    <w:rsid w:val="00CF47BF"/>
    <w:rsid w:val="00CF4AB6"/>
    <w:rsid w:val="00CF545B"/>
    <w:rsid w:val="00CF5B85"/>
    <w:rsid w:val="00CF5BB3"/>
    <w:rsid w:val="00CF6717"/>
    <w:rsid w:val="00CF68B5"/>
    <w:rsid w:val="00CF74BC"/>
    <w:rsid w:val="00D02B0D"/>
    <w:rsid w:val="00D02B0F"/>
    <w:rsid w:val="00D02C4F"/>
    <w:rsid w:val="00D044AF"/>
    <w:rsid w:val="00D047F2"/>
    <w:rsid w:val="00D048E8"/>
    <w:rsid w:val="00D051A5"/>
    <w:rsid w:val="00D05DDD"/>
    <w:rsid w:val="00D06369"/>
    <w:rsid w:val="00D07783"/>
    <w:rsid w:val="00D1041F"/>
    <w:rsid w:val="00D10682"/>
    <w:rsid w:val="00D10706"/>
    <w:rsid w:val="00D1166C"/>
    <w:rsid w:val="00D11869"/>
    <w:rsid w:val="00D11A02"/>
    <w:rsid w:val="00D1245D"/>
    <w:rsid w:val="00D127C6"/>
    <w:rsid w:val="00D14176"/>
    <w:rsid w:val="00D14EF0"/>
    <w:rsid w:val="00D15980"/>
    <w:rsid w:val="00D16BDA"/>
    <w:rsid w:val="00D17EC8"/>
    <w:rsid w:val="00D20322"/>
    <w:rsid w:val="00D20893"/>
    <w:rsid w:val="00D2266C"/>
    <w:rsid w:val="00D232AF"/>
    <w:rsid w:val="00D25B78"/>
    <w:rsid w:val="00D26B07"/>
    <w:rsid w:val="00D272B6"/>
    <w:rsid w:val="00D2739C"/>
    <w:rsid w:val="00D27CE4"/>
    <w:rsid w:val="00D30131"/>
    <w:rsid w:val="00D30D6E"/>
    <w:rsid w:val="00D31D7F"/>
    <w:rsid w:val="00D32511"/>
    <w:rsid w:val="00D3334D"/>
    <w:rsid w:val="00D340D4"/>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DAA"/>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1D8"/>
    <w:rsid w:val="00D55EE5"/>
    <w:rsid w:val="00D55F04"/>
    <w:rsid w:val="00D56270"/>
    <w:rsid w:val="00D5644F"/>
    <w:rsid w:val="00D56F8B"/>
    <w:rsid w:val="00D57848"/>
    <w:rsid w:val="00D6019A"/>
    <w:rsid w:val="00D63B0F"/>
    <w:rsid w:val="00D63CC9"/>
    <w:rsid w:val="00D65943"/>
    <w:rsid w:val="00D65951"/>
    <w:rsid w:val="00D66522"/>
    <w:rsid w:val="00D66A4A"/>
    <w:rsid w:val="00D66E5B"/>
    <w:rsid w:val="00D66F4C"/>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07AF"/>
    <w:rsid w:val="00D911BB"/>
    <w:rsid w:val="00D91F0F"/>
    <w:rsid w:val="00D925E4"/>
    <w:rsid w:val="00D9389D"/>
    <w:rsid w:val="00D93E3E"/>
    <w:rsid w:val="00D94FAD"/>
    <w:rsid w:val="00D9553C"/>
    <w:rsid w:val="00D95A03"/>
    <w:rsid w:val="00D96436"/>
    <w:rsid w:val="00D96FFE"/>
    <w:rsid w:val="00D97101"/>
    <w:rsid w:val="00D97D78"/>
    <w:rsid w:val="00D97EFF"/>
    <w:rsid w:val="00DA0981"/>
    <w:rsid w:val="00DA0CA2"/>
    <w:rsid w:val="00DA1AD2"/>
    <w:rsid w:val="00DA263D"/>
    <w:rsid w:val="00DA2965"/>
    <w:rsid w:val="00DA55CB"/>
    <w:rsid w:val="00DA5856"/>
    <w:rsid w:val="00DA704B"/>
    <w:rsid w:val="00DA7CD0"/>
    <w:rsid w:val="00DB0ED3"/>
    <w:rsid w:val="00DB15EB"/>
    <w:rsid w:val="00DB2438"/>
    <w:rsid w:val="00DB28C1"/>
    <w:rsid w:val="00DB2C78"/>
    <w:rsid w:val="00DB2D47"/>
    <w:rsid w:val="00DB31D9"/>
    <w:rsid w:val="00DB31F2"/>
    <w:rsid w:val="00DB486D"/>
    <w:rsid w:val="00DB50D7"/>
    <w:rsid w:val="00DB5AB6"/>
    <w:rsid w:val="00DB5D45"/>
    <w:rsid w:val="00DB5FBB"/>
    <w:rsid w:val="00DB6055"/>
    <w:rsid w:val="00DB6403"/>
    <w:rsid w:val="00DB6BA1"/>
    <w:rsid w:val="00DB74A5"/>
    <w:rsid w:val="00DB778E"/>
    <w:rsid w:val="00DC04C7"/>
    <w:rsid w:val="00DC07CE"/>
    <w:rsid w:val="00DC1492"/>
    <w:rsid w:val="00DC19BF"/>
    <w:rsid w:val="00DC24C8"/>
    <w:rsid w:val="00DC2616"/>
    <w:rsid w:val="00DC2C39"/>
    <w:rsid w:val="00DC34FA"/>
    <w:rsid w:val="00DC3DC7"/>
    <w:rsid w:val="00DC4558"/>
    <w:rsid w:val="00DC45E9"/>
    <w:rsid w:val="00DC4940"/>
    <w:rsid w:val="00DC4D1C"/>
    <w:rsid w:val="00DC580D"/>
    <w:rsid w:val="00DC63D0"/>
    <w:rsid w:val="00DC6579"/>
    <w:rsid w:val="00DC6DD2"/>
    <w:rsid w:val="00DC70A9"/>
    <w:rsid w:val="00DD12F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3306"/>
    <w:rsid w:val="00DE49E6"/>
    <w:rsid w:val="00DE4A5F"/>
    <w:rsid w:val="00DE51A2"/>
    <w:rsid w:val="00DE539A"/>
    <w:rsid w:val="00DE5906"/>
    <w:rsid w:val="00DE5DF5"/>
    <w:rsid w:val="00DE6328"/>
    <w:rsid w:val="00DE63A5"/>
    <w:rsid w:val="00DE6E3B"/>
    <w:rsid w:val="00DF0437"/>
    <w:rsid w:val="00DF071B"/>
    <w:rsid w:val="00DF0FC6"/>
    <w:rsid w:val="00DF216C"/>
    <w:rsid w:val="00DF2F1A"/>
    <w:rsid w:val="00DF354D"/>
    <w:rsid w:val="00DF3F78"/>
    <w:rsid w:val="00DF54C0"/>
    <w:rsid w:val="00DF598F"/>
    <w:rsid w:val="00DF65AD"/>
    <w:rsid w:val="00DF761F"/>
    <w:rsid w:val="00E00127"/>
    <w:rsid w:val="00E0053C"/>
    <w:rsid w:val="00E017D0"/>
    <w:rsid w:val="00E024E2"/>
    <w:rsid w:val="00E0360A"/>
    <w:rsid w:val="00E04F50"/>
    <w:rsid w:val="00E052C9"/>
    <w:rsid w:val="00E0567D"/>
    <w:rsid w:val="00E05EC2"/>
    <w:rsid w:val="00E06AB6"/>
    <w:rsid w:val="00E072A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1B0A"/>
    <w:rsid w:val="00E32929"/>
    <w:rsid w:val="00E3292A"/>
    <w:rsid w:val="00E348F9"/>
    <w:rsid w:val="00E34F8E"/>
    <w:rsid w:val="00E3699B"/>
    <w:rsid w:val="00E3747B"/>
    <w:rsid w:val="00E40C48"/>
    <w:rsid w:val="00E416D4"/>
    <w:rsid w:val="00E427D6"/>
    <w:rsid w:val="00E437E0"/>
    <w:rsid w:val="00E43881"/>
    <w:rsid w:val="00E44712"/>
    <w:rsid w:val="00E46225"/>
    <w:rsid w:val="00E469D5"/>
    <w:rsid w:val="00E5054B"/>
    <w:rsid w:val="00E512C8"/>
    <w:rsid w:val="00E512E4"/>
    <w:rsid w:val="00E518B1"/>
    <w:rsid w:val="00E51AE3"/>
    <w:rsid w:val="00E51F51"/>
    <w:rsid w:val="00E5287A"/>
    <w:rsid w:val="00E52ADF"/>
    <w:rsid w:val="00E52B2D"/>
    <w:rsid w:val="00E52CBA"/>
    <w:rsid w:val="00E5314F"/>
    <w:rsid w:val="00E532A3"/>
    <w:rsid w:val="00E53EBE"/>
    <w:rsid w:val="00E548AA"/>
    <w:rsid w:val="00E558BA"/>
    <w:rsid w:val="00E5615F"/>
    <w:rsid w:val="00E562F3"/>
    <w:rsid w:val="00E56C2F"/>
    <w:rsid w:val="00E575FE"/>
    <w:rsid w:val="00E60484"/>
    <w:rsid w:val="00E60601"/>
    <w:rsid w:val="00E606A0"/>
    <w:rsid w:val="00E62530"/>
    <w:rsid w:val="00E62A66"/>
    <w:rsid w:val="00E62BDC"/>
    <w:rsid w:val="00E63E3C"/>
    <w:rsid w:val="00E64430"/>
    <w:rsid w:val="00E64531"/>
    <w:rsid w:val="00E64822"/>
    <w:rsid w:val="00E64967"/>
    <w:rsid w:val="00E65E83"/>
    <w:rsid w:val="00E6619B"/>
    <w:rsid w:val="00E66F42"/>
    <w:rsid w:val="00E70086"/>
    <w:rsid w:val="00E70578"/>
    <w:rsid w:val="00E71B49"/>
    <w:rsid w:val="00E71D7E"/>
    <w:rsid w:val="00E72A0B"/>
    <w:rsid w:val="00E72B0A"/>
    <w:rsid w:val="00E72DC6"/>
    <w:rsid w:val="00E738AE"/>
    <w:rsid w:val="00E75EE2"/>
    <w:rsid w:val="00E76A02"/>
    <w:rsid w:val="00E7789D"/>
    <w:rsid w:val="00E778B8"/>
    <w:rsid w:val="00E80466"/>
    <w:rsid w:val="00E808FF"/>
    <w:rsid w:val="00E81805"/>
    <w:rsid w:val="00E82AE1"/>
    <w:rsid w:val="00E830D6"/>
    <w:rsid w:val="00E83A7B"/>
    <w:rsid w:val="00E85866"/>
    <w:rsid w:val="00E861C3"/>
    <w:rsid w:val="00E86808"/>
    <w:rsid w:val="00E8731F"/>
    <w:rsid w:val="00E877D7"/>
    <w:rsid w:val="00E9071B"/>
    <w:rsid w:val="00E9115D"/>
    <w:rsid w:val="00E91362"/>
    <w:rsid w:val="00E92DD4"/>
    <w:rsid w:val="00E93600"/>
    <w:rsid w:val="00E950C1"/>
    <w:rsid w:val="00E95199"/>
    <w:rsid w:val="00E955C9"/>
    <w:rsid w:val="00E9608C"/>
    <w:rsid w:val="00EA0E4A"/>
    <w:rsid w:val="00EA154F"/>
    <w:rsid w:val="00EA171F"/>
    <w:rsid w:val="00EA182D"/>
    <w:rsid w:val="00EA1987"/>
    <w:rsid w:val="00EA19C9"/>
    <w:rsid w:val="00EA3059"/>
    <w:rsid w:val="00EA31AC"/>
    <w:rsid w:val="00EA3208"/>
    <w:rsid w:val="00EA48F2"/>
    <w:rsid w:val="00EA6E4E"/>
    <w:rsid w:val="00EA6E5B"/>
    <w:rsid w:val="00EA710C"/>
    <w:rsid w:val="00EA7364"/>
    <w:rsid w:val="00EA7456"/>
    <w:rsid w:val="00EB016F"/>
    <w:rsid w:val="00EB0DE1"/>
    <w:rsid w:val="00EB1380"/>
    <w:rsid w:val="00EB2BE6"/>
    <w:rsid w:val="00EB2CD0"/>
    <w:rsid w:val="00EB484F"/>
    <w:rsid w:val="00EB4B7F"/>
    <w:rsid w:val="00EB4B8A"/>
    <w:rsid w:val="00EB64DC"/>
    <w:rsid w:val="00EB6B93"/>
    <w:rsid w:val="00EB6C0A"/>
    <w:rsid w:val="00EB6C52"/>
    <w:rsid w:val="00EC0843"/>
    <w:rsid w:val="00EC0B19"/>
    <w:rsid w:val="00EC138C"/>
    <w:rsid w:val="00EC1BE4"/>
    <w:rsid w:val="00EC3088"/>
    <w:rsid w:val="00EC326B"/>
    <w:rsid w:val="00EC35D1"/>
    <w:rsid w:val="00EC5256"/>
    <w:rsid w:val="00EC54EC"/>
    <w:rsid w:val="00EC5E3B"/>
    <w:rsid w:val="00EC60C7"/>
    <w:rsid w:val="00EC6140"/>
    <w:rsid w:val="00EC6EE5"/>
    <w:rsid w:val="00ED1124"/>
    <w:rsid w:val="00ED1358"/>
    <w:rsid w:val="00ED1979"/>
    <w:rsid w:val="00ED2A84"/>
    <w:rsid w:val="00ED2DB6"/>
    <w:rsid w:val="00ED3B40"/>
    <w:rsid w:val="00ED431C"/>
    <w:rsid w:val="00ED4B6A"/>
    <w:rsid w:val="00ED501F"/>
    <w:rsid w:val="00ED55D5"/>
    <w:rsid w:val="00ED6017"/>
    <w:rsid w:val="00ED616B"/>
    <w:rsid w:val="00ED7192"/>
    <w:rsid w:val="00ED7C99"/>
    <w:rsid w:val="00EE08D3"/>
    <w:rsid w:val="00EE0CF7"/>
    <w:rsid w:val="00EE13F4"/>
    <w:rsid w:val="00EE1400"/>
    <w:rsid w:val="00EE1533"/>
    <w:rsid w:val="00EE1610"/>
    <w:rsid w:val="00EE1D14"/>
    <w:rsid w:val="00EE23AE"/>
    <w:rsid w:val="00EE2882"/>
    <w:rsid w:val="00EE2F10"/>
    <w:rsid w:val="00EE3ECA"/>
    <w:rsid w:val="00EE4EC5"/>
    <w:rsid w:val="00EE508B"/>
    <w:rsid w:val="00EE6603"/>
    <w:rsid w:val="00EE714F"/>
    <w:rsid w:val="00EE7E0D"/>
    <w:rsid w:val="00EF0698"/>
    <w:rsid w:val="00EF1743"/>
    <w:rsid w:val="00EF1EB2"/>
    <w:rsid w:val="00EF2963"/>
    <w:rsid w:val="00EF2976"/>
    <w:rsid w:val="00EF374E"/>
    <w:rsid w:val="00EF3EF6"/>
    <w:rsid w:val="00EF49BF"/>
    <w:rsid w:val="00EF59CE"/>
    <w:rsid w:val="00EF60D4"/>
    <w:rsid w:val="00EF69D3"/>
    <w:rsid w:val="00EF6ACB"/>
    <w:rsid w:val="00EF6DEB"/>
    <w:rsid w:val="00F00C84"/>
    <w:rsid w:val="00F012F1"/>
    <w:rsid w:val="00F01A61"/>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64D8"/>
    <w:rsid w:val="00F165CA"/>
    <w:rsid w:val="00F178A1"/>
    <w:rsid w:val="00F2059D"/>
    <w:rsid w:val="00F20E1D"/>
    <w:rsid w:val="00F2114E"/>
    <w:rsid w:val="00F21418"/>
    <w:rsid w:val="00F2182E"/>
    <w:rsid w:val="00F223A9"/>
    <w:rsid w:val="00F227B9"/>
    <w:rsid w:val="00F227C2"/>
    <w:rsid w:val="00F22BC7"/>
    <w:rsid w:val="00F233CD"/>
    <w:rsid w:val="00F2366D"/>
    <w:rsid w:val="00F23674"/>
    <w:rsid w:val="00F23760"/>
    <w:rsid w:val="00F23FEE"/>
    <w:rsid w:val="00F24590"/>
    <w:rsid w:val="00F25834"/>
    <w:rsid w:val="00F25872"/>
    <w:rsid w:val="00F2701F"/>
    <w:rsid w:val="00F27EA6"/>
    <w:rsid w:val="00F30328"/>
    <w:rsid w:val="00F30C67"/>
    <w:rsid w:val="00F30D69"/>
    <w:rsid w:val="00F313B1"/>
    <w:rsid w:val="00F32B60"/>
    <w:rsid w:val="00F32C95"/>
    <w:rsid w:val="00F33403"/>
    <w:rsid w:val="00F340D6"/>
    <w:rsid w:val="00F3466F"/>
    <w:rsid w:val="00F35911"/>
    <w:rsid w:val="00F35A17"/>
    <w:rsid w:val="00F36B60"/>
    <w:rsid w:val="00F36BCF"/>
    <w:rsid w:val="00F36E63"/>
    <w:rsid w:val="00F376A5"/>
    <w:rsid w:val="00F378BE"/>
    <w:rsid w:val="00F40C1E"/>
    <w:rsid w:val="00F41F62"/>
    <w:rsid w:val="00F4224A"/>
    <w:rsid w:val="00F4251F"/>
    <w:rsid w:val="00F4265F"/>
    <w:rsid w:val="00F43E71"/>
    <w:rsid w:val="00F44547"/>
    <w:rsid w:val="00F44BCE"/>
    <w:rsid w:val="00F44F92"/>
    <w:rsid w:val="00F46E64"/>
    <w:rsid w:val="00F478F4"/>
    <w:rsid w:val="00F47C3C"/>
    <w:rsid w:val="00F47D74"/>
    <w:rsid w:val="00F50C60"/>
    <w:rsid w:val="00F52C78"/>
    <w:rsid w:val="00F52FDD"/>
    <w:rsid w:val="00F53998"/>
    <w:rsid w:val="00F55E53"/>
    <w:rsid w:val="00F564B1"/>
    <w:rsid w:val="00F565C0"/>
    <w:rsid w:val="00F56802"/>
    <w:rsid w:val="00F56825"/>
    <w:rsid w:val="00F56F00"/>
    <w:rsid w:val="00F57125"/>
    <w:rsid w:val="00F5745C"/>
    <w:rsid w:val="00F57650"/>
    <w:rsid w:val="00F57892"/>
    <w:rsid w:val="00F57CDA"/>
    <w:rsid w:val="00F60A24"/>
    <w:rsid w:val="00F60DB5"/>
    <w:rsid w:val="00F61205"/>
    <w:rsid w:val="00F621B9"/>
    <w:rsid w:val="00F6224C"/>
    <w:rsid w:val="00F62E44"/>
    <w:rsid w:val="00F63271"/>
    <w:rsid w:val="00F63EF2"/>
    <w:rsid w:val="00F6407C"/>
    <w:rsid w:val="00F64477"/>
    <w:rsid w:val="00F6449C"/>
    <w:rsid w:val="00F64564"/>
    <w:rsid w:val="00F6564F"/>
    <w:rsid w:val="00F65D90"/>
    <w:rsid w:val="00F663AE"/>
    <w:rsid w:val="00F6744D"/>
    <w:rsid w:val="00F67CDC"/>
    <w:rsid w:val="00F70094"/>
    <w:rsid w:val="00F70D85"/>
    <w:rsid w:val="00F71EA1"/>
    <w:rsid w:val="00F72C37"/>
    <w:rsid w:val="00F7509E"/>
    <w:rsid w:val="00F76A51"/>
    <w:rsid w:val="00F772C9"/>
    <w:rsid w:val="00F8102E"/>
    <w:rsid w:val="00F817A2"/>
    <w:rsid w:val="00F82AE7"/>
    <w:rsid w:val="00F83291"/>
    <w:rsid w:val="00F833D1"/>
    <w:rsid w:val="00F836A5"/>
    <w:rsid w:val="00F84023"/>
    <w:rsid w:val="00F84266"/>
    <w:rsid w:val="00F856E4"/>
    <w:rsid w:val="00F857C8"/>
    <w:rsid w:val="00F876CB"/>
    <w:rsid w:val="00F876F3"/>
    <w:rsid w:val="00F87F33"/>
    <w:rsid w:val="00F90B2D"/>
    <w:rsid w:val="00F90CAF"/>
    <w:rsid w:val="00F90E9C"/>
    <w:rsid w:val="00F91785"/>
    <w:rsid w:val="00F92105"/>
    <w:rsid w:val="00F9214F"/>
    <w:rsid w:val="00F936ED"/>
    <w:rsid w:val="00F941D8"/>
    <w:rsid w:val="00F948B6"/>
    <w:rsid w:val="00F95C15"/>
    <w:rsid w:val="00F962D6"/>
    <w:rsid w:val="00FA0FE5"/>
    <w:rsid w:val="00FA1D21"/>
    <w:rsid w:val="00FA227B"/>
    <w:rsid w:val="00FA26C7"/>
    <w:rsid w:val="00FA28DB"/>
    <w:rsid w:val="00FA2B1C"/>
    <w:rsid w:val="00FA3EA5"/>
    <w:rsid w:val="00FA45E6"/>
    <w:rsid w:val="00FA496B"/>
    <w:rsid w:val="00FA4CA2"/>
    <w:rsid w:val="00FA5EF9"/>
    <w:rsid w:val="00FA6849"/>
    <w:rsid w:val="00FA712D"/>
    <w:rsid w:val="00FA73BC"/>
    <w:rsid w:val="00FB0185"/>
    <w:rsid w:val="00FB08B4"/>
    <w:rsid w:val="00FB1422"/>
    <w:rsid w:val="00FB1A92"/>
    <w:rsid w:val="00FB48DC"/>
    <w:rsid w:val="00FB4A5D"/>
    <w:rsid w:val="00FB5F36"/>
    <w:rsid w:val="00FB7ED8"/>
    <w:rsid w:val="00FC14D5"/>
    <w:rsid w:val="00FC22C4"/>
    <w:rsid w:val="00FC3264"/>
    <w:rsid w:val="00FC349C"/>
    <w:rsid w:val="00FC3A15"/>
    <w:rsid w:val="00FC3B3B"/>
    <w:rsid w:val="00FC442B"/>
    <w:rsid w:val="00FC4995"/>
    <w:rsid w:val="00FC4C6C"/>
    <w:rsid w:val="00FC561D"/>
    <w:rsid w:val="00FC5A44"/>
    <w:rsid w:val="00FC5D9A"/>
    <w:rsid w:val="00FC7465"/>
    <w:rsid w:val="00FC7922"/>
    <w:rsid w:val="00FD0758"/>
    <w:rsid w:val="00FD2029"/>
    <w:rsid w:val="00FD2382"/>
    <w:rsid w:val="00FD2B17"/>
    <w:rsid w:val="00FD3598"/>
    <w:rsid w:val="00FD3999"/>
    <w:rsid w:val="00FD3ADC"/>
    <w:rsid w:val="00FD3F79"/>
    <w:rsid w:val="00FD4740"/>
    <w:rsid w:val="00FD4AA1"/>
    <w:rsid w:val="00FD4BA9"/>
    <w:rsid w:val="00FD50E7"/>
    <w:rsid w:val="00FD5397"/>
    <w:rsid w:val="00FD54B7"/>
    <w:rsid w:val="00FD6879"/>
    <w:rsid w:val="00FD6EFD"/>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7EBF6"/>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paragraph" w:customStyle="1" w:styleId="BALIKLAR">
    <w:name w:val="BAŞLIKLAR"/>
    <w:basedOn w:val="Balk1"/>
    <w:link w:val="BALIKLARChar"/>
    <w:qFormat/>
    <w:rsid w:val="00924871"/>
    <w:pPr>
      <w:keepNext/>
      <w:keepLines/>
      <w:pBdr>
        <w:bottom w:val="none" w:sz="0" w:space="0" w:color="auto"/>
      </w:pBdr>
      <w:spacing w:before="240" w:after="0" w:line="259" w:lineRule="auto"/>
    </w:pPr>
    <w:rPr>
      <w:spacing w:val="0"/>
      <w:szCs w:val="32"/>
      <w:lang w:val="en-US" w:bidi="ar-SA"/>
    </w:rPr>
  </w:style>
  <w:style w:type="character" w:customStyle="1" w:styleId="BALIKLARChar">
    <w:name w:val="BAŞLIKLAR Char"/>
    <w:basedOn w:val="VarsaylanParagrafYazTipi"/>
    <w:link w:val="BALIKLAR"/>
    <w:rsid w:val="00924871"/>
    <w:rPr>
      <w:rFonts w:ascii="Times New Roman" w:hAnsi="Times New Roman"/>
      <w:b/>
      <w:sz w:val="24"/>
      <w:szCs w:val="32"/>
      <w:lang w:bidi="ar-SA"/>
    </w:rPr>
  </w:style>
  <w:style w:type="paragraph" w:styleId="HTMLncedenBiimlendirilmi">
    <w:name w:val="HTML Preformatted"/>
    <w:basedOn w:val="Normal"/>
    <w:link w:val="HTMLncedenBiimlendirilmiChar"/>
    <w:uiPriority w:val="99"/>
    <w:unhideWhenUsed/>
    <w:rsid w:val="00C3585E"/>
    <w:pPr>
      <w:spacing w:after="0" w:line="240" w:lineRule="auto"/>
    </w:pPr>
    <w:rPr>
      <w:rFonts w:ascii="Consolas" w:hAnsi="Consolas"/>
      <w:sz w:val="20"/>
      <w:szCs w:val="20"/>
      <w:lang w:val="en-US"/>
    </w:rPr>
  </w:style>
  <w:style w:type="character" w:customStyle="1" w:styleId="HTMLncedenBiimlendirilmiChar">
    <w:name w:val="HTML Önceden Biçimlendirilmiş Char"/>
    <w:basedOn w:val="VarsaylanParagrafYazTipi"/>
    <w:link w:val="HTMLncedenBiimlendirilmi"/>
    <w:uiPriority w:val="99"/>
    <w:rsid w:val="00C3585E"/>
    <w:rPr>
      <w:rFonts w:ascii="Consolas" w:hAnsi="Consolas"/>
      <w:sz w:val="20"/>
      <w:szCs w:val="20"/>
    </w:rPr>
  </w:style>
  <w:style w:type="character" w:customStyle="1" w:styleId="zmlenmeyenBahsetme1">
    <w:name w:val="Çözümlenmeyen Bahsetme1"/>
    <w:basedOn w:val="VarsaylanParagrafYazTipi"/>
    <w:uiPriority w:val="99"/>
    <w:semiHidden/>
    <w:unhideWhenUsed/>
    <w:rsid w:val="00230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92248862">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874041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339513">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theme" Target="theme/theme1.xml"/><Relationship Id="rId16" Type="http://schemas.openxmlformats.org/officeDocument/2006/relationships/image" Target="media/image4.png"/><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chart" Target="charts/chart1.xml"/><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4.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tureng.com/tr/turkce-ingilizce/turkish%20electricity%20trade%20and%20contracting%20corporation" TargetMode="Externa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ekaya\Desktop\dosyalar&#305;m\Raporlar\y&#305;ll&#305;k%202019\Kopya%202019%20YILI%20EPGR%20&#350;EK&#304;LLER-TABLOLAR%20L&#304;STES&#304;-21%20MAYIS%20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1"/>
            </a:solidFill>
            <a:ln>
              <a:noFill/>
            </a:ln>
            <a:effectLst/>
          </c:spPr>
          <c:invertIfNegative val="0"/>
          <c:cat>
            <c:numRef>
              <c:f>'şekil 2.2.10'!$D$21:$D$30</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'şekil 2.2.10'!$E$21:$E$30</c:f>
              <c:numCache>
                <c:formatCode>0</c:formatCode>
                <c:ptCount val="10"/>
                <c:pt idx="0">
                  <c:v>-179.99177499999999</c:v>
                </c:pt>
                <c:pt idx="1">
                  <c:v>-576.11934900000006</c:v>
                </c:pt>
                <c:pt idx="2">
                  <c:v>-806.714517</c:v>
                </c:pt>
                <c:pt idx="3">
                  <c:v>-1050.203884</c:v>
                </c:pt>
                <c:pt idx="4">
                  <c:v>-1453.5538240000001</c:v>
                </c:pt>
                <c:pt idx="5">
                  <c:v>-1194.938365</c:v>
                </c:pt>
                <c:pt idx="6">
                  <c:v>-1409.5162479999999</c:v>
                </c:pt>
                <c:pt idx="7">
                  <c:v>-1236.305147</c:v>
                </c:pt>
                <c:pt idx="8">
                  <c:v>20.960054</c:v>
                </c:pt>
                <c:pt idx="9">
                  <c:v>-654.08879899999999</c:v>
                </c:pt>
              </c:numCache>
            </c:numRef>
          </c:val>
          <c:extLst>
            <c:ext xmlns:c16="http://schemas.microsoft.com/office/drawing/2014/chart" uri="{C3380CC4-5D6E-409C-BE32-E72D297353CC}">
              <c16:uniqueId val="{00000000-D47A-47FB-937C-F2297541623B}"/>
            </c:ext>
          </c:extLst>
        </c:ser>
        <c:dLbls>
          <c:showLegendKey val="0"/>
          <c:showVal val="0"/>
          <c:showCatName val="0"/>
          <c:showSerName val="0"/>
          <c:showPercent val="0"/>
          <c:showBubbleSize val="0"/>
        </c:dLbls>
        <c:gapWidth val="219"/>
        <c:overlap val="-27"/>
        <c:axId val="580362944"/>
        <c:axId val="580368352"/>
      </c:barChart>
      <c:catAx>
        <c:axId val="58036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80368352"/>
        <c:crosses val="autoZero"/>
        <c:auto val="1"/>
        <c:lblAlgn val="ctr"/>
        <c:lblOffset val="100"/>
        <c:noMultiLvlLbl val="0"/>
      </c:catAx>
      <c:valAx>
        <c:axId val="580368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80362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2F6120-B852-45D3-A2F3-84DD082B9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109</Pages>
  <Words>21158</Words>
  <Characters>120603</Characters>
  <Application>Microsoft Office Word</Application>
  <DocSecurity>0</DocSecurity>
  <Lines>1005</Lines>
  <Paragraphs>282</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Furkan Can BÜLBÜL</cp:lastModifiedBy>
  <cp:revision>5</cp:revision>
  <cp:lastPrinted>2019-04-22T11:04:00Z</cp:lastPrinted>
  <dcterms:created xsi:type="dcterms:W3CDTF">2021-09-08T12:42:00Z</dcterms:created>
  <dcterms:modified xsi:type="dcterms:W3CDTF">2021-09-08T13:46:00Z</dcterms:modified>
</cp:coreProperties>
</file>